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E1" w:rsidRPr="00C003E1" w:rsidRDefault="00C003E1" w:rsidP="00891C4F">
      <w:pPr>
        <w:pStyle w:val="NormalWeb"/>
        <w:jc w:val="right"/>
        <w:rPr>
          <w:rStyle w:val="Strong"/>
          <w:rFonts w:ascii="Arial" w:hAnsi="Arial" w:cs="Arial"/>
          <w:i/>
          <w:sz w:val="36"/>
          <w:szCs w:val="36"/>
          <w:u w:val="single"/>
        </w:rPr>
      </w:pPr>
      <w:r w:rsidRPr="00C003E1">
        <w:rPr>
          <w:rStyle w:val="Strong"/>
          <w:rFonts w:ascii="Arial" w:hAnsi="Arial" w:cs="Arial"/>
          <w:i/>
          <w:sz w:val="36"/>
          <w:szCs w:val="36"/>
          <w:u w:val="single"/>
        </w:rPr>
        <w:t xml:space="preserve">Original Research Article </w:t>
      </w:r>
    </w:p>
    <w:p w:rsidR="00A258C3" w:rsidRPr="00571CE3" w:rsidRDefault="00891C4F" w:rsidP="00891C4F">
      <w:pPr>
        <w:pStyle w:val="NormalWeb"/>
        <w:jc w:val="right"/>
        <w:rPr>
          <w:rFonts w:ascii="Arial" w:hAnsi="Arial" w:cs="Arial"/>
          <w:b/>
          <w:bCs/>
          <w:sz w:val="36"/>
          <w:szCs w:val="36"/>
        </w:rPr>
      </w:pPr>
      <w:r w:rsidRPr="00571CE3">
        <w:rPr>
          <w:rStyle w:val="Strong"/>
          <w:rFonts w:ascii="Arial" w:hAnsi="Arial" w:cs="Arial"/>
          <w:sz w:val="36"/>
          <w:szCs w:val="36"/>
        </w:rPr>
        <w:t>Dissipation of Pyrithiobac-Sodium at Different Soil Moisture regimes in cotton growing soils of Telangana State, India.</w:t>
      </w:r>
    </w:p>
    <w:p w:rsidR="00B1342A" w:rsidRPr="00213B6E" w:rsidRDefault="00B1342A" w:rsidP="007D4296">
      <w:pPr>
        <w:pStyle w:val="NormalWeb"/>
        <w:spacing w:before="0" w:beforeAutospacing="0" w:after="0" w:afterAutospacing="0"/>
        <w:jc w:val="right"/>
        <w:rPr>
          <w:rStyle w:val="Strong"/>
          <w:i/>
          <w:iCs/>
        </w:rPr>
      </w:pPr>
    </w:p>
    <w:p w:rsidR="002C57D2" w:rsidRPr="00213B6E" w:rsidRDefault="002C57D2" w:rsidP="00213B6E">
      <w:pPr>
        <w:pStyle w:val="Affiliation"/>
        <w:spacing w:after="0" w:line="240" w:lineRule="auto"/>
        <w:rPr>
          <w:rFonts w:ascii="Arial" w:hAnsi="Arial" w:cs="Arial"/>
          <w:i/>
          <w:iCs/>
        </w:rPr>
      </w:pPr>
    </w:p>
    <w:p w:rsidR="00B01FCD" w:rsidRPr="00571CE3" w:rsidRDefault="003B364F" w:rsidP="00441B6F">
      <w:pPr>
        <w:pStyle w:val="Copyright"/>
        <w:spacing w:after="0" w:line="240" w:lineRule="auto"/>
        <w:jc w:val="both"/>
        <w:rPr>
          <w:rFonts w:ascii="Arial" w:hAnsi="Arial" w:cs="Arial"/>
        </w:rPr>
        <w:sectPr w:rsidR="00B01FCD" w:rsidRPr="00571CE3" w:rsidSect="004E60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sidRPr="00571CE3">
        <w:rPr>
          <w:rFonts w:ascii="Arial" w:hAnsi="Arial" w:cs="Arial"/>
        </w:rPr>
        <w:t>.</w:t>
      </w:r>
    </w:p>
    <w:p w:rsidR="00B01FCD" w:rsidRPr="00571CE3" w:rsidRDefault="00B01FCD" w:rsidP="00441B6F">
      <w:pPr>
        <w:pStyle w:val="AbstHead"/>
        <w:spacing w:after="0"/>
        <w:jc w:val="both"/>
        <w:rPr>
          <w:rFonts w:ascii="Arial" w:hAnsi="Arial" w:cs="Arial"/>
        </w:rPr>
      </w:pPr>
      <w:r w:rsidRPr="00571CE3">
        <w:rPr>
          <w:rFonts w:ascii="Arial" w:hAnsi="Arial" w:cs="Arial"/>
        </w:rPr>
        <w:lastRenderedPageBreak/>
        <w:t>ABSTRACT</w:t>
      </w:r>
    </w:p>
    <w:p w:rsidR="00790ADA" w:rsidRPr="00571CE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571CE3" w:rsidTr="001E44FE">
        <w:tc>
          <w:tcPr>
            <w:tcW w:w="9576" w:type="dxa"/>
            <w:shd w:val="clear" w:color="auto" w:fill="F2F2F2"/>
          </w:tcPr>
          <w:p w:rsidR="00505F06" w:rsidRPr="00571CE3" w:rsidRDefault="00891C4F" w:rsidP="00682D03">
            <w:pPr>
              <w:spacing w:before="100" w:beforeAutospacing="1" w:after="100" w:afterAutospacing="1"/>
              <w:jc w:val="both"/>
              <w:rPr>
                <w:rFonts w:ascii="Arial" w:hAnsi="Arial" w:cs="Arial"/>
                <w:lang w:val="en-IN" w:eastAsia="en-IN"/>
              </w:rPr>
            </w:pPr>
            <w:r w:rsidRPr="00571CE3">
              <w:rPr>
                <w:rFonts w:ascii="Arial" w:hAnsi="Arial" w:cs="Arial"/>
                <w:lang w:val="en-IN" w:eastAsia="en-IN"/>
              </w:rPr>
              <w:t>Pyrithiobac-sodium, a selective post-emergence herbicide used in cotton, is weakly acidic and highly water soluble, making its dissipation strongly dependent on soil type and moisture regime. The present study evaluated the degradation and dissipation of pyrithiobac-sodium under varying soil moisture levels in red and black soils of Telangana State, India. Representative red and black soils were collected, air-dried, and analysed for their physico-chemical properties. The red soil was neutral, sandy loam, low in organic carbon, and had a CEC of 15.91 cmol(p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¹, whereas the black soil was slightly alkaline, clayey, medium in organic carbon, and had a CEC of 24.2 cmol(p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¹. The dissipation study was conducted un</w:t>
            </w:r>
            <w:r w:rsidR="00682D03">
              <w:rPr>
                <w:rFonts w:ascii="Arial" w:hAnsi="Arial" w:cs="Arial"/>
                <w:lang w:val="en-IN" w:eastAsia="en-IN"/>
              </w:rPr>
              <w:t xml:space="preserve">der controlled incubation at </w:t>
            </w:r>
            <w:r w:rsidR="00682D03" w:rsidRPr="00682D03">
              <w:rPr>
                <w:rFonts w:ascii="Arial" w:hAnsi="Arial" w:cs="Arial"/>
                <w:color w:val="FF0000"/>
                <w:lang w:val="en-IN" w:eastAsia="en-IN"/>
              </w:rPr>
              <w:t>27</w:t>
            </w:r>
            <w:r w:rsidRPr="00682D03">
              <w:rPr>
                <w:rFonts w:ascii="Arial" w:hAnsi="Arial" w:cs="Arial"/>
                <w:color w:val="FF0000"/>
                <w:lang w:val="en-IN" w:eastAsia="en-IN"/>
              </w:rPr>
              <w:t>±0.2</w:t>
            </w:r>
            <w:r w:rsidRPr="00571CE3">
              <w:rPr>
                <w:rFonts w:ascii="Arial" w:hAnsi="Arial" w:cs="Arial"/>
                <w:lang w:val="en-IN" w:eastAsia="en-IN"/>
              </w:rPr>
              <w:t>°C for 1</w:t>
            </w:r>
            <w:r w:rsidR="00682D03">
              <w:rPr>
                <w:rFonts w:ascii="Arial" w:hAnsi="Arial" w:cs="Arial"/>
                <w:lang w:val="en-IN" w:eastAsia="en-IN"/>
              </w:rPr>
              <w:t xml:space="preserve">35 days at two moisture regimes, </w:t>
            </w:r>
            <w:r w:rsidR="00682D03" w:rsidRPr="00682D03">
              <w:rPr>
                <w:rFonts w:ascii="Arial" w:hAnsi="Arial" w:cs="Arial"/>
                <w:i/>
                <w:color w:val="FF0000"/>
                <w:lang w:val="en-IN" w:eastAsia="en-IN"/>
              </w:rPr>
              <w:t>viz</w:t>
            </w:r>
            <w:r w:rsidR="00682D03">
              <w:rPr>
                <w:rFonts w:ascii="Arial" w:hAnsi="Arial" w:cs="Arial"/>
                <w:lang w:val="en-IN" w:eastAsia="en-IN"/>
              </w:rPr>
              <w:t xml:space="preserve">. </w:t>
            </w:r>
            <w:r w:rsidRPr="00571CE3">
              <w:rPr>
                <w:rFonts w:ascii="Arial" w:hAnsi="Arial" w:cs="Arial"/>
                <w:lang w:val="en-IN" w:eastAsia="en-IN"/>
              </w:rPr>
              <w:t>field capacity (FC) and 50% field capacity (FC</w:t>
            </w:r>
            <w:r w:rsidRPr="00571CE3">
              <w:rPr>
                <w:rFonts w:ascii="Cambria Math" w:hAnsi="Cambria Math" w:cs="Cambria Math"/>
                <w:lang w:val="en-IN" w:eastAsia="en-IN"/>
              </w:rPr>
              <w:t>₅₀</w:t>
            </w:r>
            <w:r w:rsidRPr="00571CE3">
              <w:rPr>
                <w:rFonts w:ascii="Arial" w:hAnsi="Arial" w:cs="Arial"/>
                <w:lang w:val="en-IN" w:eastAsia="en-IN"/>
              </w:rPr>
              <w:t xml:space="preserve">). Pyrithiobac-sodium was applied at a 10 µg/ml, and residues were quantified at periodic intervals using a validated </w:t>
            </w:r>
            <w:r w:rsidRPr="00571CE3">
              <w:rPr>
                <w:rStyle w:val="Strong"/>
                <w:rFonts w:ascii="Arial" w:eastAsiaTheme="majorEastAsia" w:hAnsi="Arial" w:cs="Arial"/>
                <w:b w:val="0"/>
                <w:bCs w:val="0"/>
              </w:rPr>
              <w:t>high-performance liquid chromatography</w:t>
            </w:r>
            <w:r w:rsidRPr="00571CE3">
              <w:rPr>
                <w:rStyle w:val="Strong"/>
                <w:rFonts w:ascii="Arial" w:eastAsiaTheme="majorEastAsia" w:hAnsi="Arial" w:cs="Arial"/>
              </w:rPr>
              <w:t xml:space="preserve"> (</w:t>
            </w:r>
            <w:r w:rsidRPr="00571CE3">
              <w:rPr>
                <w:rFonts w:ascii="Arial" w:hAnsi="Arial" w:cs="Arial"/>
                <w:lang w:val="en-IN" w:eastAsia="en-IN"/>
              </w:rPr>
              <w:t>HPLC–UV) method with analytical recovery of 85.2–90.6%. The initial detected amount (IDA) two hours after application ranged between 90.21 and 93.21 µg 10 g</w:t>
            </w:r>
            <w:r w:rsidRPr="00571CE3">
              <w:rPr>
                <w:rFonts w:ascii="Cambria Math" w:hAnsi="Cambria Math" w:cs="Cambria Math"/>
                <w:lang w:val="en-IN" w:eastAsia="en-IN"/>
              </w:rPr>
              <w:t>⁻</w:t>
            </w:r>
            <w:r w:rsidRPr="00571CE3">
              <w:rPr>
                <w:rFonts w:ascii="Arial" w:hAnsi="Arial" w:cs="Arial"/>
                <w:lang w:val="en-IN" w:eastAsia="en-IN"/>
              </w:rPr>
              <w:t>¹ soil. Dissipation followed first-order kinetics with exponential decay (R² &gt; 0.98). Half-lives (DT</w:t>
            </w:r>
            <w:r w:rsidRPr="00571CE3">
              <w:rPr>
                <w:rFonts w:ascii="Cambria Math" w:hAnsi="Cambria Math" w:cs="Cambria Math"/>
                <w:lang w:val="en-IN" w:eastAsia="en-IN"/>
              </w:rPr>
              <w:t>₅₀</w:t>
            </w:r>
            <w:r w:rsidRPr="00571CE3">
              <w:rPr>
                <w:rFonts w:ascii="Arial" w:hAnsi="Arial" w:cs="Arial"/>
                <w:lang w:val="en-IN" w:eastAsia="en-IN"/>
              </w:rPr>
              <w:t>) were 46.2 and 53.3 days in red soil and 57.8 and 63.0 days in black soil at FC and FC</w:t>
            </w:r>
            <w:r w:rsidRPr="00571CE3">
              <w:rPr>
                <w:rFonts w:ascii="Cambria Math" w:hAnsi="Cambria Math" w:cs="Cambria Math"/>
                <w:lang w:val="en-IN" w:eastAsia="en-IN"/>
              </w:rPr>
              <w:t>₅₀</w:t>
            </w:r>
            <w:r w:rsidRPr="00571CE3">
              <w:rPr>
                <w:rFonts w:ascii="Arial" w:hAnsi="Arial" w:cs="Arial"/>
                <w:lang w:val="en-IN" w:eastAsia="en-IN"/>
              </w:rPr>
              <w:t>, respectively. Dissipation was slower under low moisture and in black soil, indicating higher sorption and reduced bioavailability. Pyrithiobac-sodium exhibited moderate persistence, with soil moisture and texture as the primary controlling factors.</w:t>
            </w:r>
          </w:p>
        </w:tc>
      </w:tr>
    </w:tbl>
    <w:p w:rsidR="00636EB2" w:rsidRPr="00571CE3" w:rsidRDefault="00636EB2" w:rsidP="00441B6F">
      <w:pPr>
        <w:pStyle w:val="Body"/>
        <w:spacing w:after="0"/>
        <w:rPr>
          <w:rFonts w:ascii="Arial" w:hAnsi="Arial" w:cs="Arial"/>
          <w:i/>
        </w:rPr>
      </w:pPr>
    </w:p>
    <w:p w:rsidR="0024282C" w:rsidRPr="00571CE3" w:rsidRDefault="00A24E7E" w:rsidP="00A6655E">
      <w:pPr>
        <w:pStyle w:val="NormalWeb"/>
        <w:rPr>
          <w:rFonts w:ascii="Arial" w:hAnsi="Arial" w:cs="Arial"/>
          <w:i/>
          <w:sz w:val="20"/>
          <w:szCs w:val="20"/>
        </w:rPr>
      </w:pPr>
      <w:r w:rsidRPr="00571CE3">
        <w:rPr>
          <w:rFonts w:ascii="Arial" w:hAnsi="Arial" w:cs="Arial"/>
          <w:i/>
        </w:rPr>
        <w:t>Keywords</w:t>
      </w:r>
      <w:r w:rsidRPr="00571CE3">
        <w:rPr>
          <w:rFonts w:ascii="Arial" w:hAnsi="Arial" w:cs="Arial"/>
          <w:i/>
          <w:sz w:val="20"/>
          <w:szCs w:val="20"/>
        </w:rPr>
        <w:t xml:space="preserve">: </w:t>
      </w:r>
      <w:r w:rsidR="00A6655E" w:rsidRPr="00682D03">
        <w:rPr>
          <w:rFonts w:ascii="Arial" w:hAnsi="Arial" w:cs="Arial"/>
          <w:i/>
          <w:strike/>
          <w:color w:val="FF0000"/>
          <w:sz w:val="20"/>
          <w:szCs w:val="20"/>
        </w:rPr>
        <w:t>(</w:t>
      </w:r>
      <w:r w:rsidR="00A6655E" w:rsidRPr="00571CE3">
        <w:rPr>
          <w:rFonts w:ascii="Arial" w:hAnsi="Arial" w:cs="Arial"/>
          <w:i/>
          <w:sz w:val="20"/>
          <w:szCs w:val="20"/>
        </w:rPr>
        <w:t>Degradation, dissipation, first-order kinetics, half-life</w:t>
      </w:r>
      <w:r w:rsidR="00682D03">
        <w:rPr>
          <w:rFonts w:ascii="Arial" w:hAnsi="Arial" w:cs="Arial"/>
          <w:i/>
          <w:sz w:val="20"/>
          <w:szCs w:val="20"/>
        </w:rPr>
        <w:t xml:space="preserve">, </w:t>
      </w:r>
      <w:r w:rsidR="00682D03" w:rsidRPr="00682D03">
        <w:rPr>
          <w:rFonts w:ascii="Arial" w:hAnsi="Arial" w:cs="Arial"/>
          <w:i/>
          <w:color w:val="FF0000"/>
          <w:sz w:val="20"/>
          <w:szCs w:val="20"/>
        </w:rPr>
        <w:t>black soil, red soil</w:t>
      </w:r>
      <w:r w:rsidR="00682D03">
        <w:rPr>
          <w:rFonts w:ascii="Arial" w:hAnsi="Arial" w:cs="Arial"/>
          <w:i/>
          <w:sz w:val="20"/>
          <w:szCs w:val="20"/>
        </w:rPr>
        <w:t xml:space="preserve">, </w:t>
      </w:r>
      <w:r w:rsidR="00A6655E" w:rsidRPr="00571CE3">
        <w:rPr>
          <w:rFonts w:ascii="Arial" w:hAnsi="Arial" w:cs="Arial"/>
          <w:i/>
          <w:sz w:val="20"/>
          <w:szCs w:val="20"/>
        </w:rPr>
        <w:t xml:space="preserve"> </w:t>
      </w:r>
      <w:r w:rsidR="00A6655E" w:rsidRPr="00682D03">
        <w:rPr>
          <w:rFonts w:ascii="Arial" w:hAnsi="Arial" w:cs="Arial"/>
          <w:i/>
          <w:strike/>
          <w:color w:val="FF0000"/>
          <w:sz w:val="20"/>
          <w:szCs w:val="20"/>
        </w:rPr>
        <w:t>and</w:t>
      </w:r>
      <w:r w:rsidR="00A6655E" w:rsidRPr="00571CE3">
        <w:rPr>
          <w:rFonts w:ascii="Arial" w:hAnsi="Arial" w:cs="Arial"/>
          <w:i/>
          <w:sz w:val="20"/>
          <w:szCs w:val="20"/>
        </w:rPr>
        <w:t xml:space="preserve"> pyrithiobac-sodium</w:t>
      </w:r>
      <w:r w:rsidR="00A6655E" w:rsidRPr="00682D03">
        <w:rPr>
          <w:rFonts w:ascii="Arial" w:hAnsi="Arial" w:cs="Arial"/>
          <w:i/>
          <w:strike/>
          <w:color w:val="FF0000"/>
          <w:sz w:val="20"/>
          <w:szCs w:val="20"/>
        </w:rPr>
        <w:t>)</w:t>
      </w:r>
    </w:p>
    <w:p w:rsidR="00505F06" w:rsidRPr="00571CE3" w:rsidRDefault="00505F06" w:rsidP="00441B6F">
      <w:pPr>
        <w:pStyle w:val="Body"/>
        <w:spacing w:after="0"/>
        <w:rPr>
          <w:rFonts w:ascii="Arial" w:hAnsi="Arial" w:cs="Arial"/>
          <w:i/>
        </w:rPr>
      </w:pPr>
    </w:p>
    <w:p w:rsidR="00790ADA" w:rsidRPr="00571CE3" w:rsidRDefault="00902823" w:rsidP="00441B6F">
      <w:pPr>
        <w:pStyle w:val="AbstHead"/>
        <w:spacing w:after="0"/>
        <w:jc w:val="both"/>
        <w:rPr>
          <w:rFonts w:ascii="Arial" w:hAnsi="Arial" w:cs="Arial"/>
        </w:rPr>
      </w:pPr>
      <w:r w:rsidRPr="00571CE3">
        <w:rPr>
          <w:rFonts w:ascii="Arial" w:hAnsi="Arial" w:cs="Arial"/>
        </w:rPr>
        <w:t xml:space="preserve">1. </w:t>
      </w:r>
      <w:r w:rsidR="00B01FCD" w:rsidRPr="00571CE3">
        <w:rPr>
          <w:rFonts w:ascii="Arial" w:hAnsi="Arial" w:cs="Arial"/>
        </w:rPr>
        <w:t>INTRODUCTION</w:t>
      </w:r>
    </w:p>
    <w:p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The fate of soil-applied herbicides has gained increasing </w:t>
      </w:r>
      <w:r w:rsidRPr="00682D03">
        <w:rPr>
          <w:rFonts w:ascii="Arial" w:hAnsi="Arial" w:cs="Arial"/>
          <w:strike/>
          <w:color w:val="FF0000"/>
          <w:sz w:val="20"/>
          <w:szCs w:val="20"/>
        </w:rPr>
        <w:t>research</w:t>
      </w:r>
      <w:r w:rsidRPr="00571CE3">
        <w:rPr>
          <w:rFonts w:ascii="Arial" w:hAnsi="Arial" w:cs="Arial"/>
          <w:sz w:val="20"/>
          <w:szCs w:val="20"/>
        </w:rPr>
        <w:t xml:space="preserve"> attention due to concerns about residual toxicity and persistence in agricultural ecosystems. Persistence determines not only the duration of herbicidal efficacy but also the potential for carryover effects on succeeding crops and the risk of environmental contamination. Conventional methods of assessing persistence through periodic residue analysis are largely empirical, time-consuming, and often inadequate to predict herbicide behaviour under diverse field conditions. In this context, the modelling approach developed by Walker (1974), based on laboratory incubation studies under defined temperature and moisture conditions, marked a significant advancement by enabling prediction of pesticide residue dynamics in field environments.</w:t>
      </w:r>
    </w:p>
    <w:p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lastRenderedPageBreak/>
        <w:t xml:space="preserve">Chemically, pyrithiobac-sodium (sodium 2-chloro-6-[(4,6-dimethoxy-2-pyrimidinyl)thio]benzoate) belongs to the ALS-inhibiting group and is used to control broadleaf weeds in cotton. It is distinct in being applicable both pre- and post-emergence and </w:t>
      </w:r>
      <w:r w:rsidRPr="00682D03">
        <w:rPr>
          <w:rFonts w:ascii="Arial" w:hAnsi="Arial" w:cs="Arial"/>
          <w:strike/>
          <w:color w:val="FF0000"/>
          <w:sz w:val="20"/>
          <w:szCs w:val="20"/>
        </w:rPr>
        <w:t>was</w:t>
      </w:r>
      <w:r w:rsidRPr="00571CE3">
        <w:rPr>
          <w:rFonts w:ascii="Arial" w:hAnsi="Arial" w:cs="Arial"/>
          <w:sz w:val="20"/>
          <w:szCs w:val="20"/>
        </w:rPr>
        <w:t xml:space="preserve"> among the first highly selective herbicides permitted in India for post-emergence application for broad-leaf control in cotton. The period during which a herbicide remains biologically active is critical for achieving effective weed control while minimizing phytotoxicity to rotational crops and ecological hazards. The environmental fate of such herbicides depends upon processes governing their retention, transformation, and transport within the soil. Weakly adsorbed herbicides are particularly vulnerable to leaching and runoff losses, which can lead to groundwater contamination (Guerra et al., 2013).</w:t>
      </w:r>
    </w:p>
    <w:p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The present study focuses on the persistence and dissipation behaviour of pyrithiobac-sodium, a selective post-emergence herbicide extensively used by cotton growers in Telangana state under varied soil and climatic conditions, </w:t>
      </w:r>
      <w:r w:rsidRPr="00682D03">
        <w:rPr>
          <w:rFonts w:ascii="Arial" w:hAnsi="Arial" w:cs="Arial"/>
          <w:strike/>
          <w:color w:val="FF0000"/>
          <w:sz w:val="20"/>
          <w:szCs w:val="20"/>
        </w:rPr>
        <w:t>for which limited literature is available under Indian situations</w:t>
      </w:r>
      <w:r w:rsidRPr="00571CE3">
        <w:rPr>
          <w:rFonts w:ascii="Arial" w:hAnsi="Arial" w:cs="Arial"/>
          <w:sz w:val="20"/>
          <w:szCs w:val="20"/>
        </w:rPr>
        <w:t>. Pyrithiobac-sodium is a weak acidic herbicide (pKa 2.34) with very high aqueous solubility (705 g L</w:t>
      </w:r>
      <w:r w:rsidRPr="00571CE3">
        <w:rPr>
          <w:rFonts w:ascii="Cambria Math" w:hAnsi="Cambria Math" w:cs="Cambria Math"/>
          <w:sz w:val="20"/>
          <w:szCs w:val="20"/>
        </w:rPr>
        <w:t>⁻</w:t>
      </w:r>
      <w:r w:rsidRPr="00571CE3">
        <w:rPr>
          <w:rFonts w:ascii="Arial" w:hAnsi="Arial" w:cs="Arial"/>
          <w:sz w:val="20"/>
          <w:szCs w:val="20"/>
        </w:rPr>
        <w:t>¹ at pH 7 and 264 g L</w:t>
      </w:r>
      <w:r w:rsidRPr="00571CE3">
        <w:rPr>
          <w:rFonts w:ascii="Cambria Math" w:hAnsi="Cambria Math" w:cs="Cambria Math"/>
          <w:sz w:val="20"/>
          <w:szCs w:val="20"/>
        </w:rPr>
        <w:t>⁻</w:t>
      </w:r>
      <w:r w:rsidRPr="00571CE3">
        <w:rPr>
          <w:rFonts w:ascii="Arial" w:hAnsi="Arial" w:cs="Arial"/>
          <w:sz w:val="20"/>
          <w:szCs w:val="20"/>
        </w:rPr>
        <w:t>¹ at pH 5) and a molecular weight of 326.4 g mol</w:t>
      </w:r>
      <w:r w:rsidRPr="00571CE3">
        <w:rPr>
          <w:rFonts w:ascii="Cambria Math" w:hAnsi="Cambria Math" w:cs="Cambria Math"/>
          <w:sz w:val="20"/>
          <w:szCs w:val="20"/>
        </w:rPr>
        <w:t>⁻</w:t>
      </w:r>
      <w:r w:rsidRPr="00571CE3">
        <w:rPr>
          <w:rFonts w:ascii="Arial" w:hAnsi="Arial" w:cs="Arial"/>
          <w:sz w:val="20"/>
          <w:szCs w:val="20"/>
        </w:rPr>
        <w:t xml:space="preserve">¹. At typical soil pH values above 5, it exists mainly as a singly charged anion, resulting in poor sorption on soil colloids. Due to this ionic nature and high solubility, sorption has little influence on its mobility in most cotton </w:t>
      </w:r>
      <w:r w:rsidRPr="00D812F9">
        <w:rPr>
          <w:rFonts w:ascii="Arial" w:hAnsi="Arial" w:cs="Arial"/>
          <w:color w:val="FF0000"/>
          <w:sz w:val="20"/>
          <w:szCs w:val="20"/>
        </w:rPr>
        <w:t>g</w:t>
      </w:r>
      <w:r w:rsidR="00D812F9" w:rsidRPr="00D812F9">
        <w:rPr>
          <w:rFonts w:ascii="Arial" w:hAnsi="Arial" w:cs="Arial"/>
          <w:color w:val="FF0000"/>
          <w:sz w:val="20"/>
          <w:szCs w:val="20"/>
        </w:rPr>
        <w:t>r</w:t>
      </w:r>
      <w:r w:rsidRPr="00D812F9">
        <w:rPr>
          <w:rFonts w:ascii="Arial" w:hAnsi="Arial" w:cs="Arial"/>
          <w:color w:val="FF0000"/>
          <w:sz w:val="20"/>
          <w:szCs w:val="20"/>
        </w:rPr>
        <w:t>owing</w:t>
      </w:r>
      <w:r w:rsidRPr="00571CE3">
        <w:rPr>
          <w:rFonts w:ascii="Arial" w:hAnsi="Arial" w:cs="Arial"/>
          <w:sz w:val="20"/>
          <w:szCs w:val="20"/>
        </w:rPr>
        <w:t xml:space="preserve"> soils (Baskaran and Kennedy, 1999; Matocha et al., 1999).</w:t>
      </w:r>
    </w:p>
    <w:p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Several studies have reported that pyrithiobac residues may persist and cause carryover injury to rotational crops in soils with higher clay content and lower pH, conditions that suppress microbial degradation (Webster and Shaw, 1996; Smith et al., 2005). As microbial degradation is the principal mechanism of dissipation, the herbicide tends to persist longer under low temperature and low moisture conditions that reduce microbial activity and enzymatic processes. Phytotoxic symptoms in sensitive crops such as maize, sorghum, and soybean have been observed in seasons following pyrithiobac use, particularly when applied as a pre-plant incorporation at excessive doses. Such carryover effects are more pronounced in fine-textured soils, where reduced aeration and strong binding of herbicide molecules limit biodegradation (Webster and Shaw, 1996).</w:t>
      </w:r>
    </w:p>
    <w:p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Laboratory and field studies have demonstrated that the dissipation of pyrithiobac-sodium follows microbial degradation pathways, with reported half-lives (DT</w:t>
      </w:r>
      <w:r w:rsidRPr="00571CE3">
        <w:rPr>
          <w:rFonts w:ascii="Cambria Math" w:hAnsi="Cambria Math" w:cs="Cambria Math"/>
          <w:sz w:val="20"/>
          <w:szCs w:val="20"/>
        </w:rPr>
        <w:t>₅₀</w:t>
      </w:r>
      <w:r w:rsidRPr="00571CE3">
        <w:rPr>
          <w:rFonts w:ascii="Arial" w:hAnsi="Arial" w:cs="Arial"/>
          <w:sz w:val="20"/>
          <w:szCs w:val="20"/>
        </w:rPr>
        <w:t xml:space="preserve">) ranging between 11 and 46 days, depending on temperature, soil type, and moisture regime (Singles et al., 2002). Sharma et al. (2016) reported that microbial metabolism of pyrithiobac-sodium </w:t>
      </w:r>
      <w:r w:rsidRPr="00F65734">
        <w:rPr>
          <w:rFonts w:ascii="Arial" w:hAnsi="Arial" w:cs="Arial"/>
          <w:color w:val="FF0000"/>
          <w:sz w:val="20"/>
          <w:szCs w:val="20"/>
        </w:rPr>
        <w:t>genera</w:t>
      </w:r>
      <w:r w:rsidR="00F65734" w:rsidRPr="00F65734">
        <w:rPr>
          <w:rFonts w:ascii="Arial" w:hAnsi="Arial" w:cs="Arial"/>
          <w:color w:val="FF0000"/>
          <w:sz w:val="20"/>
          <w:szCs w:val="20"/>
        </w:rPr>
        <w:t>ted</w:t>
      </w:r>
      <w:r w:rsidRPr="00571CE3">
        <w:rPr>
          <w:rFonts w:ascii="Arial" w:hAnsi="Arial" w:cs="Arial"/>
          <w:sz w:val="20"/>
          <w:szCs w:val="20"/>
        </w:rPr>
        <w:t xml:space="preserve"> several minor metabolites and </w:t>
      </w:r>
      <w:r w:rsidRPr="00F65734">
        <w:rPr>
          <w:rFonts w:ascii="Arial" w:hAnsi="Arial" w:cs="Arial"/>
          <w:strike/>
          <w:color w:val="FF0000"/>
          <w:sz w:val="20"/>
          <w:szCs w:val="20"/>
        </w:rPr>
        <w:t>results in</w:t>
      </w:r>
      <w:r w:rsidRPr="00571CE3">
        <w:rPr>
          <w:rFonts w:ascii="Arial" w:hAnsi="Arial" w:cs="Arial"/>
          <w:sz w:val="20"/>
          <w:szCs w:val="20"/>
        </w:rPr>
        <w:t xml:space="preserve"> up to 60% non-extractable residues, reflecting moderate persistence and rapid transformation in biologically active soils. Regulatory agencies, including the U.S. Environmental Protection Agency (2017) and the Australian Pesticides and Veterinary Medicines Authority (APVMA, 1996), classify pyrithiobac-sodium as slightly to moderately persistent but highly mobile, indicating its potential leaching risk in alkaline or low-organic-matter soils.</w:t>
      </w:r>
    </w:p>
    <w:p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Despite its widespread use in Indian cotton systems, detailed studies on the degradation and dissipation behaviour of pyrithiobac-sodium in Indian soils are scarce, particularly under the contrasting soil and climatic conditions in </w:t>
      </w:r>
      <w:r w:rsidR="00F65734" w:rsidRPr="00F65734">
        <w:rPr>
          <w:rFonts w:ascii="Arial" w:hAnsi="Arial" w:cs="Arial"/>
          <w:color w:val="FF0000"/>
          <w:sz w:val="20"/>
          <w:szCs w:val="20"/>
        </w:rPr>
        <w:t>which</w:t>
      </w:r>
      <w:r w:rsidRPr="00571CE3">
        <w:rPr>
          <w:rFonts w:ascii="Arial" w:hAnsi="Arial" w:cs="Arial"/>
          <w:sz w:val="20"/>
          <w:szCs w:val="20"/>
        </w:rPr>
        <w:t xml:space="preserve"> cotton is grown in Telangana State (Adare et al 2016). Dominant soils in Telangana include red soils (sandy loam, low in organic carbon and CEC) and black soils (high in smectitic clay, alkaline pH, and high CEC) exhibit significant differences in water-holding capacity, microbial activity, and sorption characteristics. These differences, coupled with the semi-arid climate marked by alternating wet and dry seasons, can substantially influence the persistence, bioavailability, and transport of pyrithiobac-sodium. Moreover, soil moisture plays a critical role in regulating </w:t>
      </w:r>
      <w:r w:rsidRPr="00571CE3">
        <w:rPr>
          <w:rFonts w:ascii="Arial" w:hAnsi="Arial" w:cs="Arial"/>
          <w:sz w:val="20"/>
          <w:szCs w:val="20"/>
        </w:rPr>
        <w:lastRenderedPageBreak/>
        <w:t>both microbial and physicochemical transformation processes; however, systematic information on its influence on pyrithiobac behaviour Telangana cotton growing soils is lacking.</w:t>
      </w:r>
    </w:p>
    <w:p w:rsidR="00A6655E" w:rsidRPr="00571CE3" w:rsidRDefault="00A6655E" w:rsidP="00A6655E">
      <w:pPr>
        <w:pStyle w:val="NormalWeb"/>
        <w:jc w:val="both"/>
        <w:rPr>
          <w:rFonts w:ascii="Arial" w:hAnsi="Arial" w:cs="Arial"/>
          <w:sz w:val="20"/>
          <w:szCs w:val="20"/>
        </w:rPr>
      </w:pPr>
      <w:r w:rsidRPr="00571CE3">
        <w:rPr>
          <w:rFonts w:ascii="Arial" w:hAnsi="Arial" w:cs="Arial"/>
          <w:sz w:val="20"/>
          <w:szCs w:val="20"/>
        </w:rPr>
        <w:t>The present experiment was undertaken to study the effect of varying soil moisture levels on the rate of degradation and persistence of pyrithiobac-sodium in two contrasting soil types. The specific objectives were to (i) determine the dissipation kinetics of pyrithiobac-sodium under controlled moisture regimes, (ii) estimate the half-life (DT</w:t>
      </w:r>
      <w:r w:rsidRPr="00571CE3">
        <w:rPr>
          <w:rFonts w:ascii="Cambria Math" w:hAnsi="Cambria Math" w:cs="Cambria Math"/>
          <w:sz w:val="20"/>
          <w:szCs w:val="20"/>
        </w:rPr>
        <w:t>₅₀</w:t>
      </w:r>
      <w:r w:rsidRPr="00571CE3">
        <w:rPr>
          <w:rFonts w:ascii="Arial" w:hAnsi="Arial" w:cs="Arial"/>
          <w:sz w:val="20"/>
          <w:szCs w:val="20"/>
        </w:rPr>
        <w:t xml:space="preserve">) and rate constants (k) under laboratory incubation, and (iii) examine the relationship between soil physico-chemical properties and dissipation behaviour. </w:t>
      </w:r>
    </w:p>
    <w:p w:rsidR="00790ADA" w:rsidRPr="00571CE3" w:rsidRDefault="00790ADA" w:rsidP="00441B6F">
      <w:pPr>
        <w:pStyle w:val="Body"/>
        <w:spacing w:after="0"/>
        <w:rPr>
          <w:rFonts w:ascii="Arial" w:hAnsi="Arial" w:cs="Arial"/>
        </w:rPr>
      </w:pPr>
    </w:p>
    <w:p w:rsidR="00790ADA" w:rsidRPr="00571CE3" w:rsidRDefault="00902823" w:rsidP="00441B6F">
      <w:pPr>
        <w:pStyle w:val="AbstHead"/>
        <w:spacing w:after="0"/>
        <w:jc w:val="both"/>
        <w:rPr>
          <w:rFonts w:ascii="Arial" w:hAnsi="Arial" w:cs="Arial"/>
        </w:rPr>
      </w:pPr>
      <w:r w:rsidRPr="00571CE3">
        <w:rPr>
          <w:rFonts w:ascii="Arial" w:hAnsi="Arial" w:cs="Arial"/>
        </w:rPr>
        <w:t>2. material and method</w:t>
      </w:r>
      <w:r w:rsidR="00000F8F" w:rsidRPr="00571CE3">
        <w:rPr>
          <w:rFonts w:ascii="Arial" w:hAnsi="Arial" w:cs="Arial"/>
        </w:rPr>
        <w:t xml:space="preserve">s </w:t>
      </w:r>
    </w:p>
    <w:p w:rsidR="00A6655E" w:rsidRPr="00571CE3" w:rsidRDefault="00A6655E" w:rsidP="00441B6F">
      <w:pPr>
        <w:pStyle w:val="AbstHead"/>
        <w:spacing w:after="0"/>
        <w:jc w:val="both"/>
        <w:rPr>
          <w:rFonts w:ascii="Arial" w:hAnsi="Arial" w:cs="Arial"/>
        </w:rPr>
      </w:pPr>
    </w:p>
    <w:p w:rsidR="00197F3F" w:rsidRPr="00571CE3" w:rsidRDefault="00197F3F" w:rsidP="00197F3F">
      <w:pPr>
        <w:spacing w:before="100" w:beforeAutospacing="1" w:after="100" w:afterAutospacing="1"/>
        <w:jc w:val="both"/>
        <w:outlineLvl w:val="2"/>
        <w:rPr>
          <w:rFonts w:ascii="Arial" w:hAnsi="Arial" w:cs="Arial"/>
          <w:b/>
          <w:bCs/>
          <w:sz w:val="22"/>
          <w:szCs w:val="22"/>
          <w:lang w:val="en-IN" w:eastAsia="en-IN"/>
        </w:rPr>
      </w:pPr>
      <w:r w:rsidRPr="00571CE3">
        <w:rPr>
          <w:rFonts w:ascii="Arial" w:hAnsi="Arial" w:cs="Arial"/>
          <w:b/>
          <w:bCs/>
          <w:sz w:val="22"/>
          <w:szCs w:val="22"/>
          <w:lang w:val="en-IN" w:eastAsia="en-IN"/>
        </w:rPr>
        <w:t>Soil Analysis for Physical, Chemical and Physico-Chemical Properties</w:t>
      </w:r>
    </w:p>
    <w:p w:rsidR="00197F3F" w:rsidRPr="00571CE3" w:rsidRDefault="00197F3F" w:rsidP="00197F3F">
      <w:pPr>
        <w:spacing w:before="100" w:beforeAutospacing="1" w:after="100" w:afterAutospacing="1"/>
        <w:ind w:firstLine="720"/>
        <w:jc w:val="both"/>
        <w:rPr>
          <w:rFonts w:ascii="Arial" w:hAnsi="Arial" w:cs="Arial"/>
          <w:lang w:val="en-IN" w:eastAsia="en-IN"/>
        </w:rPr>
      </w:pPr>
      <w:r w:rsidRPr="00571CE3">
        <w:rPr>
          <w:rFonts w:ascii="Arial" w:hAnsi="Arial" w:cs="Arial"/>
          <w:lang w:val="en-IN" w:eastAsia="en-IN"/>
        </w:rPr>
        <w:t xml:space="preserve">The collected soil samples representing red and black soils were air-dried, gently crushed, and passed through a 2 mm sieve prior to analysis. The physico-chemical characterization of the soils was carried out to determine the soil properties influencing the adsorption and dissipation behaviour of pyrithiobac-sodium. The soil reaction (pH) and electrical conductivity (EC) were measured in a 1:2.5 soil–water suspension using standard procedures. The organic carbon content </w:t>
      </w:r>
      <w:r w:rsidRPr="00F65734">
        <w:rPr>
          <w:rFonts w:ascii="Arial" w:hAnsi="Arial" w:cs="Arial"/>
          <w:strike/>
          <w:color w:val="FF0000"/>
          <w:lang w:val="en-IN" w:eastAsia="en-IN"/>
        </w:rPr>
        <w:t>(%)</w:t>
      </w:r>
      <w:r w:rsidRPr="00571CE3">
        <w:rPr>
          <w:rFonts w:ascii="Arial" w:hAnsi="Arial" w:cs="Arial"/>
          <w:lang w:val="en-IN" w:eastAsia="en-IN"/>
        </w:rPr>
        <w:t xml:space="preserve"> of the soils was determined following the rapid titrimetric method proposed by Walkley and Black (1934).</w:t>
      </w:r>
    </w:p>
    <w:p w:rsidR="00197F3F" w:rsidRPr="00571CE3" w:rsidRDefault="00197F3F" w:rsidP="00197F3F">
      <w:pPr>
        <w:spacing w:before="100" w:beforeAutospacing="1" w:after="100" w:afterAutospacing="1"/>
        <w:jc w:val="both"/>
        <w:rPr>
          <w:rFonts w:ascii="Arial" w:hAnsi="Arial" w:cs="Arial"/>
          <w:lang w:val="en-IN" w:eastAsia="en-IN"/>
        </w:rPr>
      </w:pPr>
      <w:r w:rsidRPr="00571CE3">
        <w:rPr>
          <w:rFonts w:ascii="Arial" w:hAnsi="Arial" w:cs="Arial"/>
          <w:lang w:val="en-IN" w:eastAsia="en-IN"/>
        </w:rPr>
        <w:t>CEC of the soils, was estimated following the procedure described by Richards et al. (1954) using ammonium acetate (1 N, pH 7.0). These baseline data were used to interpret the relationship between soil properties and the sorption–desorption behaviour and dissipation kinetics of pyrithiobac-sodium under varying soil environments.</w:t>
      </w:r>
    </w:p>
    <w:p w:rsidR="00197F3F" w:rsidRPr="00571CE3" w:rsidRDefault="00197F3F" w:rsidP="00197F3F">
      <w:pPr>
        <w:autoSpaceDE w:val="0"/>
        <w:autoSpaceDN w:val="0"/>
        <w:adjustRightInd w:val="0"/>
        <w:jc w:val="both"/>
        <w:rPr>
          <w:rFonts w:ascii="Arial" w:eastAsiaTheme="minorHAnsi" w:hAnsi="Arial" w:cs="Arial"/>
          <w:b/>
          <w:bCs/>
          <w:sz w:val="22"/>
          <w:szCs w:val="22"/>
        </w:rPr>
      </w:pPr>
      <w:r w:rsidRPr="00571CE3">
        <w:rPr>
          <w:rFonts w:ascii="Arial" w:eastAsiaTheme="minorHAnsi" w:hAnsi="Arial" w:cs="Arial"/>
          <w:b/>
          <w:bCs/>
          <w:sz w:val="22"/>
          <w:szCs w:val="22"/>
        </w:rPr>
        <w:t>Soil dissipation studies of Pyrithiobac sodium</w:t>
      </w:r>
    </w:p>
    <w:p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dissipation behaviour of pyrithiobac-sodium</w:t>
      </w:r>
      <w:r w:rsidRPr="00571CE3">
        <w:rPr>
          <w:rFonts w:ascii="Arial" w:hAnsi="Arial" w:cs="Arial"/>
          <w:sz w:val="20"/>
          <w:szCs w:val="20"/>
        </w:rPr>
        <w:t xml:space="preserve"> in soil was studied under controlled laboratory conditions using </w:t>
      </w:r>
      <w:r w:rsidRPr="00571CE3">
        <w:rPr>
          <w:rStyle w:val="Strong"/>
          <w:rFonts w:ascii="Arial" w:eastAsiaTheme="majorEastAsia" w:hAnsi="Arial" w:cs="Arial"/>
          <w:b w:val="0"/>
          <w:bCs w:val="0"/>
          <w:sz w:val="20"/>
          <w:szCs w:val="20"/>
        </w:rPr>
        <w:t>red and black soils</w:t>
      </w:r>
      <w:r w:rsidRPr="00571CE3">
        <w:rPr>
          <w:rFonts w:ascii="Arial" w:hAnsi="Arial" w:cs="Arial"/>
          <w:sz w:val="20"/>
          <w:szCs w:val="20"/>
        </w:rPr>
        <w:t xml:space="preserve"> representative of the cotton-growing regions of Telangana. Air-dried soil samples were ground gently, passed through a </w:t>
      </w:r>
      <w:r w:rsidRPr="00571CE3">
        <w:rPr>
          <w:rStyle w:val="Strong"/>
          <w:rFonts w:ascii="Arial" w:eastAsiaTheme="majorEastAsia" w:hAnsi="Arial" w:cs="Arial"/>
          <w:b w:val="0"/>
          <w:bCs w:val="0"/>
          <w:sz w:val="20"/>
          <w:szCs w:val="20"/>
        </w:rPr>
        <w:t>2 mm sieve</w:t>
      </w:r>
      <w:r w:rsidRPr="00571CE3">
        <w:rPr>
          <w:rFonts w:ascii="Arial" w:hAnsi="Arial" w:cs="Arial"/>
          <w:sz w:val="20"/>
          <w:szCs w:val="20"/>
        </w:rPr>
        <w:t xml:space="preserve">, and spread uniformly on clean polythene sheets prior to treatment. A standard stock solution of </w:t>
      </w:r>
      <w:r w:rsidRPr="00571CE3">
        <w:rPr>
          <w:rStyle w:val="Strong"/>
          <w:rFonts w:ascii="Arial" w:eastAsiaTheme="majorEastAsia" w:hAnsi="Arial" w:cs="Arial"/>
          <w:b w:val="0"/>
          <w:bCs w:val="0"/>
          <w:sz w:val="20"/>
          <w:szCs w:val="20"/>
        </w:rPr>
        <w:t>pyrithiobac-sodium (10 µg mL</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was prepared by dissolving the analytical-grade herbicide in </w:t>
      </w:r>
      <w:r w:rsidRPr="00571CE3">
        <w:rPr>
          <w:rStyle w:val="Strong"/>
          <w:rFonts w:ascii="Arial" w:eastAsiaTheme="majorEastAsia" w:hAnsi="Arial" w:cs="Arial"/>
          <w:b w:val="0"/>
          <w:bCs w:val="0"/>
          <w:sz w:val="20"/>
          <w:szCs w:val="20"/>
        </w:rPr>
        <w:t>methanol</w:t>
      </w:r>
      <w:r w:rsidRPr="00571CE3">
        <w:rPr>
          <w:rFonts w:ascii="Arial" w:hAnsi="Arial" w:cs="Arial"/>
          <w:sz w:val="20"/>
          <w:szCs w:val="20"/>
        </w:rPr>
        <w:t>. A measured quantity of this solution (</w:t>
      </w:r>
      <w:r w:rsidRPr="00571CE3">
        <w:rPr>
          <w:rStyle w:val="Strong"/>
          <w:rFonts w:ascii="Arial" w:eastAsiaTheme="majorEastAsia" w:hAnsi="Arial" w:cs="Arial"/>
          <w:b w:val="0"/>
          <w:bCs w:val="0"/>
          <w:sz w:val="20"/>
          <w:szCs w:val="20"/>
        </w:rPr>
        <w:t>10 mL</w:t>
      </w:r>
      <w:r w:rsidRPr="00571CE3">
        <w:rPr>
          <w:rFonts w:ascii="Arial" w:hAnsi="Arial" w:cs="Arial"/>
          <w:sz w:val="20"/>
          <w:szCs w:val="20"/>
        </w:rPr>
        <w:t xml:space="preserve">) was applied uniformly to each soil sample to achieve the desired initial herbicide concentration. The treated soil was thoroughly mixed to ensure homogenous distribution, and the </w:t>
      </w:r>
      <w:r w:rsidRPr="00571CE3">
        <w:rPr>
          <w:rStyle w:val="Strong"/>
          <w:rFonts w:ascii="Arial" w:eastAsiaTheme="majorEastAsia" w:hAnsi="Arial" w:cs="Arial"/>
          <w:b w:val="0"/>
          <w:bCs w:val="0"/>
          <w:sz w:val="20"/>
          <w:szCs w:val="20"/>
        </w:rPr>
        <w:t>methanol was allowed to evaporate completely</w:t>
      </w:r>
      <w:r w:rsidRPr="00571CE3">
        <w:rPr>
          <w:rFonts w:ascii="Arial" w:hAnsi="Arial" w:cs="Arial"/>
          <w:sz w:val="20"/>
          <w:szCs w:val="20"/>
        </w:rPr>
        <w:t xml:space="preserve"> under ambient conditions before incubation.</w:t>
      </w:r>
    </w:p>
    <w:p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From the treated bulk soil, </w:t>
      </w:r>
      <w:r w:rsidRPr="00571CE3">
        <w:rPr>
          <w:rStyle w:val="Strong"/>
          <w:rFonts w:ascii="Arial" w:eastAsiaTheme="majorEastAsia" w:hAnsi="Arial" w:cs="Arial"/>
          <w:b w:val="0"/>
          <w:bCs w:val="0"/>
          <w:sz w:val="20"/>
          <w:szCs w:val="20"/>
        </w:rPr>
        <w:t>10 g aliquots</w:t>
      </w:r>
      <w:r w:rsidRPr="00571CE3">
        <w:rPr>
          <w:rFonts w:ascii="Arial" w:hAnsi="Arial" w:cs="Arial"/>
          <w:sz w:val="20"/>
          <w:szCs w:val="20"/>
        </w:rPr>
        <w:t xml:space="preserve"> were weighed into individual </w:t>
      </w:r>
      <w:r w:rsidRPr="00571CE3">
        <w:rPr>
          <w:rStyle w:val="Strong"/>
          <w:rFonts w:ascii="Arial" w:eastAsiaTheme="majorEastAsia" w:hAnsi="Arial" w:cs="Arial"/>
          <w:b w:val="0"/>
          <w:bCs w:val="0"/>
          <w:sz w:val="20"/>
          <w:szCs w:val="20"/>
        </w:rPr>
        <w:t>polythene bags</w:t>
      </w:r>
      <w:r w:rsidRPr="00571CE3">
        <w:rPr>
          <w:rFonts w:ascii="Arial" w:hAnsi="Arial" w:cs="Arial"/>
          <w:sz w:val="20"/>
          <w:szCs w:val="20"/>
        </w:rPr>
        <w:t xml:space="preserve">, which were subsequently adjusted to two different </w:t>
      </w:r>
      <w:r w:rsidRPr="00571CE3">
        <w:rPr>
          <w:rStyle w:val="Strong"/>
          <w:rFonts w:ascii="Arial" w:eastAsiaTheme="majorEastAsia" w:hAnsi="Arial" w:cs="Arial"/>
          <w:b w:val="0"/>
          <w:bCs w:val="0"/>
          <w:sz w:val="20"/>
          <w:szCs w:val="20"/>
        </w:rPr>
        <w:t>moisture regimes</w:t>
      </w:r>
      <w:r w:rsidR="00F65734">
        <w:rPr>
          <w:rStyle w:val="Strong"/>
          <w:rFonts w:ascii="Arial" w:eastAsiaTheme="majorEastAsia" w:hAnsi="Arial" w:cs="Arial"/>
          <w:b w:val="0"/>
          <w:bCs w:val="0"/>
          <w:sz w:val="20"/>
          <w:szCs w:val="20"/>
        </w:rPr>
        <w:t>:</w:t>
      </w:r>
      <w:r w:rsidRPr="00571CE3">
        <w:rPr>
          <w:rStyle w:val="Strong"/>
          <w:rFonts w:ascii="Arial" w:eastAsiaTheme="majorEastAsia" w:hAnsi="Arial" w:cs="Arial"/>
          <w:b w:val="0"/>
          <w:bCs w:val="0"/>
          <w:sz w:val="20"/>
          <w:szCs w:val="20"/>
        </w:rPr>
        <w:t xml:space="preserve"> </w:t>
      </w:r>
      <w:r w:rsidRPr="00D86267">
        <w:rPr>
          <w:rStyle w:val="Strong"/>
          <w:rFonts w:ascii="Arial" w:eastAsiaTheme="majorEastAsia" w:hAnsi="Arial" w:cs="Arial"/>
          <w:b w:val="0"/>
          <w:bCs w:val="0"/>
          <w:strike/>
          <w:color w:val="FF0000"/>
          <w:sz w:val="20"/>
          <w:szCs w:val="20"/>
        </w:rPr>
        <w:t>field capacity</w:t>
      </w:r>
      <w:r w:rsidR="00D86267">
        <w:rPr>
          <w:rStyle w:val="Strong"/>
          <w:rFonts w:ascii="Arial" w:eastAsiaTheme="majorEastAsia" w:hAnsi="Arial" w:cs="Arial"/>
          <w:b w:val="0"/>
          <w:bCs w:val="0"/>
          <w:sz w:val="20"/>
          <w:szCs w:val="20"/>
        </w:rPr>
        <w:t xml:space="preserve"> </w:t>
      </w:r>
      <w:r w:rsidRPr="00D86267">
        <w:rPr>
          <w:rStyle w:val="Strong"/>
          <w:rFonts w:ascii="Arial" w:eastAsiaTheme="majorEastAsia" w:hAnsi="Arial" w:cs="Arial"/>
          <w:b w:val="0"/>
          <w:bCs w:val="0"/>
          <w:color w:val="FF0000"/>
          <w:sz w:val="20"/>
          <w:szCs w:val="20"/>
        </w:rPr>
        <w:t>100%</w:t>
      </w:r>
      <w:r w:rsidRPr="00571CE3">
        <w:rPr>
          <w:rFonts w:ascii="Arial" w:hAnsi="Arial" w:cs="Arial"/>
          <w:sz w:val="20"/>
          <w:szCs w:val="20"/>
        </w:rPr>
        <w:t xml:space="preserve"> and </w:t>
      </w:r>
      <w:r w:rsidRPr="00571CE3">
        <w:rPr>
          <w:rStyle w:val="Strong"/>
          <w:rFonts w:ascii="Arial" w:eastAsiaTheme="majorEastAsia" w:hAnsi="Arial" w:cs="Arial"/>
          <w:b w:val="0"/>
          <w:bCs w:val="0"/>
          <w:sz w:val="20"/>
          <w:szCs w:val="20"/>
        </w:rPr>
        <w:t>50% of field capacity</w:t>
      </w:r>
      <w:r w:rsidRPr="00571CE3">
        <w:rPr>
          <w:rFonts w:ascii="Arial" w:hAnsi="Arial" w:cs="Arial"/>
          <w:sz w:val="20"/>
          <w:szCs w:val="20"/>
        </w:rPr>
        <w:t xml:space="preserve"> by adding predetermined quantities of distilled water. The bags were then sealed to minimize moisture loss and incubated at a </w:t>
      </w:r>
      <w:r w:rsidRPr="00571CE3">
        <w:rPr>
          <w:rStyle w:val="Strong"/>
          <w:rFonts w:ascii="Arial" w:eastAsiaTheme="majorEastAsia" w:hAnsi="Arial" w:cs="Arial"/>
          <w:b w:val="0"/>
          <w:bCs w:val="0"/>
          <w:sz w:val="20"/>
          <w:szCs w:val="20"/>
        </w:rPr>
        <w:t>constant temperature of 27±0.2°C</w:t>
      </w:r>
      <w:r w:rsidRPr="00571CE3">
        <w:rPr>
          <w:rFonts w:ascii="Arial" w:hAnsi="Arial" w:cs="Arial"/>
          <w:sz w:val="20"/>
          <w:szCs w:val="20"/>
        </w:rPr>
        <w:t xml:space="preserve">. Simultaneously, </w:t>
      </w:r>
      <w:r w:rsidRPr="00571CE3">
        <w:rPr>
          <w:rStyle w:val="Strong"/>
          <w:rFonts w:ascii="Arial" w:eastAsiaTheme="majorEastAsia" w:hAnsi="Arial" w:cs="Arial"/>
          <w:b w:val="0"/>
          <w:bCs w:val="0"/>
          <w:sz w:val="20"/>
          <w:szCs w:val="20"/>
        </w:rPr>
        <w:t>duplicate soil blanks</w:t>
      </w:r>
      <w:r w:rsidRPr="00571CE3">
        <w:rPr>
          <w:rFonts w:ascii="Arial" w:hAnsi="Arial" w:cs="Arial"/>
          <w:sz w:val="20"/>
          <w:szCs w:val="20"/>
        </w:rPr>
        <w:t xml:space="preserve"> (without herbicide application) were maintained under identical conditions to serve as controls.</w:t>
      </w:r>
    </w:p>
    <w:p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Soil samples were withdrawn at regular intervals of </w:t>
      </w:r>
      <w:r w:rsidRPr="00571CE3">
        <w:rPr>
          <w:rStyle w:val="Strong"/>
          <w:rFonts w:ascii="Arial" w:eastAsiaTheme="majorEastAsia" w:hAnsi="Arial" w:cs="Arial"/>
          <w:b w:val="0"/>
          <w:bCs w:val="0"/>
          <w:sz w:val="20"/>
          <w:szCs w:val="20"/>
        </w:rPr>
        <w:t>0, 15, 30, 45, 60, 75, 90, 120, and 135 days</w:t>
      </w:r>
      <w:r w:rsidRPr="00571CE3">
        <w:rPr>
          <w:rFonts w:ascii="Arial" w:hAnsi="Arial" w:cs="Arial"/>
          <w:sz w:val="20"/>
          <w:szCs w:val="20"/>
        </w:rPr>
        <w:t xml:space="preserve"> after treatment to determine the </w:t>
      </w:r>
      <w:r w:rsidRPr="00571CE3">
        <w:rPr>
          <w:rStyle w:val="Strong"/>
          <w:rFonts w:ascii="Arial" w:eastAsiaTheme="majorEastAsia" w:hAnsi="Arial" w:cs="Arial"/>
          <w:b w:val="0"/>
          <w:bCs w:val="0"/>
          <w:sz w:val="20"/>
          <w:szCs w:val="20"/>
        </w:rPr>
        <w:t>residual concentration of pyrithiobac-sodium</w:t>
      </w:r>
      <w:r w:rsidRPr="00571CE3">
        <w:rPr>
          <w:rFonts w:ascii="Arial" w:hAnsi="Arial" w:cs="Arial"/>
          <w:sz w:val="20"/>
          <w:szCs w:val="20"/>
        </w:rPr>
        <w:t xml:space="preserve">. </w:t>
      </w:r>
      <w:r w:rsidRPr="00571CE3">
        <w:rPr>
          <w:rFonts w:ascii="Arial" w:hAnsi="Arial" w:cs="Arial"/>
          <w:sz w:val="20"/>
          <w:szCs w:val="20"/>
        </w:rPr>
        <w:lastRenderedPageBreak/>
        <w:t xml:space="preserve">At each sampling, the herbicide residues were extracted and quantified following the </w:t>
      </w:r>
      <w:r w:rsidRPr="00571CE3">
        <w:rPr>
          <w:rStyle w:val="Strong"/>
          <w:rFonts w:ascii="Arial" w:eastAsiaTheme="majorEastAsia" w:hAnsi="Arial" w:cs="Arial"/>
          <w:b w:val="0"/>
          <w:bCs w:val="0"/>
          <w:sz w:val="20"/>
          <w:szCs w:val="20"/>
        </w:rPr>
        <w:t>high-performance liquid chromatography (HPLC–UV) method</w:t>
      </w:r>
      <w:r w:rsidRPr="00571CE3">
        <w:rPr>
          <w:rFonts w:ascii="Arial" w:hAnsi="Arial" w:cs="Arial"/>
          <w:sz w:val="20"/>
          <w:szCs w:val="20"/>
        </w:rPr>
        <w:t xml:space="preserve"> described by </w:t>
      </w:r>
      <w:r w:rsidRPr="00571CE3">
        <w:rPr>
          <w:rStyle w:val="Strong"/>
          <w:rFonts w:ascii="Arial" w:eastAsiaTheme="majorEastAsia" w:hAnsi="Arial" w:cs="Arial"/>
          <w:b w:val="0"/>
          <w:bCs w:val="0"/>
          <w:sz w:val="20"/>
          <w:szCs w:val="20"/>
        </w:rPr>
        <w:t>Sumpter and Peterson (1994)</w:t>
      </w:r>
      <w:r w:rsidRPr="00571CE3">
        <w:rPr>
          <w:rFonts w:ascii="Arial" w:hAnsi="Arial" w:cs="Arial"/>
          <w:sz w:val="20"/>
          <w:szCs w:val="20"/>
        </w:rPr>
        <w:t xml:space="preserve">. The analytical method exhibited a </w:t>
      </w:r>
      <w:r w:rsidRPr="00571CE3">
        <w:rPr>
          <w:rStyle w:val="Strong"/>
          <w:rFonts w:ascii="Arial" w:eastAsiaTheme="majorEastAsia" w:hAnsi="Arial" w:cs="Arial"/>
          <w:b w:val="0"/>
          <w:bCs w:val="0"/>
          <w:sz w:val="20"/>
          <w:szCs w:val="20"/>
        </w:rPr>
        <w:t>limit of detection (LOD) of 0.007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limit of quantification (LOQ) of 0.020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mean recovery</w:t>
      </w:r>
      <w:r w:rsidRPr="00571CE3">
        <w:rPr>
          <w:rFonts w:ascii="Arial" w:hAnsi="Arial" w:cs="Arial"/>
          <w:sz w:val="20"/>
          <w:szCs w:val="20"/>
        </w:rPr>
        <w:t xml:space="preserve"> of pyrithiobac-sodium from soil samples spiked at known concentrations ranged from </w:t>
      </w:r>
      <w:r w:rsidRPr="00571CE3">
        <w:rPr>
          <w:rStyle w:val="Strong"/>
          <w:rFonts w:ascii="Arial" w:eastAsiaTheme="majorEastAsia" w:hAnsi="Arial" w:cs="Arial"/>
          <w:b w:val="0"/>
          <w:bCs w:val="0"/>
          <w:sz w:val="20"/>
          <w:szCs w:val="20"/>
        </w:rPr>
        <w:t>85.2% to 90.6%</w:t>
      </w:r>
      <w:r w:rsidRPr="00571CE3">
        <w:rPr>
          <w:rFonts w:ascii="Arial" w:hAnsi="Arial" w:cs="Arial"/>
          <w:sz w:val="20"/>
          <w:szCs w:val="20"/>
        </w:rPr>
        <w:t xml:space="preserve"> in both red and black soils, confirming the reliability and reproducibility of the analytical procedure.</w:t>
      </w:r>
    </w:p>
    <w:p w:rsidR="00197F3F" w:rsidRPr="00571CE3" w:rsidRDefault="00197F3F" w:rsidP="00197F3F">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t>Kinetic Analysis of Dissipation Data</w:t>
      </w:r>
    </w:p>
    <w:p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The degradation kinetics of </w:t>
      </w:r>
      <w:r w:rsidRPr="00571CE3">
        <w:rPr>
          <w:rStyle w:val="Strong"/>
          <w:rFonts w:ascii="Arial" w:eastAsiaTheme="majorEastAsia" w:hAnsi="Arial" w:cs="Arial"/>
          <w:b w:val="0"/>
          <w:bCs w:val="0"/>
          <w:sz w:val="20"/>
          <w:szCs w:val="20"/>
        </w:rPr>
        <w:t>pyrithiobac-sodium</w:t>
      </w:r>
      <w:r w:rsidRPr="00571CE3">
        <w:rPr>
          <w:rFonts w:ascii="Arial" w:hAnsi="Arial" w:cs="Arial"/>
          <w:sz w:val="20"/>
          <w:szCs w:val="20"/>
        </w:rPr>
        <w:t xml:space="preserve"> in soil were evaluated by fitting the residue data to a </w:t>
      </w:r>
      <w:r w:rsidRPr="00571CE3">
        <w:rPr>
          <w:rStyle w:val="Strong"/>
          <w:rFonts w:ascii="Arial" w:eastAsiaTheme="majorEastAsia" w:hAnsi="Arial" w:cs="Arial"/>
          <w:b w:val="0"/>
          <w:bCs w:val="0"/>
          <w:sz w:val="20"/>
          <w:szCs w:val="20"/>
        </w:rPr>
        <w:t>first-order kinetic model</w:t>
      </w:r>
      <w:r w:rsidRPr="00571CE3">
        <w:rPr>
          <w:rFonts w:ascii="Arial" w:hAnsi="Arial" w:cs="Arial"/>
          <w:sz w:val="20"/>
          <w:szCs w:val="20"/>
        </w:rPr>
        <w:t>, which assumes that the rate of dissipation is directly proportional to the concentration of the herbicide remaining in the soil at a given time. The dissipation process was mathematically expressed by the equation:</w:t>
      </w:r>
    </w:p>
    <w:p w:rsidR="00197F3F" w:rsidRPr="00571CE3" w:rsidRDefault="00197F3F" w:rsidP="00197F3F">
      <w:pPr>
        <w:jc w:val="center"/>
        <w:rPr>
          <w:rFonts w:ascii="Arial" w:hAnsi="Arial" w:cs="Arial"/>
          <w:i/>
        </w:rPr>
      </w:pP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i/>
        </w:rPr>
        <w:t>=C</w:t>
      </w:r>
      <w:r w:rsidRPr="00571CE3">
        <w:rPr>
          <w:rStyle w:val="katex-mathml"/>
          <w:rFonts w:ascii="Arial" w:hAnsi="Arial" w:cs="Arial"/>
          <w:i/>
          <w:vertAlign w:val="subscript"/>
        </w:rPr>
        <w:t>0</w:t>
      </w:r>
      <w:r w:rsidRPr="00571CE3">
        <w:rPr>
          <w:rStyle w:val="katex-mathml"/>
          <w:rFonts w:ascii="Arial" w:hAnsi="Arial" w:cs="Arial"/>
          <w:i/>
        </w:rPr>
        <w:t>e</w:t>
      </w:r>
      <w:r w:rsidRPr="00571CE3">
        <w:rPr>
          <w:rStyle w:val="katex-mathml"/>
          <w:rFonts w:ascii="Arial" w:hAnsi="Arial" w:cs="Arial"/>
          <w:i/>
          <w:vertAlign w:val="superscript"/>
        </w:rPr>
        <w:t>−kt</w:t>
      </w:r>
    </w:p>
    <w:p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where </w:t>
      </w:r>
      <w:r w:rsidRPr="00571CE3">
        <w:rPr>
          <w:rStyle w:val="Emphasis"/>
          <w:rFonts w:ascii="Arial" w:hAnsi="Arial" w:cs="Arial"/>
          <w:sz w:val="20"/>
          <w:szCs w:val="20"/>
        </w:rPr>
        <w:t>C</w:t>
      </w:r>
      <w:r w:rsidRPr="00571CE3">
        <w:rPr>
          <w:rStyle w:val="Emphasis"/>
          <w:rFonts w:ascii="Cambria Math" w:hAnsi="Cambria Math" w:cs="Cambria Math"/>
          <w:sz w:val="20"/>
          <w:szCs w:val="20"/>
        </w:rPr>
        <w:t>₀</w:t>
      </w:r>
      <w:r w:rsidRPr="00571CE3">
        <w:rPr>
          <w:rFonts w:ascii="Arial" w:hAnsi="Arial" w:cs="Arial"/>
          <w:sz w:val="20"/>
          <w:szCs w:val="20"/>
        </w:rPr>
        <w:t xml:space="preserve"> is the initial concentration of pyrithiobac-sodium in the soil (mg kg</w:t>
      </w:r>
      <w:r w:rsidRPr="00571CE3">
        <w:rPr>
          <w:rFonts w:ascii="Cambria Math" w:hAnsi="Cambria Math" w:cs="Cambria Math"/>
          <w:sz w:val="20"/>
          <w:szCs w:val="20"/>
        </w:rPr>
        <w:t>⁻</w:t>
      </w:r>
      <w:r w:rsidRPr="00571CE3">
        <w:rPr>
          <w:rFonts w:ascii="Arial" w:hAnsi="Arial" w:cs="Arial"/>
          <w:sz w:val="20"/>
          <w:szCs w:val="20"/>
        </w:rPr>
        <w:t xml:space="preserve">¹), </w:t>
      </w:r>
      <w:r w:rsidRPr="00571CE3">
        <w:rPr>
          <w:rStyle w:val="Emphasis"/>
          <w:rFonts w:ascii="Arial" w:hAnsi="Arial" w:cs="Arial"/>
          <w:sz w:val="20"/>
          <w:szCs w:val="20"/>
        </w:rPr>
        <w:t>C</w:t>
      </w:r>
      <w:r w:rsidRPr="00571CE3">
        <w:rPr>
          <w:rStyle w:val="Emphasis"/>
          <w:rFonts w:ascii="Cambria Math" w:hAnsi="Cambria Math" w:cs="Cambria Math"/>
          <w:sz w:val="20"/>
          <w:szCs w:val="20"/>
        </w:rPr>
        <w:t>ₜ</w:t>
      </w:r>
      <w:r w:rsidRPr="00571CE3">
        <w:rPr>
          <w:rFonts w:ascii="Arial" w:hAnsi="Arial" w:cs="Arial"/>
          <w:sz w:val="20"/>
          <w:szCs w:val="20"/>
        </w:rPr>
        <w:t xml:space="preserve"> is the concentration remaining at time </w:t>
      </w:r>
      <w:r w:rsidRPr="00571CE3">
        <w:rPr>
          <w:rStyle w:val="Emphasis"/>
          <w:rFonts w:ascii="Arial" w:hAnsi="Arial" w:cs="Arial"/>
          <w:sz w:val="20"/>
          <w:szCs w:val="20"/>
        </w:rPr>
        <w:t>t</w:t>
      </w:r>
      <w:r w:rsidRPr="00571CE3">
        <w:rPr>
          <w:rFonts w:ascii="Arial" w:hAnsi="Arial" w:cs="Arial"/>
          <w:sz w:val="20"/>
          <w:szCs w:val="20"/>
        </w:rPr>
        <w:t xml:space="preserve"> (days), and </w:t>
      </w:r>
      <w:r w:rsidRPr="00571CE3">
        <w:rPr>
          <w:rStyle w:val="Emphasis"/>
          <w:rFonts w:ascii="Arial" w:hAnsi="Arial" w:cs="Arial"/>
          <w:sz w:val="20"/>
          <w:szCs w:val="20"/>
        </w:rPr>
        <w:t>k</w:t>
      </w:r>
      <w:r w:rsidRPr="00571CE3">
        <w:rPr>
          <w:rFonts w:ascii="Arial" w:hAnsi="Arial" w:cs="Arial"/>
          <w:sz w:val="20"/>
          <w:szCs w:val="20"/>
        </w:rPr>
        <w:t xml:space="preserve"> is the </w:t>
      </w:r>
      <w:r w:rsidRPr="00571CE3">
        <w:rPr>
          <w:rStyle w:val="Strong"/>
          <w:rFonts w:ascii="Arial" w:eastAsiaTheme="majorEastAsia" w:hAnsi="Arial" w:cs="Arial"/>
          <w:b w:val="0"/>
          <w:bCs w:val="0"/>
          <w:sz w:val="20"/>
          <w:szCs w:val="20"/>
        </w:rPr>
        <w:t>first-order rate constant</w:t>
      </w:r>
      <w:r w:rsidRPr="00571CE3">
        <w:rPr>
          <w:rFonts w:ascii="Arial" w:hAnsi="Arial" w:cs="Arial"/>
          <w:sz w:val="20"/>
          <w:szCs w:val="20"/>
        </w:rPr>
        <w:t xml:space="preserve"> (day</w:t>
      </w:r>
      <w:r w:rsidRPr="00571CE3">
        <w:rPr>
          <w:rFonts w:ascii="Cambria Math" w:hAnsi="Cambria Math" w:cs="Cambria Math"/>
          <w:sz w:val="20"/>
          <w:szCs w:val="20"/>
        </w:rPr>
        <w:t>⁻</w:t>
      </w:r>
      <w:r w:rsidRPr="00571CE3">
        <w:rPr>
          <w:rFonts w:ascii="Arial" w:hAnsi="Arial" w:cs="Arial"/>
          <w:sz w:val="20"/>
          <w:szCs w:val="20"/>
        </w:rPr>
        <w:t>¹).</w:t>
      </w:r>
    </w:p>
    <w:p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For linearization, the equation was transformed into logarithmic form as:</w:t>
      </w:r>
    </w:p>
    <w:p w:rsidR="00197F3F" w:rsidRPr="00571CE3" w:rsidRDefault="00197F3F" w:rsidP="00197F3F">
      <w:pPr>
        <w:jc w:val="center"/>
        <w:rPr>
          <w:rFonts w:ascii="Arial" w:hAnsi="Arial" w:cs="Arial"/>
        </w:rPr>
      </w:pPr>
      <w:r w:rsidRPr="00571CE3">
        <w:rPr>
          <w:rStyle w:val="katex-mathml"/>
          <w:rFonts w:ascii="Arial" w:hAnsi="Arial" w:cs="Arial"/>
        </w:rPr>
        <w:t xml:space="preserve">log </w:t>
      </w: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rPr>
        <w:t xml:space="preserve"> = log </w:t>
      </w:r>
      <w:r w:rsidRPr="00571CE3">
        <w:rPr>
          <w:rStyle w:val="katex-mathml"/>
          <w:rFonts w:ascii="Arial" w:hAnsi="Arial" w:cs="Arial"/>
          <w:i/>
        </w:rPr>
        <w:t>C</w:t>
      </w:r>
      <w:r w:rsidRPr="00571CE3">
        <w:rPr>
          <w:rStyle w:val="katex-mathml"/>
          <w:rFonts w:ascii="Arial" w:hAnsi="Arial" w:cs="Arial"/>
          <w:i/>
          <w:vertAlign w:val="subscript"/>
        </w:rPr>
        <w:t xml:space="preserve">0 </w:t>
      </w:r>
      <w:r w:rsidRPr="00571CE3">
        <w:rPr>
          <w:rStyle w:val="katex-mathml"/>
          <w:rFonts w:ascii="Arial" w:hAnsi="Arial" w:cs="Arial"/>
        </w:rPr>
        <w:t>− (</w:t>
      </w:r>
      <w:r w:rsidRPr="00571CE3">
        <w:rPr>
          <w:rStyle w:val="katex-mathml"/>
          <w:rFonts w:ascii="Arial" w:hAnsi="Arial" w:cs="Arial"/>
          <w:i/>
        </w:rPr>
        <w:t>k</w:t>
      </w:r>
      <w:r w:rsidRPr="00571CE3">
        <w:rPr>
          <w:rStyle w:val="katex-mathml"/>
          <w:rFonts w:ascii="Arial" w:hAnsi="Arial" w:cs="Arial"/>
          <w:i/>
          <w:vertAlign w:val="subscript"/>
        </w:rPr>
        <w:t>t</w:t>
      </w:r>
      <w:r w:rsidRPr="00571CE3">
        <w:rPr>
          <w:rStyle w:val="katex-mathml"/>
          <w:rFonts w:ascii="Arial" w:hAnsi="Arial" w:cs="Arial"/>
          <w:i/>
        </w:rPr>
        <w:t xml:space="preserve"> /2</w:t>
      </w:r>
      <w:r w:rsidRPr="00571CE3">
        <w:rPr>
          <w:rStyle w:val="katex-mathml"/>
          <w:rFonts w:ascii="Arial" w:hAnsi="Arial" w:cs="Arial"/>
        </w:rPr>
        <w:t>.303)</w:t>
      </w:r>
      <w:r w:rsidRPr="00571CE3">
        <w:rPr>
          <w:rStyle w:val="vlist-s"/>
          <w:rFonts w:ascii="Arial" w:hAnsi="Arial" w:cs="Arial"/>
        </w:rPr>
        <w:t>​</w:t>
      </w:r>
    </w:p>
    <w:p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A plot of </w:t>
      </w:r>
      <w:r w:rsidRPr="00571CE3">
        <w:rPr>
          <w:rStyle w:val="Strong"/>
          <w:rFonts w:ascii="Arial" w:eastAsiaTheme="majorEastAsia" w:hAnsi="Arial" w:cs="Arial"/>
          <w:b w:val="0"/>
          <w:bCs w:val="0"/>
          <w:sz w:val="20"/>
          <w:szCs w:val="20"/>
        </w:rPr>
        <w:t>log(</w:t>
      </w:r>
      <w:r w:rsidRPr="00571CE3">
        <w:rPr>
          <w:rStyle w:val="Strong"/>
          <w:rFonts w:ascii="Arial" w:eastAsiaTheme="majorEastAsia" w:hAnsi="Arial" w:cs="Arial"/>
          <w:b w:val="0"/>
          <w:bCs w:val="0"/>
          <w:i/>
          <w:sz w:val="20"/>
          <w:szCs w:val="20"/>
        </w:rPr>
        <w:t>C</w:t>
      </w:r>
      <w:r w:rsidRPr="00571CE3">
        <w:rPr>
          <w:rStyle w:val="Strong"/>
          <w:rFonts w:ascii="Cambria Math" w:eastAsiaTheme="majorEastAsia" w:hAnsi="Cambria Math" w:cs="Cambria Math"/>
          <w:b w:val="0"/>
          <w:bCs w:val="0"/>
          <w:i/>
          <w:sz w:val="20"/>
          <w:szCs w:val="20"/>
        </w:rPr>
        <w:t>ₜ</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versus </w:t>
      </w:r>
      <w:r w:rsidRPr="00571CE3">
        <w:rPr>
          <w:rStyle w:val="Strong"/>
          <w:rFonts w:ascii="Arial" w:eastAsiaTheme="majorEastAsia" w:hAnsi="Arial" w:cs="Arial"/>
          <w:b w:val="0"/>
          <w:bCs w:val="0"/>
          <w:sz w:val="20"/>
          <w:szCs w:val="20"/>
        </w:rPr>
        <w:t>time (</w:t>
      </w:r>
      <w:r w:rsidRPr="00571CE3">
        <w:rPr>
          <w:rStyle w:val="Strong"/>
          <w:rFonts w:ascii="Arial" w:eastAsiaTheme="majorEastAsia" w:hAnsi="Arial" w:cs="Arial"/>
          <w:b w:val="0"/>
          <w:bCs w:val="0"/>
          <w:i/>
          <w:sz w:val="20"/>
          <w:szCs w:val="20"/>
        </w:rPr>
        <w:t>t</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yielded a straight line, from which the </w:t>
      </w:r>
      <w:r w:rsidRPr="00571CE3">
        <w:rPr>
          <w:rStyle w:val="Strong"/>
          <w:rFonts w:ascii="Arial" w:eastAsiaTheme="majorEastAsia" w:hAnsi="Arial" w:cs="Arial"/>
          <w:b w:val="0"/>
          <w:bCs w:val="0"/>
          <w:sz w:val="20"/>
          <w:szCs w:val="20"/>
        </w:rPr>
        <w:t>slope (-</w:t>
      </w:r>
      <w:r w:rsidRPr="00571CE3">
        <w:rPr>
          <w:rStyle w:val="Strong"/>
          <w:rFonts w:ascii="Arial" w:eastAsiaTheme="majorEastAsia" w:hAnsi="Arial" w:cs="Arial"/>
          <w:b w:val="0"/>
          <w:bCs w:val="0"/>
          <w:i/>
          <w:sz w:val="20"/>
          <w:szCs w:val="20"/>
        </w:rPr>
        <w:t>k/2.303</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was used to calculate the degradation rate constant (</w:t>
      </w:r>
      <w:r w:rsidRPr="00571CE3">
        <w:rPr>
          <w:rStyle w:val="Emphasis"/>
          <w:rFonts w:ascii="Arial" w:hAnsi="Arial" w:cs="Arial"/>
          <w:sz w:val="20"/>
          <w:szCs w:val="20"/>
        </w:rPr>
        <w:t>k</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half-life (</w:t>
      </w:r>
      <w:r w:rsidRPr="00571CE3">
        <w:rPr>
          <w:rStyle w:val="Strong"/>
          <w:rFonts w:ascii="Arial" w:eastAsiaTheme="majorEastAsia" w:hAnsi="Arial" w:cs="Arial"/>
          <w:b w:val="0"/>
          <w:bCs w:val="0"/>
          <w:i/>
          <w:sz w:val="20"/>
          <w:szCs w:val="20"/>
        </w:rPr>
        <w:t>DT</w:t>
      </w:r>
      <w:r w:rsidRPr="00571CE3">
        <w:rPr>
          <w:rStyle w:val="Strong"/>
          <w:rFonts w:ascii="Cambria Math" w:eastAsiaTheme="majorEastAsia" w:hAnsi="Cambria Math" w:cs="Cambria Math"/>
          <w:b w:val="0"/>
          <w:bCs w:val="0"/>
          <w:i/>
          <w:sz w:val="20"/>
          <w:szCs w:val="20"/>
        </w:rPr>
        <w:t>₅₀</w:t>
      </w:r>
      <w:r w:rsidRPr="00571CE3">
        <w:rPr>
          <w:rStyle w:val="Strong"/>
          <w:rFonts w:ascii="Arial" w:eastAsiaTheme="majorEastAsia" w:hAnsi="Arial" w:cs="Arial"/>
          <w:b w:val="0"/>
          <w:bCs w:val="0"/>
          <w:sz w:val="20"/>
          <w:szCs w:val="20"/>
        </w:rPr>
        <w:t>)</w:t>
      </w:r>
      <w:r w:rsidRPr="00571CE3">
        <w:rPr>
          <w:rFonts w:ascii="Arial" w:hAnsi="Arial" w:cs="Arial"/>
          <w:sz w:val="20"/>
          <w:szCs w:val="20"/>
        </w:rPr>
        <w:t>, representing the time required for 50% dissipation of the initial concentration, was computed using the relationship:</w:t>
      </w:r>
    </w:p>
    <w:p w:rsidR="00197F3F" w:rsidRPr="00571CE3" w:rsidRDefault="00197F3F" w:rsidP="00197F3F">
      <w:pPr>
        <w:jc w:val="center"/>
        <w:rPr>
          <w:rFonts w:ascii="Arial" w:hAnsi="Arial" w:cs="Arial"/>
        </w:rPr>
      </w:pPr>
      <w:r w:rsidRPr="00571CE3">
        <w:rPr>
          <w:rStyle w:val="katex-mathml"/>
          <w:rFonts w:ascii="Arial" w:hAnsi="Arial" w:cs="Arial"/>
          <w:i/>
        </w:rPr>
        <w:t>DT</w:t>
      </w:r>
      <w:r w:rsidRPr="00571CE3">
        <w:rPr>
          <w:rStyle w:val="katex-mathml"/>
          <w:rFonts w:ascii="Arial" w:hAnsi="Arial" w:cs="Arial"/>
          <w:i/>
          <w:vertAlign w:val="subscript"/>
        </w:rPr>
        <w:t xml:space="preserve">50 </w:t>
      </w:r>
      <w:r w:rsidRPr="00571CE3">
        <w:rPr>
          <w:rStyle w:val="katex-mathml"/>
          <w:rFonts w:ascii="Arial" w:hAnsi="Arial" w:cs="Arial"/>
        </w:rPr>
        <w:t>= 0.693/</w:t>
      </w:r>
      <w:r w:rsidRPr="00571CE3">
        <w:rPr>
          <w:rStyle w:val="katex-mathml"/>
          <w:rFonts w:ascii="Arial" w:hAnsi="Arial" w:cs="Arial"/>
          <w:i/>
        </w:rPr>
        <w:t>k</w:t>
      </w:r>
      <w:r w:rsidRPr="00571CE3">
        <w:rPr>
          <w:rStyle w:val="vlist-s"/>
          <w:rFonts w:ascii="Arial" w:hAnsi="Arial" w:cs="Arial"/>
        </w:rPr>
        <w:t>​</w:t>
      </w:r>
    </w:p>
    <w:p w:rsidR="00790ADA"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goodness of fit of the model was evaluated using the </w:t>
      </w:r>
      <w:r w:rsidRPr="00571CE3">
        <w:rPr>
          <w:rStyle w:val="Strong"/>
          <w:rFonts w:ascii="Arial" w:eastAsiaTheme="majorEastAsia" w:hAnsi="Arial" w:cs="Arial"/>
          <w:b w:val="0"/>
          <w:bCs w:val="0"/>
          <w:sz w:val="20"/>
          <w:szCs w:val="20"/>
        </w:rPr>
        <w:t>coefficient of determination (R²)</w:t>
      </w:r>
      <w:r w:rsidRPr="00571CE3">
        <w:rPr>
          <w:rFonts w:ascii="Arial" w:hAnsi="Arial" w:cs="Arial"/>
          <w:sz w:val="20"/>
          <w:szCs w:val="20"/>
        </w:rPr>
        <w:t xml:space="preserve">, and only those regressions with R² values above </w:t>
      </w:r>
      <w:r w:rsidRPr="00571CE3">
        <w:rPr>
          <w:rStyle w:val="Strong"/>
          <w:rFonts w:ascii="Arial" w:eastAsiaTheme="majorEastAsia" w:hAnsi="Arial" w:cs="Arial"/>
          <w:b w:val="0"/>
          <w:bCs w:val="0"/>
          <w:sz w:val="20"/>
          <w:szCs w:val="20"/>
        </w:rPr>
        <w:t>0.90</w:t>
      </w:r>
      <w:r w:rsidRPr="00571CE3">
        <w:rPr>
          <w:rFonts w:ascii="Arial" w:hAnsi="Arial" w:cs="Arial"/>
          <w:sz w:val="20"/>
          <w:szCs w:val="20"/>
        </w:rPr>
        <w:t xml:space="preserve"> were considered statistically acceptable. Comparative evaluation of </w:t>
      </w:r>
      <w:r w:rsidRPr="00571CE3">
        <w:rPr>
          <w:rStyle w:val="Emphasis"/>
          <w:rFonts w:ascii="Arial" w:hAnsi="Arial" w:cs="Arial"/>
          <w:sz w:val="20"/>
          <w:szCs w:val="20"/>
        </w:rPr>
        <w:t>k</w:t>
      </w:r>
      <w:r w:rsidRPr="00571CE3">
        <w:rPr>
          <w:rFonts w:ascii="Arial" w:hAnsi="Arial" w:cs="Arial"/>
          <w:sz w:val="20"/>
          <w:szCs w:val="20"/>
        </w:rPr>
        <w:t xml:space="preserve"> and </w:t>
      </w:r>
      <w:r w:rsidRPr="00571CE3">
        <w:rPr>
          <w:rStyle w:val="Emphasis"/>
          <w:rFonts w:ascii="Arial" w:hAnsi="Arial" w:cs="Arial"/>
          <w:sz w:val="20"/>
          <w:szCs w:val="20"/>
        </w:rPr>
        <w:t>DT</w:t>
      </w:r>
      <w:r w:rsidRPr="00571CE3">
        <w:rPr>
          <w:rStyle w:val="Emphasis"/>
          <w:rFonts w:ascii="Cambria Math" w:hAnsi="Cambria Math" w:cs="Cambria Math"/>
          <w:sz w:val="20"/>
          <w:szCs w:val="20"/>
        </w:rPr>
        <w:t>₅₀</w:t>
      </w:r>
      <w:r w:rsidRPr="00571CE3">
        <w:rPr>
          <w:rFonts w:ascii="Arial" w:hAnsi="Arial" w:cs="Arial"/>
          <w:sz w:val="20"/>
          <w:szCs w:val="20"/>
        </w:rPr>
        <w:t xml:space="preserve"> values under different soil types (red and black) and moisture regimes (field capacity and 50% field capacity) provided insights into the influence of </w:t>
      </w:r>
      <w:r w:rsidRPr="00571CE3">
        <w:rPr>
          <w:rStyle w:val="Strong"/>
          <w:rFonts w:ascii="Arial" w:eastAsiaTheme="majorEastAsia" w:hAnsi="Arial" w:cs="Arial"/>
          <w:b w:val="0"/>
          <w:bCs w:val="0"/>
          <w:sz w:val="20"/>
          <w:szCs w:val="20"/>
        </w:rPr>
        <w:t>soil properties and moisture content</w:t>
      </w:r>
      <w:r w:rsidRPr="00571CE3">
        <w:rPr>
          <w:rFonts w:ascii="Arial" w:hAnsi="Arial" w:cs="Arial"/>
          <w:sz w:val="20"/>
          <w:szCs w:val="20"/>
        </w:rPr>
        <w:t xml:space="preserve"> on the dissipation dynamics of pyrithiobac-sodium.</w:t>
      </w:r>
    </w:p>
    <w:p w:rsidR="00902823" w:rsidRPr="00571CE3" w:rsidRDefault="00000F8F" w:rsidP="00441B6F">
      <w:pPr>
        <w:pStyle w:val="Head1"/>
        <w:spacing w:after="0"/>
        <w:jc w:val="both"/>
        <w:rPr>
          <w:rFonts w:ascii="Arial" w:hAnsi="Arial" w:cs="Arial"/>
          <w:sz w:val="20"/>
        </w:rPr>
      </w:pPr>
      <w:r w:rsidRPr="00571CE3">
        <w:rPr>
          <w:rFonts w:ascii="Arial" w:hAnsi="Arial" w:cs="Arial"/>
          <w:sz w:val="20"/>
        </w:rPr>
        <w:t>3</w:t>
      </w:r>
      <w:r w:rsidR="00902823" w:rsidRPr="00571CE3">
        <w:rPr>
          <w:rFonts w:ascii="Arial" w:hAnsi="Arial" w:cs="Arial"/>
          <w:sz w:val="20"/>
        </w:rPr>
        <w:t xml:space="preserve">. </w:t>
      </w:r>
      <w:r w:rsidRPr="00571CE3">
        <w:rPr>
          <w:rFonts w:ascii="Arial" w:hAnsi="Arial" w:cs="Arial"/>
          <w:sz w:val="20"/>
        </w:rPr>
        <w:t>results and discussion</w:t>
      </w:r>
    </w:p>
    <w:p w:rsidR="00790ADA" w:rsidRPr="00571CE3" w:rsidRDefault="00790ADA" w:rsidP="00441B6F">
      <w:pPr>
        <w:pStyle w:val="Head1"/>
        <w:spacing w:after="0"/>
        <w:jc w:val="both"/>
        <w:rPr>
          <w:rFonts w:ascii="Arial" w:hAnsi="Arial" w:cs="Arial"/>
          <w:sz w:val="20"/>
        </w:rPr>
      </w:pPr>
    </w:p>
    <w:p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red soil</w:t>
      </w:r>
      <w:r w:rsidRPr="00571CE3">
        <w:rPr>
          <w:rFonts w:ascii="Arial" w:hAnsi="Arial" w:cs="Arial"/>
          <w:sz w:val="20"/>
          <w:szCs w:val="20"/>
        </w:rPr>
        <w:t xml:space="preserve"> was neutral in reaction (pH ~7.0) with </w:t>
      </w:r>
      <w:r w:rsidRPr="00571CE3">
        <w:rPr>
          <w:rStyle w:val="Strong"/>
          <w:rFonts w:ascii="Arial" w:eastAsiaTheme="majorEastAsia"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eastAsiaTheme="majorEastAsia" w:hAnsi="Arial" w:cs="Arial"/>
          <w:b w:val="0"/>
          <w:bCs w:val="0"/>
          <w:sz w:val="20"/>
          <w:szCs w:val="20"/>
        </w:rPr>
        <w:t>15.91 cmol(p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eastAsiaTheme="majorEastAsia" w:hAnsi="Arial" w:cs="Arial"/>
          <w:b w:val="0"/>
          <w:bCs w:val="0"/>
          <w:sz w:val="20"/>
          <w:szCs w:val="20"/>
        </w:rPr>
        <w:t>black soil</w:t>
      </w:r>
      <w:r w:rsidRPr="00571CE3">
        <w:rPr>
          <w:rFonts w:ascii="Arial" w:hAnsi="Arial" w:cs="Arial"/>
          <w:sz w:val="20"/>
          <w:szCs w:val="20"/>
        </w:rPr>
        <w:t xml:space="preserve"> was </w:t>
      </w:r>
      <w:r w:rsidRPr="00571CE3">
        <w:rPr>
          <w:rStyle w:val="Strong"/>
          <w:rFonts w:ascii="Arial" w:eastAsiaTheme="majorEastAsia" w:hAnsi="Arial" w:cs="Arial"/>
          <w:b w:val="0"/>
          <w:bCs w:val="0"/>
          <w:sz w:val="20"/>
          <w:szCs w:val="20"/>
        </w:rPr>
        <w:t>slightly alkaline (pH ~7.8)</w:t>
      </w:r>
      <w:r w:rsidRPr="00571CE3">
        <w:rPr>
          <w:rFonts w:ascii="Arial" w:hAnsi="Arial" w:cs="Arial"/>
          <w:sz w:val="20"/>
          <w:szCs w:val="20"/>
        </w:rPr>
        <w:t xml:space="preserve">, with </w:t>
      </w:r>
      <w:r w:rsidRPr="00571CE3">
        <w:rPr>
          <w:rStyle w:val="Strong"/>
          <w:rFonts w:ascii="Arial" w:eastAsiaTheme="majorEastAsia" w:hAnsi="Arial" w:cs="Arial"/>
          <w:b w:val="0"/>
          <w:bCs w:val="0"/>
          <w:sz w:val="20"/>
          <w:szCs w:val="20"/>
        </w:rPr>
        <w:t>higher clay content</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medium organic carbon status</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CEC of 24.2 cmol(p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These inherent variations in soil properties significantly influenced the </w:t>
      </w:r>
      <w:r w:rsidRPr="00571CE3">
        <w:rPr>
          <w:rStyle w:val="Strong"/>
          <w:rFonts w:ascii="Arial" w:eastAsiaTheme="majorEastAsia" w:hAnsi="Arial" w:cs="Arial"/>
          <w:b w:val="0"/>
          <w:bCs w:val="0"/>
          <w:sz w:val="20"/>
          <w:szCs w:val="20"/>
        </w:rPr>
        <w:t>extent of pyrithiobac-sodium dissipation</w:t>
      </w:r>
      <w:r w:rsidRPr="00571CE3">
        <w:rPr>
          <w:rFonts w:ascii="Arial" w:hAnsi="Arial" w:cs="Arial"/>
          <w:sz w:val="20"/>
          <w:szCs w:val="20"/>
        </w:rPr>
        <w:t>.</w:t>
      </w:r>
    </w:p>
    <w:p w:rsidR="00381209" w:rsidRPr="00571CE3" w:rsidRDefault="00381209" w:rsidP="00381209">
      <w:pPr>
        <w:jc w:val="both"/>
        <w:rPr>
          <w:rFonts w:ascii="Arial" w:hAnsi="Arial" w:cs="Arial"/>
          <w:b/>
          <w:bCs/>
        </w:rPr>
      </w:pPr>
      <w:r w:rsidRPr="00571CE3">
        <w:rPr>
          <w:rFonts w:ascii="Arial" w:hAnsi="Arial" w:cs="Arial"/>
          <w:b/>
          <w:bCs/>
        </w:rPr>
        <w:t>Physico-chemical properties of the selected soil samples</w:t>
      </w:r>
    </w:p>
    <w:p w:rsidR="00381209" w:rsidRPr="00571CE3" w:rsidRDefault="00381209" w:rsidP="00381209">
      <w:pPr>
        <w:jc w:val="both"/>
        <w:rPr>
          <w:rFonts w:ascii="Arial" w:hAnsi="Arial" w:cs="Arial"/>
          <w:b/>
          <w:bCs/>
        </w:rPr>
      </w:pPr>
    </w:p>
    <w:tbl>
      <w:tblPr>
        <w:tblStyle w:val="TableGrid"/>
        <w:tblW w:w="6198" w:type="dxa"/>
        <w:jc w:val="center"/>
        <w:tblLook w:val="04A0"/>
      </w:tblPr>
      <w:tblGrid>
        <w:gridCol w:w="2906"/>
        <w:gridCol w:w="1177"/>
        <w:gridCol w:w="2115"/>
      </w:tblGrid>
      <w:tr w:rsidR="00381209" w:rsidRPr="00571CE3" w:rsidTr="00571633">
        <w:trPr>
          <w:trHeight w:val="300"/>
          <w:jc w:val="center"/>
        </w:trPr>
        <w:tc>
          <w:tcPr>
            <w:tcW w:w="2906" w:type="dxa"/>
            <w:noWrap/>
          </w:tcPr>
          <w:p w:rsidR="00381209" w:rsidRPr="00571CE3" w:rsidRDefault="00381209" w:rsidP="00381209">
            <w:pPr>
              <w:jc w:val="both"/>
              <w:rPr>
                <w:rFonts w:ascii="Arial" w:hAnsi="Arial" w:cs="Arial"/>
                <w:sz w:val="20"/>
                <w:szCs w:val="20"/>
                <w:lang w:bidi="hi-IN"/>
              </w:rPr>
            </w:pPr>
            <w:r w:rsidRPr="00D86267">
              <w:rPr>
                <w:rFonts w:ascii="Arial" w:hAnsi="Arial" w:cs="Arial"/>
                <w:strike/>
                <w:color w:val="FF0000"/>
                <w:sz w:val="20"/>
                <w:szCs w:val="20"/>
                <w:lang w:bidi="hi-IN"/>
              </w:rPr>
              <w:t>Adsorption</w:t>
            </w:r>
            <w:r w:rsidRPr="00571CE3">
              <w:rPr>
                <w:rFonts w:ascii="Arial" w:hAnsi="Arial" w:cs="Arial"/>
                <w:sz w:val="20"/>
                <w:szCs w:val="20"/>
                <w:lang w:bidi="hi-IN"/>
              </w:rPr>
              <w:t xml:space="preserve"> parameter</w:t>
            </w:r>
          </w:p>
        </w:tc>
        <w:tc>
          <w:tcPr>
            <w:tcW w:w="1177" w:type="dxa"/>
            <w:noWrap/>
          </w:tcPr>
          <w:p w:rsidR="00381209" w:rsidRPr="00571CE3" w:rsidRDefault="00381209" w:rsidP="00381209">
            <w:pPr>
              <w:jc w:val="both"/>
              <w:rPr>
                <w:rFonts w:ascii="Arial" w:hAnsi="Arial" w:cs="Arial"/>
                <w:sz w:val="20"/>
                <w:szCs w:val="20"/>
              </w:rPr>
            </w:pPr>
            <w:r w:rsidRPr="00571CE3">
              <w:rPr>
                <w:rFonts w:ascii="Arial" w:hAnsi="Arial" w:cs="Arial"/>
                <w:sz w:val="20"/>
                <w:szCs w:val="20"/>
              </w:rPr>
              <w:t>Red soil</w:t>
            </w:r>
          </w:p>
        </w:tc>
        <w:tc>
          <w:tcPr>
            <w:tcW w:w="211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Black soil</w:t>
            </w:r>
          </w:p>
        </w:tc>
      </w:tr>
      <w:tr w:rsidR="00381209" w:rsidRPr="00571CE3" w:rsidTr="00571633">
        <w:trPr>
          <w:trHeight w:val="300"/>
          <w:jc w:val="center"/>
        </w:trPr>
        <w:tc>
          <w:tcPr>
            <w:tcW w:w="2906"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lastRenderedPageBreak/>
              <w:t>pH</w:t>
            </w:r>
          </w:p>
        </w:tc>
        <w:tc>
          <w:tcPr>
            <w:tcW w:w="1177"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6.72</w:t>
            </w:r>
          </w:p>
        </w:tc>
        <w:tc>
          <w:tcPr>
            <w:tcW w:w="2115" w:type="dxa"/>
          </w:tcPr>
          <w:p w:rsidR="00381209" w:rsidRPr="00571CE3" w:rsidRDefault="00381209" w:rsidP="00381209">
            <w:pPr>
              <w:ind w:left="747" w:hanging="747"/>
              <w:jc w:val="both"/>
              <w:rPr>
                <w:rFonts w:ascii="Arial" w:eastAsiaTheme="minorEastAsia" w:hAnsi="Arial" w:cs="Arial"/>
                <w:sz w:val="20"/>
                <w:szCs w:val="20"/>
                <w:lang w:bidi="hi-IN"/>
              </w:rPr>
            </w:pPr>
            <w:r w:rsidRPr="00571CE3">
              <w:rPr>
                <w:rFonts w:ascii="Arial" w:eastAsiaTheme="minorEastAsia" w:hAnsi="Arial" w:cs="Arial"/>
                <w:sz w:val="20"/>
                <w:szCs w:val="20"/>
                <w:lang w:bidi="hi-IN"/>
              </w:rPr>
              <w:t>7.58</w:t>
            </w:r>
          </w:p>
        </w:tc>
      </w:tr>
      <w:tr w:rsidR="00381209" w:rsidRPr="00571CE3" w:rsidTr="00571633">
        <w:trPr>
          <w:trHeight w:val="300"/>
          <w:jc w:val="center"/>
        </w:trPr>
        <w:tc>
          <w:tcPr>
            <w:tcW w:w="2906"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rPr>
              <w:t>CEC (C mol (p</w:t>
            </w:r>
            <w:r w:rsidRPr="00571CE3">
              <w:rPr>
                <w:rFonts w:ascii="Arial" w:hAnsi="Arial" w:cs="Arial"/>
                <w:sz w:val="20"/>
                <w:szCs w:val="20"/>
                <w:vertAlign w:val="superscript"/>
              </w:rPr>
              <w:t>+</w:t>
            </w:r>
            <w:r w:rsidRPr="00571CE3">
              <w:rPr>
                <w:rFonts w:ascii="Arial" w:hAnsi="Arial" w:cs="Arial"/>
                <w:sz w:val="20"/>
                <w:szCs w:val="20"/>
              </w:rPr>
              <w:t>)/kg</w:t>
            </w:r>
            <w:r w:rsidRPr="00571CE3">
              <w:rPr>
                <w:rFonts w:ascii="Arial" w:hAnsi="Arial" w:cs="Arial"/>
                <w:sz w:val="20"/>
                <w:szCs w:val="20"/>
                <w:lang w:bidi="hi-IN"/>
              </w:rPr>
              <w:t xml:space="preserve"> )</w:t>
            </w:r>
          </w:p>
        </w:tc>
        <w:tc>
          <w:tcPr>
            <w:tcW w:w="1177"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17.82</w:t>
            </w:r>
          </w:p>
        </w:tc>
        <w:tc>
          <w:tcPr>
            <w:tcW w:w="2115" w:type="dxa"/>
          </w:tcPr>
          <w:p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23.18</w:t>
            </w:r>
          </w:p>
        </w:tc>
      </w:tr>
      <w:tr w:rsidR="00381209" w:rsidRPr="00571CE3" w:rsidTr="00571633">
        <w:trPr>
          <w:trHeight w:val="300"/>
          <w:jc w:val="center"/>
        </w:trPr>
        <w:tc>
          <w:tcPr>
            <w:tcW w:w="2906" w:type="dxa"/>
            <w:noWrap/>
            <w:hideMark/>
          </w:tcPr>
          <w:p w:rsidR="00381209" w:rsidRPr="00571CE3" w:rsidRDefault="00381209" w:rsidP="00381209">
            <w:pPr>
              <w:jc w:val="both"/>
              <w:rPr>
                <w:rFonts w:ascii="Arial" w:hAnsi="Arial" w:cs="Arial"/>
                <w:sz w:val="20"/>
                <w:szCs w:val="20"/>
              </w:rPr>
            </w:pPr>
            <w:r w:rsidRPr="00571CE3">
              <w:rPr>
                <w:rFonts w:ascii="Arial" w:hAnsi="Arial" w:cs="Arial"/>
                <w:sz w:val="20"/>
                <w:szCs w:val="20"/>
                <w:lang w:bidi="hi-IN"/>
              </w:rPr>
              <w:t>Organic carbon (%)</w:t>
            </w:r>
          </w:p>
        </w:tc>
        <w:tc>
          <w:tcPr>
            <w:tcW w:w="1177" w:type="dxa"/>
            <w:noWrap/>
            <w:hideMark/>
          </w:tcPr>
          <w:p w:rsidR="00381209" w:rsidRPr="00571CE3" w:rsidRDefault="00381209" w:rsidP="00381209">
            <w:pPr>
              <w:jc w:val="both"/>
              <w:rPr>
                <w:rFonts w:ascii="Arial" w:hAnsi="Arial" w:cs="Arial"/>
                <w:sz w:val="20"/>
                <w:szCs w:val="20"/>
              </w:rPr>
            </w:pPr>
            <w:r w:rsidRPr="00571CE3">
              <w:rPr>
                <w:rFonts w:ascii="Arial" w:hAnsi="Arial" w:cs="Arial"/>
                <w:sz w:val="20"/>
                <w:szCs w:val="20"/>
              </w:rPr>
              <w:t>0.39</w:t>
            </w:r>
          </w:p>
        </w:tc>
        <w:tc>
          <w:tcPr>
            <w:tcW w:w="211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0.44</w:t>
            </w:r>
          </w:p>
        </w:tc>
      </w:tr>
      <w:tr w:rsidR="00381209" w:rsidRPr="00571CE3" w:rsidTr="00571633">
        <w:trPr>
          <w:trHeight w:val="300"/>
          <w:jc w:val="center"/>
        </w:trPr>
        <w:tc>
          <w:tcPr>
            <w:tcW w:w="2906"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Clay (%)</w:t>
            </w:r>
          </w:p>
        </w:tc>
        <w:tc>
          <w:tcPr>
            <w:tcW w:w="1177"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20.2</w:t>
            </w:r>
          </w:p>
        </w:tc>
        <w:tc>
          <w:tcPr>
            <w:tcW w:w="2115" w:type="dxa"/>
          </w:tcPr>
          <w:p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34.5</w:t>
            </w:r>
          </w:p>
        </w:tc>
      </w:tr>
      <w:tr w:rsidR="00381209" w:rsidRPr="00571CE3" w:rsidTr="00571633">
        <w:trPr>
          <w:trHeight w:val="300"/>
          <w:jc w:val="center"/>
        </w:trPr>
        <w:tc>
          <w:tcPr>
            <w:tcW w:w="2906"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Silt (%)</w:t>
            </w:r>
          </w:p>
        </w:tc>
        <w:tc>
          <w:tcPr>
            <w:tcW w:w="1177"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14.2</w:t>
            </w:r>
          </w:p>
        </w:tc>
        <w:tc>
          <w:tcPr>
            <w:tcW w:w="2115" w:type="dxa"/>
          </w:tcPr>
          <w:p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18.5</w:t>
            </w:r>
          </w:p>
        </w:tc>
      </w:tr>
      <w:tr w:rsidR="00381209" w:rsidRPr="00571CE3" w:rsidTr="00571633">
        <w:trPr>
          <w:trHeight w:val="300"/>
          <w:jc w:val="center"/>
        </w:trPr>
        <w:tc>
          <w:tcPr>
            <w:tcW w:w="2906"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Sand (%)</w:t>
            </w:r>
          </w:p>
        </w:tc>
        <w:tc>
          <w:tcPr>
            <w:tcW w:w="1177" w:type="dxa"/>
            <w:noWrap/>
            <w:hideMark/>
          </w:tcPr>
          <w:p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65.6</w:t>
            </w:r>
          </w:p>
        </w:tc>
        <w:tc>
          <w:tcPr>
            <w:tcW w:w="2115" w:type="dxa"/>
          </w:tcPr>
          <w:p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47.0</w:t>
            </w:r>
          </w:p>
        </w:tc>
      </w:tr>
    </w:tbl>
    <w:p w:rsidR="00381209" w:rsidRPr="00571CE3" w:rsidRDefault="00381209" w:rsidP="00381209">
      <w:pPr>
        <w:pStyle w:val="NormalWeb"/>
        <w:jc w:val="both"/>
        <w:rPr>
          <w:rFonts w:ascii="Arial" w:hAnsi="Arial" w:cs="Arial"/>
          <w:color w:val="FF0000"/>
          <w:sz w:val="20"/>
          <w:szCs w:val="20"/>
        </w:rPr>
      </w:pPr>
    </w:p>
    <w:p w:rsidR="00381209" w:rsidRPr="00571CE3" w:rsidRDefault="00381209" w:rsidP="00381209">
      <w:pPr>
        <w:pStyle w:val="Heading2"/>
        <w:jc w:val="both"/>
        <w:rPr>
          <w:rFonts w:ascii="Arial" w:hAnsi="Arial" w:cs="Arial"/>
          <w:color w:val="auto"/>
          <w:sz w:val="22"/>
          <w:szCs w:val="22"/>
        </w:rPr>
      </w:pPr>
      <w:r w:rsidRPr="00571CE3">
        <w:rPr>
          <w:rStyle w:val="Strong"/>
          <w:rFonts w:ascii="Arial" w:hAnsi="Arial" w:cs="Arial"/>
          <w:color w:val="auto"/>
          <w:sz w:val="22"/>
          <w:szCs w:val="22"/>
        </w:rPr>
        <w:t>Dissipation behaviour of Pyrithiobac-Sodium in Soils</w:t>
      </w:r>
    </w:p>
    <w:p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amount of pyrithiobac-sodium extractable from soil at different incubation periods is presented in Table 1 and 2. The </w:t>
      </w:r>
      <w:r w:rsidRPr="00571CE3">
        <w:rPr>
          <w:rStyle w:val="Strong"/>
          <w:rFonts w:ascii="Arial" w:hAnsi="Arial" w:cs="Arial"/>
          <w:b w:val="0"/>
          <w:bCs w:val="0"/>
          <w:sz w:val="20"/>
          <w:szCs w:val="20"/>
        </w:rPr>
        <w:t>initial detected amount (IDA)</w:t>
      </w:r>
      <w:r w:rsidRPr="00571CE3">
        <w:rPr>
          <w:rFonts w:ascii="Arial" w:hAnsi="Arial" w:cs="Arial"/>
          <w:sz w:val="20"/>
          <w:szCs w:val="20"/>
        </w:rPr>
        <w:t xml:space="preserve"> of pyrithiobac-sodium, estimated two hours after application, was </w:t>
      </w:r>
      <w:r w:rsidRPr="00571CE3">
        <w:rPr>
          <w:rStyle w:val="Strong"/>
          <w:rFonts w:ascii="Arial" w:hAnsi="Arial" w:cs="Arial"/>
          <w:b w:val="0"/>
          <w:bCs w:val="0"/>
          <w:sz w:val="20"/>
          <w:szCs w:val="20"/>
        </w:rPr>
        <w:t>93.21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90.21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91.12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92.21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w:t>
      </w:r>
      <w:r w:rsidRPr="00571CE3">
        <w:rPr>
          <w:rStyle w:val="Strong"/>
          <w:rFonts w:ascii="Arial" w:hAnsi="Arial" w:cs="Arial"/>
          <w:b w:val="0"/>
          <w:bCs w:val="0"/>
          <w:sz w:val="20"/>
          <w:szCs w:val="20"/>
        </w:rPr>
        <w:t>field capacity (FC)</w:t>
      </w:r>
      <w:r w:rsidRPr="00571CE3">
        <w:rPr>
          <w:rFonts w:ascii="Arial" w:hAnsi="Arial" w:cs="Arial"/>
          <w:sz w:val="20"/>
          <w:szCs w:val="20"/>
        </w:rPr>
        <w:t xml:space="preserve"> and </w:t>
      </w:r>
      <w:r w:rsidRPr="00571CE3">
        <w:rPr>
          <w:rStyle w:val="Strong"/>
          <w:rFonts w:ascii="Arial" w:hAnsi="Arial" w:cs="Arial"/>
          <w:b w:val="0"/>
          <w:bCs w:val="0"/>
          <w:sz w:val="20"/>
          <w:szCs w:val="20"/>
        </w:rPr>
        <w:t>50 % field capacity (FC</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respectively. Dissipation of pyrithiobac-sodium was monitored up to </w:t>
      </w:r>
      <w:r w:rsidRPr="00571CE3">
        <w:rPr>
          <w:rStyle w:val="Strong"/>
          <w:rFonts w:ascii="Arial" w:hAnsi="Arial" w:cs="Arial"/>
          <w:b w:val="0"/>
          <w:bCs w:val="0"/>
          <w:sz w:val="20"/>
          <w:szCs w:val="20"/>
        </w:rPr>
        <w:t>135 days after incubation (DAI)</w:t>
      </w:r>
      <w:r w:rsidRPr="00571CE3">
        <w:rPr>
          <w:rFonts w:ascii="Arial" w:hAnsi="Arial" w:cs="Arial"/>
          <w:sz w:val="20"/>
          <w:szCs w:val="20"/>
        </w:rPr>
        <w:t xml:space="preserve">. By the end of the incubation period, the extractable residues decreased substantially, with residual concentrations ranging from </w:t>
      </w:r>
      <w:r w:rsidRPr="00571CE3">
        <w:rPr>
          <w:rStyle w:val="Strong"/>
          <w:rFonts w:ascii="Arial" w:hAnsi="Arial" w:cs="Arial"/>
          <w:b w:val="0"/>
          <w:bCs w:val="0"/>
          <w:sz w:val="20"/>
          <w:szCs w:val="20"/>
        </w:rPr>
        <w:t>15.21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14.32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15.87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14.54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FC and FC</w:t>
      </w:r>
      <w:r w:rsidRPr="00571CE3">
        <w:rPr>
          <w:rFonts w:ascii="Cambria Math" w:hAnsi="Cambria Math" w:cs="Cambria Math"/>
          <w:sz w:val="20"/>
          <w:szCs w:val="20"/>
        </w:rPr>
        <w:t>₅₀</w:t>
      </w:r>
      <w:r w:rsidRPr="00571CE3">
        <w:rPr>
          <w:rFonts w:ascii="Arial" w:hAnsi="Arial" w:cs="Arial"/>
          <w:sz w:val="20"/>
          <w:szCs w:val="20"/>
        </w:rPr>
        <w:t>, respectively.</w:t>
      </w:r>
    </w:p>
    <w:p w:rsidR="00213B6E" w:rsidRDefault="00381209" w:rsidP="00213B6E">
      <w:pPr>
        <w:spacing w:line="259" w:lineRule="auto"/>
        <w:jc w:val="both"/>
        <w:rPr>
          <w:rFonts w:ascii="Arial" w:hAnsi="Arial" w:cs="Arial"/>
          <w:b/>
          <w:bCs/>
        </w:rPr>
      </w:pPr>
      <w:r w:rsidRPr="00571CE3">
        <w:rPr>
          <w:rFonts w:ascii="Arial" w:hAnsi="Arial" w:cs="Arial"/>
          <w:b/>
          <w:bCs/>
        </w:rPr>
        <w:t>Table</w:t>
      </w:r>
      <w:r w:rsidR="0043463D" w:rsidRPr="00571CE3">
        <w:rPr>
          <w:rFonts w:ascii="Arial" w:hAnsi="Arial" w:cs="Arial"/>
          <w:b/>
          <w:bCs/>
        </w:rPr>
        <w:t xml:space="preserve"> 1.</w:t>
      </w:r>
      <w:r w:rsidRPr="00571CE3">
        <w:rPr>
          <w:rFonts w:ascii="Arial" w:hAnsi="Arial" w:cs="Arial"/>
          <w:b/>
          <w:bCs/>
        </w:rPr>
        <w:t xml:space="preserve"> Amount of extractable pyrithiobac sodium at different day intervals,moisture </w:t>
      </w:r>
    </w:p>
    <w:p w:rsidR="00381209" w:rsidRPr="00213B6E" w:rsidRDefault="00381209" w:rsidP="00213B6E">
      <w:pPr>
        <w:spacing w:line="259" w:lineRule="auto"/>
        <w:jc w:val="both"/>
        <w:rPr>
          <w:rFonts w:ascii="Arial" w:hAnsi="Arial" w:cs="Arial"/>
        </w:rPr>
      </w:pPr>
      <w:r w:rsidRPr="00571CE3">
        <w:rPr>
          <w:rFonts w:ascii="Arial" w:hAnsi="Arial" w:cs="Arial"/>
          <w:b/>
          <w:bCs/>
        </w:rPr>
        <w:t xml:space="preserve">levels µg /10 g soil in red soil sample </w:t>
      </w:r>
    </w:p>
    <w:tbl>
      <w:tblPr>
        <w:tblStyle w:val="TableGrid"/>
        <w:tblW w:w="6811" w:type="dxa"/>
        <w:jc w:val="center"/>
        <w:tblLook w:val="04A0"/>
      </w:tblPr>
      <w:tblGrid>
        <w:gridCol w:w="2125"/>
        <w:gridCol w:w="2303"/>
        <w:gridCol w:w="2383"/>
      </w:tblGrid>
      <w:tr w:rsidR="00381209" w:rsidRPr="00571CE3" w:rsidTr="00571633">
        <w:trPr>
          <w:trHeight w:val="5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0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38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rsidTr="00571633">
        <w:trPr>
          <w:trHeight w:val="296"/>
          <w:jc w:val="center"/>
        </w:trPr>
        <w:tc>
          <w:tcPr>
            <w:tcW w:w="2125"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0</w:t>
            </w:r>
          </w:p>
        </w:tc>
        <w:tc>
          <w:tcPr>
            <w:tcW w:w="230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93.21</w:t>
            </w:r>
          </w:p>
        </w:tc>
        <w:tc>
          <w:tcPr>
            <w:tcW w:w="238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90.21</w:t>
            </w:r>
          </w:p>
        </w:tc>
      </w:tr>
      <w:tr w:rsidR="00381209" w:rsidRPr="00571CE3" w:rsidTr="00571633">
        <w:trPr>
          <w:trHeight w:val="170"/>
          <w:jc w:val="center"/>
        </w:trPr>
        <w:tc>
          <w:tcPr>
            <w:tcW w:w="2125"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w:t>
            </w:r>
          </w:p>
        </w:tc>
        <w:tc>
          <w:tcPr>
            <w:tcW w:w="230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76.21</w:t>
            </w:r>
          </w:p>
        </w:tc>
        <w:tc>
          <w:tcPr>
            <w:tcW w:w="238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70.54</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30</w:t>
            </w:r>
          </w:p>
        </w:tc>
        <w:tc>
          <w:tcPr>
            <w:tcW w:w="230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60.21</w:t>
            </w:r>
          </w:p>
        </w:tc>
        <w:tc>
          <w:tcPr>
            <w:tcW w:w="238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53.56</w:t>
            </w:r>
          </w:p>
        </w:tc>
      </w:tr>
      <w:tr w:rsidR="00381209" w:rsidRPr="00571CE3" w:rsidTr="00571633">
        <w:trPr>
          <w:trHeight w:val="233"/>
          <w:jc w:val="center"/>
        </w:trPr>
        <w:tc>
          <w:tcPr>
            <w:tcW w:w="2125"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w:t>
            </w:r>
          </w:p>
        </w:tc>
        <w:tc>
          <w:tcPr>
            <w:tcW w:w="230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45.21</w:t>
            </w:r>
          </w:p>
        </w:tc>
        <w:tc>
          <w:tcPr>
            <w:tcW w:w="238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44.12</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w:t>
            </w:r>
          </w:p>
        </w:tc>
        <w:tc>
          <w:tcPr>
            <w:tcW w:w="230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37.12</w:t>
            </w:r>
          </w:p>
        </w:tc>
        <w:tc>
          <w:tcPr>
            <w:tcW w:w="238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36.47</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w:t>
            </w:r>
          </w:p>
        </w:tc>
        <w:tc>
          <w:tcPr>
            <w:tcW w:w="230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28.12</w:t>
            </w:r>
          </w:p>
        </w:tc>
        <w:tc>
          <w:tcPr>
            <w:tcW w:w="238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25.11</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120</w:t>
            </w:r>
          </w:p>
        </w:tc>
        <w:tc>
          <w:tcPr>
            <w:tcW w:w="230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17.45</w:t>
            </w:r>
          </w:p>
        </w:tc>
        <w:tc>
          <w:tcPr>
            <w:tcW w:w="238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17.48</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135</w:t>
            </w:r>
          </w:p>
        </w:tc>
        <w:tc>
          <w:tcPr>
            <w:tcW w:w="230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15.21</w:t>
            </w:r>
          </w:p>
        </w:tc>
        <w:tc>
          <w:tcPr>
            <w:tcW w:w="2383" w:type="dxa"/>
          </w:tcPr>
          <w:p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14.32</w:t>
            </w:r>
          </w:p>
        </w:tc>
      </w:tr>
    </w:tbl>
    <w:p w:rsidR="00381209" w:rsidRPr="00571CE3" w:rsidRDefault="00381209" w:rsidP="00381209">
      <w:pPr>
        <w:ind w:left="-90"/>
        <w:jc w:val="both"/>
        <w:rPr>
          <w:rFonts w:ascii="Arial" w:hAnsi="Arial" w:cs="Arial"/>
        </w:rPr>
      </w:pPr>
    </w:p>
    <w:p w:rsidR="0043463D" w:rsidRPr="00571CE3" w:rsidRDefault="00381209" w:rsidP="0043463D">
      <w:pPr>
        <w:ind w:left="-90"/>
        <w:jc w:val="both"/>
        <w:rPr>
          <w:rFonts w:ascii="Arial" w:hAnsi="Arial" w:cs="Arial"/>
          <w:b/>
          <w:bCs/>
        </w:rPr>
      </w:pPr>
      <w:r w:rsidRPr="00571CE3">
        <w:rPr>
          <w:rFonts w:ascii="Arial" w:hAnsi="Arial" w:cs="Arial"/>
          <w:b/>
          <w:bCs/>
        </w:rPr>
        <w:t xml:space="preserve">Table </w:t>
      </w:r>
      <w:r w:rsidR="0043463D" w:rsidRPr="00571CE3">
        <w:rPr>
          <w:rFonts w:ascii="Arial" w:hAnsi="Arial" w:cs="Arial"/>
          <w:b/>
          <w:bCs/>
        </w:rPr>
        <w:t>2.</w:t>
      </w:r>
      <w:r w:rsidRPr="00571CE3">
        <w:rPr>
          <w:rFonts w:ascii="Arial" w:hAnsi="Arial" w:cs="Arial"/>
          <w:b/>
          <w:bCs/>
        </w:rPr>
        <w:t xml:space="preserve"> Amount of extractable pyrithiobac sodium at different day intervals, </w:t>
      </w:r>
    </w:p>
    <w:p w:rsidR="00381209" w:rsidRPr="00571CE3" w:rsidRDefault="00381209" w:rsidP="0043463D">
      <w:pPr>
        <w:ind w:left="-90"/>
        <w:jc w:val="both"/>
        <w:rPr>
          <w:rFonts w:ascii="Arial" w:hAnsi="Arial" w:cs="Arial"/>
          <w:b/>
          <w:bCs/>
          <w:sz w:val="22"/>
          <w:szCs w:val="22"/>
        </w:rPr>
      </w:pPr>
      <w:r w:rsidRPr="00571CE3">
        <w:rPr>
          <w:rFonts w:ascii="Arial" w:hAnsi="Arial" w:cs="Arial"/>
          <w:b/>
          <w:bCs/>
        </w:rPr>
        <w:t>moisture levels µg/10 g soil in black soil sample</w:t>
      </w:r>
    </w:p>
    <w:tbl>
      <w:tblPr>
        <w:tblStyle w:val="TableGrid"/>
        <w:tblW w:w="6811" w:type="dxa"/>
        <w:jc w:val="center"/>
        <w:tblLook w:val="04A0"/>
      </w:tblPr>
      <w:tblGrid>
        <w:gridCol w:w="2125"/>
        <w:gridCol w:w="2393"/>
        <w:gridCol w:w="2293"/>
      </w:tblGrid>
      <w:tr w:rsidR="00381209" w:rsidRPr="00571CE3" w:rsidTr="00571633">
        <w:trPr>
          <w:trHeight w:val="5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2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rsidTr="00571633">
        <w:trPr>
          <w:trHeight w:val="29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0</w:t>
            </w:r>
          </w:p>
        </w:tc>
        <w:tc>
          <w:tcPr>
            <w:tcW w:w="23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91.12</w:t>
            </w:r>
          </w:p>
        </w:tc>
        <w:tc>
          <w:tcPr>
            <w:tcW w:w="22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92.21</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15</w:t>
            </w:r>
          </w:p>
        </w:tc>
        <w:tc>
          <w:tcPr>
            <w:tcW w:w="23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75.12</w:t>
            </w:r>
          </w:p>
        </w:tc>
        <w:tc>
          <w:tcPr>
            <w:tcW w:w="22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73.26</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30</w:t>
            </w:r>
          </w:p>
        </w:tc>
        <w:tc>
          <w:tcPr>
            <w:tcW w:w="23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58.45</w:t>
            </w:r>
          </w:p>
        </w:tc>
        <w:tc>
          <w:tcPr>
            <w:tcW w:w="22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54.21</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45</w:t>
            </w:r>
          </w:p>
        </w:tc>
        <w:tc>
          <w:tcPr>
            <w:tcW w:w="23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44.55</w:t>
            </w:r>
          </w:p>
        </w:tc>
        <w:tc>
          <w:tcPr>
            <w:tcW w:w="22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42.21</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60</w:t>
            </w:r>
          </w:p>
        </w:tc>
        <w:tc>
          <w:tcPr>
            <w:tcW w:w="23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35.14</w:t>
            </w:r>
          </w:p>
        </w:tc>
        <w:tc>
          <w:tcPr>
            <w:tcW w:w="22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32.25</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90</w:t>
            </w:r>
          </w:p>
        </w:tc>
        <w:tc>
          <w:tcPr>
            <w:tcW w:w="23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24.33</w:t>
            </w:r>
          </w:p>
        </w:tc>
        <w:tc>
          <w:tcPr>
            <w:tcW w:w="22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23.21</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120</w:t>
            </w:r>
          </w:p>
        </w:tc>
        <w:tc>
          <w:tcPr>
            <w:tcW w:w="23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19.12</w:t>
            </w:r>
          </w:p>
        </w:tc>
        <w:tc>
          <w:tcPr>
            <w:tcW w:w="22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16.54</w:t>
            </w:r>
          </w:p>
        </w:tc>
      </w:tr>
      <w:tr w:rsidR="00381209" w:rsidRPr="00571CE3" w:rsidTr="00571633">
        <w:trPr>
          <w:trHeight w:val="56"/>
          <w:jc w:val="center"/>
        </w:trPr>
        <w:tc>
          <w:tcPr>
            <w:tcW w:w="2125"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135</w:t>
            </w:r>
          </w:p>
        </w:tc>
        <w:tc>
          <w:tcPr>
            <w:tcW w:w="23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15.87</w:t>
            </w:r>
          </w:p>
        </w:tc>
        <w:tc>
          <w:tcPr>
            <w:tcW w:w="2293" w:type="dxa"/>
          </w:tcPr>
          <w:p w:rsidR="00381209" w:rsidRPr="00571CE3" w:rsidRDefault="00381209" w:rsidP="00381209">
            <w:pPr>
              <w:jc w:val="both"/>
              <w:rPr>
                <w:rFonts w:ascii="Arial" w:hAnsi="Arial" w:cs="Arial"/>
                <w:sz w:val="20"/>
                <w:szCs w:val="20"/>
              </w:rPr>
            </w:pPr>
            <w:r w:rsidRPr="00571CE3">
              <w:rPr>
                <w:rFonts w:ascii="Arial" w:hAnsi="Arial" w:cs="Arial"/>
                <w:sz w:val="20"/>
                <w:szCs w:val="20"/>
              </w:rPr>
              <w:t>14.54</w:t>
            </w:r>
          </w:p>
        </w:tc>
      </w:tr>
    </w:tbl>
    <w:p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pattern of pyrithiobac-sodium dissipation at different soil moisture regimes is illustrated in Figures. 1 and 2. Several mathematical models </w:t>
      </w:r>
      <w:r w:rsidRPr="00571CE3">
        <w:rPr>
          <w:rFonts w:ascii="Arial" w:hAnsi="Arial" w:cs="Arial"/>
          <w:i/>
          <w:sz w:val="20"/>
          <w:szCs w:val="20"/>
        </w:rPr>
        <w:t>viz</w:t>
      </w:r>
      <w:r w:rsidRPr="00571CE3">
        <w:rPr>
          <w:rFonts w:ascii="Arial" w:hAnsi="Arial" w:cs="Arial"/>
          <w:sz w:val="20"/>
          <w:szCs w:val="20"/>
        </w:rPr>
        <w:t xml:space="preserve">., </w:t>
      </w:r>
      <w:r w:rsidRPr="00571CE3">
        <w:rPr>
          <w:rStyle w:val="Strong"/>
          <w:rFonts w:ascii="Arial" w:hAnsi="Arial" w:cs="Arial"/>
          <w:b w:val="0"/>
          <w:bCs w:val="0"/>
          <w:sz w:val="20"/>
          <w:szCs w:val="20"/>
        </w:rPr>
        <w:t xml:space="preserve">linear, polynomial, logarithmic, and exponential </w:t>
      </w:r>
      <w:r w:rsidRPr="00571CE3">
        <w:rPr>
          <w:rFonts w:ascii="Arial" w:hAnsi="Arial" w:cs="Arial"/>
          <w:sz w:val="20"/>
          <w:szCs w:val="20"/>
        </w:rPr>
        <w:t xml:space="preserve">were evaluated for fitting the dissipation data. Among them, the </w:t>
      </w:r>
      <w:r w:rsidRPr="00571CE3">
        <w:rPr>
          <w:rStyle w:val="Strong"/>
          <w:rFonts w:ascii="Arial" w:hAnsi="Arial" w:cs="Arial"/>
          <w:b w:val="0"/>
          <w:bCs w:val="0"/>
          <w:sz w:val="20"/>
          <w:szCs w:val="20"/>
        </w:rPr>
        <w:lastRenderedPageBreak/>
        <w:t>exponential model</w:t>
      </w:r>
      <w:r w:rsidRPr="00571CE3">
        <w:rPr>
          <w:rFonts w:ascii="Arial" w:hAnsi="Arial" w:cs="Arial"/>
          <w:sz w:val="20"/>
          <w:szCs w:val="20"/>
        </w:rPr>
        <w:t xml:space="preserve"> best described the decline in herbicide concentration over time in both soil types and moisture levels, as indicated by higher coefficients of determination (R² &gt; 0.98). The dissipation of pyrithiobac-sodium followed a </w:t>
      </w:r>
      <w:r w:rsidRPr="00571CE3">
        <w:rPr>
          <w:rStyle w:val="Strong"/>
          <w:rFonts w:ascii="Arial" w:hAnsi="Arial" w:cs="Arial"/>
          <w:b w:val="0"/>
          <w:bCs w:val="0"/>
          <w:sz w:val="20"/>
          <w:szCs w:val="20"/>
        </w:rPr>
        <w:t>first-order kinetic model</w:t>
      </w:r>
      <w:r w:rsidRPr="00571CE3">
        <w:rPr>
          <w:rFonts w:ascii="Arial" w:hAnsi="Arial" w:cs="Arial"/>
          <w:sz w:val="20"/>
          <w:szCs w:val="20"/>
        </w:rPr>
        <w:t xml:space="preserve"> as mentioned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3"/>
        <w:gridCol w:w="4241"/>
      </w:tblGrid>
      <w:tr w:rsidR="00381209" w:rsidRPr="00571CE3" w:rsidTr="00571633">
        <w:tc>
          <w:tcPr>
            <w:tcW w:w="4531" w:type="dxa"/>
          </w:tcPr>
          <w:p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lang w:val="en-US" w:eastAsia="en-US"/>
              </w:rPr>
              <w:drawing>
                <wp:inline distT="0" distB="0" distL="0" distR="0">
                  <wp:extent cx="2619375" cy="19907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485" w:type="dxa"/>
          </w:tcPr>
          <w:p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lang w:val="en-US" w:eastAsia="en-US"/>
              </w:rPr>
              <w:drawing>
                <wp:inline distT="0" distB="0" distL="0" distR="0">
                  <wp:extent cx="2676525" cy="19907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381209" w:rsidRPr="00571CE3" w:rsidTr="00571633">
        <w:trPr>
          <w:trHeight w:val="147"/>
        </w:trPr>
        <w:tc>
          <w:tcPr>
            <w:tcW w:w="9016" w:type="dxa"/>
            <w:gridSpan w:val="2"/>
          </w:tcPr>
          <w:p w:rsidR="00381209" w:rsidRPr="00571CE3" w:rsidRDefault="00381209" w:rsidP="00381209">
            <w:pPr>
              <w:jc w:val="both"/>
              <w:rPr>
                <w:rFonts w:ascii="Arial" w:hAnsi="Arial" w:cs="Arial"/>
                <w:b/>
                <w:bCs/>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1. Persistence and dissipation pattern of pyrithiobac sodium in red soil</w:t>
            </w:r>
          </w:p>
          <w:p w:rsidR="00381209" w:rsidRPr="00571CE3" w:rsidRDefault="00381209" w:rsidP="00381209">
            <w:pPr>
              <w:jc w:val="both"/>
              <w:rPr>
                <w:rFonts w:ascii="Arial" w:hAnsi="Arial" w:cs="Arial"/>
                <w:noProof/>
                <w:sz w:val="20"/>
                <w:szCs w:val="20"/>
              </w:rPr>
            </w:pPr>
          </w:p>
        </w:tc>
      </w:tr>
      <w:tr w:rsidR="00381209" w:rsidRPr="00571CE3" w:rsidTr="00571633">
        <w:tc>
          <w:tcPr>
            <w:tcW w:w="4531" w:type="dxa"/>
          </w:tcPr>
          <w:p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lang w:val="en-US" w:eastAsia="en-US"/>
              </w:rPr>
              <w:drawing>
                <wp:inline distT="0" distB="0" distL="0" distR="0">
                  <wp:extent cx="2638425" cy="2200275"/>
                  <wp:effectExtent l="0" t="0" r="9525" b="9525"/>
                  <wp:docPr id="1139422040" name="Chart 11394220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485" w:type="dxa"/>
          </w:tcPr>
          <w:p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lang w:val="en-US" w:eastAsia="en-US"/>
              </w:rPr>
              <w:drawing>
                <wp:inline distT="0" distB="0" distL="0" distR="0">
                  <wp:extent cx="2686050" cy="22193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381209" w:rsidRPr="00571CE3" w:rsidTr="00571633">
        <w:tc>
          <w:tcPr>
            <w:tcW w:w="9016" w:type="dxa"/>
            <w:gridSpan w:val="2"/>
          </w:tcPr>
          <w:p w:rsidR="00381209" w:rsidRPr="00571CE3" w:rsidRDefault="00381209" w:rsidP="00381209">
            <w:pPr>
              <w:pStyle w:val="NormalWeb"/>
              <w:jc w:val="both"/>
              <w:rPr>
                <w:rFonts w:ascii="Arial" w:hAnsi="Arial" w:cs="Arial"/>
                <w:b/>
                <w:bCs/>
                <w:noProof/>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2.Persistence and dissipation pattern of pyrithiobac sodium in black soil</w:t>
            </w:r>
          </w:p>
        </w:tc>
      </w:tr>
    </w:tbl>
    <w:p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The best-fit exponential equations describing pyrithiobac-sodium dissipation were:</w:t>
      </w:r>
    </w:p>
    <w:p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89.57 e</w:t>
      </w:r>
      <w:r w:rsidRPr="00571CE3">
        <w:rPr>
          <w:rStyle w:val="Emphasis"/>
          <w:rFonts w:ascii="Cambria Math" w:hAnsi="Cambria Math" w:cs="Cambria Math"/>
          <w:sz w:val="20"/>
          <w:szCs w:val="20"/>
        </w:rPr>
        <w:t>⁻</w:t>
      </w:r>
      <w:r w:rsidRPr="00571CE3">
        <w:rPr>
          <w:rStyle w:val="Emphasis"/>
          <w:rFonts w:ascii="Arial" w:hAnsi="Arial" w:cs="Arial"/>
          <w:sz w:val="20"/>
          <w:szCs w:val="20"/>
        </w:rPr>
        <w:t>⁰·⁰¹⁵x</w:t>
      </w:r>
      <w:r w:rsidRPr="00571CE3">
        <w:rPr>
          <w:rStyle w:val="Emphasis"/>
          <w:rFonts w:ascii="Arial" w:hAnsi="Arial" w:cs="Arial"/>
          <w:sz w:val="20"/>
          <w:szCs w:val="20"/>
        </w:rPr>
        <w:t> </w:t>
      </w:r>
      <w:r w:rsidRPr="00571CE3">
        <w:rPr>
          <w:rStyle w:val="Emphasis"/>
          <w:rFonts w:ascii="Arial" w:hAnsi="Arial" w:cs="Arial"/>
          <w:sz w:val="20"/>
          <w:szCs w:val="20"/>
        </w:rPr>
        <w:t>(R² = 0.993)</w:t>
      </w:r>
    </w:p>
    <w:p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(50 % FC):</w:t>
      </w:r>
      <w:r w:rsidRPr="00571CE3">
        <w:rPr>
          <w:rFonts w:ascii="Arial" w:hAnsi="Arial" w:cs="Arial"/>
          <w:sz w:val="20"/>
          <w:szCs w:val="20"/>
        </w:rPr>
        <w:tab/>
      </w:r>
      <w:r w:rsidRPr="00571CE3">
        <w:rPr>
          <w:rFonts w:ascii="Arial" w:hAnsi="Arial" w:cs="Arial"/>
          <w:sz w:val="20"/>
          <w:szCs w:val="20"/>
        </w:rPr>
        <w:tab/>
      </w:r>
      <w:r w:rsidR="00D86267">
        <w:rPr>
          <w:rFonts w:ascii="Arial" w:hAnsi="Arial" w:cs="Arial"/>
          <w:sz w:val="20"/>
          <w:szCs w:val="20"/>
        </w:rPr>
        <w:tab/>
      </w:r>
      <w:r w:rsidRPr="00571CE3">
        <w:rPr>
          <w:rStyle w:val="Emphasis"/>
          <w:rFonts w:ascii="Arial" w:hAnsi="Arial" w:cs="Arial"/>
          <w:sz w:val="20"/>
          <w:szCs w:val="20"/>
        </w:rPr>
        <w:t>y = 84.44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⁰·⁰¹³x</w:t>
      </w:r>
      <w:r w:rsidRPr="00571CE3">
        <w:rPr>
          <w:rStyle w:val="Emphasis"/>
          <w:rFonts w:ascii="Arial" w:hAnsi="Arial" w:cs="Arial"/>
          <w:sz w:val="20"/>
          <w:szCs w:val="20"/>
        </w:rPr>
        <w:t> </w:t>
      </w:r>
      <w:r w:rsidRPr="00571CE3">
        <w:rPr>
          <w:rStyle w:val="Emphasis"/>
          <w:rFonts w:ascii="Arial" w:hAnsi="Arial" w:cs="Arial"/>
          <w:sz w:val="20"/>
          <w:szCs w:val="20"/>
        </w:rPr>
        <w:t>(R² = 0.994)</w:t>
      </w:r>
    </w:p>
    <w:p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Black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85.48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⁰·⁰¹²x</w:t>
      </w:r>
      <w:r w:rsidRPr="00571CE3">
        <w:rPr>
          <w:rStyle w:val="Emphasis"/>
          <w:rFonts w:ascii="Arial" w:hAnsi="Arial" w:cs="Arial"/>
          <w:sz w:val="20"/>
          <w:szCs w:val="20"/>
        </w:rPr>
        <w:t> </w:t>
      </w:r>
      <w:r w:rsidRPr="00571CE3">
        <w:rPr>
          <w:rStyle w:val="Emphasis"/>
          <w:rFonts w:ascii="Arial" w:hAnsi="Arial" w:cs="Arial"/>
          <w:sz w:val="20"/>
          <w:szCs w:val="20"/>
        </w:rPr>
        <w:t>(R² = 0.985)</w:t>
      </w:r>
    </w:p>
    <w:p w:rsidR="00381209" w:rsidRPr="00571CE3" w:rsidRDefault="00381209" w:rsidP="00381209">
      <w:pPr>
        <w:pStyle w:val="NormalWeb"/>
        <w:spacing w:before="0" w:beforeAutospacing="0" w:after="0" w:afterAutospacing="0"/>
        <w:ind w:left="1080"/>
        <w:jc w:val="both"/>
        <w:rPr>
          <w:rStyle w:val="Emphasis"/>
          <w:rFonts w:ascii="Arial" w:hAnsi="Arial" w:cs="Arial"/>
          <w:i w:val="0"/>
          <w:sz w:val="20"/>
          <w:szCs w:val="20"/>
        </w:rPr>
      </w:pPr>
      <w:r w:rsidRPr="00571CE3">
        <w:rPr>
          <w:rFonts w:ascii="Arial" w:hAnsi="Arial" w:cs="Arial"/>
          <w:sz w:val="20"/>
          <w:szCs w:val="20"/>
        </w:rPr>
        <w:t>Black soil (50 % FC):</w:t>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83.91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⁰·⁰¹¹x</w:t>
      </w:r>
      <w:r w:rsidRPr="00571CE3">
        <w:rPr>
          <w:rStyle w:val="Emphasis"/>
          <w:rFonts w:ascii="Arial" w:hAnsi="Arial" w:cs="Arial"/>
          <w:sz w:val="20"/>
          <w:szCs w:val="20"/>
        </w:rPr>
        <w:t> </w:t>
      </w:r>
      <w:r w:rsidRPr="00571CE3">
        <w:rPr>
          <w:rStyle w:val="Emphasis"/>
          <w:rFonts w:ascii="Arial" w:hAnsi="Arial" w:cs="Arial"/>
          <w:sz w:val="20"/>
          <w:szCs w:val="20"/>
        </w:rPr>
        <w:t>(R² = 0.984)</w:t>
      </w:r>
    </w:p>
    <w:p w:rsidR="00381209" w:rsidRPr="00571CE3" w:rsidRDefault="00381209" w:rsidP="00381209">
      <w:pPr>
        <w:pStyle w:val="NormalWeb"/>
        <w:spacing w:before="0" w:beforeAutospacing="0" w:after="0" w:afterAutospacing="0"/>
        <w:ind w:left="1080"/>
        <w:jc w:val="both"/>
        <w:rPr>
          <w:rFonts w:ascii="Arial" w:hAnsi="Arial" w:cs="Arial"/>
          <w:sz w:val="20"/>
          <w:szCs w:val="20"/>
        </w:rPr>
      </w:pPr>
    </w:p>
    <w:p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corresponding </w:t>
      </w:r>
      <w:r w:rsidRPr="00571CE3">
        <w:rPr>
          <w:rStyle w:val="Strong"/>
          <w:rFonts w:ascii="Arial" w:hAnsi="Arial" w:cs="Arial"/>
          <w:b w:val="0"/>
          <w:bCs w:val="0"/>
          <w:sz w:val="20"/>
          <w:szCs w:val="20"/>
        </w:rPr>
        <w:t>half-life (DT</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and </w:t>
      </w:r>
      <w:r w:rsidRPr="00571CE3">
        <w:rPr>
          <w:rStyle w:val="Strong"/>
          <w:rFonts w:ascii="Arial" w:hAnsi="Arial" w:cs="Arial"/>
          <w:b w:val="0"/>
          <w:bCs w:val="0"/>
          <w:sz w:val="20"/>
          <w:szCs w:val="20"/>
        </w:rPr>
        <w:t>DT</w:t>
      </w:r>
      <w:r w:rsidRPr="00571CE3">
        <w:rPr>
          <w:rStyle w:val="Strong"/>
          <w:rFonts w:ascii="Cambria Math" w:hAnsi="Cambria Math" w:cs="Cambria Math"/>
          <w:b w:val="0"/>
          <w:bCs w:val="0"/>
          <w:sz w:val="20"/>
          <w:szCs w:val="20"/>
        </w:rPr>
        <w:t>₉₀</w:t>
      </w:r>
      <w:r w:rsidRPr="00571CE3">
        <w:rPr>
          <w:rFonts w:ascii="Arial" w:hAnsi="Arial" w:cs="Arial"/>
          <w:sz w:val="20"/>
          <w:szCs w:val="20"/>
        </w:rPr>
        <w:t xml:space="preserve"> values were computed using the relationship:</w:t>
      </w:r>
    </w:p>
    <w:p w:rsidR="00381209" w:rsidRPr="00571CE3" w:rsidRDefault="00381209" w:rsidP="0043463D">
      <w:pPr>
        <w:pStyle w:val="NormalWeb"/>
        <w:jc w:val="center"/>
        <w:rPr>
          <w:rFonts w:ascii="Arial" w:hAnsi="Arial" w:cs="Arial"/>
          <w:sz w:val="20"/>
          <w:szCs w:val="20"/>
        </w:rPr>
      </w:pPr>
      <w:r w:rsidRPr="00571CE3">
        <w:rPr>
          <w:rFonts w:ascii="Arial" w:hAnsi="Arial" w:cs="Arial"/>
          <w:sz w:val="20"/>
          <w:szCs w:val="20"/>
        </w:rPr>
        <w:t>DT</w:t>
      </w:r>
      <w:r w:rsidRPr="00571CE3">
        <w:rPr>
          <w:rFonts w:ascii="Arial" w:hAnsi="Arial" w:cs="Arial"/>
          <w:sz w:val="20"/>
          <w:szCs w:val="20"/>
          <w:vertAlign w:val="subscript"/>
        </w:rPr>
        <w:t>50</w:t>
      </w:r>
      <w:r w:rsidRPr="00571CE3">
        <w:rPr>
          <w:rFonts w:ascii="Arial" w:hAnsi="Arial" w:cs="Arial"/>
          <w:sz w:val="20"/>
          <w:szCs w:val="20"/>
        </w:rPr>
        <w:t xml:space="preserve"> = 0.693/k</w:t>
      </w:r>
      <w:r w:rsidRPr="00571CE3">
        <w:rPr>
          <w:rFonts w:ascii="Arial" w:hAnsi="Arial" w:cs="Arial"/>
          <w:sz w:val="20"/>
          <w:szCs w:val="20"/>
          <w:vertAlign w:val="subscript"/>
        </w:rPr>
        <w:t>d</w:t>
      </w:r>
    </w:p>
    <w:p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Based on the calculated </w:t>
      </w:r>
      <w:r w:rsidRPr="00571CE3">
        <w:rPr>
          <w:rStyle w:val="Emphasis"/>
          <w:rFonts w:ascii="Arial" w:hAnsi="Arial" w:cs="Arial"/>
          <w:sz w:val="20"/>
          <w:szCs w:val="20"/>
        </w:rPr>
        <w:t>k</w:t>
      </w:r>
      <w:r w:rsidRPr="00571CE3">
        <w:rPr>
          <w:rStyle w:val="Emphasis"/>
          <w:rFonts w:ascii="Arial" w:hAnsi="Arial" w:cs="Arial"/>
          <w:sz w:val="20"/>
          <w:szCs w:val="20"/>
          <w:vertAlign w:val="subscript"/>
        </w:rPr>
        <w:t>d</w:t>
      </w:r>
      <w:r w:rsidRPr="00571CE3">
        <w:rPr>
          <w:rFonts w:ascii="Arial" w:hAnsi="Arial" w:cs="Arial"/>
          <w:sz w:val="20"/>
          <w:szCs w:val="20"/>
        </w:rPr>
        <w:t xml:space="preserve"> values, the </w:t>
      </w:r>
      <w:r w:rsidRPr="00571CE3">
        <w:rPr>
          <w:rStyle w:val="Strong"/>
          <w:rFonts w:ascii="Arial" w:hAnsi="Arial" w:cs="Arial"/>
          <w:b w:val="0"/>
          <w:bCs w:val="0"/>
          <w:i/>
          <w:sz w:val="20"/>
          <w:szCs w:val="20"/>
        </w:rPr>
        <w:t>DT</w:t>
      </w:r>
      <w:r w:rsidRPr="00571CE3">
        <w:rPr>
          <w:rStyle w:val="Strong"/>
          <w:rFonts w:ascii="Cambria Math" w:hAnsi="Cambria Math" w:cs="Cambria Math"/>
          <w:b w:val="0"/>
          <w:bCs w:val="0"/>
          <w:sz w:val="20"/>
          <w:szCs w:val="20"/>
        </w:rPr>
        <w:t>₅₀</w:t>
      </w:r>
      <w:r w:rsidRPr="00571CE3">
        <w:rPr>
          <w:rFonts w:ascii="Arial" w:hAnsi="Arial" w:cs="Arial"/>
          <w:sz w:val="20"/>
          <w:szCs w:val="20"/>
        </w:rPr>
        <w:t xml:space="preserve"> for red soil was </w:t>
      </w:r>
      <w:r w:rsidRPr="00571CE3">
        <w:rPr>
          <w:rStyle w:val="Strong"/>
          <w:rFonts w:ascii="Arial" w:hAnsi="Arial" w:cs="Arial"/>
          <w:b w:val="0"/>
          <w:bCs w:val="0"/>
          <w:sz w:val="20"/>
          <w:szCs w:val="20"/>
        </w:rPr>
        <w:t>46.2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t>53.3 days</w:t>
      </w:r>
      <w:r w:rsidRPr="00571CE3">
        <w:rPr>
          <w:rFonts w:ascii="Arial" w:hAnsi="Arial" w:cs="Arial"/>
          <w:sz w:val="20"/>
          <w:szCs w:val="20"/>
        </w:rPr>
        <w:t xml:space="preserve"> at 50 % FC. For black soil, the </w:t>
      </w:r>
      <w:r w:rsidRPr="00571CE3">
        <w:rPr>
          <w:rFonts w:ascii="Arial" w:hAnsi="Arial" w:cs="Arial"/>
          <w:i/>
          <w:sz w:val="20"/>
          <w:szCs w:val="20"/>
        </w:rPr>
        <w:t>DT</w:t>
      </w:r>
      <w:r w:rsidRPr="00571CE3">
        <w:rPr>
          <w:rFonts w:ascii="Cambria Math" w:hAnsi="Cambria Math" w:cs="Cambria Math"/>
          <w:sz w:val="20"/>
          <w:szCs w:val="20"/>
        </w:rPr>
        <w:t>₅₀</w:t>
      </w:r>
      <w:r w:rsidRPr="00571CE3">
        <w:rPr>
          <w:rFonts w:ascii="Arial" w:hAnsi="Arial" w:cs="Arial"/>
          <w:sz w:val="20"/>
          <w:szCs w:val="20"/>
        </w:rPr>
        <w:t xml:space="preserve"> values were </w:t>
      </w:r>
      <w:r w:rsidRPr="00571CE3">
        <w:rPr>
          <w:rStyle w:val="Strong"/>
          <w:rFonts w:ascii="Arial" w:hAnsi="Arial" w:cs="Arial"/>
          <w:b w:val="0"/>
          <w:bCs w:val="0"/>
          <w:sz w:val="20"/>
          <w:szCs w:val="20"/>
        </w:rPr>
        <w:t>57.8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lastRenderedPageBreak/>
        <w:t>63.0 days</w:t>
      </w:r>
      <w:r w:rsidRPr="00571CE3">
        <w:rPr>
          <w:rFonts w:ascii="Arial" w:hAnsi="Arial" w:cs="Arial"/>
          <w:sz w:val="20"/>
          <w:szCs w:val="20"/>
        </w:rPr>
        <w:t xml:space="preserve"> at 50 % FC. These results clearly indicate that </w:t>
      </w:r>
      <w:r w:rsidRPr="00571CE3">
        <w:rPr>
          <w:rStyle w:val="Strong"/>
          <w:rFonts w:ascii="Arial" w:hAnsi="Arial" w:cs="Arial"/>
          <w:b w:val="0"/>
          <w:bCs w:val="0"/>
          <w:sz w:val="20"/>
          <w:szCs w:val="20"/>
        </w:rPr>
        <w:t>dissipation was slower under reduced moisture regimes</w:t>
      </w:r>
      <w:r w:rsidRPr="00571CE3">
        <w:rPr>
          <w:rFonts w:ascii="Arial" w:hAnsi="Arial" w:cs="Arial"/>
          <w:sz w:val="20"/>
          <w:szCs w:val="20"/>
        </w:rPr>
        <w:t xml:space="preserve"> in both soils, highlighting the significance of soil water content in microbial degradation processes. The </w:t>
      </w:r>
      <w:r w:rsidRPr="00571CE3">
        <w:rPr>
          <w:rStyle w:val="Strong"/>
          <w:rFonts w:ascii="Arial" w:hAnsi="Arial" w:cs="Arial"/>
          <w:b w:val="0"/>
          <w:bCs w:val="0"/>
          <w:sz w:val="20"/>
          <w:szCs w:val="20"/>
        </w:rPr>
        <w:t>prolonged half-life</w:t>
      </w:r>
      <w:r w:rsidRPr="00571CE3">
        <w:rPr>
          <w:rFonts w:ascii="Arial" w:hAnsi="Arial" w:cs="Arial"/>
          <w:sz w:val="20"/>
          <w:szCs w:val="20"/>
        </w:rPr>
        <w:t xml:space="preserve"> under low moisture (50 % FC) conditions demonstrates the herbicide’s potential for </w:t>
      </w:r>
      <w:r w:rsidRPr="00571CE3">
        <w:rPr>
          <w:rStyle w:val="Strong"/>
          <w:rFonts w:ascii="Arial" w:hAnsi="Arial" w:cs="Arial"/>
          <w:b w:val="0"/>
          <w:bCs w:val="0"/>
          <w:sz w:val="20"/>
          <w:szCs w:val="20"/>
        </w:rPr>
        <w:t>carryover and persistence</w:t>
      </w:r>
      <w:r w:rsidRPr="00571CE3">
        <w:rPr>
          <w:rFonts w:ascii="Arial" w:hAnsi="Arial" w:cs="Arial"/>
          <w:sz w:val="20"/>
          <w:szCs w:val="20"/>
        </w:rPr>
        <w:t xml:space="preserve">, posing a possible risk to </w:t>
      </w:r>
      <w:r w:rsidRPr="00571CE3">
        <w:rPr>
          <w:rStyle w:val="Strong"/>
          <w:rFonts w:ascii="Arial" w:hAnsi="Arial" w:cs="Arial"/>
          <w:b w:val="0"/>
          <w:bCs w:val="0"/>
          <w:sz w:val="20"/>
          <w:szCs w:val="20"/>
        </w:rPr>
        <w:t>rotational crops</w:t>
      </w:r>
      <w:r w:rsidRPr="00571CE3">
        <w:rPr>
          <w:rFonts w:ascii="Arial" w:hAnsi="Arial" w:cs="Arial"/>
          <w:sz w:val="20"/>
          <w:szCs w:val="20"/>
        </w:rPr>
        <w:t xml:space="preserve"> if residues exceed threshold levels (Webster and Shaw, 1996; Smith et al., 2005).</w:t>
      </w:r>
    </w:p>
    <w:p w:rsidR="00381209" w:rsidRPr="00571CE3" w:rsidRDefault="00381209" w:rsidP="00381209">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t>Influence of Soil Properties</w:t>
      </w:r>
    </w:p>
    <w:p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two experimental soils exhibited distinct physico-chemical properties influencing herbicide dissipation. The </w:t>
      </w:r>
      <w:r w:rsidRPr="00571CE3">
        <w:rPr>
          <w:rStyle w:val="Strong"/>
          <w:rFonts w:ascii="Arial" w:hAnsi="Arial" w:cs="Arial"/>
          <w:b w:val="0"/>
          <w:bCs w:val="0"/>
          <w:sz w:val="20"/>
          <w:szCs w:val="20"/>
        </w:rPr>
        <w:t>red soil</w:t>
      </w:r>
      <w:r w:rsidRPr="00571CE3">
        <w:rPr>
          <w:rFonts w:ascii="Arial" w:hAnsi="Arial" w:cs="Arial"/>
          <w:sz w:val="20"/>
          <w:szCs w:val="20"/>
        </w:rPr>
        <w:t xml:space="preserve"> was </w:t>
      </w:r>
      <w:r w:rsidRPr="00571CE3">
        <w:rPr>
          <w:rStyle w:val="Strong"/>
          <w:rFonts w:ascii="Arial" w:hAnsi="Arial" w:cs="Arial"/>
          <w:b w:val="0"/>
          <w:bCs w:val="0"/>
          <w:sz w:val="20"/>
          <w:szCs w:val="20"/>
        </w:rPr>
        <w:t>neutral in reaction</w:t>
      </w:r>
      <w:r w:rsidRPr="00571CE3">
        <w:rPr>
          <w:rFonts w:ascii="Arial" w:hAnsi="Arial" w:cs="Arial"/>
          <w:sz w:val="20"/>
          <w:szCs w:val="20"/>
        </w:rPr>
        <w:t xml:space="preserve">, had </w:t>
      </w:r>
      <w:r w:rsidRPr="00571CE3">
        <w:rPr>
          <w:rStyle w:val="Strong"/>
          <w:rFonts w:ascii="Arial"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hAnsi="Arial" w:cs="Arial"/>
          <w:b w:val="0"/>
          <w:bCs w:val="0"/>
          <w:sz w:val="20"/>
          <w:szCs w:val="20"/>
        </w:rPr>
        <w:t>15.91 cmol(p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hAnsi="Arial" w:cs="Arial"/>
          <w:b w:val="0"/>
          <w:bCs w:val="0"/>
          <w:sz w:val="20"/>
          <w:szCs w:val="20"/>
        </w:rPr>
        <w:t>black soil</w:t>
      </w:r>
      <w:r w:rsidRPr="00571CE3">
        <w:rPr>
          <w:rFonts w:ascii="Arial" w:hAnsi="Arial" w:cs="Arial"/>
          <w:sz w:val="20"/>
          <w:szCs w:val="20"/>
        </w:rPr>
        <w:t xml:space="preserve"> was </w:t>
      </w:r>
      <w:r w:rsidRPr="00571CE3">
        <w:rPr>
          <w:rStyle w:val="Strong"/>
          <w:rFonts w:ascii="Arial" w:hAnsi="Arial" w:cs="Arial"/>
          <w:b w:val="0"/>
          <w:bCs w:val="0"/>
          <w:sz w:val="20"/>
          <w:szCs w:val="20"/>
        </w:rPr>
        <w:t>slightly alkaline</w:t>
      </w:r>
      <w:r w:rsidRPr="00571CE3">
        <w:rPr>
          <w:rFonts w:ascii="Arial" w:hAnsi="Arial" w:cs="Arial"/>
          <w:sz w:val="20"/>
          <w:szCs w:val="20"/>
        </w:rPr>
        <w:t xml:space="preserve">, contained </w:t>
      </w:r>
      <w:r w:rsidRPr="00571CE3">
        <w:rPr>
          <w:rStyle w:val="Strong"/>
          <w:rFonts w:ascii="Arial" w:hAnsi="Arial" w:cs="Arial"/>
          <w:b w:val="0"/>
          <w:bCs w:val="0"/>
          <w:sz w:val="20"/>
          <w:szCs w:val="20"/>
        </w:rPr>
        <w:t>higher clay</w:t>
      </w:r>
      <w:r w:rsidRPr="00571CE3">
        <w:rPr>
          <w:rFonts w:ascii="Arial" w:hAnsi="Arial" w:cs="Arial"/>
          <w:sz w:val="20"/>
          <w:szCs w:val="20"/>
        </w:rPr>
        <w:t xml:space="preserve">, </w:t>
      </w:r>
      <w:r w:rsidRPr="00571CE3">
        <w:rPr>
          <w:rStyle w:val="Strong"/>
          <w:rFonts w:ascii="Arial" w:hAnsi="Arial" w:cs="Arial"/>
          <w:b w:val="0"/>
          <w:bCs w:val="0"/>
          <w:sz w:val="20"/>
          <w:szCs w:val="20"/>
        </w:rPr>
        <w:t>medium organic carbon</w:t>
      </w:r>
      <w:r w:rsidRPr="00571CE3">
        <w:rPr>
          <w:rFonts w:ascii="Arial" w:hAnsi="Arial" w:cs="Arial"/>
          <w:sz w:val="20"/>
          <w:szCs w:val="20"/>
        </w:rPr>
        <w:t xml:space="preserve">, and </w:t>
      </w:r>
      <w:r w:rsidRPr="00571CE3">
        <w:rPr>
          <w:rStyle w:val="Strong"/>
          <w:rFonts w:ascii="Arial" w:hAnsi="Arial" w:cs="Arial"/>
          <w:b w:val="0"/>
          <w:bCs w:val="0"/>
          <w:sz w:val="20"/>
          <w:szCs w:val="20"/>
        </w:rPr>
        <w:t>higher CEC (24.2 cmol(p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The </w:t>
      </w:r>
      <w:r w:rsidRPr="00571CE3">
        <w:rPr>
          <w:rStyle w:val="Strong"/>
          <w:rFonts w:ascii="Arial" w:hAnsi="Arial" w:cs="Arial"/>
          <w:b w:val="0"/>
          <w:bCs w:val="0"/>
          <w:sz w:val="20"/>
          <w:szCs w:val="20"/>
        </w:rPr>
        <w:t>water-holding capacity</w:t>
      </w:r>
      <w:r w:rsidRPr="00571CE3">
        <w:rPr>
          <w:rFonts w:ascii="Arial" w:hAnsi="Arial" w:cs="Arial"/>
          <w:sz w:val="20"/>
          <w:szCs w:val="20"/>
        </w:rPr>
        <w:t xml:space="preserve"> at field capacity and 50 % field capacity was </w:t>
      </w:r>
      <w:r w:rsidRPr="00571CE3">
        <w:rPr>
          <w:rStyle w:val="Strong"/>
          <w:rFonts w:ascii="Arial" w:hAnsi="Arial" w:cs="Arial"/>
          <w:b w:val="0"/>
          <w:bCs w:val="0"/>
          <w:sz w:val="20"/>
          <w:szCs w:val="20"/>
        </w:rPr>
        <w:t>14 % and 7 %</w:t>
      </w:r>
      <w:r w:rsidRPr="00571CE3">
        <w:rPr>
          <w:rFonts w:ascii="Arial" w:hAnsi="Arial" w:cs="Arial"/>
          <w:sz w:val="20"/>
          <w:szCs w:val="20"/>
        </w:rPr>
        <w:t xml:space="preserve">, respectively, in red soil and </w:t>
      </w:r>
      <w:r w:rsidRPr="00571CE3">
        <w:rPr>
          <w:rStyle w:val="Strong"/>
          <w:rFonts w:ascii="Arial" w:hAnsi="Arial" w:cs="Arial"/>
          <w:b w:val="0"/>
          <w:bCs w:val="0"/>
          <w:sz w:val="20"/>
          <w:szCs w:val="20"/>
        </w:rPr>
        <w:t>20 % and 10 %</w:t>
      </w:r>
      <w:r w:rsidRPr="00571CE3">
        <w:rPr>
          <w:rFonts w:ascii="Arial" w:hAnsi="Arial" w:cs="Arial"/>
          <w:sz w:val="20"/>
          <w:szCs w:val="20"/>
        </w:rPr>
        <w:t>, respectively, in black soil.</w:t>
      </w:r>
    </w:p>
    <w:p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hAnsi="Arial" w:cs="Arial"/>
          <w:b w:val="0"/>
          <w:bCs w:val="0"/>
          <w:sz w:val="20"/>
          <w:szCs w:val="20"/>
        </w:rPr>
        <w:t>slower degradation rate and longer persistence</w:t>
      </w:r>
      <w:r w:rsidRPr="00571CE3">
        <w:rPr>
          <w:rFonts w:ascii="Arial" w:hAnsi="Arial" w:cs="Arial"/>
          <w:sz w:val="20"/>
          <w:szCs w:val="20"/>
        </w:rPr>
        <w:t xml:space="preserve"> of pyrithiobac-sodium in black soil can be attributed to its </w:t>
      </w:r>
      <w:r w:rsidRPr="00571CE3">
        <w:rPr>
          <w:rStyle w:val="Strong"/>
          <w:rFonts w:ascii="Arial" w:hAnsi="Arial" w:cs="Arial"/>
          <w:b w:val="0"/>
          <w:bCs w:val="0"/>
          <w:sz w:val="20"/>
          <w:szCs w:val="20"/>
        </w:rPr>
        <w:t>higher clay content</w:t>
      </w:r>
      <w:r w:rsidRPr="00571CE3">
        <w:rPr>
          <w:rFonts w:ascii="Arial" w:hAnsi="Arial" w:cs="Arial"/>
          <w:sz w:val="20"/>
          <w:szCs w:val="20"/>
        </w:rPr>
        <w:t xml:space="preserve"> and </w:t>
      </w:r>
      <w:r w:rsidRPr="00571CE3">
        <w:rPr>
          <w:rStyle w:val="Strong"/>
          <w:rFonts w:ascii="Arial" w:hAnsi="Arial" w:cs="Arial"/>
          <w:b w:val="0"/>
          <w:bCs w:val="0"/>
          <w:sz w:val="20"/>
          <w:szCs w:val="20"/>
        </w:rPr>
        <w:t>greater CEC</w:t>
      </w:r>
      <w:r w:rsidRPr="00571CE3">
        <w:rPr>
          <w:rFonts w:ascii="Arial" w:hAnsi="Arial" w:cs="Arial"/>
          <w:sz w:val="20"/>
          <w:szCs w:val="20"/>
        </w:rPr>
        <w:t xml:space="preserve">, which likely increased </w:t>
      </w:r>
      <w:r w:rsidRPr="00571CE3">
        <w:rPr>
          <w:rStyle w:val="Strong"/>
          <w:rFonts w:ascii="Arial" w:hAnsi="Arial" w:cs="Arial"/>
          <w:b w:val="0"/>
          <w:bCs w:val="0"/>
          <w:sz w:val="20"/>
          <w:szCs w:val="20"/>
        </w:rPr>
        <w:t>sorption</w:t>
      </w:r>
      <w:r w:rsidRPr="00571CE3">
        <w:rPr>
          <w:rFonts w:ascii="Arial" w:hAnsi="Arial" w:cs="Arial"/>
          <w:sz w:val="20"/>
          <w:szCs w:val="20"/>
        </w:rPr>
        <w:t xml:space="preserve"> and reduced the bioavailability of the herbicide to degrading microorganisms. Similar findings were reported by Baskaran and Kennedy (1999) and Matocha et al. (1999), who observed that pyrithiobac-sodium exhibited </w:t>
      </w:r>
      <w:r w:rsidRPr="00571CE3">
        <w:rPr>
          <w:rStyle w:val="Strong"/>
          <w:rFonts w:ascii="Arial" w:hAnsi="Arial" w:cs="Arial"/>
          <w:b w:val="0"/>
          <w:bCs w:val="0"/>
          <w:sz w:val="20"/>
          <w:szCs w:val="20"/>
        </w:rPr>
        <w:t>low adsorption coefficients (</w:t>
      </w:r>
      <w:r w:rsidRPr="00571CE3">
        <w:rPr>
          <w:rStyle w:val="Strong"/>
          <w:rFonts w:ascii="Arial" w:hAnsi="Arial" w:cs="Arial"/>
          <w:b w:val="0"/>
          <w:bCs w:val="0"/>
          <w:i/>
          <w:sz w:val="20"/>
          <w:szCs w:val="20"/>
        </w:rPr>
        <w:t>k</w:t>
      </w:r>
      <w:r w:rsidRPr="00571CE3">
        <w:rPr>
          <w:rStyle w:val="Strong"/>
          <w:rFonts w:ascii="Arial" w:hAnsi="Arial" w:cs="Arial"/>
          <w:b w:val="0"/>
          <w:bCs w:val="0"/>
          <w:i/>
          <w:sz w:val="20"/>
          <w:szCs w:val="20"/>
          <w:vertAlign w:val="subscript"/>
        </w:rPr>
        <w:t>d</w:t>
      </w:r>
      <w:r w:rsidRPr="00571CE3">
        <w:rPr>
          <w:rStyle w:val="Strong"/>
          <w:rFonts w:ascii="Arial" w:hAnsi="Arial" w:cs="Arial"/>
          <w:b w:val="0"/>
          <w:bCs w:val="0"/>
          <w:sz w:val="20"/>
          <w:szCs w:val="20"/>
        </w:rPr>
        <w:t xml:space="preserve"> = 0.22–0.59 L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but sorption increased with </w:t>
      </w:r>
      <w:r w:rsidRPr="00571CE3">
        <w:rPr>
          <w:rStyle w:val="Strong"/>
          <w:rFonts w:ascii="Arial" w:hAnsi="Arial" w:cs="Arial"/>
          <w:b w:val="0"/>
          <w:bCs w:val="0"/>
          <w:sz w:val="20"/>
          <w:szCs w:val="20"/>
        </w:rPr>
        <w:t>organic matter and smectitic clay content</w:t>
      </w:r>
      <w:r w:rsidRPr="00571CE3">
        <w:rPr>
          <w:rFonts w:ascii="Arial" w:hAnsi="Arial" w:cs="Arial"/>
          <w:sz w:val="20"/>
          <w:szCs w:val="20"/>
        </w:rPr>
        <w:t xml:space="preserve">. Similar results were reported in tomato growing soils of Telangana state for dissipation of metribuzin (Saritha </w:t>
      </w:r>
      <w:r w:rsidRPr="00571CE3">
        <w:rPr>
          <w:rFonts w:ascii="Arial" w:hAnsi="Arial" w:cs="Arial"/>
          <w:i/>
          <w:sz w:val="20"/>
          <w:szCs w:val="20"/>
        </w:rPr>
        <w:t>et al</w:t>
      </w:r>
      <w:r w:rsidRPr="00571CE3">
        <w:rPr>
          <w:rFonts w:ascii="Arial" w:hAnsi="Arial" w:cs="Arial"/>
          <w:sz w:val="20"/>
          <w:szCs w:val="20"/>
        </w:rPr>
        <w:t xml:space="preserve"> 2017). The higher persistence under </w:t>
      </w:r>
      <w:r w:rsidRPr="00571CE3">
        <w:rPr>
          <w:rStyle w:val="Strong"/>
          <w:rFonts w:ascii="Arial" w:hAnsi="Arial" w:cs="Arial"/>
          <w:b w:val="0"/>
          <w:bCs w:val="0"/>
          <w:sz w:val="20"/>
          <w:szCs w:val="20"/>
        </w:rPr>
        <w:t>lower moisture conditions</w:t>
      </w:r>
      <w:r w:rsidRPr="00571CE3">
        <w:rPr>
          <w:rFonts w:ascii="Arial" w:hAnsi="Arial" w:cs="Arial"/>
          <w:sz w:val="20"/>
          <w:szCs w:val="20"/>
        </w:rPr>
        <w:t xml:space="preserve"> corroborates the results of Singles et al. (2002) and Sharma et al. (2016), who reported that </w:t>
      </w:r>
      <w:r w:rsidRPr="00571CE3">
        <w:rPr>
          <w:rStyle w:val="Strong"/>
          <w:rFonts w:ascii="Arial" w:hAnsi="Arial" w:cs="Arial"/>
          <w:b w:val="0"/>
          <w:bCs w:val="0"/>
          <w:sz w:val="20"/>
          <w:szCs w:val="20"/>
        </w:rPr>
        <w:t>microbial degradation</w:t>
      </w:r>
      <w:r w:rsidRPr="00571CE3">
        <w:rPr>
          <w:rFonts w:ascii="Arial" w:hAnsi="Arial" w:cs="Arial"/>
          <w:sz w:val="20"/>
          <w:szCs w:val="20"/>
        </w:rPr>
        <w:t xml:space="preserve"> is the primary dissipation mechanism and is markedly slowed when </w:t>
      </w:r>
      <w:r w:rsidRPr="00571CE3">
        <w:rPr>
          <w:rStyle w:val="Strong"/>
          <w:rFonts w:ascii="Arial" w:hAnsi="Arial" w:cs="Arial"/>
          <w:b w:val="0"/>
          <w:bCs w:val="0"/>
          <w:sz w:val="20"/>
          <w:szCs w:val="20"/>
        </w:rPr>
        <w:t>soil moisture and temperature</w:t>
      </w:r>
      <w:r w:rsidRPr="00571CE3">
        <w:rPr>
          <w:rFonts w:ascii="Arial" w:hAnsi="Arial" w:cs="Arial"/>
          <w:sz w:val="20"/>
          <w:szCs w:val="20"/>
        </w:rPr>
        <w:t xml:space="preserve"> are sub-optimal.</w:t>
      </w:r>
    </w:p>
    <w:p w:rsidR="00790ADA" w:rsidRPr="00571CE3" w:rsidRDefault="00381209" w:rsidP="0043463D">
      <w:pPr>
        <w:pStyle w:val="NormalWeb"/>
        <w:ind w:firstLine="720"/>
        <w:jc w:val="both"/>
        <w:rPr>
          <w:rFonts w:ascii="Arial" w:hAnsi="Arial" w:cs="Arial"/>
          <w:sz w:val="20"/>
          <w:szCs w:val="20"/>
        </w:rPr>
      </w:pPr>
      <w:r w:rsidRPr="00571CE3">
        <w:rPr>
          <w:rFonts w:ascii="Arial" w:hAnsi="Arial" w:cs="Arial"/>
          <w:sz w:val="20"/>
          <w:szCs w:val="20"/>
        </w:rPr>
        <w:t xml:space="preserve">Overall, the dissipation data confirm that </w:t>
      </w:r>
      <w:r w:rsidRPr="00571CE3">
        <w:rPr>
          <w:rStyle w:val="Strong"/>
          <w:rFonts w:ascii="Arial" w:hAnsi="Arial" w:cs="Arial"/>
          <w:b w:val="0"/>
          <w:bCs w:val="0"/>
          <w:sz w:val="20"/>
          <w:szCs w:val="20"/>
        </w:rPr>
        <w:t>pyrithiobac-sodium undergoes first-order degradation</w:t>
      </w:r>
      <w:r w:rsidRPr="00571CE3">
        <w:rPr>
          <w:rFonts w:ascii="Arial" w:hAnsi="Arial" w:cs="Arial"/>
          <w:sz w:val="20"/>
          <w:szCs w:val="20"/>
        </w:rPr>
        <w:t xml:space="preserve"> in both red and black soils, with </w:t>
      </w:r>
      <w:r w:rsidRPr="00571CE3">
        <w:rPr>
          <w:rStyle w:val="Strong"/>
          <w:rFonts w:ascii="Arial" w:hAnsi="Arial" w:cs="Arial"/>
          <w:b w:val="0"/>
          <w:bCs w:val="0"/>
          <w:sz w:val="20"/>
          <w:szCs w:val="20"/>
        </w:rPr>
        <w:t>moisture and soil type</w:t>
      </w:r>
      <w:r w:rsidRPr="00571CE3">
        <w:rPr>
          <w:rFonts w:ascii="Arial" w:hAnsi="Arial" w:cs="Arial"/>
          <w:sz w:val="20"/>
          <w:szCs w:val="20"/>
        </w:rPr>
        <w:t xml:space="preserve"> being key determinants of its persistence. Under the semi-arid climatic conditions of Telangana, </w:t>
      </w:r>
      <w:r w:rsidRPr="00571CE3">
        <w:rPr>
          <w:rStyle w:val="Strong"/>
          <w:rFonts w:ascii="Arial" w:hAnsi="Arial" w:cs="Arial"/>
          <w:b w:val="0"/>
          <w:bCs w:val="0"/>
          <w:sz w:val="20"/>
          <w:szCs w:val="20"/>
        </w:rPr>
        <w:t>low soil moisture and alkaline pH</w:t>
      </w:r>
      <w:r w:rsidRPr="00571CE3">
        <w:rPr>
          <w:rFonts w:ascii="Arial" w:hAnsi="Arial" w:cs="Arial"/>
          <w:sz w:val="20"/>
          <w:szCs w:val="20"/>
        </w:rPr>
        <w:t xml:space="preserve"> may prolong the environmental half-life of the herbicide, increasing the risk of </w:t>
      </w:r>
      <w:r w:rsidRPr="00571CE3">
        <w:rPr>
          <w:rStyle w:val="Strong"/>
          <w:rFonts w:ascii="Arial" w:hAnsi="Arial" w:cs="Arial"/>
          <w:b w:val="0"/>
          <w:bCs w:val="0"/>
          <w:sz w:val="20"/>
          <w:szCs w:val="20"/>
        </w:rPr>
        <w:t>residual carryover</w:t>
      </w:r>
      <w:r w:rsidRPr="00571CE3">
        <w:rPr>
          <w:rFonts w:ascii="Arial" w:hAnsi="Arial" w:cs="Arial"/>
          <w:sz w:val="20"/>
          <w:szCs w:val="20"/>
        </w:rPr>
        <w:t xml:space="preserve"> and necessitating </w:t>
      </w:r>
      <w:r w:rsidRPr="00571CE3">
        <w:rPr>
          <w:rStyle w:val="Strong"/>
          <w:rFonts w:ascii="Arial" w:hAnsi="Arial" w:cs="Arial"/>
          <w:b w:val="0"/>
          <w:bCs w:val="0"/>
          <w:sz w:val="20"/>
          <w:szCs w:val="20"/>
        </w:rPr>
        <w:t>judicious application scheduling</w:t>
      </w:r>
      <w:r w:rsidRPr="00571CE3">
        <w:rPr>
          <w:rFonts w:ascii="Arial" w:hAnsi="Arial" w:cs="Arial"/>
          <w:sz w:val="20"/>
          <w:szCs w:val="20"/>
        </w:rPr>
        <w:t xml:space="preserve"> in cotton-based cropping systems.</w:t>
      </w:r>
    </w:p>
    <w:p w:rsidR="00B01FCD" w:rsidRPr="00571CE3" w:rsidRDefault="00000F8F" w:rsidP="00441B6F">
      <w:pPr>
        <w:pStyle w:val="ConcHead"/>
        <w:spacing w:after="0"/>
        <w:jc w:val="both"/>
        <w:rPr>
          <w:rFonts w:ascii="Arial" w:hAnsi="Arial" w:cs="Arial"/>
        </w:rPr>
      </w:pPr>
      <w:r w:rsidRPr="00571CE3">
        <w:rPr>
          <w:rFonts w:ascii="Arial" w:hAnsi="Arial" w:cs="Arial"/>
        </w:rPr>
        <w:t xml:space="preserve">4. </w:t>
      </w:r>
      <w:r w:rsidR="00B01FCD" w:rsidRPr="00571CE3">
        <w:rPr>
          <w:rFonts w:ascii="Arial" w:hAnsi="Arial" w:cs="Arial"/>
        </w:rPr>
        <w:t>Conclusion</w:t>
      </w:r>
    </w:p>
    <w:p w:rsidR="00790ADA" w:rsidRPr="00571CE3" w:rsidRDefault="00790ADA" w:rsidP="00441B6F">
      <w:pPr>
        <w:pStyle w:val="ConcHead"/>
        <w:spacing w:after="0"/>
        <w:jc w:val="both"/>
        <w:rPr>
          <w:rFonts w:ascii="Arial" w:hAnsi="Arial" w:cs="Arial"/>
        </w:rPr>
      </w:pPr>
    </w:p>
    <w:p w:rsidR="0043463D" w:rsidRPr="00571CE3" w:rsidRDefault="0043463D" w:rsidP="00441B6F">
      <w:pPr>
        <w:pStyle w:val="Body"/>
        <w:spacing w:after="0"/>
        <w:rPr>
          <w:rFonts w:ascii="Arial" w:hAnsi="Arial" w:cs="Arial"/>
        </w:rPr>
      </w:pPr>
      <w:r w:rsidRPr="00571CE3">
        <w:rPr>
          <w:rFonts w:ascii="Arial" w:hAnsi="Arial" w:cs="Arial"/>
        </w:rPr>
        <w:t xml:space="preserve">Pyrithiobac-sodium exhibited first-order dissipation kinetics in both red and black soils of Telangana, with persistence strongly influenced by soil type and moisture content. The herbicide dissipated more rapidly under field capacity moisture, while reduced moisture levels significantly prolonged its half-life. Black soil, with higher clay and cation exchange capacity, showed greater sorption and slower degradation than red soil. Overall, pyrithiobac-sodium displayed moderate persistence and low adsorption, suggesting potential mobility under coarse-textured conditions and possible carryover under dry conditions. These findings highlight the need for moisture-based management to ensure safe and effective herbicide use in cotton-based systems. </w:t>
      </w:r>
    </w:p>
    <w:p w:rsidR="0043463D" w:rsidRPr="00571CE3" w:rsidRDefault="0043463D" w:rsidP="00441B6F">
      <w:pPr>
        <w:pStyle w:val="AcknHead"/>
        <w:spacing w:after="0"/>
        <w:jc w:val="both"/>
        <w:rPr>
          <w:rFonts w:ascii="Arial" w:hAnsi="Arial" w:cs="Arial"/>
        </w:rPr>
      </w:pPr>
    </w:p>
    <w:p w:rsidR="00790ADA" w:rsidRPr="00571CE3" w:rsidRDefault="00790ADA" w:rsidP="00441B6F">
      <w:pPr>
        <w:pStyle w:val="AcknHead"/>
        <w:spacing w:after="0"/>
        <w:jc w:val="both"/>
        <w:rPr>
          <w:rFonts w:ascii="Arial" w:hAnsi="Arial" w:cs="Arial"/>
        </w:rPr>
      </w:pPr>
    </w:p>
    <w:p w:rsidR="00B01FCD" w:rsidRPr="00571CE3" w:rsidRDefault="00B01FCD" w:rsidP="00441B6F">
      <w:pPr>
        <w:pStyle w:val="ReferHead"/>
        <w:spacing w:after="0"/>
        <w:jc w:val="both"/>
        <w:rPr>
          <w:rFonts w:ascii="Arial" w:hAnsi="Arial" w:cs="Arial"/>
        </w:rPr>
      </w:pPr>
      <w:r w:rsidRPr="00571CE3">
        <w:rPr>
          <w:rFonts w:ascii="Arial" w:hAnsi="Arial" w:cs="Arial"/>
        </w:rPr>
        <w:t>References</w:t>
      </w:r>
    </w:p>
    <w:p w:rsidR="00136701" w:rsidRPr="00571CE3" w:rsidRDefault="00136701" w:rsidP="00136701">
      <w:pPr>
        <w:pStyle w:val="Body"/>
        <w:spacing w:after="0"/>
        <w:rPr>
          <w:rFonts w:ascii="Arial" w:hAnsi="Arial" w:cs="Arial"/>
        </w:rPr>
      </w:pPr>
    </w:p>
    <w:p w:rsidR="00B923A0" w:rsidRPr="00571CE3" w:rsidRDefault="00B923A0" w:rsidP="00136701">
      <w:pPr>
        <w:pStyle w:val="Body"/>
        <w:spacing w:after="0"/>
        <w:rPr>
          <w:rFonts w:ascii="Arial" w:hAnsi="Arial" w:cs="Arial"/>
        </w:rPr>
      </w:pPr>
      <w:r w:rsidRPr="00571CE3">
        <w:rPr>
          <w:rFonts w:ascii="Arial" w:hAnsi="Arial" w:cs="Arial"/>
        </w:rPr>
        <w:lastRenderedPageBreak/>
        <w:t>Adare, Z. M., Srinivas, A., Rao, V. P., Ramprakash T., &amp;Thatikunta, T. R. (2016). Association of weather variables with yield and yield components of cotton (</w:t>
      </w:r>
      <w:r w:rsidRPr="00571CE3">
        <w:rPr>
          <w:rFonts w:ascii="Arial" w:hAnsi="Arial" w:cs="Arial"/>
          <w:i/>
        </w:rPr>
        <w:t>Gossypium hirsutum</w:t>
      </w:r>
      <w:r w:rsidRPr="00571CE3">
        <w:rPr>
          <w:rFonts w:ascii="Arial" w:hAnsi="Arial" w:cs="Arial"/>
        </w:rPr>
        <w:t xml:space="preserve"> L.) at reproductive phenophase. African Journal of Agricultural Research, 11(29), 2555–2561. https://doi.org/10.5897/ajar2016.11090 </w:t>
      </w:r>
    </w:p>
    <w:p w:rsidR="00B923A0" w:rsidRPr="00571CE3" w:rsidRDefault="00B923A0" w:rsidP="00136701">
      <w:pPr>
        <w:pStyle w:val="Body"/>
        <w:spacing w:after="0"/>
        <w:rPr>
          <w:rFonts w:ascii="Arial" w:hAnsi="Arial" w:cs="Arial"/>
        </w:rPr>
      </w:pPr>
    </w:p>
    <w:p w:rsidR="00136701" w:rsidRPr="00571CE3" w:rsidRDefault="00136701" w:rsidP="00136701">
      <w:pPr>
        <w:pStyle w:val="Body"/>
        <w:spacing w:after="0"/>
        <w:rPr>
          <w:rFonts w:ascii="Arial" w:hAnsi="Arial" w:cs="Arial"/>
          <w:lang w:val="en-IN" w:eastAsia="en-IN"/>
        </w:rPr>
      </w:pPr>
      <w:r w:rsidRPr="00571CE3">
        <w:rPr>
          <w:rFonts w:ascii="Arial" w:hAnsi="Arial" w:cs="Arial"/>
          <w:lang w:val="en-IN" w:eastAsia="en-IN"/>
        </w:rPr>
        <w:t>APVMA</w:t>
      </w:r>
      <w:r w:rsidR="00B923A0" w:rsidRPr="00571CE3">
        <w:rPr>
          <w:rFonts w:ascii="Arial" w:hAnsi="Arial" w:cs="Arial"/>
          <w:lang w:val="en-IN" w:eastAsia="en-IN"/>
        </w:rPr>
        <w:t xml:space="preserve"> (1996). Public Release Summary on the Evaluation of the New Active Pyrithiobac-Sodium in the Product Staple Herbicide. Australian Pesticides and Veterinary Medicines Authority, Canberra, Australia.</w:t>
      </w:r>
    </w:p>
    <w:p w:rsidR="00136701" w:rsidRPr="00571CE3" w:rsidRDefault="00136701" w:rsidP="00136701">
      <w:pPr>
        <w:pStyle w:val="Body"/>
        <w:spacing w:after="0"/>
        <w:rPr>
          <w:rFonts w:ascii="Arial" w:hAnsi="Arial" w:cs="Arial"/>
          <w:lang w:val="en-IN" w:eastAsia="en-IN"/>
        </w:rPr>
      </w:pPr>
    </w:p>
    <w:p w:rsidR="00136701" w:rsidRPr="00571CE3" w:rsidRDefault="00B923A0" w:rsidP="00136701">
      <w:pPr>
        <w:pStyle w:val="Body"/>
        <w:spacing w:after="0"/>
        <w:rPr>
          <w:rFonts w:ascii="Arial" w:hAnsi="Arial" w:cs="Arial"/>
          <w:lang w:val="en-IN" w:eastAsia="en-IN"/>
        </w:rPr>
      </w:pPr>
      <w:r w:rsidRPr="00213B6E">
        <w:rPr>
          <w:rFonts w:ascii="Arial" w:hAnsi="Arial" w:cs="Arial"/>
          <w:lang w:val="en-IN" w:eastAsia="en-IN"/>
        </w:rPr>
        <w:t xml:space="preserve">Baskaran, S., &amp; Kennedy, I.R. (1999). </w:t>
      </w:r>
      <w:r w:rsidRPr="00571CE3">
        <w:rPr>
          <w:rFonts w:ascii="Arial" w:hAnsi="Arial" w:cs="Arial"/>
          <w:lang w:val="en-IN" w:eastAsia="en-IN"/>
        </w:rPr>
        <w:t>Sorption and desorption kinetics of diuron, fluometuron, prometryn and pyrithiobac-sodium in soils. Journal of Environmental Science and Health</w:t>
      </w:r>
      <w:r w:rsidRPr="00571CE3">
        <w:rPr>
          <w:rFonts w:ascii="Arial" w:hAnsi="Arial" w:cs="Arial"/>
          <w:i/>
          <w:iCs/>
          <w:lang w:val="en-IN" w:eastAsia="en-IN"/>
        </w:rPr>
        <w:t xml:space="preserve">, </w:t>
      </w:r>
      <w:r w:rsidRPr="00571CE3">
        <w:rPr>
          <w:rFonts w:ascii="Arial" w:hAnsi="Arial" w:cs="Arial"/>
          <w:lang w:val="en-IN" w:eastAsia="en-IN"/>
        </w:rPr>
        <w:t>Part B, 34(6), 943–963.</w:t>
      </w:r>
    </w:p>
    <w:p w:rsidR="00136701" w:rsidRPr="00571CE3" w:rsidRDefault="00B923A0" w:rsidP="00136701">
      <w:pPr>
        <w:pStyle w:val="Body"/>
        <w:spacing w:after="0"/>
        <w:rPr>
          <w:rFonts w:ascii="Arial" w:hAnsi="Arial" w:cs="Arial"/>
          <w:lang w:val="en-IN" w:eastAsia="en-IN"/>
        </w:rPr>
      </w:pPr>
      <w:r w:rsidRPr="00571CE3">
        <w:rPr>
          <w:rFonts w:ascii="Arial" w:hAnsi="Arial" w:cs="Arial"/>
          <w:lang w:val="en-IN" w:eastAsia="en-IN"/>
        </w:rPr>
        <w:t>Guerra, N., Velini, E.D., Carbonari, C.A., &amp; Trindade, M.L.B. (2013). Leaching of trifloxysulfuron-sodium and pyrithiobac-sodium in soil columns as a function of liming. Acta Scientiarum Agronomy, 35(2), 197–204.</w:t>
      </w:r>
    </w:p>
    <w:p w:rsidR="00136701" w:rsidRPr="00571CE3" w:rsidRDefault="00136701" w:rsidP="00136701">
      <w:pPr>
        <w:pStyle w:val="Body"/>
        <w:spacing w:after="0"/>
        <w:rPr>
          <w:rFonts w:ascii="Arial" w:hAnsi="Arial" w:cs="Arial"/>
          <w:lang w:val="en-IN" w:eastAsia="en-IN"/>
        </w:rPr>
      </w:pPr>
    </w:p>
    <w:p w:rsidR="00B923A0" w:rsidRPr="00571CE3" w:rsidRDefault="00B923A0" w:rsidP="00136701">
      <w:pPr>
        <w:pStyle w:val="Body"/>
        <w:spacing w:after="0"/>
        <w:rPr>
          <w:rFonts w:ascii="Arial" w:hAnsi="Arial" w:cs="Arial"/>
        </w:rPr>
      </w:pPr>
      <w:r w:rsidRPr="00571CE3">
        <w:rPr>
          <w:rFonts w:ascii="Arial" w:hAnsi="Arial" w:cs="Arial"/>
          <w:lang w:val="en-IN" w:eastAsia="en-IN"/>
        </w:rPr>
        <w:t>Matocha, C.J., Senseman, S.A., &amp; Bovey, R.W. (1999). Mobility of the herbicide pyrithiobac through intact soil columns. Journal of Agricultural and Food Chemistry</w:t>
      </w:r>
      <w:r w:rsidRPr="00571CE3">
        <w:rPr>
          <w:rFonts w:ascii="Arial" w:hAnsi="Arial" w:cs="Arial"/>
          <w:i/>
          <w:iCs/>
          <w:lang w:val="en-IN" w:eastAsia="en-IN"/>
        </w:rPr>
        <w:t>,</w:t>
      </w:r>
      <w:r w:rsidRPr="00571CE3">
        <w:rPr>
          <w:rFonts w:ascii="Arial" w:hAnsi="Arial" w:cs="Arial"/>
          <w:lang w:val="en-IN" w:eastAsia="en-IN"/>
        </w:rPr>
        <w:t xml:space="preserve"> 47(11), 4699–4703.</w:t>
      </w:r>
    </w:p>
    <w:p w:rsidR="00B923A0" w:rsidRPr="00571CE3" w:rsidRDefault="00B923A0" w:rsidP="00136701">
      <w:pPr>
        <w:pStyle w:val="NormalWeb"/>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Richards, L.A. (1954) Diagnosis and Improvement of Saline Alkali Soils, Agriculture, 160, Handbook 60. US Department of Agriculture, Washington DC.</w:t>
      </w:r>
    </w:p>
    <w:p w:rsidR="00136701" w:rsidRPr="00571CE3" w:rsidRDefault="00136701" w:rsidP="00136701">
      <w:pPr>
        <w:pStyle w:val="NormalWeb"/>
        <w:jc w:val="both"/>
        <w:rPr>
          <w:rStyle w:val="nlmstring-name"/>
          <w:rFonts w:ascii="Arial" w:hAnsi="Arial" w:cs="Arial"/>
          <w:color w:val="151515"/>
          <w:sz w:val="20"/>
          <w:szCs w:val="20"/>
          <w:shd w:val="clear" w:color="auto" w:fill="FFFFFF"/>
        </w:rPr>
      </w:pPr>
      <w:r w:rsidRPr="00571CE3">
        <w:rPr>
          <w:rFonts w:ascii="Arial" w:hAnsi="Arial" w:cs="Arial"/>
          <w:color w:val="151515"/>
          <w:sz w:val="20"/>
          <w:szCs w:val="20"/>
          <w:shd w:val="clear" w:color="auto" w:fill="FFFFFF"/>
          <w:lang w:val="en-US"/>
        </w:rPr>
        <w:t>Saritha, J. D., Ramprakash, T., Rao, P. C., &amp; Madhavi, M. (2017). Persistence of metribuzin in tomato growing soils and tomato fruits. Nature Environment and Pollution Technology, 16(2), 505.</w:t>
      </w:r>
    </w:p>
    <w:p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Sharma, A.K., Kaushik, G., &amp; Singh, R. (2016). Metabolism and dissipation of pyrithiobac sodium in soil and sediment under laboratory conditions. Journal of Agricultural and Food Chemistry, 64(12), 2431–2438.</w:t>
      </w:r>
    </w:p>
    <w:p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 xml:space="preserve">Singles, S.K., Kennedy, I.R., &amp; Cullen, J.M. (2002). Degradation of pyrithiobac sodium in soil under laboratory and field conditions. In </w:t>
      </w:r>
      <w:r w:rsidRPr="00571CE3">
        <w:rPr>
          <w:rFonts w:ascii="Arial" w:hAnsi="Arial" w:cs="Arial"/>
          <w:i/>
          <w:iCs/>
          <w:sz w:val="20"/>
          <w:szCs w:val="20"/>
        </w:rPr>
        <w:t>ACS Symposium Series</w:t>
      </w:r>
      <w:r w:rsidRPr="00571CE3">
        <w:rPr>
          <w:rFonts w:ascii="Arial" w:hAnsi="Arial" w:cs="Arial"/>
          <w:sz w:val="20"/>
          <w:szCs w:val="20"/>
        </w:rPr>
        <w:t xml:space="preserve"> (pp. 89–104). American Chemical Society, Washington, DC.</w:t>
      </w:r>
    </w:p>
    <w:p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Smith, M.C., Shaw, D.R., &amp; Webster, E.P. (2005). Influence of environmental factors on pyrithiobac persistence and carryover to rotational crops. Weed Science</w:t>
      </w:r>
      <w:r w:rsidRPr="00571CE3">
        <w:rPr>
          <w:rFonts w:ascii="Arial" w:hAnsi="Arial" w:cs="Arial"/>
          <w:i/>
          <w:iCs/>
          <w:sz w:val="20"/>
          <w:szCs w:val="20"/>
        </w:rPr>
        <w:t>,</w:t>
      </w:r>
      <w:r w:rsidRPr="00571CE3">
        <w:rPr>
          <w:rFonts w:ascii="Arial" w:hAnsi="Arial" w:cs="Arial"/>
          <w:sz w:val="20"/>
          <w:szCs w:val="20"/>
        </w:rPr>
        <w:t xml:space="preserve"> 53(3), 315–321.</w:t>
      </w:r>
    </w:p>
    <w:p w:rsidR="00136701" w:rsidRPr="00571CE3" w:rsidRDefault="00B923A0" w:rsidP="00136701">
      <w:pPr>
        <w:pStyle w:val="NormalWeb"/>
        <w:jc w:val="both"/>
        <w:rPr>
          <w:rStyle w:val="Strong"/>
          <w:rFonts w:ascii="Arial" w:eastAsiaTheme="majorEastAsia" w:hAnsi="Arial" w:cs="Arial"/>
          <w:b w:val="0"/>
          <w:bCs w:val="0"/>
          <w:sz w:val="20"/>
          <w:szCs w:val="20"/>
        </w:rPr>
      </w:pPr>
      <w:r w:rsidRPr="00571CE3">
        <w:rPr>
          <w:rStyle w:val="Strong"/>
          <w:rFonts w:ascii="Arial" w:eastAsiaTheme="majorEastAsia" w:hAnsi="Arial" w:cs="Arial"/>
          <w:b w:val="0"/>
          <w:bCs w:val="0"/>
          <w:sz w:val="20"/>
          <w:szCs w:val="20"/>
        </w:rPr>
        <w:t>Sumpter SR and Peterson BA (1994). Analytical method for P</w:t>
      </w:r>
      <w:r w:rsidR="00136701" w:rsidRPr="00571CE3">
        <w:rPr>
          <w:rStyle w:val="Strong"/>
          <w:rFonts w:ascii="Arial" w:eastAsiaTheme="majorEastAsia" w:hAnsi="Arial" w:cs="Arial"/>
          <w:b w:val="0"/>
          <w:bCs w:val="0"/>
          <w:sz w:val="20"/>
          <w:szCs w:val="20"/>
        </w:rPr>
        <w:t>y</w:t>
      </w:r>
      <w:r w:rsidRPr="00571CE3">
        <w:rPr>
          <w:rStyle w:val="Strong"/>
          <w:rFonts w:ascii="Arial" w:eastAsiaTheme="majorEastAsia" w:hAnsi="Arial" w:cs="Arial"/>
          <w:b w:val="0"/>
          <w:bCs w:val="0"/>
          <w:sz w:val="20"/>
          <w:szCs w:val="20"/>
        </w:rPr>
        <w:t>rithiobac sodium using HPLC-UV. Dupont limited. AMR 2743-94</w:t>
      </w:r>
      <w:r w:rsidR="00136701" w:rsidRPr="00571CE3">
        <w:rPr>
          <w:rStyle w:val="Strong"/>
          <w:rFonts w:ascii="Arial" w:eastAsiaTheme="majorEastAsia" w:hAnsi="Arial" w:cs="Arial"/>
          <w:b w:val="0"/>
          <w:bCs w:val="0"/>
          <w:sz w:val="20"/>
          <w:szCs w:val="20"/>
        </w:rPr>
        <w:t>.</w:t>
      </w:r>
    </w:p>
    <w:p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U.S. EPA</w:t>
      </w:r>
      <w:r w:rsidR="00136701" w:rsidRPr="00571CE3">
        <w:rPr>
          <w:rFonts w:ascii="Arial" w:hAnsi="Arial" w:cs="Arial"/>
          <w:sz w:val="20"/>
          <w:szCs w:val="20"/>
        </w:rPr>
        <w:t>.</w:t>
      </w:r>
      <w:r w:rsidRPr="00571CE3">
        <w:rPr>
          <w:rFonts w:ascii="Arial" w:hAnsi="Arial" w:cs="Arial"/>
          <w:sz w:val="20"/>
          <w:szCs w:val="20"/>
        </w:rPr>
        <w:t xml:space="preserve"> (2017). </w:t>
      </w:r>
      <w:r w:rsidRPr="00571CE3">
        <w:rPr>
          <w:rFonts w:ascii="Arial" w:hAnsi="Arial" w:cs="Arial"/>
          <w:i/>
          <w:iCs/>
          <w:sz w:val="20"/>
          <w:szCs w:val="20"/>
        </w:rPr>
        <w:t>Pyrithiobac-Sodium: Tier I Drinking Water Assessment.</w:t>
      </w:r>
      <w:r w:rsidRPr="00571CE3">
        <w:rPr>
          <w:rFonts w:ascii="Arial" w:hAnsi="Arial" w:cs="Arial"/>
          <w:sz w:val="20"/>
          <w:szCs w:val="20"/>
        </w:rPr>
        <w:t xml:space="preserve"> Environmental Fate and Effects Division, Office of Pesticide Programs, Washington, DC.</w:t>
      </w:r>
    </w:p>
    <w:p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 xml:space="preserve">Walker, A. (1974). A simulation model for prediction of herbicide persistence. </w:t>
      </w:r>
      <w:r w:rsidRPr="00571CE3">
        <w:rPr>
          <w:rFonts w:ascii="Arial" w:hAnsi="Arial" w:cs="Arial"/>
          <w:i/>
          <w:iCs/>
          <w:sz w:val="20"/>
          <w:szCs w:val="20"/>
        </w:rPr>
        <w:t>Journal of Environmental Quality,</w:t>
      </w:r>
      <w:r w:rsidRPr="00571CE3">
        <w:rPr>
          <w:rFonts w:ascii="Arial" w:hAnsi="Arial" w:cs="Arial"/>
          <w:sz w:val="20"/>
          <w:szCs w:val="20"/>
        </w:rPr>
        <w:t xml:space="preserve"> 3, 396–401.</w:t>
      </w:r>
    </w:p>
    <w:p w:rsidR="00136701" w:rsidRPr="00571CE3" w:rsidRDefault="00B923A0" w:rsidP="00136701">
      <w:pPr>
        <w:pStyle w:val="NormalWeb"/>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 xml:space="preserve">Walkley, A.J. </w:t>
      </w:r>
      <w:r w:rsidR="00136701" w:rsidRPr="00571CE3">
        <w:rPr>
          <w:rFonts w:ascii="Arial" w:hAnsi="Arial" w:cs="Arial"/>
          <w:color w:val="232323"/>
          <w:sz w:val="20"/>
          <w:szCs w:val="20"/>
          <w:shd w:val="clear" w:color="auto" w:fill="FFFFFF"/>
        </w:rPr>
        <w:t>&amp;</w:t>
      </w:r>
      <w:r w:rsidRPr="00571CE3">
        <w:rPr>
          <w:rFonts w:ascii="Arial" w:hAnsi="Arial" w:cs="Arial"/>
          <w:color w:val="232323"/>
          <w:sz w:val="20"/>
          <w:szCs w:val="20"/>
          <w:shd w:val="clear" w:color="auto" w:fill="FFFFFF"/>
        </w:rPr>
        <w:t xml:space="preserve"> Black, I.A. (1934) Estimation of soil organic carbon by the chromic acid titration method. Soil Sci</w:t>
      </w:r>
      <w:r w:rsidR="00136701" w:rsidRPr="00571CE3">
        <w:rPr>
          <w:rFonts w:ascii="Arial" w:hAnsi="Arial" w:cs="Arial"/>
          <w:color w:val="232323"/>
          <w:sz w:val="20"/>
          <w:szCs w:val="20"/>
          <w:shd w:val="clear" w:color="auto" w:fill="FFFFFF"/>
        </w:rPr>
        <w:t>ence,</w:t>
      </w:r>
      <w:r w:rsidRPr="00571CE3">
        <w:rPr>
          <w:rFonts w:ascii="Arial" w:hAnsi="Arial" w:cs="Arial"/>
          <w:color w:val="232323"/>
          <w:sz w:val="20"/>
          <w:szCs w:val="20"/>
          <w:shd w:val="clear" w:color="auto" w:fill="FFFFFF"/>
        </w:rPr>
        <w:t xml:space="preserve"> 37, 29-38.</w:t>
      </w:r>
    </w:p>
    <w:p w:rsidR="00441B6F" w:rsidRPr="00571CE3" w:rsidRDefault="00B923A0" w:rsidP="00136701">
      <w:pPr>
        <w:pStyle w:val="NormalWeb"/>
        <w:jc w:val="both"/>
        <w:rPr>
          <w:rFonts w:ascii="Arial" w:hAnsi="Arial" w:cs="Arial"/>
          <w:sz w:val="20"/>
          <w:szCs w:val="20"/>
        </w:rPr>
      </w:pPr>
      <w:r w:rsidRPr="00571CE3">
        <w:rPr>
          <w:rFonts w:ascii="Arial" w:hAnsi="Arial" w:cs="Arial"/>
          <w:sz w:val="20"/>
          <w:szCs w:val="20"/>
        </w:rPr>
        <w:t>Webster, E.P., &amp; Shaw, D.R. (1996). Carryover potential of pyrithiobac to rotational crops on a Mississippi clay soil. Weed Technology, 10(2), 353–358.</w:t>
      </w:r>
    </w:p>
    <w:sectPr w:rsidR="00441B6F" w:rsidRPr="00571CE3" w:rsidSect="004E6009">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055" w:rsidRDefault="00C62055" w:rsidP="00C37E61">
      <w:r>
        <w:separator/>
      </w:r>
    </w:p>
  </w:endnote>
  <w:endnote w:type="continuationSeparator" w:id="1">
    <w:p w:rsidR="00C62055" w:rsidRDefault="00C62055"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009" w:rsidRDefault="004E60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009" w:rsidRDefault="004E60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CC66EB" w:rsidRDefault="00754C9A" w:rsidP="00CC66EB">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055" w:rsidRDefault="00C62055" w:rsidP="00C37E61">
      <w:r>
        <w:separator/>
      </w:r>
    </w:p>
  </w:footnote>
  <w:footnote w:type="continuationSeparator" w:id="1">
    <w:p w:rsidR="00C62055" w:rsidRDefault="00C62055"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009" w:rsidRDefault="003B36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009" w:rsidRDefault="003B36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3B364F" w:rsidP="00296529">
    <w:pPr>
      <w:ind w:left="2160"/>
      <w:jc w:val="center"/>
      <w:rPr>
        <w:rFonts w:ascii="Times New Roman" w:eastAsia="Calibri" w:hAnsi="Times New Roman"/>
        <w:i/>
        <w:sz w:val="18"/>
        <w:szCs w:val="22"/>
      </w:rPr>
    </w:pPr>
    <w:r w:rsidRPr="003B364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25DAE"/>
    <w:rsid w:val="00030174"/>
    <w:rsid w:val="0004579C"/>
    <w:rsid w:val="000A47FA"/>
    <w:rsid w:val="000A65D3"/>
    <w:rsid w:val="000B1E33"/>
    <w:rsid w:val="000D689F"/>
    <w:rsid w:val="000E7B7B"/>
    <w:rsid w:val="000E7D62"/>
    <w:rsid w:val="00103357"/>
    <w:rsid w:val="00123C9F"/>
    <w:rsid w:val="00126190"/>
    <w:rsid w:val="00130F17"/>
    <w:rsid w:val="001320BF"/>
    <w:rsid w:val="00136701"/>
    <w:rsid w:val="00163BC4"/>
    <w:rsid w:val="00191062"/>
    <w:rsid w:val="00192B72"/>
    <w:rsid w:val="00197F3F"/>
    <w:rsid w:val="001A29D8"/>
    <w:rsid w:val="001A5CAA"/>
    <w:rsid w:val="001B0427"/>
    <w:rsid w:val="001D3A51"/>
    <w:rsid w:val="001E10D2"/>
    <w:rsid w:val="001E25B4"/>
    <w:rsid w:val="001E44FE"/>
    <w:rsid w:val="00200595"/>
    <w:rsid w:val="00204835"/>
    <w:rsid w:val="00213B6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1209"/>
    <w:rsid w:val="0039224F"/>
    <w:rsid w:val="003A43A4"/>
    <w:rsid w:val="003A7E18"/>
    <w:rsid w:val="003B364F"/>
    <w:rsid w:val="003C4C86"/>
    <w:rsid w:val="003C6258"/>
    <w:rsid w:val="003E2904"/>
    <w:rsid w:val="00401927"/>
    <w:rsid w:val="00402DB5"/>
    <w:rsid w:val="0041027F"/>
    <w:rsid w:val="00412475"/>
    <w:rsid w:val="00423789"/>
    <w:rsid w:val="0043463D"/>
    <w:rsid w:val="00440F43"/>
    <w:rsid w:val="00441B6F"/>
    <w:rsid w:val="00446221"/>
    <w:rsid w:val="00450E62"/>
    <w:rsid w:val="004539DB"/>
    <w:rsid w:val="00471A80"/>
    <w:rsid w:val="004D305E"/>
    <w:rsid w:val="004D4277"/>
    <w:rsid w:val="004E6009"/>
    <w:rsid w:val="00502516"/>
    <w:rsid w:val="00505F06"/>
    <w:rsid w:val="00506828"/>
    <w:rsid w:val="0053056E"/>
    <w:rsid w:val="00554FDA"/>
    <w:rsid w:val="00571CE3"/>
    <w:rsid w:val="00586197"/>
    <w:rsid w:val="005C784C"/>
    <w:rsid w:val="005D17F6"/>
    <w:rsid w:val="005E5539"/>
    <w:rsid w:val="00602BF5"/>
    <w:rsid w:val="00617FDD"/>
    <w:rsid w:val="00633614"/>
    <w:rsid w:val="00633F68"/>
    <w:rsid w:val="00636EB2"/>
    <w:rsid w:val="006375B8"/>
    <w:rsid w:val="0066510A"/>
    <w:rsid w:val="00673F9F"/>
    <w:rsid w:val="00682D03"/>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4296"/>
    <w:rsid w:val="007E088F"/>
    <w:rsid w:val="007F7B32"/>
    <w:rsid w:val="00804BC2"/>
    <w:rsid w:val="0081431A"/>
    <w:rsid w:val="0083216F"/>
    <w:rsid w:val="00860000"/>
    <w:rsid w:val="00863BD3"/>
    <w:rsid w:val="008641ED"/>
    <w:rsid w:val="00866D66"/>
    <w:rsid w:val="008671C6"/>
    <w:rsid w:val="00875803"/>
    <w:rsid w:val="00891C4F"/>
    <w:rsid w:val="00892FF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6337"/>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55E"/>
    <w:rsid w:val="00A94063"/>
    <w:rsid w:val="00AA6219"/>
    <w:rsid w:val="00AA74E0"/>
    <w:rsid w:val="00AB703F"/>
    <w:rsid w:val="00AC6BB8"/>
    <w:rsid w:val="00AE008F"/>
    <w:rsid w:val="00B01FCD"/>
    <w:rsid w:val="00B1342A"/>
    <w:rsid w:val="00B1776C"/>
    <w:rsid w:val="00B4771B"/>
    <w:rsid w:val="00B52583"/>
    <w:rsid w:val="00B52896"/>
    <w:rsid w:val="00B923A0"/>
    <w:rsid w:val="00B95236"/>
    <w:rsid w:val="00B96BD9"/>
    <w:rsid w:val="00BA1B01"/>
    <w:rsid w:val="00BA2641"/>
    <w:rsid w:val="00BB37AA"/>
    <w:rsid w:val="00BC53A0"/>
    <w:rsid w:val="00BE62AD"/>
    <w:rsid w:val="00BF121F"/>
    <w:rsid w:val="00BF1F80"/>
    <w:rsid w:val="00C003E1"/>
    <w:rsid w:val="00C166EF"/>
    <w:rsid w:val="00C17EB0"/>
    <w:rsid w:val="00C27F5F"/>
    <w:rsid w:val="00C30A0F"/>
    <w:rsid w:val="00C37E61"/>
    <w:rsid w:val="00C62055"/>
    <w:rsid w:val="00C70F1B"/>
    <w:rsid w:val="00C71A47"/>
    <w:rsid w:val="00C7464C"/>
    <w:rsid w:val="00C85588"/>
    <w:rsid w:val="00CC66EB"/>
    <w:rsid w:val="00CD6755"/>
    <w:rsid w:val="00CD6856"/>
    <w:rsid w:val="00CE0089"/>
    <w:rsid w:val="00CE793C"/>
    <w:rsid w:val="00CF193C"/>
    <w:rsid w:val="00D173F1"/>
    <w:rsid w:val="00D355A3"/>
    <w:rsid w:val="00D67967"/>
    <w:rsid w:val="00D74CB0"/>
    <w:rsid w:val="00D812F9"/>
    <w:rsid w:val="00D8295D"/>
    <w:rsid w:val="00D8626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5734"/>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8120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7F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91C4F"/>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891C4F"/>
    <w:rPr>
      <w:b/>
      <w:bCs/>
    </w:rPr>
  </w:style>
  <w:style w:type="character" w:customStyle="1" w:styleId="Heading3Char">
    <w:name w:val="Heading 3 Char"/>
    <w:basedOn w:val="DefaultParagraphFont"/>
    <w:link w:val="Heading3"/>
    <w:semiHidden/>
    <w:rsid w:val="00197F3F"/>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197F3F"/>
  </w:style>
  <w:style w:type="character" w:customStyle="1" w:styleId="vlist-s">
    <w:name w:val="vlist-s"/>
    <w:basedOn w:val="DefaultParagraphFont"/>
    <w:rsid w:val="00197F3F"/>
  </w:style>
  <w:style w:type="character" w:customStyle="1" w:styleId="Heading2Char">
    <w:name w:val="Heading 2 Char"/>
    <w:basedOn w:val="DefaultParagraphFont"/>
    <w:link w:val="Heading2"/>
    <w:uiPriority w:val="9"/>
    <w:semiHidden/>
    <w:rsid w:val="00381209"/>
    <w:rPr>
      <w:rFonts w:asciiTheme="majorHAnsi" w:eastAsiaTheme="majorEastAsia" w:hAnsiTheme="majorHAnsi" w:cstheme="majorBidi"/>
      <w:color w:val="365F91" w:themeColor="accent1" w:themeShade="BF"/>
      <w:sz w:val="26"/>
      <w:szCs w:val="26"/>
    </w:rPr>
  </w:style>
  <w:style w:type="character" w:customStyle="1" w:styleId="nlmstring-name">
    <w:name w:val="nlm_string-name"/>
    <w:basedOn w:val="DefaultParagraphFont"/>
    <w:rsid w:val="00B923A0"/>
  </w:style>
  <w:style w:type="character" w:customStyle="1" w:styleId="nlmarticle-title">
    <w:name w:val="nlm_article-title"/>
    <w:basedOn w:val="DefaultParagraphFont"/>
    <w:rsid w:val="00B923A0"/>
  </w:style>
  <w:style w:type="character" w:customStyle="1" w:styleId="nlmyear">
    <w:name w:val="nlm_year"/>
    <w:basedOn w:val="DefaultParagraphFont"/>
    <w:rsid w:val="00B923A0"/>
  </w:style>
  <w:style w:type="character" w:customStyle="1" w:styleId="nlmvolume">
    <w:name w:val="nlm_volume"/>
    <w:basedOn w:val="DefaultParagraphFont"/>
    <w:rsid w:val="00B923A0"/>
  </w:style>
  <w:style w:type="character" w:customStyle="1" w:styleId="nlmfpage">
    <w:name w:val="nlm_fpage"/>
    <w:basedOn w:val="DefaultParagraphFont"/>
    <w:rsid w:val="00B923A0"/>
  </w:style>
  <w:style w:type="character" w:customStyle="1" w:styleId="nlmlpage">
    <w:name w:val="nlm_lpage"/>
    <w:basedOn w:val="DefaultParagraphFont"/>
    <w:rsid w:val="00B923A0"/>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8160218">
      <w:bodyDiv w:val="1"/>
      <w:marLeft w:val="0"/>
      <w:marRight w:val="0"/>
      <w:marTop w:val="0"/>
      <w:marBottom w:val="0"/>
      <w:divBdr>
        <w:top w:val="none" w:sz="0" w:space="0" w:color="auto"/>
        <w:left w:val="none" w:sz="0" w:space="0" w:color="auto"/>
        <w:bottom w:val="none" w:sz="0" w:space="0" w:color="auto"/>
        <w:right w:val="none" w:sz="0" w:space="0" w:color="auto"/>
      </w:divBdr>
    </w:div>
    <w:div w:id="7770634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53200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ity\OneDrive\Desktop\Pyrithiobac%20sodium%20adsorp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ity\OneDrive\Desktop\Pyrithiobac%20sodium%20adsorp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ity\OneDrive\Desktop\Pyrithiobac%20sodium%20adsorp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ity\OneDrive\Desktop\Pyrithiobac%20sodium%20adsorp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Red soil-Field Capacity</a:t>
            </a:r>
          </a:p>
        </c:rich>
      </c:tx>
      <c:spPr>
        <a:noFill/>
        <a:ln>
          <a:noFill/>
        </a:ln>
        <a:effectLst/>
      </c:spPr>
    </c:title>
    <c:plotArea>
      <c:layout/>
      <c:scatterChart>
        <c:scatterStyle val="smoothMarker"/>
        <c:ser>
          <c:idx val="0"/>
          <c:order val="0"/>
          <c:tx>
            <c:strRef>
              <c:f>'Diss red'!$D$3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5.9162292213473348E-3"/>
                  <c:y val="-0.3591652085156023"/>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1" baseline="0">
                        <a:solidFill>
                          <a:sysClr val="windowText" lastClr="000000"/>
                        </a:solidFill>
                      </a:rPr>
                      <a:t>y = 89.572e</a:t>
                    </a:r>
                    <a:r>
                      <a:rPr lang="en-US" b="1" baseline="30000">
                        <a:solidFill>
                          <a:sysClr val="windowText" lastClr="000000"/>
                        </a:solidFill>
                      </a:rPr>
                      <a:t>-0.015x</a:t>
                    </a:r>
                    <a:r>
                      <a:rPr lang="en-US" b="1" baseline="0">
                        <a:solidFill>
                          <a:sysClr val="windowText" lastClr="000000"/>
                        </a:solidFill>
                      </a:rPr>
                      <a:t/>
                    </a:r>
                    <a:br>
                      <a:rPr lang="en-US" b="1" baseline="0">
                        <a:solidFill>
                          <a:sysClr val="windowText" lastClr="000000"/>
                        </a:solidFill>
                      </a:rPr>
                    </a:br>
                    <a:r>
                      <a:rPr lang="en-US" b="1" baseline="0">
                        <a:solidFill>
                          <a:sysClr val="windowText" lastClr="000000"/>
                        </a:solidFill>
                      </a:rPr>
                      <a:t>R² = 0.9935</a:t>
                    </a:r>
                    <a:endParaRPr lang="en-US" b="1">
                      <a:solidFill>
                        <a:sysClr val="windowText" lastClr="000000"/>
                      </a:solidFill>
                    </a:endParaRPr>
                  </a:p>
                </c:rich>
              </c:tx>
              <c:numFmt formatCode="General" sourceLinked="0"/>
              <c:spPr>
                <a:noFill/>
                <a:ln>
                  <a:noFill/>
                </a:ln>
                <a:effectLst/>
              </c:spPr>
            </c:trendlineLbl>
          </c:trendline>
          <c:xVal>
            <c:numRef>
              <c:f>'Diss red'!$C$4:$C$11</c:f>
              <c:numCache>
                <c:formatCode>General</c:formatCode>
                <c:ptCount val="8"/>
                <c:pt idx="0">
                  <c:v>0</c:v>
                </c:pt>
                <c:pt idx="1">
                  <c:v>15</c:v>
                </c:pt>
                <c:pt idx="2">
                  <c:v>30</c:v>
                </c:pt>
                <c:pt idx="3">
                  <c:v>45</c:v>
                </c:pt>
                <c:pt idx="4">
                  <c:v>60</c:v>
                </c:pt>
                <c:pt idx="5">
                  <c:v>90</c:v>
                </c:pt>
                <c:pt idx="6">
                  <c:v>120</c:v>
                </c:pt>
                <c:pt idx="7">
                  <c:v>135</c:v>
                </c:pt>
              </c:numCache>
            </c:numRef>
          </c:xVal>
          <c:yVal>
            <c:numRef>
              <c:f>'Diss red'!$D$4:$D$11</c:f>
              <c:numCache>
                <c:formatCode>General</c:formatCode>
                <c:ptCount val="8"/>
                <c:pt idx="0">
                  <c:v>93.210000000000022</c:v>
                </c:pt>
                <c:pt idx="1">
                  <c:v>76.209999999999994</c:v>
                </c:pt>
                <c:pt idx="2">
                  <c:v>60.21</c:v>
                </c:pt>
                <c:pt idx="3">
                  <c:v>45.21</c:v>
                </c:pt>
                <c:pt idx="4">
                  <c:v>37.120000000000012</c:v>
                </c:pt>
                <c:pt idx="5">
                  <c:v>28.12</c:v>
                </c:pt>
                <c:pt idx="6">
                  <c:v>17.45</c:v>
                </c:pt>
                <c:pt idx="7">
                  <c:v>15.21</c:v>
                </c:pt>
              </c:numCache>
            </c:numRef>
          </c:yVal>
          <c:smooth val="1"/>
          <c:extLst xmlns:c16r2="http://schemas.microsoft.com/office/drawing/2015/06/chart">
            <c:ext xmlns:c16="http://schemas.microsoft.com/office/drawing/2014/chart" uri="{C3380CC4-5D6E-409C-BE32-E72D297353CC}">
              <c16:uniqueId val="{00000001-B695-4C5F-BDF7-54C4A1D08B18}"/>
            </c:ext>
          </c:extLst>
        </c:ser>
        <c:axId val="105380864"/>
        <c:axId val="108412928"/>
      </c:scatterChart>
      <c:valAx>
        <c:axId val="105380864"/>
        <c:scaling>
          <c:orientation val="minMax"/>
        </c:scaling>
        <c:axPos val="b"/>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08412928"/>
        <c:crosses val="autoZero"/>
        <c:crossBetween val="midCat"/>
      </c:valAx>
      <c:valAx>
        <c:axId val="108412928"/>
        <c:scaling>
          <c:orientation val="minMax"/>
        </c:scaling>
        <c:axPos val="l"/>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538086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IN" sz="1100">
                <a:solidFill>
                  <a:sysClr val="windowText" lastClr="000000"/>
                </a:solidFill>
              </a:rPr>
              <a:t>Red soil -50% F</a:t>
            </a:r>
          </a:p>
        </c:rich>
      </c:tx>
      <c:spPr>
        <a:noFill/>
        <a:ln>
          <a:noFill/>
        </a:ln>
        <a:effectLst/>
      </c:spPr>
    </c:title>
    <c:plotArea>
      <c:layout/>
      <c:scatterChart>
        <c:scatterStyle val="smoothMarker"/>
        <c:ser>
          <c:idx val="0"/>
          <c:order val="0"/>
          <c:tx>
            <c:strRef>
              <c:f>'Diss red'!$D$13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319995142955885E-2"/>
                  <c:y val="-0.40674965421853371"/>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rendlineLbl>
          </c:trendline>
          <c:xVal>
            <c:numRef>
              <c:f>'Diss red'!$C$14:$C$21</c:f>
              <c:numCache>
                <c:formatCode>General</c:formatCode>
                <c:ptCount val="8"/>
                <c:pt idx="0">
                  <c:v>0</c:v>
                </c:pt>
                <c:pt idx="1">
                  <c:v>15</c:v>
                </c:pt>
                <c:pt idx="2">
                  <c:v>30</c:v>
                </c:pt>
                <c:pt idx="3">
                  <c:v>45</c:v>
                </c:pt>
                <c:pt idx="4">
                  <c:v>60</c:v>
                </c:pt>
                <c:pt idx="5">
                  <c:v>90</c:v>
                </c:pt>
                <c:pt idx="6">
                  <c:v>120</c:v>
                </c:pt>
                <c:pt idx="7">
                  <c:v>135</c:v>
                </c:pt>
              </c:numCache>
            </c:numRef>
          </c:xVal>
          <c:yVal>
            <c:numRef>
              <c:f>'Diss red'!$D$14:$D$21</c:f>
              <c:numCache>
                <c:formatCode>General</c:formatCode>
                <c:ptCount val="8"/>
                <c:pt idx="0">
                  <c:v>90.210000000000022</c:v>
                </c:pt>
                <c:pt idx="1">
                  <c:v>70.540000000000006</c:v>
                </c:pt>
                <c:pt idx="2">
                  <c:v>53.56</c:v>
                </c:pt>
                <c:pt idx="3">
                  <c:v>44.120000000000012</c:v>
                </c:pt>
                <c:pt idx="4">
                  <c:v>36.47</c:v>
                </c:pt>
                <c:pt idx="5">
                  <c:v>25.110000000000007</c:v>
                </c:pt>
                <c:pt idx="6">
                  <c:v>17.479999999999993</c:v>
                </c:pt>
                <c:pt idx="7">
                  <c:v>14.32</c:v>
                </c:pt>
              </c:numCache>
            </c:numRef>
          </c:yVal>
          <c:smooth val="1"/>
          <c:extLst xmlns:c16r2="http://schemas.microsoft.com/office/drawing/2015/06/chart">
            <c:ext xmlns:c16="http://schemas.microsoft.com/office/drawing/2014/chart" uri="{C3380CC4-5D6E-409C-BE32-E72D297353CC}">
              <c16:uniqueId val="{00000001-44D5-48AE-B869-87C07F0CC307}"/>
            </c:ext>
          </c:extLst>
        </c:ser>
        <c:axId val="108930944"/>
        <c:axId val="108939904"/>
      </c:scatterChart>
      <c:valAx>
        <c:axId val="108930944"/>
        <c:scaling>
          <c:orientation val="minMax"/>
        </c:scaling>
        <c:axPos val="b"/>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08939904"/>
        <c:crosses val="autoZero"/>
        <c:crossBetween val="midCat"/>
      </c:valAx>
      <c:valAx>
        <c:axId val="108939904"/>
        <c:scaling>
          <c:orientation val="minMax"/>
        </c:scaling>
        <c:axPos val="l"/>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0893094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Black</a:t>
            </a:r>
            <a:r>
              <a:rPr lang="en-US" sz="1100" b="1" baseline="0">
                <a:solidFill>
                  <a:sysClr val="windowText" lastClr="000000"/>
                </a:solidFill>
              </a:rPr>
              <a:t> </a:t>
            </a:r>
            <a:r>
              <a:rPr lang="en-US" sz="1100" b="1">
                <a:solidFill>
                  <a:sysClr val="windowText" lastClr="000000"/>
                </a:solidFill>
              </a:rPr>
              <a:t>soil-FC</a:t>
            </a:r>
          </a:p>
        </c:rich>
      </c:tx>
      <c:spPr>
        <a:noFill/>
        <a:ln>
          <a:noFill/>
        </a:ln>
        <a:effectLst/>
      </c:spPr>
    </c:title>
    <c:plotArea>
      <c:layout/>
      <c:scatterChart>
        <c:scatterStyle val="smoothMarker"/>
        <c:ser>
          <c:idx val="0"/>
          <c:order val="0"/>
          <c:tx>
            <c:strRef>
              <c:f>'Diss red (2)'!$D$3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2.1308924832049415E-2"/>
                  <c:y val="-0.41719012396177751"/>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aseline="0">
                        <a:solidFill>
                          <a:sysClr val="windowText" lastClr="000000"/>
                        </a:solidFill>
                      </a:rPr>
                      <a:t>y = 85.48e</a:t>
                    </a:r>
                    <a:r>
                      <a:rPr lang="en-US" baseline="30000">
                        <a:solidFill>
                          <a:sysClr val="windowText" lastClr="000000"/>
                        </a:solidFill>
                      </a:rPr>
                      <a:t>-0.012x</a:t>
                    </a:r>
                    <a:r>
                      <a:rPr lang="en-US" baseline="0">
                        <a:solidFill>
                          <a:sysClr val="windowText" lastClr="000000"/>
                        </a:solidFill>
                      </a:rPr>
                      <a:t/>
                    </a:r>
                    <a:br>
                      <a:rPr lang="en-US" baseline="0">
                        <a:solidFill>
                          <a:sysClr val="windowText" lastClr="000000"/>
                        </a:solidFill>
                      </a:rPr>
                    </a:br>
                    <a:r>
                      <a:rPr lang="en-US" baseline="0">
                        <a:solidFill>
                          <a:sysClr val="windowText" lastClr="000000"/>
                        </a:solidFill>
                      </a:rPr>
                      <a:t>R² = 0.9857</a:t>
                    </a:r>
                    <a:endParaRPr lang="en-US">
                      <a:solidFill>
                        <a:sysClr val="windowText" lastClr="000000"/>
                      </a:solidFill>
                    </a:endParaRPr>
                  </a:p>
                </c:rich>
              </c:tx>
              <c:numFmt formatCode="General" sourceLinked="0"/>
              <c:spPr>
                <a:noFill/>
                <a:ln>
                  <a:noFill/>
                </a:ln>
                <a:effectLst/>
              </c:spPr>
            </c:trendlineLbl>
          </c:trendline>
          <c:xVal>
            <c:numRef>
              <c:f>'Diss red (2)'!$C$4:$C$11</c:f>
              <c:numCache>
                <c:formatCode>General</c:formatCode>
                <c:ptCount val="8"/>
                <c:pt idx="0">
                  <c:v>0</c:v>
                </c:pt>
                <c:pt idx="1">
                  <c:v>15</c:v>
                </c:pt>
                <c:pt idx="2">
                  <c:v>30</c:v>
                </c:pt>
                <c:pt idx="3">
                  <c:v>45</c:v>
                </c:pt>
                <c:pt idx="4">
                  <c:v>60</c:v>
                </c:pt>
                <c:pt idx="5">
                  <c:v>90</c:v>
                </c:pt>
                <c:pt idx="6">
                  <c:v>120</c:v>
                </c:pt>
                <c:pt idx="7">
                  <c:v>135</c:v>
                </c:pt>
              </c:numCache>
            </c:numRef>
          </c:xVal>
          <c:yVal>
            <c:numRef>
              <c:f>'Diss red (2)'!$D$4:$D$11</c:f>
              <c:numCache>
                <c:formatCode>General</c:formatCode>
                <c:ptCount val="8"/>
                <c:pt idx="0">
                  <c:v>91.11999999999999</c:v>
                </c:pt>
                <c:pt idx="1">
                  <c:v>75.11999999999999</c:v>
                </c:pt>
                <c:pt idx="2">
                  <c:v>58.45</c:v>
                </c:pt>
                <c:pt idx="3">
                  <c:v>44.55</c:v>
                </c:pt>
                <c:pt idx="4">
                  <c:v>35.14</c:v>
                </c:pt>
                <c:pt idx="5">
                  <c:v>24.330000000000005</c:v>
                </c:pt>
                <c:pt idx="6">
                  <c:v>19.12</c:v>
                </c:pt>
                <c:pt idx="7">
                  <c:v>15.870000000000003</c:v>
                </c:pt>
              </c:numCache>
            </c:numRef>
          </c:yVal>
          <c:smooth val="1"/>
          <c:extLst xmlns:c16r2="http://schemas.microsoft.com/office/drawing/2015/06/chart">
            <c:ext xmlns:c16="http://schemas.microsoft.com/office/drawing/2014/chart" uri="{C3380CC4-5D6E-409C-BE32-E72D297353CC}">
              <c16:uniqueId val="{00000001-C6F6-41A5-9A5E-B3990243595E}"/>
            </c:ext>
          </c:extLst>
        </c:ser>
        <c:axId val="148427520"/>
        <c:axId val="148488960"/>
      </c:scatterChart>
      <c:valAx>
        <c:axId val="148427520"/>
        <c:scaling>
          <c:orientation val="minMax"/>
        </c:scaling>
        <c:axPos val="b"/>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8488960"/>
        <c:crosses val="autoZero"/>
        <c:crossBetween val="midCat"/>
      </c:valAx>
      <c:valAx>
        <c:axId val="148488960"/>
        <c:scaling>
          <c:orientation val="minMax"/>
        </c:scaling>
        <c:axPos val="l"/>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8427520"/>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IN" sz="1100" b="1">
                <a:solidFill>
                  <a:sysClr val="windowText" lastClr="000000"/>
                </a:solidFill>
              </a:rPr>
              <a:t>Black soil -50% FC</a:t>
            </a:r>
          </a:p>
        </c:rich>
      </c:tx>
      <c:spPr>
        <a:noFill/>
        <a:ln>
          <a:noFill/>
        </a:ln>
        <a:effectLst/>
      </c:spPr>
    </c:title>
    <c:plotArea>
      <c:layout/>
      <c:scatterChart>
        <c:scatterStyle val="smoothMarker"/>
        <c:ser>
          <c:idx val="0"/>
          <c:order val="0"/>
          <c:tx>
            <c:strRef>
              <c:f>'Diss red (2)'!$D$13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6752108114145313E-2"/>
                  <c:y val="-0.41924594189674791"/>
                </c:manualLayout>
              </c:layout>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aseline="0"/>
                      <a:t>y = 83.911e</a:t>
                    </a:r>
                    <a:r>
                      <a:rPr lang="en-US" baseline="30000"/>
                      <a:t>-0.011x</a:t>
                    </a:r>
                    <a:r>
                      <a:rPr lang="en-US" baseline="0"/>
                      <a:t/>
                    </a:r>
                    <a:br>
                      <a:rPr lang="en-US" baseline="0"/>
                    </a:br>
                    <a:r>
                      <a:rPr lang="en-US" baseline="0"/>
                      <a:t>R² = 0.9845</a:t>
                    </a:r>
                    <a:endParaRPr lang="en-US"/>
                  </a:p>
                </c:rich>
              </c:tx>
              <c:numFmt formatCode="General" sourceLinked="0"/>
              <c:spPr>
                <a:noFill/>
                <a:ln>
                  <a:noFill/>
                </a:ln>
                <a:effectLst/>
              </c:spPr>
            </c:trendlineLbl>
          </c:trendline>
          <c:xVal>
            <c:numRef>
              <c:f>'Diss red (2)'!$C$14:$C$21</c:f>
              <c:numCache>
                <c:formatCode>General</c:formatCode>
                <c:ptCount val="8"/>
                <c:pt idx="0">
                  <c:v>0</c:v>
                </c:pt>
                <c:pt idx="1">
                  <c:v>15</c:v>
                </c:pt>
                <c:pt idx="2">
                  <c:v>30</c:v>
                </c:pt>
                <c:pt idx="3">
                  <c:v>45</c:v>
                </c:pt>
                <c:pt idx="4">
                  <c:v>60</c:v>
                </c:pt>
                <c:pt idx="5">
                  <c:v>90</c:v>
                </c:pt>
                <c:pt idx="6">
                  <c:v>120</c:v>
                </c:pt>
                <c:pt idx="7">
                  <c:v>135</c:v>
                </c:pt>
              </c:numCache>
            </c:numRef>
          </c:xVal>
          <c:yVal>
            <c:numRef>
              <c:f>'Diss red (2)'!$D$14:$D$21</c:f>
              <c:numCache>
                <c:formatCode>General</c:formatCode>
                <c:ptCount val="8"/>
                <c:pt idx="0">
                  <c:v>92.210000000000022</c:v>
                </c:pt>
                <c:pt idx="1">
                  <c:v>73.260000000000005</c:v>
                </c:pt>
                <c:pt idx="2">
                  <c:v>54.21</c:v>
                </c:pt>
                <c:pt idx="3">
                  <c:v>42.21</c:v>
                </c:pt>
                <c:pt idx="4">
                  <c:v>32.25</c:v>
                </c:pt>
                <c:pt idx="5">
                  <c:v>23.21</c:v>
                </c:pt>
                <c:pt idx="6">
                  <c:v>16.54</c:v>
                </c:pt>
                <c:pt idx="7">
                  <c:v>14.54</c:v>
                </c:pt>
              </c:numCache>
            </c:numRef>
          </c:yVal>
          <c:smooth val="1"/>
          <c:extLst xmlns:c16r2="http://schemas.microsoft.com/office/drawing/2015/06/chart">
            <c:ext xmlns:c16="http://schemas.microsoft.com/office/drawing/2014/chart" uri="{C3380CC4-5D6E-409C-BE32-E72D297353CC}">
              <c16:uniqueId val="{00000001-ACC8-4175-ABC0-BED1A8117475}"/>
            </c:ext>
          </c:extLst>
        </c:ser>
        <c:axId val="84827520"/>
        <c:axId val="108955904"/>
      </c:scatterChart>
      <c:valAx>
        <c:axId val="84827520"/>
        <c:scaling>
          <c:orientation val="minMax"/>
        </c:scaling>
        <c:axPos val="b"/>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08955904"/>
        <c:crosses val="autoZero"/>
        <c:crossBetween val="midCat"/>
      </c:valAx>
      <c:valAx>
        <c:axId val="108955904"/>
        <c:scaling>
          <c:orientation val="minMax"/>
        </c:scaling>
        <c:axPos val="l"/>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4827520"/>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7E92-8374-4F19-9760-C9FE1739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162</TotalTime>
  <Pages>8</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18</cp:revision>
  <cp:lastPrinted>1999-07-06T11:00:00Z</cp:lastPrinted>
  <dcterms:created xsi:type="dcterms:W3CDTF">2014-10-25T14:34:00Z</dcterms:created>
  <dcterms:modified xsi:type="dcterms:W3CDTF">2025-10-15T08:53:00Z</dcterms:modified>
</cp:coreProperties>
</file>