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7D54A" w14:textId="77777777" w:rsid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Mangrove Forests in a Changing World: Distribution, Change, Drivers, and Climate Relevance</w:t>
      </w:r>
    </w:p>
    <w:p w14:paraId="712F3508" w14:textId="77777777" w:rsidR="00761E7B" w:rsidRPr="00A373FB" w:rsidRDefault="00761E7B" w:rsidP="00A52E57">
      <w:pPr>
        <w:spacing w:line="360" w:lineRule="auto"/>
        <w:rPr>
          <w:rFonts w:ascii="Times New Roman" w:hAnsi="Times New Roman" w:cs="Times New Roman"/>
          <w:b/>
          <w:bCs/>
          <w:color w:val="002060"/>
          <w:sz w:val="24"/>
          <w:szCs w:val="24"/>
          <w:u w:val="single"/>
        </w:rPr>
      </w:pPr>
    </w:p>
    <w:p w14:paraId="780E5C95" w14:textId="62BFBFD5"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Abstract</w:t>
      </w:r>
    </w:p>
    <w:p w14:paraId="5A02C520" w14:textId="77777777"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Mangrove forests are critical coastal ecosystems distributed across tropical and subtropical intertidal zones, forming a unique interface between land and sea. Although they occupy a relatively small global area, their ecological, socio-economic</w:t>
      </w:r>
      <w:r w:rsidRPr="00A373FB">
        <w:rPr>
          <w:rFonts w:ascii="Times New Roman" w:hAnsi="Times New Roman" w:cs="Times New Roman"/>
          <w:strike/>
          <w:color w:val="0070C0"/>
          <w:sz w:val="24"/>
          <w:szCs w:val="24"/>
        </w:rPr>
        <w:t>,</w:t>
      </w:r>
      <w:r w:rsidRPr="00A52E57">
        <w:rPr>
          <w:rFonts w:ascii="Times New Roman" w:hAnsi="Times New Roman" w:cs="Times New Roman"/>
          <w:sz w:val="24"/>
          <w:szCs w:val="24"/>
        </w:rPr>
        <w:t xml:space="preserve"> and climatic significance is disproportionately large. Mangroves stabilize coastlines, reduce erosion, act as nursery grounds for fish and crustaceans</w:t>
      </w:r>
      <w:r w:rsidRPr="00A373FB">
        <w:rPr>
          <w:rFonts w:ascii="Times New Roman" w:hAnsi="Times New Roman" w:cs="Times New Roman"/>
          <w:color w:val="0070C0"/>
          <w:sz w:val="24"/>
          <w:szCs w:val="24"/>
        </w:rPr>
        <w:t>,</w:t>
      </w:r>
      <w:r w:rsidRPr="00A52E57">
        <w:rPr>
          <w:rFonts w:ascii="Times New Roman" w:hAnsi="Times New Roman" w:cs="Times New Roman"/>
          <w:sz w:val="24"/>
          <w:szCs w:val="24"/>
        </w:rPr>
        <w:t xml:space="preserve"> and support coastal livelihoods through fisheries, timber, and cultural practices. They are also among the most carbon-dense ecosystems, with mean carbon stocks exceeding 1,000 Mg C ha</w:t>
      </w:r>
      <w:commentRangeStart w:id="0"/>
      <w:r w:rsidRPr="00A373FB">
        <w:rPr>
          <w:rFonts w:ascii="Times New Roman" w:hAnsi="Times New Roman" w:cs="Times New Roman"/>
          <w:strike/>
          <w:sz w:val="24"/>
          <w:szCs w:val="24"/>
        </w:rPr>
        <w:t>⁻</w:t>
      </w:r>
      <w:commentRangeEnd w:id="0"/>
      <w:r w:rsidR="00A373FB">
        <w:rPr>
          <w:rStyle w:val="CommentReference"/>
        </w:rPr>
        <w:commentReference w:id="0"/>
      </w:r>
      <w:r w:rsidRPr="00A52E57">
        <w:rPr>
          <w:rFonts w:ascii="Times New Roman" w:hAnsi="Times New Roman" w:cs="Times New Roman"/>
          <w:sz w:val="24"/>
          <w:szCs w:val="24"/>
        </w:rPr>
        <w:t>¹, most of which is stored in soils. Their role in blue carbon sequestration and storage elevates them as a priority in climate mitigation strategies. Yet, over the past century, mangroves have faced extensive degradation, particularly in Asia, driven by aquaculture, agricultural expansion, fuelwood harvesting</w:t>
      </w:r>
      <w:r w:rsidRPr="00A373FB">
        <w:rPr>
          <w:rFonts w:ascii="Times New Roman" w:hAnsi="Times New Roman" w:cs="Times New Roman"/>
          <w:strike/>
          <w:color w:val="0070C0"/>
          <w:sz w:val="24"/>
          <w:szCs w:val="24"/>
        </w:rPr>
        <w:t>,</w:t>
      </w:r>
      <w:r w:rsidRPr="00A52E57">
        <w:rPr>
          <w:rFonts w:ascii="Times New Roman" w:hAnsi="Times New Roman" w:cs="Times New Roman"/>
          <w:sz w:val="24"/>
          <w:szCs w:val="24"/>
        </w:rPr>
        <w:t xml:space="preserve"> and urban encroachment. Between 1996 and 2020</w:t>
      </w:r>
      <w:r w:rsidRPr="00A373FB">
        <w:rPr>
          <w:rFonts w:ascii="Times New Roman" w:hAnsi="Times New Roman" w:cs="Times New Roman"/>
          <w:strike/>
          <w:color w:val="0070C0"/>
          <w:sz w:val="24"/>
          <w:szCs w:val="24"/>
        </w:rPr>
        <w:t>,</w:t>
      </w:r>
      <w:r w:rsidRPr="00A52E57">
        <w:rPr>
          <w:rFonts w:ascii="Times New Roman" w:hAnsi="Times New Roman" w:cs="Times New Roman"/>
          <w:sz w:val="24"/>
          <w:szCs w:val="24"/>
        </w:rPr>
        <w:t xml:space="preserve"> global mangrove cover declined by approximately 3.4</w:t>
      </w:r>
      <w:commentRangeStart w:id="1"/>
      <w:commentRangeStart w:id="2"/>
      <w:r w:rsidRPr="00A373FB">
        <w:rPr>
          <w:rFonts w:ascii="Times New Roman" w:hAnsi="Times New Roman" w:cs="Times New Roman"/>
          <w:strike/>
          <w:sz w:val="24"/>
          <w:szCs w:val="24"/>
        </w:rPr>
        <w:t>%</w:t>
      </w:r>
      <w:commentRangeEnd w:id="1"/>
      <w:r w:rsidR="00A373FB">
        <w:rPr>
          <w:rStyle w:val="CommentReference"/>
        </w:rPr>
        <w:commentReference w:id="1"/>
      </w:r>
      <w:commentRangeEnd w:id="2"/>
      <w:r w:rsidR="00A373FB">
        <w:rPr>
          <w:rStyle w:val="CommentReference"/>
        </w:rPr>
        <w:commentReference w:id="2"/>
      </w:r>
      <w:r w:rsidRPr="00A52E57">
        <w:rPr>
          <w:rFonts w:ascii="Times New Roman" w:hAnsi="Times New Roman" w:cs="Times New Roman"/>
          <w:sz w:val="24"/>
          <w:szCs w:val="24"/>
        </w:rPr>
        <w:t>, with losses concentrated in Southeast Asia. Recent evidence, however, indicates stabilization and localized recovery, attributed to improved policy frameworks, restoration efforts</w:t>
      </w:r>
      <w:r w:rsidRPr="00A373FB">
        <w:rPr>
          <w:rFonts w:ascii="Times New Roman" w:hAnsi="Times New Roman" w:cs="Times New Roman"/>
          <w:strike/>
          <w:color w:val="0070C0"/>
          <w:sz w:val="24"/>
          <w:szCs w:val="24"/>
        </w:rPr>
        <w:t>,</w:t>
      </w:r>
      <w:r w:rsidRPr="00A52E57">
        <w:rPr>
          <w:rFonts w:ascii="Times New Roman" w:hAnsi="Times New Roman" w:cs="Times New Roman"/>
          <w:sz w:val="24"/>
          <w:szCs w:val="24"/>
        </w:rPr>
        <w:t xml:space="preserve"> and recognition of their ecosystem services. Remote sensing datasets such as the Global Mangrove Watch (GMW v3.0) and the High-resolution Global Mangrove Forest map (HGMF</w:t>
      </w:r>
      <w:commentRangeStart w:id="3"/>
      <w:r w:rsidRPr="00A52E57">
        <w:rPr>
          <w:rFonts w:ascii="Times New Roman" w:hAnsi="Times New Roman" w:cs="Times New Roman"/>
          <w:sz w:val="24"/>
          <w:szCs w:val="24"/>
        </w:rPr>
        <w:t>_</w:t>
      </w:r>
      <w:commentRangeEnd w:id="3"/>
      <w:r w:rsidR="00A373FB">
        <w:rPr>
          <w:rStyle w:val="CommentReference"/>
        </w:rPr>
        <w:commentReference w:id="3"/>
      </w:r>
      <w:r w:rsidRPr="00A52E57">
        <w:rPr>
          <w:rFonts w:ascii="Times New Roman" w:hAnsi="Times New Roman" w:cs="Times New Roman"/>
          <w:sz w:val="24"/>
          <w:szCs w:val="24"/>
        </w:rPr>
        <w:t>2020) have provided robust quantification of global and regional mangrove dynamics. These datasets reveal stark regional disparities, with Southeast Asia continuing to experience the highest losses, while South America and Oceania remain comparatively stable. Climate change presents an additional existential threat, with nearly 70% of Indo-Pacific mangroves projected to lack the vertical accretion capacity required to keep pace with sea-level rise. Nonetheless, evidence from successful restoration initiatives highlights the resilience of mangroves when hydrological processes are maintained. This review synthesizes current understanding of mangrove distribution, ecological roles, drivers of change</w:t>
      </w:r>
      <w:commentRangeStart w:id="4"/>
      <w:commentRangeStart w:id="5"/>
      <w:r w:rsidRPr="00A373FB">
        <w:rPr>
          <w:rFonts w:ascii="Times New Roman" w:hAnsi="Times New Roman" w:cs="Times New Roman"/>
          <w:strike/>
          <w:color w:val="0070C0"/>
          <w:sz w:val="24"/>
          <w:szCs w:val="24"/>
        </w:rPr>
        <w:t>,</w:t>
      </w:r>
      <w:commentRangeEnd w:id="4"/>
      <w:r w:rsidR="00A373FB">
        <w:rPr>
          <w:rStyle w:val="CommentReference"/>
        </w:rPr>
        <w:commentReference w:id="4"/>
      </w:r>
      <w:commentRangeEnd w:id="5"/>
      <w:r w:rsidR="00A373FB">
        <w:rPr>
          <w:rStyle w:val="CommentReference"/>
        </w:rPr>
        <w:commentReference w:id="5"/>
      </w:r>
      <w:r w:rsidRPr="00A52E57">
        <w:rPr>
          <w:rFonts w:ascii="Times New Roman" w:hAnsi="Times New Roman" w:cs="Times New Roman"/>
          <w:sz w:val="24"/>
          <w:szCs w:val="24"/>
        </w:rPr>
        <w:t xml:space="preserve"> and conservation strategies, drawing on recent datasets, case studies, and projections. It concludes by outlining pathways for future research and management that integrate monitoring technologies, ecological engineering, community </w:t>
      </w:r>
      <w:r w:rsidRPr="00A52E57">
        <w:rPr>
          <w:rFonts w:ascii="Times New Roman" w:hAnsi="Times New Roman" w:cs="Times New Roman"/>
          <w:sz w:val="24"/>
          <w:szCs w:val="24"/>
        </w:rPr>
        <w:lastRenderedPageBreak/>
        <w:t>co-management, and policy frameworks to secure mangroves’ role in climate adaptation and mitigation.</w:t>
      </w:r>
    </w:p>
    <w:p w14:paraId="3751465A"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 xml:space="preserve">Keywords: </w:t>
      </w:r>
      <w:r w:rsidRPr="00A52E57">
        <w:rPr>
          <w:rFonts w:ascii="Times New Roman" w:hAnsi="Times New Roman" w:cs="Times New Roman"/>
          <w:sz w:val="24"/>
          <w:szCs w:val="24"/>
        </w:rPr>
        <w:t>Mangrove forests; Blue carbon; Coastal ecosystems; Climate resilience; Sea-level rise; Restoration</w:t>
      </w:r>
    </w:p>
    <w:p w14:paraId="01E6DC22"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Introduction</w:t>
      </w:r>
    </w:p>
    <w:p w14:paraId="1097AEEA" w14:textId="5CB92711"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are globally significant ecosystems occupying the intertidal zones of tropical and subtropical coastlines across more than 120 countries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2007). These systems are characterized by specialized halophytic tree and shrub species such as </w:t>
      </w:r>
      <w:r w:rsidRPr="00A52E57">
        <w:rPr>
          <w:rFonts w:ascii="Times New Roman" w:hAnsi="Times New Roman" w:cs="Times New Roman"/>
          <w:i/>
          <w:iCs/>
          <w:sz w:val="24"/>
          <w:szCs w:val="24"/>
        </w:rPr>
        <w:t>Rhizophora</w:t>
      </w:r>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Avicennia</w:t>
      </w:r>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Bruguiera</w:t>
      </w:r>
      <w:r w:rsidRPr="00A52E57">
        <w:rPr>
          <w:rFonts w:ascii="Times New Roman" w:hAnsi="Times New Roman" w:cs="Times New Roman"/>
          <w:sz w:val="24"/>
          <w:szCs w:val="24"/>
        </w:rPr>
        <w:t xml:space="preserve">, and </w:t>
      </w:r>
      <w:r w:rsidRPr="00A52E57">
        <w:rPr>
          <w:rFonts w:ascii="Times New Roman" w:hAnsi="Times New Roman" w:cs="Times New Roman"/>
          <w:i/>
          <w:iCs/>
          <w:sz w:val="24"/>
          <w:szCs w:val="24"/>
        </w:rPr>
        <w:t>Sonneratia</w:t>
      </w:r>
      <w:r w:rsidRPr="00A52E57">
        <w:rPr>
          <w:rFonts w:ascii="Times New Roman" w:hAnsi="Times New Roman" w:cs="Times New Roman"/>
          <w:sz w:val="24"/>
          <w:szCs w:val="24"/>
        </w:rPr>
        <w:t xml:space="preserve"> that exhibit remarkable physiological adaptations to saline and waterlogged soils. Features such as aerial roots that enable oxygen exchange, salt-excreting glands that regulate osmotic balance, and viviparous propagules that aid dispersal highlight their evolutionary resilience (Alongi, 2014).</w:t>
      </w:r>
    </w:p>
    <w:p w14:paraId="261E0115" w14:textId="7485EDF5"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ecological importance of mangroves lies in their multifunctionality. They stabilize shorelines by binding sediments, thereby reducing erosion and mitigating storm surge impacts. The protective role of mangroves has been demonstrated empirically, such as during the 1999 Odisha super-cyclone in India, where mortality rates were significantly lower in villages protected by intact mangroves compared to those lacking this buffer (Das &amp; Vincent, 2009). Hydrodynamic studies confirm that mangroves reduce wave energy by approximately 50% within the first 100 m of forest, with efficiency depending on species composition and root density (Mazda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2006; Horstman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2014). Beyond protection, mangroves function as nurseries for juvenile fish, shrimp, and mollusks, sustaining coastal fisheries and ensuring food security for millions of people (Nagelkerken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2008).</w:t>
      </w:r>
    </w:p>
    <w:p w14:paraId="681C4457" w14:textId="2B632FE4"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Equally important are their biogeochemical functions. Mangroves are among the most carbon-rich ecosystems on Earth, with mean ecosystem carbon stocks exceeding 1,000 Mg C ha⁻¹, of which soils account for up to 98% (Donato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2011). Alongi (2014) estimated global mangrove burial of approximately 24 Tg C yr⁻¹, despite mangroves occupying less than 1% of coastal zones. Destruction of these ecosystems results in </w:t>
      </w:r>
      <w:r w:rsidRPr="00A52E57">
        <w:rPr>
          <w:rFonts w:ascii="Times New Roman" w:hAnsi="Times New Roman" w:cs="Times New Roman"/>
          <w:sz w:val="24"/>
          <w:szCs w:val="24"/>
        </w:rPr>
        <w:lastRenderedPageBreak/>
        <w:t xml:space="preserve">significant greenhouse gas emissions, with 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 projecting cumulative losses of 2.4–3.4 Pg CO₂-eq by 2100 if deforestation persists.</w:t>
      </w:r>
    </w:p>
    <w:p w14:paraId="1F76A2E9" w14:textId="4C57DC8A"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Despite their ecological and climatic importance, mangroves have undergone extensive degradation. Between the mid-20th century and the early 2000s, global mangrove cover declined rapidly due to aquaculture expansion, agricultural conversion, and urban development (Hamilton &amp; Casey, 2016; Richards &amp; Friess, 2016). Southeast Asia alone accounted for nearly 30% of global losses during 2000–2012, driven largely by shrimp aquaculture and rice cultivation. However, recent evidence suggests a slowing of losses and localized recovery, coinciding with stronger protection measures, ecological restoration, and improved awareness of their climate role (Thomas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25548E4D" w14:textId="1BE3F196"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advent of high-resolution remote sensing has revolutionized mangrove monitoring. The Global Mangrove Watch (GMW v3.0) dataset provides long-term global coverage from 1996 to 2020, while the High-resolution Global Mangrove Forest map (HGMF_2020) derived from Sentinel-2 offers unprecedented 10 m resolution (Bunting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2022;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2023). These datasets form the empirical basis for much of our current understanding of global and regional mangrove dynamics.</w:t>
      </w:r>
    </w:p>
    <w:p w14:paraId="3D612FDA"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Global Distribution and Recent Change</w:t>
      </w:r>
    </w:p>
    <w:p w14:paraId="54758839" w14:textId="2F3E9A3D"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are distributed unevenly across the tropics, with strong concentrations in Southeast Asia, northern South America, West Africa, and northern Australia. According to GMW v3.0, global mangrove cover declined from 152,604 km² in 1996 to 147,359 km² in 2020, reflecting a 3.4% net loss (Bunting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 Losses were most pronounced between 1996 and 2010, when extent dropped to 140,260 km², coinciding with rapid aquaculture development. However, partial recovery by 2020 demonstrates that stabilization is possible when policy and ecological conditions are favorable.</w:t>
      </w:r>
    </w:p>
    <w:p w14:paraId="3BF7DE3B" w14:textId="6A40F10F"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HGMF_2020 dataset corroborates these findings, reporting 145,068 km² in 2020 and emphasizing Asia’s dominance, which accounts for 39.2% of global mangroves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2023). Table 1 summarizes global extent across datasets, while Figure 1 depicts </w:t>
      </w:r>
      <w:r w:rsidRPr="00A52E57">
        <w:rPr>
          <w:rFonts w:ascii="Times New Roman" w:hAnsi="Times New Roman" w:cs="Times New Roman"/>
          <w:sz w:val="24"/>
          <w:szCs w:val="24"/>
        </w:rPr>
        <w:lastRenderedPageBreak/>
        <w:t>the temporal trajectory of loss and recovery. Figure 2 compares extent estimates for 2020 across GMW and HGMF, highlighting the robustness of independent datasets.</w:t>
      </w:r>
    </w:p>
    <w:p w14:paraId="2F154A03" w14:textId="6E53C9FF" w:rsidR="00A52E57" w:rsidRP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Table 1. Global mangrove extent across datasets, 1996–2020</w:t>
      </w:r>
    </w:p>
    <w:tbl>
      <w:tblPr>
        <w:tblStyle w:val="TableGrid"/>
        <w:tblW w:w="0" w:type="auto"/>
        <w:jc w:val="center"/>
        <w:tblLook w:val="04A0" w:firstRow="1" w:lastRow="0" w:firstColumn="1" w:lastColumn="0" w:noHBand="0" w:noVBand="1"/>
      </w:tblPr>
      <w:tblGrid>
        <w:gridCol w:w="1510"/>
        <w:gridCol w:w="976"/>
        <w:gridCol w:w="1522"/>
        <w:gridCol w:w="3662"/>
      </w:tblGrid>
      <w:tr w:rsidR="00A52E57" w:rsidRPr="00A52E57" w14:paraId="2914E65F" w14:textId="77777777" w:rsidTr="00A52E57">
        <w:trPr>
          <w:jc w:val="center"/>
        </w:trPr>
        <w:tc>
          <w:tcPr>
            <w:tcW w:w="0" w:type="auto"/>
            <w:hideMark/>
          </w:tcPr>
          <w:p w14:paraId="5EC520FE"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Dataset</w:t>
            </w:r>
          </w:p>
        </w:tc>
        <w:tc>
          <w:tcPr>
            <w:tcW w:w="0" w:type="auto"/>
            <w:hideMark/>
          </w:tcPr>
          <w:p w14:paraId="4B8F8A30"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Year(s)</w:t>
            </w:r>
          </w:p>
        </w:tc>
        <w:tc>
          <w:tcPr>
            <w:tcW w:w="0" w:type="auto"/>
            <w:hideMark/>
          </w:tcPr>
          <w:p w14:paraId="5CB52C14"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Extent (km²)</w:t>
            </w:r>
          </w:p>
        </w:tc>
        <w:tc>
          <w:tcPr>
            <w:tcW w:w="0" w:type="auto"/>
            <w:hideMark/>
          </w:tcPr>
          <w:p w14:paraId="2D68D089"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Notes</w:t>
            </w:r>
          </w:p>
        </w:tc>
      </w:tr>
      <w:tr w:rsidR="00A52E57" w:rsidRPr="00A52E57" w14:paraId="2F4AFE76" w14:textId="77777777" w:rsidTr="00A52E57">
        <w:trPr>
          <w:jc w:val="center"/>
        </w:trPr>
        <w:tc>
          <w:tcPr>
            <w:tcW w:w="0" w:type="auto"/>
            <w:hideMark/>
          </w:tcPr>
          <w:p w14:paraId="21D692BF"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3FC860C2"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1996</w:t>
            </w:r>
          </w:p>
        </w:tc>
        <w:tc>
          <w:tcPr>
            <w:tcW w:w="0" w:type="auto"/>
            <w:hideMark/>
          </w:tcPr>
          <w:p w14:paraId="0534D53C"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152,604</w:t>
            </w:r>
          </w:p>
        </w:tc>
        <w:tc>
          <w:tcPr>
            <w:tcW w:w="0" w:type="auto"/>
            <w:hideMark/>
          </w:tcPr>
          <w:p w14:paraId="56E521B5"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Global SAR baseline</w:t>
            </w:r>
          </w:p>
        </w:tc>
      </w:tr>
      <w:tr w:rsidR="00A52E57" w:rsidRPr="00A52E57" w14:paraId="74AB048C" w14:textId="77777777" w:rsidTr="00A52E57">
        <w:trPr>
          <w:jc w:val="center"/>
        </w:trPr>
        <w:tc>
          <w:tcPr>
            <w:tcW w:w="0" w:type="auto"/>
            <w:hideMark/>
          </w:tcPr>
          <w:p w14:paraId="6B10C94F"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7E07D0BC"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2010</w:t>
            </w:r>
          </w:p>
        </w:tc>
        <w:tc>
          <w:tcPr>
            <w:tcW w:w="0" w:type="auto"/>
            <w:hideMark/>
          </w:tcPr>
          <w:p w14:paraId="0CDFB203"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140,260</w:t>
            </w:r>
          </w:p>
        </w:tc>
        <w:tc>
          <w:tcPr>
            <w:tcW w:w="0" w:type="auto"/>
            <w:hideMark/>
          </w:tcPr>
          <w:p w14:paraId="7CBCDE59"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Peak of aquaculture-driven loss</w:t>
            </w:r>
          </w:p>
        </w:tc>
      </w:tr>
      <w:tr w:rsidR="00A52E57" w:rsidRPr="00A52E57" w14:paraId="328651C5" w14:textId="77777777" w:rsidTr="00A52E57">
        <w:trPr>
          <w:jc w:val="center"/>
        </w:trPr>
        <w:tc>
          <w:tcPr>
            <w:tcW w:w="0" w:type="auto"/>
            <w:hideMark/>
          </w:tcPr>
          <w:p w14:paraId="5FDA77C0"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5B30FB8E"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2020</w:t>
            </w:r>
          </w:p>
        </w:tc>
        <w:tc>
          <w:tcPr>
            <w:tcW w:w="0" w:type="auto"/>
            <w:hideMark/>
          </w:tcPr>
          <w:p w14:paraId="012F6BA1"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147,359</w:t>
            </w:r>
          </w:p>
        </w:tc>
        <w:tc>
          <w:tcPr>
            <w:tcW w:w="0" w:type="auto"/>
            <w:hideMark/>
          </w:tcPr>
          <w:p w14:paraId="1340A854"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Stabilization and localized recovery</w:t>
            </w:r>
          </w:p>
        </w:tc>
      </w:tr>
      <w:tr w:rsidR="00A52E57" w:rsidRPr="00A52E57" w14:paraId="69AB8AA1" w14:textId="77777777" w:rsidTr="00A52E57">
        <w:trPr>
          <w:jc w:val="center"/>
        </w:trPr>
        <w:tc>
          <w:tcPr>
            <w:tcW w:w="0" w:type="auto"/>
            <w:hideMark/>
          </w:tcPr>
          <w:p w14:paraId="65FBBAD5"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HGMF_2020</w:t>
            </w:r>
          </w:p>
        </w:tc>
        <w:tc>
          <w:tcPr>
            <w:tcW w:w="0" w:type="auto"/>
            <w:hideMark/>
          </w:tcPr>
          <w:p w14:paraId="053B71C9"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2020</w:t>
            </w:r>
          </w:p>
        </w:tc>
        <w:tc>
          <w:tcPr>
            <w:tcW w:w="0" w:type="auto"/>
            <w:hideMark/>
          </w:tcPr>
          <w:p w14:paraId="5488D322"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145,068</w:t>
            </w:r>
          </w:p>
        </w:tc>
        <w:tc>
          <w:tcPr>
            <w:tcW w:w="0" w:type="auto"/>
            <w:hideMark/>
          </w:tcPr>
          <w:p w14:paraId="20189226"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Sentinel-2, 10 m resolution</w:t>
            </w:r>
          </w:p>
        </w:tc>
      </w:tr>
    </w:tbl>
    <w:p w14:paraId="1CF2F49C" w14:textId="77777777" w:rsidR="00CA5F7D" w:rsidRDefault="00CA5F7D" w:rsidP="00FE2202">
      <w:pPr>
        <w:spacing w:line="360" w:lineRule="auto"/>
        <w:jc w:val="center"/>
        <w:rPr>
          <w:rFonts w:ascii="Times New Roman" w:hAnsi="Times New Roman" w:cs="Times New Roman"/>
          <w:b/>
          <w:bCs/>
          <w:sz w:val="24"/>
          <w:szCs w:val="24"/>
        </w:rPr>
      </w:pPr>
    </w:p>
    <w:p w14:paraId="72A6B42D" w14:textId="1D8F4912" w:rsidR="00FE2202" w:rsidRDefault="00FE2202" w:rsidP="00FE2202">
      <w:pPr>
        <w:spacing w:line="360" w:lineRule="auto"/>
        <w:jc w:val="center"/>
        <w:rPr>
          <w:rFonts w:ascii="Times New Roman" w:hAnsi="Times New Roman" w:cs="Times New Roman"/>
          <w:b/>
          <w:bCs/>
          <w:sz w:val="24"/>
          <w:szCs w:val="24"/>
        </w:rPr>
      </w:pPr>
      <w:r w:rsidRPr="00FE2202">
        <w:rPr>
          <w:rFonts w:ascii="Times New Roman" w:hAnsi="Times New Roman" w:cs="Times New Roman"/>
          <w:b/>
          <w:bCs/>
          <w:noProof/>
          <w:sz w:val="24"/>
          <w:szCs w:val="24"/>
          <w:lang w:val="en-IN" w:eastAsia="en-IN" w:bidi="ta-IN"/>
        </w:rPr>
        <w:drawing>
          <wp:inline distT="0" distB="0" distL="0" distR="0" wp14:anchorId="311E4E18" wp14:editId="26F9026D">
            <wp:extent cx="4523105" cy="3215497"/>
            <wp:effectExtent l="0" t="0" r="0" b="4445"/>
            <wp:docPr id="1826941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
                      <a:extLst>
                        <a:ext uri="{28A0092B-C50C-407E-A947-70E740481C1C}">
                          <a14:useLocalDpi xmlns:a14="http://schemas.microsoft.com/office/drawing/2010/main" val="0"/>
                        </a:ext>
                      </a:extLst>
                    </a:blip>
                    <a:srcRect t="5168"/>
                    <a:stretch>
                      <a:fillRect/>
                    </a:stretch>
                  </pic:blipFill>
                  <pic:spPr bwMode="auto">
                    <a:xfrm>
                      <a:off x="0" y="0"/>
                      <a:ext cx="4541138" cy="3228317"/>
                    </a:xfrm>
                    <a:prstGeom prst="rect">
                      <a:avLst/>
                    </a:prstGeom>
                    <a:noFill/>
                    <a:ln>
                      <a:noFill/>
                    </a:ln>
                    <a:extLst>
                      <a:ext uri="{53640926-AAD7-44D8-BBD7-CCE9431645EC}">
                        <a14:shadowObscured xmlns:a14="http://schemas.microsoft.com/office/drawing/2010/main"/>
                      </a:ext>
                    </a:extLst>
                  </pic:spPr>
                </pic:pic>
              </a:graphicData>
            </a:graphic>
          </wp:inline>
        </w:drawing>
      </w:r>
    </w:p>
    <w:p w14:paraId="7C9F3E4E" w14:textId="77777777" w:rsidR="00CA5F7D" w:rsidRDefault="00CA5F7D"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1. Global mangrove extent (1996–2020) from GMW v3.0.</w:t>
      </w:r>
    </w:p>
    <w:p w14:paraId="0D1AEB0E" w14:textId="77777777" w:rsidR="00CA5F7D" w:rsidRPr="00FE2202" w:rsidRDefault="00CA5F7D" w:rsidP="00FE2202">
      <w:pPr>
        <w:spacing w:line="360" w:lineRule="auto"/>
        <w:jc w:val="center"/>
        <w:rPr>
          <w:rFonts w:ascii="Times New Roman" w:hAnsi="Times New Roman" w:cs="Times New Roman"/>
          <w:b/>
          <w:bCs/>
          <w:sz w:val="24"/>
          <w:szCs w:val="24"/>
        </w:rPr>
      </w:pPr>
    </w:p>
    <w:p w14:paraId="532BB503" w14:textId="13462985" w:rsidR="00CA5F7D" w:rsidRDefault="00CA5F7D" w:rsidP="00CA5F7D">
      <w:pPr>
        <w:spacing w:line="360" w:lineRule="auto"/>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lastRenderedPageBreak/>
        <w:drawing>
          <wp:inline distT="0" distB="0" distL="0" distR="0" wp14:anchorId="0E685258" wp14:editId="7D63B44B">
            <wp:extent cx="5486400" cy="3488690"/>
            <wp:effectExtent l="0" t="0" r="0" b="0"/>
            <wp:docPr id="2037729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2">
                      <a:extLst>
                        <a:ext uri="{28A0092B-C50C-407E-A947-70E740481C1C}">
                          <a14:useLocalDpi xmlns:a14="http://schemas.microsoft.com/office/drawing/2010/main" val="0"/>
                        </a:ext>
                      </a:extLst>
                    </a:blip>
                    <a:srcRect t="7102"/>
                    <a:stretch>
                      <a:fillRect/>
                    </a:stretch>
                  </pic:blipFill>
                  <pic:spPr bwMode="auto">
                    <a:xfrm>
                      <a:off x="0" y="0"/>
                      <a:ext cx="5486400" cy="3488690"/>
                    </a:xfrm>
                    <a:prstGeom prst="rect">
                      <a:avLst/>
                    </a:prstGeom>
                    <a:noFill/>
                    <a:ln>
                      <a:noFill/>
                    </a:ln>
                    <a:extLst>
                      <a:ext uri="{53640926-AAD7-44D8-BBD7-CCE9431645EC}">
                        <a14:shadowObscured xmlns:a14="http://schemas.microsoft.com/office/drawing/2010/main"/>
                      </a:ext>
                    </a:extLst>
                  </pic:spPr>
                </pic:pic>
              </a:graphicData>
            </a:graphic>
          </wp:inline>
        </w:drawing>
      </w:r>
    </w:p>
    <w:p w14:paraId="40DDB78E" w14:textId="77777777" w:rsidR="00CA5F7D" w:rsidRDefault="00CA5F7D"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2. Comparison of global mangrove extent in 2020 across GMW v3.0 and HGMF_2020.</w:t>
      </w:r>
    </w:p>
    <w:p w14:paraId="219D022B"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Regional Patterns and Top Countries</w:t>
      </w:r>
    </w:p>
    <w:p w14:paraId="1F68F1E8" w14:textId="5FA3A378" w:rsidR="00A52E57" w:rsidRPr="00A52E57" w:rsidRDefault="00A52E57" w:rsidP="00CA5F7D">
      <w:pPr>
        <w:spacing w:line="360" w:lineRule="auto"/>
        <w:ind w:firstLine="720"/>
        <w:jc w:val="both"/>
        <w:rPr>
          <w:rFonts w:ascii="Times New Roman" w:hAnsi="Times New Roman" w:cs="Times New Roman"/>
          <w:sz w:val="24"/>
          <w:szCs w:val="24"/>
        </w:rPr>
      </w:pPr>
      <w:commentRangeStart w:id="6"/>
      <w:commentRangeStart w:id="7"/>
      <w:r w:rsidRPr="00A52E57">
        <w:rPr>
          <w:rFonts w:ascii="Times New Roman" w:hAnsi="Times New Roman" w:cs="Times New Roman"/>
          <w:sz w:val="24"/>
          <w:szCs w:val="24"/>
        </w:rPr>
        <w:t xml:space="preserve">Regional analyses reveal stark differences in extent, drivers, and trends. Asia is the global epicenter, hosting approximately 39.2% of mangroves, with Indonesia alone contributing ~45,000 km², or one-third of the global total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2023). Brazil follows with ~13,000 km², concentrated along the Amazon estuary, while Australia supports ~10,000 km² along its northern coast. Nigeria and Mozambique represent Africa’s largest mangrove holders. Figure 3 shows regional contributions, emphasizing Asia’s overwhelming dominance.</w:t>
      </w:r>
      <w:commentRangeEnd w:id="6"/>
      <w:r w:rsidR="00A373FB">
        <w:rPr>
          <w:rStyle w:val="CommentReference"/>
        </w:rPr>
        <w:commentReference w:id="6"/>
      </w:r>
      <w:commentRangeEnd w:id="7"/>
      <w:r w:rsidR="00A373FB">
        <w:rPr>
          <w:rStyle w:val="CommentReference"/>
        </w:rPr>
        <w:commentReference w:id="7"/>
      </w:r>
    </w:p>
    <w:p w14:paraId="1815134C" w14:textId="176DD1BA" w:rsid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Losses remain concentrated in Southeast Asia, where aquaculture and rice agriculture continue to drive conversion (Richards </w:t>
      </w:r>
      <w:commentRangeStart w:id="8"/>
      <w:commentRangeStart w:id="9"/>
      <w:r w:rsidRPr="00A373FB">
        <w:rPr>
          <w:rFonts w:ascii="Times New Roman" w:hAnsi="Times New Roman" w:cs="Times New Roman"/>
          <w:strike/>
          <w:sz w:val="24"/>
          <w:szCs w:val="24"/>
        </w:rPr>
        <w:t>&amp;</w:t>
      </w:r>
      <w:commentRangeEnd w:id="8"/>
      <w:r w:rsidR="00A373FB">
        <w:rPr>
          <w:rStyle w:val="CommentReference"/>
        </w:rPr>
        <w:commentReference w:id="8"/>
      </w:r>
      <w:commentRangeEnd w:id="9"/>
      <w:r w:rsidR="00A373FB">
        <w:rPr>
          <w:rStyle w:val="CommentReference"/>
        </w:rPr>
        <w:commentReference w:id="9"/>
      </w:r>
      <w:r w:rsidRPr="00A52E57">
        <w:rPr>
          <w:rFonts w:ascii="Times New Roman" w:hAnsi="Times New Roman" w:cs="Times New Roman"/>
          <w:sz w:val="24"/>
          <w:szCs w:val="24"/>
        </w:rPr>
        <w:t xml:space="preserve"> </w:t>
      </w:r>
      <w:r w:rsidR="00A373FB" w:rsidRPr="00A373FB">
        <w:rPr>
          <w:rFonts w:ascii="Times New Roman" w:hAnsi="Times New Roman" w:cs="Times New Roman"/>
          <w:color w:val="0070C0"/>
          <w:sz w:val="24"/>
          <w:szCs w:val="24"/>
          <w:u w:val="single"/>
        </w:rPr>
        <w:t>and</w:t>
      </w:r>
      <w:r w:rsidR="00A373FB">
        <w:rPr>
          <w:rFonts w:ascii="Times New Roman" w:hAnsi="Times New Roman" w:cs="Times New Roman"/>
          <w:sz w:val="24"/>
          <w:szCs w:val="24"/>
        </w:rPr>
        <w:t xml:space="preserve"> </w:t>
      </w:r>
      <w:r w:rsidRPr="00A52E57">
        <w:rPr>
          <w:rFonts w:ascii="Times New Roman" w:hAnsi="Times New Roman" w:cs="Times New Roman"/>
          <w:sz w:val="24"/>
          <w:szCs w:val="24"/>
        </w:rPr>
        <w:t xml:space="preserve">Friess, 2016). By contrast, South America shows relative stability due to high sediment supply in the Amazon delta (Thomas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Africa exhibits localized degradation from fuelwood harvesting, though community-based initiatives have emerged to counteract losses (Ward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2016). </w:t>
      </w:r>
      <w:r w:rsidRPr="00A52E57">
        <w:rPr>
          <w:rFonts w:ascii="Times New Roman" w:hAnsi="Times New Roman" w:cs="Times New Roman"/>
          <w:sz w:val="24"/>
          <w:szCs w:val="24"/>
        </w:rPr>
        <w:lastRenderedPageBreak/>
        <w:t xml:space="preserve">Oceania demonstrates general stability but episodic dieback linked to extreme drought, as documented in northern Australia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2346ACBD" w14:textId="49A83006" w:rsidR="00CA5F7D" w:rsidRPr="00CA5F7D" w:rsidRDefault="00CA5F7D" w:rsidP="00CA5F7D">
      <w:pPr>
        <w:spacing w:line="360" w:lineRule="auto"/>
        <w:ind w:firstLine="720"/>
        <w:jc w:val="both"/>
        <w:rPr>
          <w:rFonts w:ascii="Times New Roman" w:hAnsi="Times New Roman" w:cs="Times New Roman"/>
          <w:sz w:val="24"/>
          <w:szCs w:val="24"/>
        </w:rPr>
      </w:pPr>
      <w:r w:rsidRPr="00CA5F7D">
        <w:rPr>
          <w:rFonts w:ascii="Times New Roman" w:hAnsi="Times New Roman" w:cs="Times New Roman"/>
          <w:noProof/>
          <w:sz w:val="24"/>
          <w:szCs w:val="24"/>
          <w:lang w:val="en-IN" w:eastAsia="en-IN" w:bidi="ta-IN"/>
        </w:rPr>
        <w:drawing>
          <wp:inline distT="0" distB="0" distL="0" distR="0" wp14:anchorId="3082C184" wp14:editId="30163703">
            <wp:extent cx="5486400" cy="3611880"/>
            <wp:effectExtent l="0" t="0" r="0" b="7620"/>
            <wp:docPr id="625497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3">
                      <a:extLst>
                        <a:ext uri="{28A0092B-C50C-407E-A947-70E740481C1C}">
                          <a14:useLocalDpi xmlns:a14="http://schemas.microsoft.com/office/drawing/2010/main" val="0"/>
                        </a:ext>
                      </a:extLst>
                    </a:blip>
                    <a:srcRect t="11628" b="8496"/>
                    <a:stretch>
                      <a:fillRect/>
                    </a:stretch>
                  </pic:blipFill>
                  <pic:spPr bwMode="auto">
                    <a:xfrm>
                      <a:off x="0" y="0"/>
                      <a:ext cx="5486400"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7B91FF0E" w14:textId="77777777" w:rsidR="00A52E57" w:rsidRDefault="00A52E57"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3. Regional share of mangroves in 2020 (Asia vs. rest of world) based on HGMF_2020.</w:t>
      </w:r>
    </w:p>
    <w:p w14:paraId="3E08AACD"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Ecosystem Services and Blue Carbon</w:t>
      </w:r>
    </w:p>
    <w:p w14:paraId="6D8D5489" w14:textId="08B9F6C0"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provide multiple ecosystem services that are disproportionately large relative to their area. In terms of carbon storage, 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(2011) quantified mean stocks at 1,023 Mg C ha⁻¹, with soils contributing 49–98%. Alongi (2014) estimated annual global burial rates of 24 Tg C, underscoring their global role in carbon cycling. Table 2 summarizes key carbon values, while Figure 4 illustrates mean carbon stocks across sites.</w:t>
      </w:r>
    </w:p>
    <w:p w14:paraId="61F0F258" w14:textId="7A680487" w:rsidR="00A52E57" w:rsidRP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Table 2. Mangrove carbon storage and sequestration</w:t>
      </w:r>
    </w:p>
    <w:tbl>
      <w:tblPr>
        <w:tblStyle w:val="TableGrid"/>
        <w:tblW w:w="0" w:type="auto"/>
        <w:jc w:val="center"/>
        <w:tblLook w:val="04A0" w:firstRow="1" w:lastRow="0" w:firstColumn="1" w:lastColumn="0" w:noHBand="0" w:noVBand="1"/>
      </w:tblPr>
      <w:tblGrid>
        <w:gridCol w:w="3089"/>
        <w:gridCol w:w="2022"/>
        <w:gridCol w:w="2063"/>
      </w:tblGrid>
      <w:tr w:rsidR="00A52E57" w:rsidRPr="00A52E57" w14:paraId="0DFCDBFE" w14:textId="77777777" w:rsidTr="00A52E57">
        <w:trPr>
          <w:jc w:val="center"/>
        </w:trPr>
        <w:tc>
          <w:tcPr>
            <w:tcW w:w="0" w:type="auto"/>
            <w:hideMark/>
          </w:tcPr>
          <w:p w14:paraId="738E0D6E"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Parameter</w:t>
            </w:r>
          </w:p>
        </w:tc>
        <w:tc>
          <w:tcPr>
            <w:tcW w:w="0" w:type="auto"/>
            <w:hideMark/>
          </w:tcPr>
          <w:p w14:paraId="2BA631A5"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Value</w:t>
            </w:r>
          </w:p>
        </w:tc>
        <w:tc>
          <w:tcPr>
            <w:tcW w:w="0" w:type="auto"/>
            <w:hideMark/>
          </w:tcPr>
          <w:p w14:paraId="21CB4403"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Source</w:t>
            </w:r>
          </w:p>
        </w:tc>
      </w:tr>
      <w:tr w:rsidR="00A52E57" w:rsidRPr="00A52E57" w14:paraId="78431216" w14:textId="77777777" w:rsidTr="00A52E57">
        <w:trPr>
          <w:jc w:val="center"/>
        </w:trPr>
        <w:tc>
          <w:tcPr>
            <w:tcW w:w="0" w:type="auto"/>
            <w:hideMark/>
          </w:tcPr>
          <w:p w14:paraId="38905BE4"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Mean carbon stock</w:t>
            </w:r>
          </w:p>
        </w:tc>
        <w:tc>
          <w:tcPr>
            <w:tcW w:w="0" w:type="auto"/>
            <w:hideMark/>
          </w:tcPr>
          <w:p w14:paraId="152211A6"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1,023 Mg C ha⁻¹</w:t>
            </w:r>
          </w:p>
        </w:tc>
        <w:tc>
          <w:tcPr>
            <w:tcW w:w="0" w:type="auto"/>
            <w:hideMark/>
          </w:tcPr>
          <w:p w14:paraId="570BBC49" w14:textId="4F01C626"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2011</w:t>
            </w:r>
          </w:p>
        </w:tc>
      </w:tr>
      <w:tr w:rsidR="00A52E57" w:rsidRPr="00A52E57" w14:paraId="5B0F09AA" w14:textId="77777777" w:rsidTr="00A52E57">
        <w:trPr>
          <w:jc w:val="center"/>
        </w:trPr>
        <w:tc>
          <w:tcPr>
            <w:tcW w:w="0" w:type="auto"/>
            <w:hideMark/>
          </w:tcPr>
          <w:p w14:paraId="4019C077"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lastRenderedPageBreak/>
              <w:t>Soil contribution</w:t>
            </w:r>
          </w:p>
        </w:tc>
        <w:tc>
          <w:tcPr>
            <w:tcW w:w="0" w:type="auto"/>
            <w:hideMark/>
          </w:tcPr>
          <w:p w14:paraId="36F9736B"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49–98%</w:t>
            </w:r>
          </w:p>
        </w:tc>
        <w:tc>
          <w:tcPr>
            <w:tcW w:w="0" w:type="auto"/>
            <w:hideMark/>
          </w:tcPr>
          <w:p w14:paraId="1ACD8FB6" w14:textId="42EB628E"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2011</w:t>
            </w:r>
          </w:p>
        </w:tc>
      </w:tr>
      <w:tr w:rsidR="00A52E57" w:rsidRPr="00A52E57" w14:paraId="237DE9E9" w14:textId="77777777" w:rsidTr="00A52E57">
        <w:trPr>
          <w:jc w:val="center"/>
        </w:trPr>
        <w:tc>
          <w:tcPr>
            <w:tcW w:w="0" w:type="auto"/>
            <w:hideMark/>
          </w:tcPr>
          <w:p w14:paraId="6AF2A2B6"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Global burial rate</w:t>
            </w:r>
          </w:p>
        </w:tc>
        <w:tc>
          <w:tcPr>
            <w:tcW w:w="0" w:type="auto"/>
            <w:hideMark/>
          </w:tcPr>
          <w:p w14:paraId="795905CB"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24 Tg C yr⁻¹</w:t>
            </w:r>
          </w:p>
        </w:tc>
        <w:tc>
          <w:tcPr>
            <w:tcW w:w="0" w:type="auto"/>
            <w:hideMark/>
          </w:tcPr>
          <w:p w14:paraId="67402951"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Alongi, 2014</w:t>
            </w:r>
          </w:p>
        </w:tc>
      </w:tr>
      <w:tr w:rsidR="00A52E57" w:rsidRPr="00A52E57" w14:paraId="2EB933DA" w14:textId="77777777" w:rsidTr="00A52E57">
        <w:trPr>
          <w:jc w:val="center"/>
        </w:trPr>
        <w:tc>
          <w:tcPr>
            <w:tcW w:w="0" w:type="auto"/>
            <w:hideMark/>
          </w:tcPr>
          <w:p w14:paraId="30834F2F"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Projected emissions by 2100</w:t>
            </w:r>
          </w:p>
        </w:tc>
        <w:tc>
          <w:tcPr>
            <w:tcW w:w="0" w:type="auto"/>
            <w:hideMark/>
          </w:tcPr>
          <w:p w14:paraId="3881991D"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2.4–3.4 Pg CO₂-eq</w:t>
            </w:r>
          </w:p>
        </w:tc>
        <w:tc>
          <w:tcPr>
            <w:tcW w:w="0" w:type="auto"/>
            <w:hideMark/>
          </w:tcPr>
          <w:p w14:paraId="5EDBBB9C" w14:textId="7545D0C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w:t>
            </w:r>
          </w:p>
        </w:tc>
      </w:tr>
    </w:tbl>
    <w:p w14:paraId="5FACFE8D" w14:textId="77777777" w:rsidR="00CA5F7D" w:rsidRDefault="00CA5F7D" w:rsidP="00CA5F7D">
      <w:pPr>
        <w:spacing w:line="360" w:lineRule="auto"/>
        <w:rPr>
          <w:rFonts w:ascii="Times New Roman" w:hAnsi="Times New Roman" w:cs="Times New Roman"/>
          <w:b/>
          <w:bCs/>
          <w:sz w:val="24"/>
          <w:szCs w:val="24"/>
        </w:rPr>
      </w:pPr>
    </w:p>
    <w:p w14:paraId="3DB206D3" w14:textId="3F7AA8DD" w:rsidR="00CA5F7D" w:rsidRPr="00CA5F7D" w:rsidRDefault="00CA5F7D" w:rsidP="00CA5F7D">
      <w:pPr>
        <w:spacing w:line="360" w:lineRule="auto"/>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drawing>
          <wp:inline distT="0" distB="0" distL="0" distR="0" wp14:anchorId="301C0329" wp14:editId="53217F23">
            <wp:extent cx="5486400" cy="2815590"/>
            <wp:effectExtent l="0" t="0" r="0" b="3810"/>
            <wp:docPr id="1415363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4">
                      <a:extLst>
                        <a:ext uri="{28A0092B-C50C-407E-A947-70E740481C1C}">
                          <a14:useLocalDpi xmlns:a14="http://schemas.microsoft.com/office/drawing/2010/main" val="0"/>
                        </a:ext>
                      </a:extLst>
                    </a:blip>
                    <a:srcRect t="6574"/>
                    <a:stretch>
                      <a:fillRect/>
                    </a:stretch>
                  </pic:blipFill>
                  <pic:spPr bwMode="auto">
                    <a:xfrm>
                      <a:off x="0" y="0"/>
                      <a:ext cx="5486400" cy="2815590"/>
                    </a:xfrm>
                    <a:prstGeom prst="rect">
                      <a:avLst/>
                    </a:prstGeom>
                    <a:noFill/>
                    <a:ln>
                      <a:noFill/>
                    </a:ln>
                    <a:extLst>
                      <a:ext uri="{53640926-AAD7-44D8-BBD7-CCE9431645EC}">
                        <a14:shadowObscured xmlns:a14="http://schemas.microsoft.com/office/drawing/2010/main"/>
                      </a:ext>
                    </a:extLst>
                  </pic:spPr>
                </pic:pic>
              </a:graphicData>
            </a:graphic>
          </wp:inline>
        </w:drawing>
      </w:r>
    </w:p>
    <w:p w14:paraId="09E18E97" w14:textId="77777777" w:rsidR="00CA5F7D" w:rsidRDefault="00A52E57"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4. Mean mangrove ecosystem carbon stock (Donato et al., 2011).</w:t>
      </w:r>
    </w:p>
    <w:p w14:paraId="5B9044F9" w14:textId="030A84BC" w:rsidR="00CA5F7D" w:rsidRPr="00CA5F7D" w:rsidRDefault="00CA5F7D" w:rsidP="00CA5F7D">
      <w:pPr>
        <w:spacing w:line="360" w:lineRule="auto"/>
        <w:jc w:val="center"/>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drawing>
          <wp:inline distT="0" distB="0" distL="0" distR="0" wp14:anchorId="3845746D" wp14:editId="7852ED8D">
            <wp:extent cx="5486400" cy="3176270"/>
            <wp:effectExtent l="0" t="0" r="0" b="5080"/>
            <wp:docPr id="307319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5">
                      <a:extLst>
                        <a:ext uri="{28A0092B-C50C-407E-A947-70E740481C1C}">
                          <a14:useLocalDpi xmlns:a14="http://schemas.microsoft.com/office/drawing/2010/main" val="0"/>
                        </a:ext>
                      </a:extLst>
                    </a:blip>
                    <a:srcRect t="7336"/>
                    <a:stretch>
                      <a:fillRect/>
                    </a:stretch>
                  </pic:blipFill>
                  <pic:spPr bwMode="auto">
                    <a:xfrm>
                      <a:off x="0" y="0"/>
                      <a:ext cx="5486400" cy="3176270"/>
                    </a:xfrm>
                    <a:prstGeom prst="rect">
                      <a:avLst/>
                    </a:prstGeom>
                    <a:noFill/>
                    <a:ln>
                      <a:noFill/>
                    </a:ln>
                    <a:extLst>
                      <a:ext uri="{53640926-AAD7-44D8-BBD7-CCE9431645EC}">
                        <a14:shadowObscured xmlns:a14="http://schemas.microsoft.com/office/drawing/2010/main"/>
                      </a:ext>
                    </a:extLst>
                  </pic:spPr>
                </pic:pic>
              </a:graphicData>
            </a:graphic>
          </wp:inline>
        </w:drawing>
      </w:r>
    </w:p>
    <w:p w14:paraId="1207066B" w14:textId="676E49E5"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lastRenderedPageBreak/>
        <w:t>Figure 5. Projected global CO₂ emissions from mangrove loss by 2100 (Adame et al., 2021).</w:t>
      </w:r>
    </w:p>
    <w:p w14:paraId="328DF0A4" w14:textId="7EA1A6D8" w:rsid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also play a crucial role in coastal protection. Field evidence shows ~50% wave attenuation within 100 m of forest (Mazda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2006), while the Odisha cyclone case study (Das &amp; Vincent, 2009) highlights their socio-economic significance. Figure 6 demonstrates wave-energy reduction along a mangrove transect. Beyond carbon and coastal defense, mangroves sustain biodiversity by providing habitat complexity that supports fish, crustaceans, birds, and mammals (Nagelkerken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2008; Bosire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2008).</w:t>
      </w:r>
    </w:p>
    <w:p w14:paraId="0E7A2E05" w14:textId="38CFDBE1" w:rsidR="00CA5F7D" w:rsidRPr="00CA5F7D" w:rsidRDefault="00CA5F7D" w:rsidP="00CA5F7D">
      <w:pPr>
        <w:spacing w:line="360" w:lineRule="auto"/>
        <w:ind w:firstLine="720"/>
        <w:jc w:val="both"/>
        <w:rPr>
          <w:rFonts w:ascii="Times New Roman" w:hAnsi="Times New Roman" w:cs="Times New Roman"/>
          <w:sz w:val="24"/>
          <w:szCs w:val="24"/>
        </w:rPr>
      </w:pPr>
      <w:r w:rsidRPr="00CA5F7D">
        <w:rPr>
          <w:rFonts w:ascii="Times New Roman" w:hAnsi="Times New Roman" w:cs="Times New Roman"/>
          <w:noProof/>
          <w:sz w:val="24"/>
          <w:szCs w:val="24"/>
          <w:lang w:val="en-IN" w:eastAsia="en-IN" w:bidi="ta-IN"/>
        </w:rPr>
        <w:drawing>
          <wp:inline distT="0" distB="0" distL="0" distR="0" wp14:anchorId="64B4FDD1" wp14:editId="77CE0B63">
            <wp:extent cx="5486400" cy="3395980"/>
            <wp:effectExtent l="0" t="0" r="0" b="0"/>
            <wp:docPr id="1627058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6">
                      <a:extLst>
                        <a:ext uri="{28A0092B-C50C-407E-A947-70E740481C1C}">
                          <a14:useLocalDpi xmlns:a14="http://schemas.microsoft.com/office/drawing/2010/main" val="0"/>
                        </a:ext>
                      </a:extLst>
                    </a:blip>
                    <a:srcRect t="6699"/>
                    <a:stretch>
                      <a:fillRect/>
                    </a:stretch>
                  </pic:blipFill>
                  <pic:spPr bwMode="auto">
                    <a:xfrm>
                      <a:off x="0" y="0"/>
                      <a:ext cx="5486400" cy="3395980"/>
                    </a:xfrm>
                    <a:prstGeom prst="rect">
                      <a:avLst/>
                    </a:prstGeom>
                    <a:noFill/>
                    <a:ln>
                      <a:noFill/>
                    </a:ln>
                    <a:extLst>
                      <a:ext uri="{53640926-AAD7-44D8-BBD7-CCE9431645EC}">
                        <a14:shadowObscured xmlns:a14="http://schemas.microsoft.com/office/drawing/2010/main"/>
                      </a:ext>
                    </a:extLst>
                  </pic:spPr>
                </pic:pic>
              </a:graphicData>
            </a:graphic>
          </wp:inline>
        </w:drawing>
      </w:r>
    </w:p>
    <w:p w14:paraId="0A559F25" w14:textId="77777777"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t>Figure 6. Illustrative wave attenuation profile across a mangrove belt.</w:t>
      </w:r>
    </w:p>
    <w:p w14:paraId="1A6DA860"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Drivers of Loss, Stabilization, and Gain</w:t>
      </w:r>
    </w:p>
    <w:p w14:paraId="7BE11B5A" w14:textId="52771208"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history of mangrove deforestation is closely tied to the expansion of coastal economies. Anthropogenic pressures are the dominant drivers of loss, particularly in Asia, which has accounted for over 90% of global mangrove deforestation in recent decades (Richards &amp; Friess, 2016). The single largest factor has been aquaculture expansion, most </w:t>
      </w:r>
      <w:r w:rsidRPr="00A52E57">
        <w:rPr>
          <w:rFonts w:ascii="Times New Roman" w:hAnsi="Times New Roman" w:cs="Times New Roman"/>
          <w:sz w:val="24"/>
          <w:szCs w:val="24"/>
        </w:rPr>
        <w:lastRenderedPageBreak/>
        <w:t xml:space="preserve">notably shrimp farming, which rapidly converted vast tracts of mangroves into artificial ponds. For example, Thailand lost nearly half of its mangroves during the 1980s and 1990s due to intensive aquaculture (Alongi, 2002). Agriculture also plays a role, as conversion to rice paddies and oil palm plantations is widespread in Myanmar, Vietnam, and Indonesia (Hamilton &amp; Casey, 2016). Urbanization contributes significantly in regions of rapid coastal growth; major cities such as Jakarta, Lagos, and Manila have expanded into former mangrove belts (Goldberg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2020).</w:t>
      </w:r>
    </w:p>
    <w:p w14:paraId="05E3398B" w14:textId="19B09C20"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Fuelwood harvesting remains an important driver in Africa and South Asia. In countries such as Nigeria, Bangladesh, and India, mangroves are harvested for charcoal production and construction material, often without sustainable practices (Ward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2016). Infrastructure projects such as roads, embankments, and dykes also fragment mangrove hydrology, preventing tidal exchange and altering salinity regimes that are vital for seedling recruitment (Lewis, 2005).</w:t>
      </w:r>
    </w:p>
    <w:p w14:paraId="7923480F" w14:textId="7974626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Natural drivers include cyclones, erosion, and pest outbreaks. For instance, the massive dieback of northern Australian mangroves during the 2015–2016 El Niño drought was attributed to hydrological stress combined with extreme heat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However, natural disturbances often lead to regeneration, provided sediment supply and hydrological connectivity remain intact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59905AFD" w14:textId="33F616C6"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Encouragingly, evidence indicates that losses have slowed in the past decade. Global Mangrove Watch data show that after a sharp decline between 1996 and 2010, mangrove extent partially recovered by 2020 (Figure 1). Localized gains are reported from hydrological restoration, such as in the Florida Everglades and the Philippines, where tidal reconnection allowed natural regeneration within a decade (Lewis, 2005). Similarly, mangroves have expanded into tidal flats in Bangladesh and northern Brazil, facilitated by sediment deposition and landward migration (Thomas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10DF1238"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Climate Change: Risks, Responses, and Resilience</w:t>
      </w:r>
    </w:p>
    <w:p w14:paraId="58CA9B60" w14:textId="2B0439F2"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Climate change represents both a threat and an opportunity for mangroves. On one hand, warming temperatures are enabling poleward expansion into salt-marsh zones. Evidence from northern Australia and the Gulf of Mexico shows mangroves encroaching </w:t>
      </w:r>
      <w:r w:rsidRPr="00A52E57">
        <w:rPr>
          <w:rFonts w:ascii="Times New Roman" w:hAnsi="Times New Roman" w:cs="Times New Roman"/>
          <w:sz w:val="24"/>
          <w:szCs w:val="24"/>
        </w:rPr>
        <w:lastRenderedPageBreak/>
        <w:t xml:space="preserve">into marshlands at rates of several kilometers per decade (Saintilan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2014). Such range expansions suggest potential gains in some regions.</w:t>
      </w:r>
    </w:p>
    <w:p w14:paraId="6FB79215" w14:textId="6E2E3A51"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On the other hand, accelerated sea-level rise poses one of the greatest threats to mangrove persistence. A multi-country Indo-Pacific assessment by Lovelock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(2015) found that approximately 70% of sites lack the vertical accretion capacity to keep pace with projected 21st-century sea-level rise, rendering them vulnerable to submergence. Figure 7 illustrates the proportion of sites considered at risk. Sediment supply and tidal dynamics will determine which forests survive, with deltas such as the Ganges–Brahmaputra retaining higher resilience compared to sediment-starved coasts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706C1228" w14:textId="1576EBC1"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also face increasing cyclone intensity. While these ecosystems can recover after storms, as seen in Bangladesh and the Philippines where canopy recovery occurred within 4–6 years (Das &amp; Vincent, 2009), repeated extreme events could exceed resilience thresholds. Furthermore, climate-related stressors such as prolonged droughts, heatwaves, and salinity shifts will likely exacerbate mortality events, as observed in northern Australia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7D018356"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Yet mangroves also provide climate adaptation benefits. By attenuating storm surges and stabilizing sediments, they enhance coastal resilience for human populations. The Odisha super-cyclone example remains a landmark case demonstrating how intact mangroves reduce human vulnerability (Das &amp; Vincent, 2009).</w:t>
      </w:r>
    </w:p>
    <w:p w14:paraId="25622898" w14:textId="5A746A21" w:rsidR="00CA5F7D" w:rsidRPr="00CA5F7D" w:rsidRDefault="00CA5F7D" w:rsidP="00CA5F7D">
      <w:pPr>
        <w:spacing w:line="360" w:lineRule="auto"/>
        <w:jc w:val="both"/>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drawing>
          <wp:inline distT="0" distB="0" distL="0" distR="0" wp14:anchorId="2D90C1A8" wp14:editId="75FAF8DF">
            <wp:extent cx="5486400" cy="2689860"/>
            <wp:effectExtent l="0" t="0" r="0" b="0"/>
            <wp:docPr id="16691476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17">
                      <a:extLst>
                        <a:ext uri="{28A0092B-C50C-407E-A947-70E740481C1C}">
                          <a14:useLocalDpi xmlns:a14="http://schemas.microsoft.com/office/drawing/2010/main" val="0"/>
                        </a:ext>
                      </a:extLst>
                    </a:blip>
                    <a:srcRect t="10650" b="7621"/>
                    <a:stretch>
                      <a:fillRect/>
                    </a:stretch>
                  </pic:blipFill>
                  <pic:spPr bwMode="auto">
                    <a:xfrm>
                      <a:off x="0" y="0"/>
                      <a:ext cx="5486400" cy="2689860"/>
                    </a:xfrm>
                    <a:prstGeom prst="rect">
                      <a:avLst/>
                    </a:prstGeom>
                    <a:noFill/>
                    <a:ln>
                      <a:noFill/>
                    </a:ln>
                    <a:extLst>
                      <a:ext uri="{53640926-AAD7-44D8-BBD7-CCE9431645EC}">
                        <a14:shadowObscured xmlns:a14="http://schemas.microsoft.com/office/drawing/2010/main"/>
                      </a:ext>
                    </a:extLst>
                  </pic:spPr>
                </pic:pic>
              </a:graphicData>
            </a:graphic>
          </wp:inline>
        </w:drawing>
      </w:r>
    </w:p>
    <w:p w14:paraId="3E186F5B" w14:textId="793ED7F8"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lastRenderedPageBreak/>
        <w:t xml:space="preserve">Figure 7. Proportion of Indo-Pacific mangroves vulnerable to sea-level rise, based on elevation capital (Lovelock </w:t>
      </w:r>
      <w:r w:rsidRPr="00CA5F7D">
        <w:rPr>
          <w:rFonts w:ascii="Times New Roman" w:hAnsi="Times New Roman" w:cs="Times New Roman"/>
          <w:b/>
          <w:bCs/>
          <w:i/>
          <w:iCs/>
          <w:sz w:val="24"/>
          <w:szCs w:val="24"/>
        </w:rPr>
        <w:t>et al</w:t>
      </w:r>
      <w:r w:rsidRPr="00A52E57">
        <w:rPr>
          <w:rFonts w:ascii="Times New Roman" w:hAnsi="Times New Roman" w:cs="Times New Roman"/>
          <w:b/>
          <w:bCs/>
          <w:i/>
          <w:iCs/>
          <w:sz w:val="24"/>
          <w:szCs w:val="24"/>
        </w:rPr>
        <w:t>., 2015).</w:t>
      </w:r>
    </w:p>
    <w:p w14:paraId="7DCE826E"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Conservation, Restoration, and Policy Priorities</w:t>
      </w:r>
    </w:p>
    <w:p w14:paraId="766EBBB4"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Given their ecological and socio-economic significance, mangroves have become a global conservation priority. The State of the World’s Mangroves 2024 report emphasizes three urgent targets: halting net loss, doubling protected areas, and restoring half of historically lost mangroves by 2030 (Global Mangrove Alliance, 2024).</w:t>
      </w:r>
    </w:p>
    <w:p w14:paraId="1123F170"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Restoration has emerged as a central strategy, but success depends on ecological principles. Lewis (2005) argues that simply planting mangrove seedlings, often in inappropriate sites, leads to high mortality and wasted resources. Instead, restoring tidal hydrology and allowing natural recruitment results in self-sustaining recovery. The Florida and Philippines case studies illustrate that ecological engineering approaches outperform monoculture plantations.</w:t>
      </w:r>
    </w:p>
    <w:p w14:paraId="2AF211B5" w14:textId="12EC70AF"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Policy frameworks are increasingly integrating mangroves into climate commitments. Incorporation into Nationally Determined Contributions (NDCs) under the Paris Agreement recognizes their role in mitigation and adaptation. Blue carbon finance mechanisms are being piloted in Kenya, Indonesia, and Colombia, linking mangrove conservation to carbon markets (Adame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 However, concerns exist over ensuring social equity and preventing exploitation of local communities. Safeguards and participatory governance are therefore essential.</w:t>
      </w:r>
    </w:p>
    <w:p w14:paraId="239E1330" w14:textId="387E5B5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Community-based management is another pillar of conservation. In Kenya, the Mikoko Pamoja project exemplifies how local communities can co-manage mangroves, benefiting from both ecosystem services and carbon revenue (Bosire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2008). Similar initiatives in India’s Muthupet and Odisha demonstrate that co-management improves compliance, reduces illegal felling, and aligns conservation with livelihoods.</w:t>
      </w:r>
    </w:p>
    <w:p w14:paraId="41A9F089"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Case Studies: Sundarbans, Muthupet, and Pichavaram</w:t>
      </w:r>
    </w:p>
    <w:p w14:paraId="2F7D980E"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Sundarbans, shared between India and Bangladesh, provide a compelling case of site-specific restoration. A recent pilot-scale experiment in degraded Sundarbans patches </w:t>
      </w:r>
      <w:r w:rsidRPr="00A52E57">
        <w:rPr>
          <w:rFonts w:ascii="Times New Roman" w:hAnsi="Times New Roman" w:cs="Times New Roman"/>
          <w:sz w:val="24"/>
          <w:szCs w:val="24"/>
        </w:rPr>
        <w:lastRenderedPageBreak/>
        <w:t>demonstrated that mixed species planting tailored to salinity and elevation, coupled with hydrological restoration, outperformed conventional monoculture plantations (Bardhan, 2024). Survival rates, canopy cover, and species richness were significantly higher in adaptive plots, supported by soil salinity and sediment data. Figures in that study illustrate survival and growth curves, highlighting that ecological tailoring improves resilience.</w:t>
      </w:r>
    </w:p>
    <w:p w14:paraId="003F2B3B" w14:textId="74BE9EF4"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In Tamil Nadu, the Muthupet and Pichavaram mangroves highlight the interplay between natural regeneration and risk reduction. Inundation modeling under various sea-level rise scenarios estimated that coastal exposure values declined significantly when mangroves were present: from 3.47 to 2.80 in Pichavaram, and from 4.78 to 2.10 in Muthupet (Selvaraj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2025). Hyperspectral remote sensing has further mapped degraded versus healthy patches, with datasets showing salinity, moisture, and pixel-based degradation indices. Figures from these studies include inundation maps and degraded-area maps, demonstrating how technology informs management.</w:t>
      </w:r>
    </w:p>
    <w:p w14:paraId="126A1741"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Together, these case studies emphasize that site-specific, hydrology-informed restoration (Sundarbans) and monitoring-driven adaptive management (Muthupet, Pichavaram) provide pathways for resilience.</w:t>
      </w:r>
    </w:p>
    <w:p w14:paraId="3B7A8969"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Future Directions</w:t>
      </w:r>
    </w:p>
    <w:p w14:paraId="47A77504" w14:textId="001C6A9C"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Future mangrove conservation must be grounded in science, technology, and social inclusivity. Improved monitoring is crucial, with high-resolution optical and radar sensors, coupled with machine learning, enabling near-real-time detection of mangrove change</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Harmonizing datasets such as GMW and HGMF will provide consistent baselines for global monitoring.</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Research must prioritize resilience under climate change, particularly the interaction between sediment supply, elevation capital, and coastal squeeze. Integrated models linking geomorphology, hydrology, and species-specific tolerances are needed to predict mangrove trajectories under different sea-level rise scenarios</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Restoration should shift away from plantation-centric approaches towards ecosystem-based interventions. Hydrological restoration, species diversification, and connectivity with adjacent ecosystems such as seagrass beds and coral reefs must be emphasized</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 xml:space="preserve">Policy frameworks must embed mangroves into national climate strategies. While blue carbon markets offer </w:t>
      </w:r>
      <w:r w:rsidRPr="00A52E57">
        <w:rPr>
          <w:rFonts w:ascii="Times New Roman" w:hAnsi="Times New Roman" w:cs="Times New Roman"/>
          <w:sz w:val="24"/>
          <w:szCs w:val="24"/>
        </w:rPr>
        <w:lastRenderedPageBreak/>
        <w:t>opportunities, equity safeguards are critical to ensure benefits reach local communities. Community participation remains essential, with traditional knowledge complementing scientific monitoring for sustainable outcomes</w:t>
      </w:r>
      <w:r w:rsidR="00CA5F7D">
        <w:rPr>
          <w:rFonts w:ascii="Times New Roman" w:hAnsi="Times New Roman" w:cs="Times New Roman"/>
          <w:sz w:val="24"/>
          <w:szCs w:val="24"/>
        </w:rPr>
        <w:t>.</w:t>
      </w:r>
    </w:p>
    <w:p w14:paraId="1F4A1781"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Conclusion</w:t>
      </w:r>
    </w:p>
    <w:p w14:paraId="78746BBA"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Mangrove forests epitomize both fragility and resilience in the Anthropocene. While they have experienced severe losses driven by aquaculture, agriculture, and urbanization, recent evidence indicates stabilization and localized recovery. As blue carbon ecosystems, mangroves contribute disproportionately to climate mitigation while simultaneously enhancing coastal resilience. Yet, climate change, particularly sea-level rise, poses existential threats that will require proactive management.</w:t>
      </w:r>
    </w:p>
    <w:p w14:paraId="2555C3CB"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Conservation strategies must combine ecological engineering, community co-management, and policy integration. With strengthened monitoring, scientific restoration, and equitable financing, mangroves can remain vital allies in addressing global climate and biodiversity crises. Their future depends not on ecological limits but on political will, social inclusion, and sustained global investment.</w:t>
      </w:r>
    </w:p>
    <w:p w14:paraId="042CFAC1"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References</w:t>
      </w:r>
    </w:p>
    <w:p w14:paraId="4C9C76D5"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Adame, M. F., Connolly, R. M., Lovelock, C. E., &amp; Friess, D. A. (2021). Coastal wetlands as global carbon sinks. </w:t>
      </w:r>
      <w:r w:rsidRPr="00A52E57">
        <w:rPr>
          <w:rFonts w:ascii="Times New Roman" w:hAnsi="Times New Roman" w:cs="Times New Roman"/>
          <w:i/>
          <w:iCs/>
          <w:sz w:val="24"/>
          <w:szCs w:val="24"/>
        </w:rPr>
        <w:t>Nature Reviews Earth &amp; Environment, 2</w:t>
      </w:r>
      <w:r w:rsidRPr="00A52E57">
        <w:rPr>
          <w:rFonts w:ascii="Times New Roman" w:hAnsi="Times New Roman" w:cs="Times New Roman"/>
          <w:sz w:val="24"/>
          <w:szCs w:val="24"/>
        </w:rPr>
        <w:t>(12), 900–915. https://doi.org/10.1038/s43017-021-00241-8</w:t>
      </w:r>
    </w:p>
    <w:p w14:paraId="2987B67A"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Alongi, D. M. (2002). Present state and future of the world’s mangrove forests. </w:t>
      </w:r>
      <w:r w:rsidRPr="00A52E57">
        <w:rPr>
          <w:rFonts w:ascii="Times New Roman" w:hAnsi="Times New Roman" w:cs="Times New Roman"/>
          <w:i/>
          <w:iCs/>
          <w:sz w:val="24"/>
          <w:szCs w:val="24"/>
        </w:rPr>
        <w:t>Environmental Conservation, 29</w:t>
      </w:r>
      <w:r w:rsidRPr="00A52E57">
        <w:rPr>
          <w:rFonts w:ascii="Times New Roman" w:hAnsi="Times New Roman" w:cs="Times New Roman"/>
          <w:sz w:val="24"/>
          <w:szCs w:val="24"/>
        </w:rPr>
        <w:t>(3), 331–349. https://doi.org/10.1017/S0376892902000231</w:t>
      </w:r>
    </w:p>
    <w:p w14:paraId="56702BC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Alongi, D. M. (2014). Carbon cycling and storage in mangrove forests. </w:t>
      </w:r>
      <w:r w:rsidRPr="00A52E57">
        <w:rPr>
          <w:rFonts w:ascii="Times New Roman" w:hAnsi="Times New Roman" w:cs="Times New Roman"/>
          <w:i/>
          <w:iCs/>
          <w:sz w:val="24"/>
          <w:szCs w:val="24"/>
        </w:rPr>
        <w:t>Annual Review of Marine Science, 6</w:t>
      </w:r>
      <w:r w:rsidRPr="00A52E57">
        <w:rPr>
          <w:rFonts w:ascii="Times New Roman" w:hAnsi="Times New Roman" w:cs="Times New Roman"/>
          <w:sz w:val="24"/>
          <w:szCs w:val="24"/>
        </w:rPr>
        <w:t>(1), 195–219. https://doi.org/10.1146/annurev-marine-010213-135020</w:t>
      </w:r>
    </w:p>
    <w:p w14:paraId="284C59BF"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Bardhan, M. (2024). Ecological restoration at pilot-scale employing site-specific strategies in degraded mangrove patches in the Indian Sundarbans. </w:t>
      </w:r>
      <w:r w:rsidRPr="00A52E57">
        <w:rPr>
          <w:rFonts w:ascii="Times New Roman" w:hAnsi="Times New Roman" w:cs="Times New Roman"/>
          <w:i/>
          <w:iCs/>
          <w:sz w:val="24"/>
          <w:szCs w:val="24"/>
        </w:rPr>
        <w:t>Scientific Reports, 14</w:t>
      </w:r>
      <w:r w:rsidRPr="00A52E57">
        <w:rPr>
          <w:rFonts w:ascii="Times New Roman" w:hAnsi="Times New Roman" w:cs="Times New Roman"/>
          <w:sz w:val="24"/>
          <w:szCs w:val="24"/>
        </w:rPr>
        <w:t>, 63281. https://doi.org/10.1038/s41598-024-63281-8</w:t>
      </w:r>
    </w:p>
    <w:p w14:paraId="141BAFCF" w14:textId="77777777" w:rsidR="00A52E57" w:rsidRPr="00A373FB" w:rsidRDefault="00A52E57" w:rsidP="00A52E57">
      <w:pPr>
        <w:pStyle w:val="ListParagraph"/>
        <w:numPr>
          <w:ilvl w:val="0"/>
          <w:numId w:val="10"/>
        </w:numPr>
        <w:spacing w:line="360" w:lineRule="auto"/>
        <w:jc w:val="both"/>
        <w:rPr>
          <w:rFonts w:ascii="Times New Roman" w:hAnsi="Times New Roman" w:cs="Times New Roman"/>
          <w:strike/>
          <w:sz w:val="24"/>
          <w:szCs w:val="24"/>
        </w:rPr>
      </w:pPr>
      <w:commentRangeStart w:id="10"/>
      <w:r w:rsidRPr="00A373FB">
        <w:rPr>
          <w:rFonts w:ascii="Times New Roman" w:hAnsi="Times New Roman" w:cs="Times New Roman"/>
          <w:strike/>
          <w:color w:val="0070C0"/>
          <w:sz w:val="24"/>
          <w:szCs w:val="24"/>
        </w:rPr>
        <w:lastRenderedPageBreak/>
        <w:t xml:space="preserve">Bosire, J. O., Dahdouh-Guebas, F., Walton, M., Crona, B. I., Lewis, R. R., Field, C., Kairo, J. G., &amp; Koedam, N. (2008). Functionality of restored mangroves: A review. </w:t>
      </w:r>
      <w:r w:rsidRPr="00A373FB">
        <w:rPr>
          <w:rFonts w:ascii="Times New Roman" w:hAnsi="Times New Roman" w:cs="Times New Roman"/>
          <w:i/>
          <w:iCs/>
          <w:strike/>
          <w:color w:val="0070C0"/>
          <w:sz w:val="24"/>
          <w:szCs w:val="24"/>
        </w:rPr>
        <w:t>Aquatic Botany, 89</w:t>
      </w:r>
      <w:r w:rsidRPr="00A373FB">
        <w:rPr>
          <w:rFonts w:ascii="Times New Roman" w:hAnsi="Times New Roman" w:cs="Times New Roman"/>
          <w:strike/>
          <w:color w:val="0070C0"/>
          <w:sz w:val="24"/>
          <w:szCs w:val="24"/>
        </w:rPr>
        <w:t>(2), 251–259. https://doi.org/10.1016/j.aquabot.2008.03.010</w:t>
      </w:r>
      <w:commentRangeEnd w:id="10"/>
      <w:r w:rsidR="00A373FB">
        <w:rPr>
          <w:rStyle w:val="CommentReference"/>
        </w:rPr>
        <w:commentReference w:id="10"/>
      </w:r>
    </w:p>
    <w:p w14:paraId="05344D41"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Bunting, P., Rosenqvist, A., Lucas, R. M., Rebelo, L. M., Hilarides, L., Thomas, N., Hardy, A., Itoh, T., Shimada, M., &amp; Finlayson, C. M. (2022). Global Mangrove Watch: Updated remote sensing data for global mangrove extent and change monitoring (1996–2020). </w:t>
      </w:r>
      <w:r w:rsidRPr="00A52E57">
        <w:rPr>
          <w:rFonts w:ascii="Times New Roman" w:hAnsi="Times New Roman" w:cs="Times New Roman"/>
          <w:i/>
          <w:iCs/>
          <w:sz w:val="24"/>
          <w:szCs w:val="24"/>
        </w:rPr>
        <w:t>Remote Sensing, 14</w:t>
      </w:r>
      <w:r w:rsidRPr="00A52E57">
        <w:rPr>
          <w:rFonts w:ascii="Times New Roman" w:hAnsi="Times New Roman" w:cs="Times New Roman"/>
          <w:sz w:val="24"/>
          <w:szCs w:val="24"/>
        </w:rPr>
        <w:t>(16), 3657. https://doi.org/10.3390/rs14163657</w:t>
      </w:r>
    </w:p>
    <w:p w14:paraId="42845ACE"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Das, S., &amp; Vincent, J. R. (2009). Mangroves protected villages and reduced death toll during Indian super cyclone. </w:t>
      </w:r>
      <w:r w:rsidRPr="00A52E57">
        <w:rPr>
          <w:rFonts w:ascii="Times New Roman" w:hAnsi="Times New Roman" w:cs="Times New Roman"/>
          <w:i/>
          <w:iCs/>
          <w:sz w:val="24"/>
          <w:szCs w:val="24"/>
        </w:rPr>
        <w:t>Proceedings of the National Academy of Sciences, 106</w:t>
      </w:r>
      <w:r w:rsidRPr="00A52E57">
        <w:rPr>
          <w:rFonts w:ascii="Times New Roman" w:hAnsi="Times New Roman" w:cs="Times New Roman"/>
          <w:sz w:val="24"/>
          <w:szCs w:val="24"/>
        </w:rPr>
        <w:t>(18), 7357–7360. https://doi.org/10.1073/pnas.0810440106</w:t>
      </w:r>
    </w:p>
    <w:p w14:paraId="6A9C6068"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373FB">
        <w:rPr>
          <w:rFonts w:ascii="Times New Roman" w:hAnsi="Times New Roman" w:cs="Times New Roman"/>
          <w:sz w:val="24"/>
          <w:szCs w:val="24"/>
          <w:lang w:val="fi-FI"/>
        </w:rPr>
        <w:t xml:space="preserve">Donato, D. C., Kauffman, J. B., Murdiyarso, D., Kurnianto, S., Stidham, M., &amp; Kanninen, M. (2011). </w:t>
      </w:r>
      <w:r w:rsidRPr="00A52E57">
        <w:rPr>
          <w:rFonts w:ascii="Times New Roman" w:hAnsi="Times New Roman" w:cs="Times New Roman"/>
          <w:sz w:val="24"/>
          <w:szCs w:val="24"/>
        </w:rPr>
        <w:t xml:space="preserve">Mangroves among the most carbon-rich forests in the tropics. </w:t>
      </w:r>
      <w:r w:rsidRPr="00A52E57">
        <w:rPr>
          <w:rFonts w:ascii="Times New Roman" w:hAnsi="Times New Roman" w:cs="Times New Roman"/>
          <w:i/>
          <w:iCs/>
          <w:sz w:val="24"/>
          <w:szCs w:val="24"/>
        </w:rPr>
        <w:t>Nature Geoscience, 4</w:t>
      </w:r>
      <w:r w:rsidRPr="00A52E57">
        <w:rPr>
          <w:rFonts w:ascii="Times New Roman" w:hAnsi="Times New Roman" w:cs="Times New Roman"/>
          <w:sz w:val="24"/>
          <w:szCs w:val="24"/>
        </w:rPr>
        <w:t>(5), 293–297. https://doi.org/10.1038/ngeo1123</w:t>
      </w:r>
    </w:p>
    <w:p w14:paraId="0C2B723E"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Duke, N. C., Meynecke, J. O., Dittmann, S., Ellison, A. M., Anger, K., Berger, U., … Dahdouh-Guebas, F. (2007). A world without mangroves? </w:t>
      </w:r>
      <w:r w:rsidRPr="00A52E57">
        <w:rPr>
          <w:rFonts w:ascii="Times New Roman" w:hAnsi="Times New Roman" w:cs="Times New Roman"/>
          <w:i/>
          <w:iCs/>
          <w:sz w:val="24"/>
          <w:szCs w:val="24"/>
        </w:rPr>
        <w:t>Science, 317</w:t>
      </w:r>
      <w:r w:rsidRPr="00A52E57">
        <w:rPr>
          <w:rFonts w:ascii="Times New Roman" w:hAnsi="Times New Roman" w:cs="Times New Roman"/>
          <w:sz w:val="24"/>
          <w:szCs w:val="24"/>
        </w:rPr>
        <w:t>(5834), 41–42. https://doi.org/10.1126/science.317.5834.41b</w:t>
      </w:r>
    </w:p>
    <w:p w14:paraId="79CA5CAF"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Duke, N. C., Kovacs, J. M., Griffiths, A. D., Preece, L., Hill, D. J. E., van Oosterzee, P., Mackenzie, J., Morning, H. S., &amp; Burrows, D. (2017). Large-scale dieback of mangroves in Australia. </w:t>
      </w:r>
      <w:r w:rsidRPr="00A52E57">
        <w:rPr>
          <w:rFonts w:ascii="Times New Roman" w:hAnsi="Times New Roman" w:cs="Times New Roman"/>
          <w:i/>
          <w:iCs/>
          <w:sz w:val="24"/>
          <w:szCs w:val="24"/>
        </w:rPr>
        <w:t>Marine and Freshwater Research, 68</w:t>
      </w:r>
      <w:r w:rsidRPr="00A52E57">
        <w:rPr>
          <w:rFonts w:ascii="Times New Roman" w:hAnsi="Times New Roman" w:cs="Times New Roman"/>
          <w:sz w:val="24"/>
          <w:szCs w:val="24"/>
        </w:rPr>
        <w:t>(10), 1816–1829. https://doi.org/10.1071/MF16322</w:t>
      </w:r>
    </w:p>
    <w:p w14:paraId="63528D33"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Friess, D. A., Rogers, K., Lovelock, C. E., Krauss, K. W., Hamilton, S. E., Lee, S. Y., Lucas, R., Primavera, J., Rajkaran, A., &amp; Shi, S. (2022). The state of the world’s mangrove forests: Past, present, and future. </w:t>
      </w:r>
      <w:r w:rsidRPr="00A52E57">
        <w:rPr>
          <w:rFonts w:ascii="Times New Roman" w:hAnsi="Times New Roman" w:cs="Times New Roman"/>
          <w:i/>
          <w:iCs/>
          <w:sz w:val="24"/>
          <w:szCs w:val="24"/>
        </w:rPr>
        <w:t>Annual Review of Environment and Resources, 47</w:t>
      </w:r>
      <w:r w:rsidRPr="00A52E57">
        <w:rPr>
          <w:rFonts w:ascii="Times New Roman" w:hAnsi="Times New Roman" w:cs="Times New Roman"/>
          <w:sz w:val="24"/>
          <w:szCs w:val="24"/>
        </w:rPr>
        <w:t>(1), 1–30. https://doi.org/10.1146/annurev-environ-120920-104849</w:t>
      </w:r>
    </w:p>
    <w:p w14:paraId="70FFBF75" w14:textId="77777777" w:rsidR="00A52E57" w:rsidRPr="00A373FB" w:rsidRDefault="00A52E57" w:rsidP="00A52E57">
      <w:pPr>
        <w:pStyle w:val="ListParagraph"/>
        <w:numPr>
          <w:ilvl w:val="0"/>
          <w:numId w:val="10"/>
        </w:numPr>
        <w:spacing w:line="360" w:lineRule="auto"/>
        <w:jc w:val="both"/>
        <w:rPr>
          <w:rFonts w:ascii="Times New Roman" w:hAnsi="Times New Roman" w:cs="Times New Roman"/>
          <w:strike/>
          <w:color w:val="0070C0"/>
          <w:sz w:val="24"/>
          <w:szCs w:val="24"/>
        </w:rPr>
      </w:pPr>
      <w:r w:rsidRPr="00A373FB">
        <w:rPr>
          <w:rFonts w:ascii="Times New Roman" w:hAnsi="Times New Roman" w:cs="Times New Roman"/>
          <w:strike/>
          <w:color w:val="0070C0"/>
          <w:sz w:val="24"/>
          <w:szCs w:val="24"/>
        </w:rPr>
        <w:t xml:space="preserve">Giri, C., Ochieng, E., Tieszen, L. L., Zhu, Z., Singh, A., Loveland, T., Masek, J., &amp; Duke, N. (2011). Status and distribution of mangrove forests of the world using earth observation satellite data. </w:t>
      </w:r>
      <w:r w:rsidRPr="00A373FB">
        <w:rPr>
          <w:rFonts w:ascii="Times New Roman" w:hAnsi="Times New Roman" w:cs="Times New Roman"/>
          <w:i/>
          <w:iCs/>
          <w:strike/>
          <w:color w:val="0070C0"/>
          <w:sz w:val="24"/>
          <w:szCs w:val="24"/>
        </w:rPr>
        <w:t>Global Ecology and Biogeography, 20</w:t>
      </w:r>
      <w:r w:rsidRPr="00A373FB">
        <w:rPr>
          <w:rFonts w:ascii="Times New Roman" w:hAnsi="Times New Roman" w:cs="Times New Roman"/>
          <w:strike/>
          <w:color w:val="0070C0"/>
          <w:sz w:val="24"/>
          <w:szCs w:val="24"/>
        </w:rPr>
        <w:t>(1), 154–159. https://doi.org/10.1111/j.1466-8238.2010.00584.x</w:t>
      </w:r>
    </w:p>
    <w:p w14:paraId="1E60D4DB"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lastRenderedPageBreak/>
        <w:t xml:space="preserve">Global Mangrove Alliance. (2024). </w:t>
      </w:r>
      <w:r w:rsidRPr="00A52E57">
        <w:rPr>
          <w:rFonts w:ascii="Times New Roman" w:hAnsi="Times New Roman" w:cs="Times New Roman"/>
          <w:i/>
          <w:iCs/>
          <w:sz w:val="24"/>
          <w:szCs w:val="24"/>
        </w:rPr>
        <w:t>The state of the world’s mangroves 2024</w:t>
      </w:r>
      <w:r w:rsidRPr="00A52E57">
        <w:rPr>
          <w:rFonts w:ascii="Times New Roman" w:hAnsi="Times New Roman" w:cs="Times New Roman"/>
          <w:sz w:val="24"/>
          <w:szCs w:val="24"/>
        </w:rPr>
        <w:t>. Global Mangrove Alliance. Retrieved from https://www.mangrovealliance.org</w:t>
      </w:r>
    </w:p>
    <w:p w14:paraId="03D29806"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Goldberg, L., Lagomasino, D., Thomas, N., &amp; Fatoyinbo, T. (2020). Global declines in human-driven mangrove loss. </w:t>
      </w:r>
      <w:r w:rsidRPr="00A52E57">
        <w:rPr>
          <w:rFonts w:ascii="Times New Roman" w:hAnsi="Times New Roman" w:cs="Times New Roman"/>
          <w:i/>
          <w:iCs/>
          <w:sz w:val="24"/>
          <w:szCs w:val="24"/>
        </w:rPr>
        <w:t>Global Change Biology, 26</w:t>
      </w:r>
      <w:r w:rsidRPr="00A52E57">
        <w:rPr>
          <w:rFonts w:ascii="Times New Roman" w:hAnsi="Times New Roman" w:cs="Times New Roman"/>
          <w:sz w:val="24"/>
          <w:szCs w:val="24"/>
        </w:rPr>
        <w:t>(10), 5844–5855. https://doi.org/10.1111/gcb.15275</w:t>
      </w:r>
    </w:p>
    <w:p w14:paraId="411ED61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Hamilton, S. E., &amp; Casey, D. (2016). Creation of a high spatio-temporal resolution global database of continuous mangrove forest cover for the 21st century (CGMFC-21). </w:t>
      </w:r>
      <w:r w:rsidRPr="00A52E57">
        <w:rPr>
          <w:rFonts w:ascii="Times New Roman" w:hAnsi="Times New Roman" w:cs="Times New Roman"/>
          <w:i/>
          <w:iCs/>
          <w:sz w:val="24"/>
          <w:szCs w:val="24"/>
        </w:rPr>
        <w:t>Global Ecology and Biogeography, 25</w:t>
      </w:r>
      <w:r w:rsidRPr="00A52E57">
        <w:rPr>
          <w:rFonts w:ascii="Times New Roman" w:hAnsi="Times New Roman" w:cs="Times New Roman"/>
          <w:sz w:val="24"/>
          <w:szCs w:val="24"/>
        </w:rPr>
        <w:t>(6), 729–738. https://doi.org/10.1111/geb.12449</w:t>
      </w:r>
    </w:p>
    <w:p w14:paraId="57078412"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Horstman, E. M., Dohmen-Janssen, C. M., Narra, P. M. F., van den Berg, N. J. F., Siemerink, M., &amp; Balke, T. (2014). Wave attenuation in mangroves: A quantitative approach to field observations. </w:t>
      </w:r>
      <w:r w:rsidRPr="00A52E57">
        <w:rPr>
          <w:rFonts w:ascii="Times New Roman" w:hAnsi="Times New Roman" w:cs="Times New Roman"/>
          <w:i/>
          <w:iCs/>
          <w:sz w:val="24"/>
          <w:szCs w:val="24"/>
        </w:rPr>
        <w:t>Coastal Engineering, 94</w:t>
      </w:r>
      <w:r w:rsidRPr="00A52E57">
        <w:rPr>
          <w:rFonts w:ascii="Times New Roman" w:hAnsi="Times New Roman" w:cs="Times New Roman"/>
          <w:sz w:val="24"/>
          <w:szCs w:val="24"/>
        </w:rPr>
        <w:t>, 47–62. https://doi.org/10.1016/j.coastaleng.2014.08.005</w:t>
      </w:r>
    </w:p>
    <w:p w14:paraId="5662995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Jia, M., Wang, Z., Mao, D., Ren, C., Wang, C., &amp; Zhu, Z. (2023). A high-resolution global map of mangroves and its spatio-temporal dynamics. </w:t>
      </w:r>
      <w:r w:rsidRPr="00A52E57">
        <w:rPr>
          <w:rFonts w:ascii="Times New Roman" w:hAnsi="Times New Roman" w:cs="Times New Roman"/>
          <w:i/>
          <w:iCs/>
          <w:sz w:val="24"/>
          <w:szCs w:val="24"/>
        </w:rPr>
        <w:t>Remote Sensing of Environment, 286</w:t>
      </w:r>
      <w:r w:rsidRPr="00A52E57">
        <w:rPr>
          <w:rFonts w:ascii="Times New Roman" w:hAnsi="Times New Roman" w:cs="Times New Roman"/>
          <w:sz w:val="24"/>
          <w:szCs w:val="24"/>
        </w:rPr>
        <w:t>, 113410. https://doi.org/10.1016/j.rse.2022.113410</w:t>
      </w:r>
    </w:p>
    <w:p w14:paraId="1FA10FD9"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Lewis, R. R. (2005). Ecological engineering for successful management and restoration of mangrove forests. </w:t>
      </w:r>
      <w:r w:rsidRPr="00A52E57">
        <w:rPr>
          <w:rFonts w:ascii="Times New Roman" w:hAnsi="Times New Roman" w:cs="Times New Roman"/>
          <w:i/>
          <w:iCs/>
          <w:sz w:val="24"/>
          <w:szCs w:val="24"/>
        </w:rPr>
        <w:t>Ecological Engineering, 24</w:t>
      </w:r>
      <w:r w:rsidRPr="00A52E57">
        <w:rPr>
          <w:rFonts w:ascii="Times New Roman" w:hAnsi="Times New Roman" w:cs="Times New Roman"/>
          <w:sz w:val="24"/>
          <w:szCs w:val="24"/>
        </w:rPr>
        <w:t>(4), 403–418. https://doi.org/10.1016/j.ecoleng.2004.10.003</w:t>
      </w:r>
    </w:p>
    <w:p w14:paraId="00E9B3A1"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Lovelock, C. E., Cahoon, D. R., Friess, D. A., Guntenspergen, G. R., Krauss, K. W., Reef, R., Rogers, K., Saunders, M. L., Sidik, F., Swales, A., Saintilan, N., Thuyen, L. X., &amp; Triet, T. (2015). The vulnerability of Indo-Pacific mangrove forests to sea-level rise. </w:t>
      </w:r>
      <w:r w:rsidRPr="00A52E57">
        <w:rPr>
          <w:rFonts w:ascii="Times New Roman" w:hAnsi="Times New Roman" w:cs="Times New Roman"/>
          <w:i/>
          <w:iCs/>
          <w:sz w:val="24"/>
          <w:szCs w:val="24"/>
        </w:rPr>
        <w:t>Nature, 526</w:t>
      </w:r>
      <w:r w:rsidRPr="00A52E57">
        <w:rPr>
          <w:rFonts w:ascii="Times New Roman" w:hAnsi="Times New Roman" w:cs="Times New Roman"/>
          <w:sz w:val="24"/>
          <w:szCs w:val="24"/>
        </w:rPr>
        <w:t>(7574), 559–563. https://doi.org/10.1038/nature15538</w:t>
      </w:r>
    </w:p>
    <w:p w14:paraId="209CD905"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Mazda, Y., Magi, M., Kogo, M., &amp; Hong, P. N. (2006). Wave reduction in a mangrove forest dominated by </w:t>
      </w:r>
      <w:r w:rsidRPr="00A52E57">
        <w:rPr>
          <w:rFonts w:ascii="Times New Roman" w:hAnsi="Times New Roman" w:cs="Times New Roman"/>
          <w:i/>
          <w:iCs/>
          <w:sz w:val="24"/>
          <w:szCs w:val="24"/>
        </w:rPr>
        <w:t>Sonneratia sp.</w:t>
      </w:r>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Wetlands Ecology and Management, 14</w:t>
      </w:r>
      <w:r w:rsidRPr="00A52E57">
        <w:rPr>
          <w:rFonts w:ascii="Times New Roman" w:hAnsi="Times New Roman" w:cs="Times New Roman"/>
          <w:sz w:val="24"/>
          <w:szCs w:val="24"/>
        </w:rPr>
        <w:t>(4), 365–378. https://doi.org/10.1007/s11273-005-5384-0</w:t>
      </w:r>
    </w:p>
    <w:p w14:paraId="3C3E4AC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Nagelkerken, I., Blaber, S. J. M., Bouillon, S., Green, P., Haywood, M., Kirton, L. G., … Somerfield, P. J. (2008). The habitat function of mangroves for terrestrial and marine fauna: A review. </w:t>
      </w:r>
      <w:r w:rsidRPr="00A52E57">
        <w:rPr>
          <w:rFonts w:ascii="Times New Roman" w:hAnsi="Times New Roman" w:cs="Times New Roman"/>
          <w:i/>
          <w:iCs/>
          <w:sz w:val="24"/>
          <w:szCs w:val="24"/>
        </w:rPr>
        <w:t>Aquatic Botany, 89</w:t>
      </w:r>
      <w:r w:rsidRPr="00A52E57">
        <w:rPr>
          <w:rFonts w:ascii="Times New Roman" w:hAnsi="Times New Roman" w:cs="Times New Roman"/>
          <w:sz w:val="24"/>
          <w:szCs w:val="24"/>
        </w:rPr>
        <w:t>(2), 155–185. https://doi.org/10.1016/j.aquabot.2007.12.007</w:t>
      </w:r>
    </w:p>
    <w:p w14:paraId="3CC71E2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lastRenderedPageBreak/>
        <w:t xml:space="preserve">Richards, D. R., &amp; Friess, D. A. (2016). Rates and drivers of mangrove deforestation in Southeast Asia, 2000–2012. </w:t>
      </w:r>
      <w:r w:rsidRPr="00A52E57">
        <w:rPr>
          <w:rFonts w:ascii="Times New Roman" w:hAnsi="Times New Roman" w:cs="Times New Roman"/>
          <w:i/>
          <w:iCs/>
          <w:sz w:val="24"/>
          <w:szCs w:val="24"/>
        </w:rPr>
        <w:t>Proceedings of the National Academy of Sciences, 113</w:t>
      </w:r>
      <w:r w:rsidRPr="00A52E57">
        <w:rPr>
          <w:rFonts w:ascii="Times New Roman" w:hAnsi="Times New Roman" w:cs="Times New Roman"/>
          <w:sz w:val="24"/>
          <w:szCs w:val="24"/>
        </w:rPr>
        <w:t>(2), 344–349. https://doi.org/10.1073/pnas.1510272113</w:t>
      </w:r>
    </w:p>
    <w:p w14:paraId="3DDC915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Saintilan, N., Wilson, N. C., Rogers, K., Rajkaran, A., &amp; Krauss, K. W. (2014). Mangrove expansion and salt marsh decline at mangrove poleward limits. </w:t>
      </w:r>
      <w:r w:rsidRPr="00A52E57">
        <w:rPr>
          <w:rFonts w:ascii="Times New Roman" w:hAnsi="Times New Roman" w:cs="Times New Roman"/>
          <w:i/>
          <w:iCs/>
          <w:sz w:val="24"/>
          <w:szCs w:val="24"/>
        </w:rPr>
        <w:t>Global Change Biology, 20</w:t>
      </w:r>
      <w:r w:rsidRPr="00A52E57">
        <w:rPr>
          <w:rFonts w:ascii="Times New Roman" w:hAnsi="Times New Roman" w:cs="Times New Roman"/>
          <w:sz w:val="24"/>
          <w:szCs w:val="24"/>
        </w:rPr>
        <w:t>(1), 147–157. https://doi.org/10.1111/gcb.12341</w:t>
      </w:r>
    </w:p>
    <w:p w14:paraId="51C081E8" w14:textId="497ABF7D"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Selvaraj, 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(2025). Enhancement of tropical degraded mangrove mapping using hyperspectral data in the Muthupet mangrove forest, Tamil Nadu, India. </w:t>
      </w:r>
      <w:r w:rsidRPr="00A52E57">
        <w:rPr>
          <w:rFonts w:ascii="Times New Roman" w:hAnsi="Times New Roman" w:cs="Times New Roman"/>
          <w:i/>
          <w:iCs/>
          <w:sz w:val="24"/>
          <w:szCs w:val="24"/>
        </w:rPr>
        <w:t>Applied Earth Observation and Geoinformation, 156</w:t>
      </w:r>
      <w:r w:rsidRPr="00A52E57">
        <w:rPr>
          <w:rFonts w:ascii="Times New Roman" w:hAnsi="Times New Roman" w:cs="Times New Roman"/>
          <w:sz w:val="24"/>
          <w:szCs w:val="24"/>
        </w:rPr>
        <w:t>, 337–352. https://doi.org/10.1016/j.jag.2024.103551</w:t>
      </w:r>
    </w:p>
    <w:p w14:paraId="6144902C" w14:textId="20D18428"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Thomas, N., Lucas, R., Bunting, P., Hardy, A., Rosenqvist, A., &amp; Simard, M. (2017). Distribution and drivers of global mangrove forest change, 1996–2010. </w:t>
      </w:r>
      <w:r w:rsidRPr="00A52E57">
        <w:rPr>
          <w:rFonts w:ascii="Times New Roman" w:hAnsi="Times New Roman" w:cs="Times New Roman"/>
          <w:i/>
          <w:iCs/>
          <w:sz w:val="24"/>
          <w:szCs w:val="24"/>
        </w:rPr>
        <w:t>PLoS ONE, 12</w:t>
      </w:r>
      <w:r w:rsidRPr="00A52E57">
        <w:rPr>
          <w:rFonts w:ascii="Times New Roman" w:hAnsi="Times New Roman" w:cs="Times New Roman"/>
          <w:sz w:val="24"/>
          <w:szCs w:val="24"/>
        </w:rPr>
        <w:t>(6), e0179302. https://doi.org/10.1371/journal.pone.0179302</w:t>
      </w:r>
    </w:p>
    <w:p w14:paraId="1E5BE198" w14:textId="6C7A0200"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Ward, R. D., Friess, D. A., Day, R. H., &amp; MacKenzie, R. A. (2016). Impacts of climate change on mangrove ecosystems: A region by region overview. </w:t>
      </w:r>
      <w:r w:rsidRPr="00A52E57">
        <w:rPr>
          <w:rFonts w:ascii="Times New Roman" w:hAnsi="Times New Roman" w:cs="Times New Roman"/>
          <w:i/>
          <w:iCs/>
          <w:sz w:val="24"/>
          <w:szCs w:val="24"/>
        </w:rPr>
        <w:t>Ecosystem Health and Sustainability, 2</w:t>
      </w:r>
      <w:r w:rsidRPr="00A52E57">
        <w:rPr>
          <w:rFonts w:ascii="Times New Roman" w:hAnsi="Times New Roman" w:cs="Times New Roman"/>
          <w:sz w:val="24"/>
          <w:szCs w:val="24"/>
        </w:rPr>
        <w:t>(4), e01211. https://doi.org/10.1002/ehs2.1211</w:t>
      </w:r>
    </w:p>
    <w:p w14:paraId="45EA567D" w14:textId="0E882ED4" w:rsidR="00A52E57" w:rsidRPr="00A373FB" w:rsidRDefault="00A52E57" w:rsidP="00A52E57">
      <w:pPr>
        <w:pStyle w:val="ListParagraph"/>
        <w:numPr>
          <w:ilvl w:val="0"/>
          <w:numId w:val="10"/>
        </w:numPr>
        <w:spacing w:line="360" w:lineRule="auto"/>
        <w:jc w:val="both"/>
        <w:rPr>
          <w:rFonts w:ascii="Times New Roman" w:hAnsi="Times New Roman" w:cs="Times New Roman"/>
          <w:strike/>
          <w:color w:val="0070C0"/>
          <w:sz w:val="24"/>
          <w:szCs w:val="24"/>
        </w:rPr>
      </w:pPr>
      <w:r w:rsidRPr="00A373FB">
        <w:rPr>
          <w:rFonts w:ascii="Times New Roman" w:hAnsi="Times New Roman" w:cs="Times New Roman"/>
          <w:strike/>
          <w:color w:val="0070C0"/>
          <w:sz w:val="24"/>
          <w:szCs w:val="24"/>
        </w:rPr>
        <w:t xml:space="preserve">Xu, J., Friess, D. A., &amp; Brown, C. J. (2024). Projected impacts of sea-level rise on global coastal wetlands. </w:t>
      </w:r>
      <w:r w:rsidRPr="00A373FB">
        <w:rPr>
          <w:rFonts w:ascii="Times New Roman" w:hAnsi="Times New Roman" w:cs="Times New Roman"/>
          <w:i/>
          <w:iCs/>
          <w:strike/>
          <w:color w:val="0070C0"/>
          <w:sz w:val="24"/>
          <w:szCs w:val="24"/>
        </w:rPr>
        <w:t>Science, 383</w:t>
      </w:r>
      <w:r w:rsidRPr="00A373FB">
        <w:rPr>
          <w:rFonts w:ascii="Times New Roman" w:hAnsi="Times New Roman" w:cs="Times New Roman"/>
          <w:strike/>
          <w:color w:val="0070C0"/>
          <w:sz w:val="24"/>
          <w:szCs w:val="24"/>
        </w:rPr>
        <w:t>(6671), 403–409. https://doi.org/10.1126/science.adi1811</w:t>
      </w:r>
    </w:p>
    <w:p w14:paraId="44A227A7" w14:textId="197922F5" w:rsidR="004300FA" w:rsidRPr="00A52E57" w:rsidRDefault="00D10D59" w:rsidP="00A52E57">
      <w:pPr>
        <w:spacing w:line="360" w:lineRule="auto"/>
        <w:rPr>
          <w:rFonts w:ascii="Times New Roman" w:hAnsi="Times New Roman" w:cs="Times New Roman"/>
          <w:b/>
          <w:bCs/>
          <w:sz w:val="24"/>
          <w:szCs w:val="24"/>
        </w:rPr>
      </w:pPr>
      <w:r>
        <w:rPr>
          <w:rFonts w:ascii="Times New Roman" w:hAnsi="Times New Roman" w:cs="Times New Roman"/>
          <w:strike/>
          <w:noProof/>
          <w:color w:val="0070C0"/>
          <w:sz w:val="24"/>
          <w:szCs w:val="24"/>
        </w:rPr>
        <mc:AlternateContent>
          <mc:Choice Requires="wps">
            <w:drawing>
              <wp:anchor distT="0" distB="0" distL="114300" distR="114300" simplePos="0" relativeHeight="251659264" behindDoc="0" locked="0" layoutInCell="1" allowOverlap="1" wp14:anchorId="72E03604" wp14:editId="4D190F5D">
                <wp:simplePos x="0" y="0"/>
                <wp:positionH relativeFrom="page">
                  <wp:posOffset>1637560</wp:posOffset>
                </wp:positionH>
                <wp:positionV relativeFrom="page">
                  <wp:posOffset>6137092</wp:posOffset>
                </wp:positionV>
                <wp:extent cx="5091695" cy="1224642"/>
                <wp:effectExtent l="0" t="0" r="13970" b="13970"/>
                <wp:wrapNone/>
                <wp:docPr id="566299898" name="Text Box 1"/>
                <wp:cNvGraphicFramePr/>
                <a:graphic xmlns:a="http://schemas.openxmlformats.org/drawingml/2006/main">
                  <a:graphicData uri="http://schemas.microsoft.com/office/word/2010/wordprocessingShape">
                    <wps:wsp>
                      <wps:cNvSpPr txBox="1"/>
                      <wps:spPr>
                        <a:xfrm>
                          <a:off x="0" y="0"/>
                          <a:ext cx="5091695" cy="1224642"/>
                        </a:xfrm>
                        <a:prstGeom prst="rect">
                          <a:avLst/>
                        </a:prstGeom>
                        <a:solidFill>
                          <a:schemeClr val="lt1"/>
                        </a:solidFill>
                        <a:ln w="6350">
                          <a:solidFill>
                            <a:prstClr val="black"/>
                          </a:solidFill>
                        </a:ln>
                      </wps:spPr>
                      <wps:txbx>
                        <w:txbxContent>
                          <w:p w14:paraId="145E0A56" w14:textId="2C99379A" w:rsidR="00A373FB" w:rsidRDefault="00A373FB" w:rsidP="00A373FB">
                            <w:pPr>
                              <w:pStyle w:val="ListParagraph"/>
                              <w:numPr>
                                <w:ilvl w:val="0"/>
                                <w:numId w:val="11"/>
                              </w:numPr>
                              <w:rPr>
                                <w:rFonts w:ascii="Times New Roman" w:hAnsi="Times New Roman" w:cs="Times New Roman"/>
                                <w:b/>
                                <w:bCs/>
                                <w:color w:val="0070C0"/>
                                <w:lang w:val="en-IN"/>
                              </w:rPr>
                            </w:pPr>
                            <w:r w:rsidRPr="00A373FB">
                              <w:rPr>
                                <w:rFonts w:ascii="Times New Roman" w:hAnsi="Times New Roman" w:cs="Times New Roman"/>
                                <w:b/>
                                <w:bCs/>
                                <w:color w:val="0070C0"/>
                                <w:lang w:val="en-IN"/>
                              </w:rPr>
                              <w:t xml:space="preserve">Reference format is not as per the guideline of journal </w:t>
                            </w:r>
                            <w:r w:rsidR="00BD0005">
                              <w:rPr>
                                <w:rFonts w:ascii="Times New Roman" w:hAnsi="Times New Roman" w:cs="Times New Roman"/>
                                <w:b/>
                                <w:bCs/>
                                <w:color w:val="0070C0"/>
                                <w:lang w:val="en-IN"/>
                              </w:rPr>
                              <w:t xml:space="preserve">write it as per guideline </w:t>
                            </w:r>
                          </w:p>
                          <w:p w14:paraId="5C03ACCE" w14:textId="77777777" w:rsidR="00BD0005" w:rsidRDefault="00BD0005" w:rsidP="00A373FB">
                            <w:pPr>
                              <w:pStyle w:val="ListParagraph"/>
                              <w:numPr>
                                <w:ilvl w:val="0"/>
                                <w:numId w:val="11"/>
                              </w:numPr>
                              <w:rPr>
                                <w:rFonts w:ascii="Times New Roman" w:hAnsi="Times New Roman" w:cs="Times New Roman"/>
                                <w:b/>
                                <w:bCs/>
                                <w:color w:val="0070C0"/>
                                <w:lang w:val="en-IN"/>
                              </w:rPr>
                            </w:pPr>
                            <w:r>
                              <w:rPr>
                                <w:rFonts w:ascii="Times New Roman" w:hAnsi="Times New Roman" w:cs="Times New Roman"/>
                                <w:b/>
                                <w:bCs/>
                                <w:color w:val="0070C0"/>
                                <w:lang w:val="en-IN"/>
                              </w:rPr>
                              <w:t xml:space="preserve">Add missing citation in main text </w:t>
                            </w:r>
                          </w:p>
                          <w:p w14:paraId="75D5F94A" w14:textId="73396D22" w:rsidR="00A373FB" w:rsidRPr="00A373FB" w:rsidRDefault="00A373FB" w:rsidP="00EE1358">
                            <w:pPr>
                              <w:pStyle w:val="ListParagraph"/>
                              <w:rPr>
                                <w:rFonts w:ascii="Times New Roman" w:hAnsi="Times New Roman" w:cs="Times New Roman"/>
                                <w:b/>
                                <w:bCs/>
                                <w:color w:val="0070C0"/>
                                <w:lang w:val="en-IN"/>
                              </w:rPr>
                            </w:pPr>
                            <w:bookmarkStart w:id="11" w:name="_GoBack"/>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E03604" id="_x0000_t202" coordsize="21600,21600" o:spt="202" path="m,l,21600r21600,l21600,xe">
                <v:stroke joinstyle="miter"/>
                <v:path gradientshapeok="t" o:connecttype="rect"/>
              </v:shapetype>
              <v:shape id="Text Box 1" o:spid="_x0000_s1026" type="#_x0000_t202" style="position:absolute;margin-left:128.95pt;margin-top:483.25pt;width:400.9pt;height:96.45pt;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sTVAIAAKoEAAAOAAAAZHJzL2Uyb0RvYy54bWysVN9v2jAQfp+0/8Hy+8iPAWsQoWJUTJOq&#10;thJUfTaOQ6I5Ps82JOyv39kJlHZ7mvZizndfPt99d8f8tmskOQpja1A5TUYxJUJxKGq1z+nzdv3p&#10;hhLrmCqYBCVyehKW3i4+fpi3eiZSqEAWwhAkUXbW6pxWzulZFFleiYbZEWihMFiCaZjDq9lHhWEt&#10;sjcySuN4GrVgCm2AC2vRe9cH6SLwl6Xg7rEsrXBE5hRzc+E04dz5M1rM2WxvmK5qPqTB/iGLhtUK&#10;H71Q3THHyMHUf1A1NTdgoXQjDk0EZVlzEWrAapL4XTWbimkRakFxrL7IZP8fLX84PhlSFzmdTKdp&#10;lt1k2DDFGmzVVnSOfIWOJF6lVtsZgjca4a5DN3b77Lfo9MV3pWn8L5ZFMI56ny4aezKOzkmcJdNs&#10;QgnHWJKm4+k49TzR6+faWPdNQEO8kVODTQzasuO9dT30DPGvWZB1sa6lDBc/OGIlDTkybLl0IUkk&#10;f4OSirQ5nX6exIH4TcxTX77fScZ/DOldoZBPKszZi9IX7y3X7bpBqR0UJxTKQD9wVvN1jbz3zLon&#10;ZnDCUBvcGveIRykBk4HBoqQC8+tvfo/HxmOUkhYnNqf254EZQYn8rnAksmQ89iMeLuPJlxQv5jqy&#10;u46oQ7MCVCjB/dQ8mB7v5NksDTQvuFxL/yqGmOL4dk7d2Vy5fo9wOblYLgMIh1ozd682mntq3xGv&#10;57Z7YUYP/XQ4Cg9wnm02e9fWHuu/VLA8OCjr0HMvcK/qoDsuRJiaYXn9xl3fA+r1L2bxGwAA//8D&#10;AFBLAwQUAAYACAAAACEAf4w4t+AAAAANAQAADwAAAGRycy9kb3ducmV2LnhtbEyPsU7DMBCGdyTe&#10;wTokNuq0ImmcxqkAFRYmCursxlfbIrYj203D2+NOsN3pPv33/e12tgOZMETjHYflogCCrvfSOMXh&#10;6/P1oQYSk3BSDN4hhx+MsO1ub1rRSH9xHzjtkyI5xMVGcNApjQ2lsddoRVz4EV2+nXywIuU1KCqD&#10;uORwO9BVUVTUCuPyBy1GfNHYf+/PlsPuWTHV1yLoXS2NmebD6V29cX5/Nz9tgCSc0x8MV/2sDl12&#10;Ovqzk5EMHFblmmWUA6uqEsiVKEq2BnLM07Jkj0C7lv5v0f0CAAD//wMAUEsBAi0AFAAGAAgAAAAh&#10;ALaDOJL+AAAA4QEAABMAAAAAAAAAAAAAAAAAAAAAAFtDb250ZW50X1R5cGVzXS54bWxQSwECLQAU&#10;AAYACAAAACEAOP0h/9YAAACUAQAACwAAAAAAAAAAAAAAAAAvAQAAX3JlbHMvLnJlbHNQSwECLQAU&#10;AAYACAAAACEAYUerE1QCAACqBAAADgAAAAAAAAAAAAAAAAAuAgAAZHJzL2Uyb0RvYy54bWxQSwEC&#10;LQAUAAYACAAAACEAf4w4t+AAAAANAQAADwAAAAAAAAAAAAAAAACuBAAAZHJzL2Rvd25yZXYueG1s&#10;UEsFBgAAAAAEAAQA8wAAALsFAAAAAA==&#10;" fillcolor="white [3201]" strokeweight=".5pt">
                <v:textbox>
                  <w:txbxContent>
                    <w:p w14:paraId="145E0A56" w14:textId="2C99379A" w:rsidR="00A373FB" w:rsidRDefault="00A373FB" w:rsidP="00A373FB">
                      <w:pPr>
                        <w:pStyle w:val="ListParagraph"/>
                        <w:numPr>
                          <w:ilvl w:val="0"/>
                          <w:numId w:val="11"/>
                        </w:numPr>
                        <w:rPr>
                          <w:rFonts w:ascii="Times New Roman" w:hAnsi="Times New Roman" w:cs="Times New Roman"/>
                          <w:b/>
                          <w:bCs/>
                          <w:color w:val="0070C0"/>
                          <w:lang w:val="en-IN"/>
                        </w:rPr>
                      </w:pPr>
                      <w:r w:rsidRPr="00A373FB">
                        <w:rPr>
                          <w:rFonts w:ascii="Times New Roman" w:hAnsi="Times New Roman" w:cs="Times New Roman"/>
                          <w:b/>
                          <w:bCs/>
                          <w:color w:val="0070C0"/>
                          <w:lang w:val="en-IN"/>
                        </w:rPr>
                        <w:t xml:space="preserve">Reference format is not as per the guideline of journal </w:t>
                      </w:r>
                      <w:r w:rsidR="00BD0005">
                        <w:rPr>
                          <w:rFonts w:ascii="Times New Roman" w:hAnsi="Times New Roman" w:cs="Times New Roman"/>
                          <w:b/>
                          <w:bCs/>
                          <w:color w:val="0070C0"/>
                          <w:lang w:val="en-IN"/>
                        </w:rPr>
                        <w:t xml:space="preserve">write it as per guideline </w:t>
                      </w:r>
                    </w:p>
                    <w:p w14:paraId="5C03ACCE" w14:textId="77777777" w:rsidR="00BD0005" w:rsidRDefault="00BD0005" w:rsidP="00A373FB">
                      <w:pPr>
                        <w:pStyle w:val="ListParagraph"/>
                        <w:numPr>
                          <w:ilvl w:val="0"/>
                          <w:numId w:val="11"/>
                        </w:numPr>
                        <w:rPr>
                          <w:rFonts w:ascii="Times New Roman" w:hAnsi="Times New Roman" w:cs="Times New Roman"/>
                          <w:b/>
                          <w:bCs/>
                          <w:color w:val="0070C0"/>
                          <w:lang w:val="en-IN"/>
                        </w:rPr>
                      </w:pPr>
                      <w:r>
                        <w:rPr>
                          <w:rFonts w:ascii="Times New Roman" w:hAnsi="Times New Roman" w:cs="Times New Roman"/>
                          <w:b/>
                          <w:bCs/>
                          <w:color w:val="0070C0"/>
                          <w:lang w:val="en-IN"/>
                        </w:rPr>
                        <w:t xml:space="preserve">Add missing citation in main text </w:t>
                      </w:r>
                    </w:p>
                    <w:p w14:paraId="75D5F94A" w14:textId="73396D22" w:rsidR="00A373FB" w:rsidRPr="00A373FB" w:rsidRDefault="00A373FB" w:rsidP="00EE1358">
                      <w:pPr>
                        <w:pStyle w:val="ListParagraph"/>
                        <w:rPr>
                          <w:rFonts w:ascii="Times New Roman" w:hAnsi="Times New Roman" w:cs="Times New Roman"/>
                          <w:b/>
                          <w:bCs/>
                          <w:color w:val="0070C0"/>
                          <w:lang w:val="en-IN"/>
                        </w:rPr>
                      </w:pPr>
                      <w:bookmarkStart w:id="12" w:name="_GoBack"/>
                      <w:bookmarkEnd w:id="12"/>
                    </w:p>
                  </w:txbxContent>
                </v:textbox>
                <w10:wrap anchorx="page" anchory="page"/>
              </v:shape>
            </w:pict>
          </mc:Fallback>
        </mc:AlternateContent>
      </w:r>
    </w:p>
    <w:sectPr w:rsidR="004300FA" w:rsidRPr="00A52E57" w:rsidSect="00034616">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kash Thorat" w:date="2025-10-04T22:52:00Z" w:initials="AT">
    <w:p w14:paraId="16350769" w14:textId="77777777" w:rsidR="00A373FB" w:rsidRDefault="00A373FB" w:rsidP="00A373FB">
      <w:pPr>
        <w:pStyle w:val="CommentText"/>
      </w:pPr>
      <w:r>
        <w:rPr>
          <w:rStyle w:val="CommentReference"/>
        </w:rPr>
        <w:annotationRef/>
      </w:r>
      <w:r>
        <w:rPr>
          <w:lang w:val="en-IN"/>
        </w:rPr>
        <w:t xml:space="preserve">Use smaller one </w:t>
      </w:r>
    </w:p>
  </w:comment>
  <w:comment w:id="1" w:author="Akash Thorat" w:date="2025-10-04T22:53:00Z" w:initials="AT">
    <w:p w14:paraId="53668657" w14:textId="77777777" w:rsidR="00A373FB" w:rsidRDefault="00A373FB" w:rsidP="00A373FB">
      <w:pPr>
        <w:pStyle w:val="CommentText"/>
      </w:pPr>
      <w:r>
        <w:rPr>
          <w:rStyle w:val="CommentReference"/>
        </w:rPr>
        <w:annotationRef/>
      </w:r>
      <w:r>
        <w:rPr>
          <w:lang w:val="en-IN"/>
        </w:rPr>
        <w:t xml:space="preserve">Provide space in-between value and unit </w:t>
      </w:r>
    </w:p>
  </w:comment>
  <w:comment w:id="2" w:author="Akash Thorat" w:date="2025-10-04T22:53:00Z" w:initials="AT">
    <w:p w14:paraId="5D6AA861" w14:textId="77777777" w:rsidR="00A373FB" w:rsidRDefault="00A373FB" w:rsidP="00A373FB">
      <w:pPr>
        <w:pStyle w:val="CommentText"/>
      </w:pPr>
      <w:r>
        <w:rPr>
          <w:rStyle w:val="CommentReference"/>
        </w:rPr>
        <w:annotationRef/>
      </w:r>
      <w:r>
        <w:rPr>
          <w:lang w:val="en-IN"/>
        </w:rPr>
        <w:t xml:space="preserve">Make correction in whole manuscript regarding this </w:t>
      </w:r>
    </w:p>
  </w:comment>
  <w:comment w:id="3" w:author="Akash Thorat" w:date="2025-10-04T22:53:00Z" w:initials="AT">
    <w:p w14:paraId="6CA10035" w14:textId="536CC552" w:rsidR="00A373FB" w:rsidRDefault="00A373FB" w:rsidP="00A373FB">
      <w:pPr>
        <w:pStyle w:val="CommentText"/>
      </w:pPr>
      <w:r>
        <w:rPr>
          <w:rStyle w:val="CommentReference"/>
        </w:rPr>
        <w:annotationRef/>
      </w:r>
      <w:r>
        <w:rPr>
          <w:lang w:val="en-IN"/>
        </w:rPr>
        <w:t>?????</w:t>
      </w:r>
    </w:p>
  </w:comment>
  <w:comment w:id="4" w:author="Akash Thorat" w:date="2025-10-04T22:51:00Z" w:initials="AT">
    <w:p w14:paraId="42E6D2CB" w14:textId="19E74268" w:rsidR="00A373FB" w:rsidRDefault="00A373FB" w:rsidP="00A373FB">
      <w:pPr>
        <w:pStyle w:val="CommentText"/>
      </w:pPr>
      <w:r>
        <w:rPr>
          <w:rStyle w:val="CommentReference"/>
        </w:rPr>
        <w:annotationRef/>
      </w:r>
      <w:r>
        <w:rPr>
          <w:lang w:val="en-IN"/>
        </w:rPr>
        <w:t xml:space="preserve">Make it grammatically correct there no need of  </w:t>
      </w:r>
      <w:r>
        <w:t xml:space="preserve">,  before and </w:t>
      </w:r>
    </w:p>
  </w:comment>
  <w:comment w:id="5" w:author="Akash Thorat" w:date="2025-10-04T22:52:00Z" w:initials="AT">
    <w:p w14:paraId="278DCF26" w14:textId="77777777" w:rsidR="00A373FB" w:rsidRDefault="00A373FB" w:rsidP="00A373FB">
      <w:pPr>
        <w:pStyle w:val="CommentText"/>
      </w:pPr>
      <w:r>
        <w:rPr>
          <w:rStyle w:val="CommentReference"/>
        </w:rPr>
        <w:annotationRef/>
      </w:r>
      <w:r>
        <w:rPr>
          <w:lang w:val="en-IN"/>
        </w:rPr>
        <w:t xml:space="preserve">Make correction in whole manuscript regarding this </w:t>
      </w:r>
    </w:p>
  </w:comment>
  <w:comment w:id="6" w:author="Akash Thorat" w:date="2025-10-04T22:54:00Z" w:initials="AT">
    <w:p w14:paraId="33EC547F" w14:textId="77777777" w:rsidR="00A373FB" w:rsidRDefault="00A373FB" w:rsidP="00A373FB">
      <w:pPr>
        <w:pStyle w:val="CommentText"/>
      </w:pPr>
      <w:r>
        <w:rPr>
          <w:rStyle w:val="CommentReference"/>
        </w:rPr>
        <w:annotationRef/>
      </w:r>
      <w:r>
        <w:rPr>
          <w:lang w:val="en-IN"/>
        </w:rPr>
        <w:t xml:space="preserve">Suspected to AI generated  </w:t>
      </w:r>
    </w:p>
  </w:comment>
  <w:comment w:id="7" w:author="Akash Thorat" w:date="2025-10-04T22:54:00Z" w:initials="AT">
    <w:p w14:paraId="75BFF716" w14:textId="77777777" w:rsidR="00A373FB" w:rsidRDefault="00A373FB" w:rsidP="00A373FB">
      <w:pPr>
        <w:pStyle w:val="CommentText"/>
      </w:pPr>
      <w:r>
        <w:rPr>
          <w:rStyle w:val="CommentReference"/>
        </w:rPr>
        <w:annotationRef/>
      </w:r>
      <w:r>
        <w:rPr>
          <w:lang w:val="en-IN"/>
        </w:rPr>
        <w:t xml:space="preserve">Provide reports regarding this </w:t>
      </w:r>
    </w:p>
  </w:comment>
  <w:comment w:id="8" w:author="Akash Thorat" w:date="2025-10-04T22:55:00Z" w:initials="AT">
    <w:p w14:paraId="6B138B0F" w14:textId="77777777" w:rsidR="00A373FB" w:rsidRDefault="00A373FB" w:rsidP="00A373FB">
      <w:pPr>
        <w:pStyle w:val="CommentText"/>
      </w:pPr>
      <w:r>
        <w:rPr>
          <w:rStyle w:val="CommentReference"/>
        </w:rPr>
        <w:annotationRef/>
      </w:r>
      <w:r>
        <w:rPr>
          <w:lang w:val="en-IN"/>
        </w:rPr>
        <w:t>Write in word</w:t>
      </w:r>
    </w:p>
  </w:comment>
  <w:comment w:id="9" w:author="Akash Thorat" w:date="2025-10-04T22:55:00Z" w:initials="AT">
    <w:p w14:paraId="7E1137B9" w14:textId="77777777" w:rsidR="00A373FB" w:rsidRDefault="00A373FB" w:rsidP="00A373FB">
      <w:pPr>
        <w:pStyle w:val="CommentText"/>
      </w:pPr>
      <w:r>
        <w:rPr>
          <w:rStyle w:val="CommentReference"/>
        </w:rPr>
        <w:annotationRef/>
      </w:r>
      <w:r>
        <w:rPr>
          <w:lang w:val="en-IN"/>
        </w:rPr>
        <w:t xml:space="preserve">Make correction in whole manuscript regarding this </w:t>
      </w:r>
    </w:p>
  </w:comment>
  <w:comment w:id="10" w:author="Akash Thorat" w:date="2025-10-04T22:56:00Z" w:initials="AT">
    <w:p w14:paraId="254E5D1C" w14:textId="77777777" w:rsidR="00A373FB" w:rsidRDefault="00A373FB" w:rsidP="00A373FB">
      <w:pPr>
        <w:pStyle w:val="CommentText"/>
      </w:pPr>
      <w:r>
        <w:rPr>
          <w:rStyle w:val="CommentReference"/>
        </w:rPr>
        <w:annotationRef/>
      </w:r>
      <w:r>
        <w:rPr>
          <w:lang w:val="en-IN"/>
        </w:rPr>
        <w:t xml:space="preserve">Absent in main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350769" w15:done="0"/>
  <w15:commentEx w15:paraId="53668657" w15:done="0"/>
  <w15:commentEx w15:paraId="5D6AA861" w15:paraIdParent="53668657" w15:done="0"/>
  <w15:commentEx w15:paraId="6CA10035" w15:done="0"/>
  <w15:commentEx w15:paraId="42E6D2CB" w15:done="0"/>
  <w15:commentEx w15:paraId="278DCF26" w15:paraIdParent="42E6D2CB" w15:done="0"/>
  <w15:commentEx w15:paraId="33EC547F" w15:done="0"/>
  <w15:commentEx w15:paraId="75BFF716" w15:paraIdParent="33EC547F" w15:done="0"/>
  <w15:commentEx w15:paraId="6B138B0F" w15:done="0"/>
  <w15:commentEx w15:paraId="7E1137B9" w15:paraIdParent="6B138B0F" w15:done="0"/>
  <w15:commentEx w15:paraId="254E5D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25C269" w16cex:dateUtc="2025-10-04T17:22:00Z"/>
  <w16cex:commentExtensible w16cex:durableId="1E725AE4" w16cex:dateUtc="2025-10-04T17:23:00Z"/>
  <w16cex:commentExtensible w16cex:durableId="2CD7942A" w16cex:dateUtc="2025-10-04T17:23:00Z"/>
  <w16cex:commentExtensible w16cex:durableId="05D2FD59" w16cex:dateUtc="2025-10-04T17:23:00Z"/>
  <w16cex:commentExtensible w16cex:durableId="0DB25C21" w16cex:dateUtc="2025-10-04T17:21:00Z"/>
  <w16cex:commentExtensible w16cex:durableId="556A3C4C" w16cex:dateUtc="2025-10-04T17:22:00Z"/>
  <w16cex:commentExtensible w16cex:durableId="2FBC9BC8" w16cex:dateUtc="2025-10-04T17:24:00Z"/>
  <w16cex:commentExtensible w16cex:durableId="6D718661" w16cex:dateUtc="2025-10-04T17:24:00Z"/>
  <w16cex:commentExtensible w16cex:durableId="309AF311" w16cex:dateUtc="2025-10-04T17:25:00Z"/>
  <w16cex:commentExtensible w16cex:durableId="7EA2EC1B" w16cex:dateUtc="2025-10-04T17:25:00Z"/>
  <w16cex:commentExtensible w16cex:durableId="4710631E" w16cex:dateUtc="2025-10-04T17: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350769" w16cid:durableId="0E25C269"/>
  <w16cid:commentId w16cid:paraId="53668657" w16cid:durableId="1E725AE4"/>
  <w16cid:commentId w16cid:paraId="5D6AA861" w16cid:durableId="2CD7942A"/>
  <w16cid:commentId w16cid:paraId="6CA10035" w16cid:durableId="05D2FD59"/>
  <w16cid:commentId w16cid:paraId="42E6D2CB" w16cid:durableId="0DB25C21"/>
  <w16cid:commentId w16cid:paraId="278DCF26" w16cid:durableId="556A3C4C"/>
  <w16cid:commentId w16cid:paraId="33EC547F" w16cid:durableId="2FBC9BC8"/>
  <w16cid:commentId w16cid:paraId="75BFF716" w16cid:durableId="6D718661"/>
  <w16cid:commentId w16cid:paraId="6B138B0F" w16cid:durableId="309AF311"/>
  <w16cid:commentId w16cid:paraId="7E1137B9" w16cid:durableId="7EA2EC1B"/>
  <w16cid:commentId w16cid:paraId="254E5D1C" w16cid:durableId="471063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1BDFB" w14:textId="77777777" w:rsidR="00D011C9" w:rsidRDefault="00D011C9" w:rsidP="00761E7B">
      <w:pPr>
        <w:spacing w:after="0" w:line="240" w:lineRule="auto"/>
      </w:pPr>
      <w:r>
        <w:separator/>
      </w:r>
    </w:p>
  </w:endnote>
  <w:endnote w:type="continuationSeparator" w:id="0">
    <w:p w14:paraId="57474549" w14:textId="77777777" w:rsidR="00D011C9" w:rsidRDefault="00D011C9" w:rsidP="0076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3A9E8" w14:textId="77777777" w:rsidR="00761E7B" w:rsidRDefault="00761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083F" w14:textId="77777777" w:rsidR="00761E7B" w:rsidRDefault="00761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11C97" w14:textId="77777777" w:rsidR="00761E7B" w:rsidRDefault="00761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3D020" w14:textId="77777777" w:rsidR="00D011C9" w:rsidRDefault="00D011C9" w:rsidP="00761E7B">
      <w:pPr>
        <w:spacing w:after="0" w:line="240" w:lineRule="auto"/>
      </w:pPr>
      <w:r>
        <w:separator/>
      </w:r>
    </w:p>
  </w:footnote>
  <w:footnote w:type="continuationSeparator" w:id="0">
    <w:p w14:paraId="4FA2CFF0" w14:textId="77777777" w:rsidR="00D011C9" w:rsidRDefault="00D011C9" w:rsidP="00761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35F6" w14:textId="5CED6439" w:rsidR="00761E7B" w:rsidRDefault="00D011C9">
    <w:pPr>
      <w:pStyle w:val="Header"/>
    </w:pPr>
    <w:r>
      <w:rPr>
        <w:noProof/>
      </w:rPr>
      <w:pict w14:anchorId="5E5E2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5"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0FB2" w14:textId="27C489BF" w:rsidR="00761E7B" w:rsidRDefault="00D011C9">
    <w:pPr>
      <w:pStyle w:val="Header"/>
    </w:pPr>
    <w:r>
      <w:rPr>
        <w:noProof/>
      </w:rPr>
      <w:pict w14:anchorId="46E3A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6"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4C21" w14:textId="324E2E33" w:rsidR="00761E7B" w:rsidRDefault="00D011C9">
    <w:pPr>
      <w:pStyle w:val="Header"/>
    </w:pPr>
    <w:r>
      <w:rPr>
        <w:noProof/>
      </w:rPr>
      <w:pict w14:anchorId="682A1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4"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57D95"/>
    <w:multiLevelType w:val="hybridMultilevel"/>
    <w:tmpl w:val="1B1C5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C480E"/>
    <w:multiLevelType w:val="hybridMultilevel"/>
    <w:tmpl w:val="020E2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kash Thorat">
    <w15:presenceInfo w15:providerId="Windows Live" w15:userId="0e8d91e2bc384c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300FA"/>
    <w:rsid w:val="006C614F"/>
    <w:rsid w:val="00761E7B"/>
    <w:rsid w:val="008143DC"/>
    <w:rsid w:val="008958BA"/>
    <w:rsid w:val="008D4168"/>
    <w:rsid w:val="00945ACB"/>
    <w:rsid w:val="00960936"/>
    <w:rsid w:val="00A373FB"/>
    <w:rsid w:val="00A52E57"/>
    <w:rsid w:val="00AA1D8D"/>
    <w:rsid w:val="00B47730"/>
    <w:rsid w:val="00BD0005"/>
    <w:rsid w:val="00CA5F7D"/>
    <w:rsid w:val="00CB0664"/>
    <w:rsid w:val="00CC3210"/>
    <w:rsid w:val="00D011C9"/>
    <w:rsid w:val="00D10D59"/>
    <w:rsid w:val="00D90DAB"/>
    <w:rsid w:val="00EE1358"/>
    <w:rsid w:val="00F35C93"/>
    <w:rsid w:val="00FC693F"/>
    <w:rsid w:val="00FE2202"/>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4ACA64D"/>
  <w14:defaultImageDpi w14:val="300"/>
  <w15:docId w15:val="{28537F8F-0766-44D8-94A0-B2386D82F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945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ACB"/>
    <w:rPr>
      <w:rFonts w:ascii="Tahoma" w:hAnsi="Tahoma" w:cs="Tahoma"/>
      <w:sz w:val="16"/>
      <w:szCs w:val="16"/>
    </w:rPr>
  </w:style>
  <w:style w:type="character" w:styleId="Hyperlink">
    <w:name w:val="Hyperlink"/>
    <w:basedOn w:val="DefaultParagraphFont"/>
    <w:uiPriority w:val="99"/>
    <w:unhideWhenUsed/>
    <w:rsid w:val="00960936"/>
    <w:rPr>
      <w:color w:val="0000FF" w:themeColor="hyperlink"/>
      <w:u w:val="single"/>
    </w:rPr>
  </w:style>
  <w:style w:type="character" w:styleId="UnresolvedMention">
    <w:name w:val="Unresolved Mention"/>
    <w:basedOn w:val="DefaultParagraphFont"/>
    <w:uiPriority w:val="99"/>
    <w:semiHidden/>
    <w:unhideWhenUsed/>
    <w:rsid w:val="00960936"/>
    <w:rPr>
      <w:color w:val="605E5C"/>
      <w:shd w:val="clear" w:color="auto" w:fill="E1DFDD"/>
    </w:rPr>
  </w:style>
  <w:style w:type="character" w:styleId="CommentReference">
    <w:name w:val="annotation reference"/>
    <w:basedOn w:val="DefaultParagraphFont"/>
    <w:uiPriority w:val="99"/>
    <w:semiHidden/>
    <w:unhideWhenUsed/>
    <w:rsid w:val="00A373FB"/>
    <w:rPr>
      <w:sz w:val="16"/>
      <w:szCs w:val="16"/>
    </w:rPr>
  </w:style>
  <w:style w:type="paragraph" w:styleId="CommentText">
    <w:name w:val="annotation text"/>
    <w:basedOn w:val="Normal"/>
    <w:link w:val="CommentTextChar"/>
    <w:uiPriority w:val="99"/>
    <w:unhideWhenUsed/>
    <w:rsid w:val="00A373FB"/>
    <w:pPr>
      <w:spacing w:line="240" w:lineRule="auto"/>
    </w:pPr>
    <w:rPr>
      <w:sz w:val="20"/>
      <w:szCs w:val="20"/>
    </w:rPr>
  </w:style>
  <w:style w:type="character" w:customStyle="1" w:styleId="CommentTextChar">
    <w:name w:val="Comment Text Char"/>
    <w:basedOn w:val="DefaultParagraphFont"/>
    <w:link w:val="CommentText"/>
    <w:uiPriority w:val="99"/>
    <w:rsid w:val="00A373FB"/>
    <w:rPr>
      <w:sz w:val="20"/>
      <w:szCs w:val="20"/>
    </w:rPr>
  </w:style>
  <w:style w:type="paragraph" w:styleId="CommentSubject">
    <w:name w:val="annotation subject"/>
    <w:basedOn w:val="CommentText"/>
    <w:next w:val="CommentText"/>
    <w:link w:val="CommentSubjectChar"/>
    <w:uiPriority w:val="99"/>
    <w:semiHidden/>
    <w:unhideWhenUsed/>
    <w:rsid w:val="00A373FB"/>
    <w:rPr>
      <w:b/>
      <w:bCs/>
    </w:rPr>
  </w:style>
  <w:style w:type="character" w:customStyle="1" w:styleId="CommentSubjectChar">
    <w:name w:val="Comment Subject Char"/>
    <w:basedOn w:val="CommentTextChar"/>
    <w:link w:val="CommentSubject"/>
    <w:uiPriority w:val="99"/>
    <w:semiHidden/>
    <w:rsid w:val="00A373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849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eader" Target="header3.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674F7-A48B-46A5-B640-EA7D9ACC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3924</Words>
  <Characters>22371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SDI 1067</cp:lastModifiedBy>
  <cp:revision>4</cp:revision>
  <dcterms:created xsi:type="dcterms:W3CDTF">2025-10-04T17:32:00Z</dcterms:created>
  <dcterms:modified xsi:type="dcterms:W3CDTF">2025-10-06T08:42:00Z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0d532694-3ff6-4158-a280-1cfd7ef6a483</vt:lpwstr>
  </property>
</Properties>
</file>