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7D54A" w14:textId="77777777" w:rsid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Mangrove Forests in a Changing World: Distribution, Change, Drivers, and Climate Relevance</w:t>
      </w:r>
    </w:p>
    <w:p w14:paraId="712F3508" w14:textId="77777777" w:rsidR="00761E7B" w:rsidRDefault="00761E7B" w:rsidP="00A52E57">
      <w:pPr>
        <w:spacing w:line="360" w:lineRule="auto"/>
        <w:rPr>
          <w:rFonts w:ascii="Times New Roman" w:hAnsi="Times New Roman" w:cs="Times New Roman"/>
          <w:b/>
          <w:bCs/>
          <w:sz w:val="24"/>
          <w:szCs w:val="24"/>
        </w:rPr>
      </w:pPr>
    </w:p>
    <w:p w14:paraId="780E5C95" w14:textId="62BFBFD5" w:rsidR="00A52E57" w:rsidRPr="00A52E57" w:rsidRDefault="00A52E57" w:rsidP="00A52E57">
      <w:pPr>
        <w:spacing w:line="360" w:lineRule="auto"/>
        <w:rPr>
          <w:rFonts w:ascii="Times New Roman" w:hAnsi="Times New Roman" w:cs="Times New Roman"/>
          <w:b/>
          <w:bCs/>
          <w:sz w:val="24"/>
          <w:szCs w:val="24"/>
        </w:rPr>
      </w:pPr>
      <w:bookmarkStart w:id="0" w:name="_GoBack"/>
      <w:bookmarkEnd w:id="0"/>
      <w:r w:rsidRPr="00A52E57">
        <w:rPr>
          <w:rFonts w:ascii="Times New Roman" w:hAnsi="Times New Roman" w:cs="Times New Roman"/>
          <w:b/>
          <w:bCs/>
          <w:sz w:val="24"/>
          <w:szCs w:val="24"/>
        </w:rPr>
        <w:t>Abstract</w:t>
      </w:r>
    </w:p>
    <w:p w14:paraId="5A02C520" w14:textId="77777777"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 forests are critical coastal ecosystems distributed across tropical and subtropical intertidal zones, forming a unique interface between land and sea. Although they occupy a relatively small global area, their ecological, socio-economic, and climatic significance is disproportionately large. Mangroves stabilize coastlines, reduce erosion, act as nursery grounds for fish and crustaceans, and support coastal livelihoods through fisheries, timber, and cultural practices. They are also among the most carbon-dense ecosystems, with mean carbon stocks exceeding 1,000 Mg C ha⁻¹, most of which is stored in soils. Their role in blue carbon sequestration and storage elevates them as a priority in climate mitigation strategies. Yet, over the past century, mangroves have faced extensive degradation, particularly in Asia, driven by aquaculture, agricultural expansion, fuelwood harvesting, and urban encroachment. Between 1996 and 2020, global mangrove cover declined by approximately 3.4%, with losses concentrated in Southeast Asia. Recent evidence, however, indicates stabilization and localized recovery, attributed to improved policy frameworks, restoration efforts, and recognition of their ecosystem services. Remote sensing datasets such as the Global Mangrove Watch (GMW v3.0) and the High-resolution Global Mangrove Forest map (HGMF_2020) have provided robust quantification of global and regional mangrove dynamics. These datasets reveal stark regional disparities, with Southeast Asia continuing to experience the highest losses, while South America and Oceania remain comparatively stable. Climate change presents an additional existential threat, with nearly 70% of Indo-Pacific mangroves projected to lack the vertical accretion capacity required to keep pace with sea-level rise. Nonetheless, evidence from successful restoration initiatives highlights the resilience of mangroves when hydrological processes are maintained. This review synthesizes current understanding of mangrove distribution, ecological roles, drivers of change, and conservation strategies, drawing on recent datasets, case studies, and projections. It concludes by outlining pathways for future research and management that integrate </w:t>
      </w:r>
      <w:r w:rsidRPr="00A52E57">
        <w:rPr>
          <w:rFonts w:ascii="Times New Roman" w:hAnsi="Times New Roman" w:cs="Times New Roman"/>
          <w:sz w:val="24"/>
          <w:szCs w:val="24"/>
        </w:rPr>
        <w:lastRenderedPageBreak/>
        <w:t>monitoring technologies, ecological engineering, community co-management, and policy frameworks to secure mangroves’ role in climate adaptation and mitigation.</w:t>
      </w:r>
    </w:p>
    <w:p w14:paraId="3751465A"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 xml:space="preserve">Keywords: </w:t>
      </w:r>
      <w:r w:rsidRPr="00A52E57">
        <w:rPr>
          <w:rFonts w:ascii="Times New Roman" w:hAnsi="Times New Roman" w:cs="Times New Roman"/>
          <w:sz w:val="24"/>
          <w:szCs w:val="24"/>
        </w:rPr>
        <w:t>Mangrove forests; Blue carbon; Coastal ecosystems; Climate resilience; Sea-level rise; Restoration</w:t>
      </w:r>
    </w:p>
    <w:p w14:paraId="01E6DC22"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Introduction</w:t>
      </w:r>
    </w:p>
    <w:p w14:paraId="1097AEEA" w14:textId="5CB92711"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are globally significant ecosystems occupying the intertidal zones of tropical and subtropical coastlines across more than 120 countries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2007). These systems are characterized by specialized halophytic tree and shrub species such as </w:t>
      </w:r>
      <w:r w:rsidRPr="00A52E57">
        <w:rPr>
          <w:rFonts w:ascii="Times New Roman" w:hAnsi="Times New Roman" w:cs="Times New Roman"/>
          <w:i/>
          <w:iCs/>
          <w:sz w:val="24"/>
          <w:szCs w:val="24"/>
        </w:rPr>
        <w:t>Rhizophora</w:t>
      </w:r>
      <w:r w:rsidRPr="00A52E57">
        <w:rPr>
          <w:rFonts w:ascii="Times New Roman" w:hAnsi="Times New Roman" w:cs="Times New Roman"/>
          <w:sz w:val="24"/>
          <w:szCs w:val="24"/>
        </w:rPr>
        <w:t xml:space="preserve">, </w:t>
      </w:r>
      <w:proofErr w:type="spellStart"/>
      <w:r w:rsidRPr="00A52E57">
        <w:rPr>
          <w:rFonts w:ascii="Times New Roman" w:hAnsi="Times New Roman" w:cs="Times New Roman"/>
          <w:i/>
          <w:iCs/>
          <w:sz w:val="24"/>
          <w:szCs w:val="24"/>
        </w:rPr>
        <w:t>Avicennia</w:t>
      </w:r>
      <w:proofErr w:type="spellEnd"/>
      <w:r w:rsidRPr="00A52E57">
        <w:rPr>
          <w:rFonts w:ascii="Times New Roman" w:hAnsi="Times New Roman" w:cs="Times New Roman"/>
          <w:sz w:val="24"/>
          <w:szCs w:val="24"/>
        </w:rPr>
        <w:t xml:space="preserve">, </w:t>
      </w:r>
      <w:proofErr w:type="spellStart"/>
      <w:r w:rsidRPr="00A52E57">
        <w:rPr>
          <w:rFonts w:ascii="Times New Roman" w:hAnsi="Times New Roman" w:cs="Times New Roman"/>
          <w:i/>
          <w:iCs/>
          <w:sz w:val="24"/>
          <w:szCs w:val="24"/>
        </w:rPr>
        <w:t>Bruguiera</w:t>
      </w:r>
      <w:proofErr w:type="spellEnd"/>
      <w:r w:rsidRPr="00A52E57">
        <w:rPr>
          <w:rFonts w:ascii="Times New Roman" w:hAnsi="Times New Roman" w:cs="Times New Roman"/>
          <w:sz w:val="24"/>
          <w:szCs w:val="24"/>
        </w:rPr>
        <w:t xml:space="preserve">, and </w:t>
      </w:r>
      <w:proofErr w:type="spellStart"/>
      <w:r w:rsidRPr="00A52E57">
        <w:rPr>
          <w:rFonts w:ascii="Times New Roman" w:hAnsi="Times New Roman" w:cs="Times New Roman"/>
          <w:i/>
          <w:iCs/>
          <w:sz w:val="24"/>
          <w:szCs w:val="24"/>
        </w:rPr>
        <w:t>Sonneratia</w:t>
      </w:r>
      <w:proofErr w:type="spellEnd"/>
      <w:r w:rsidRPr="00A52E57">
        <w:rPr>
          <w:rFonts w:ascii="Times New Roman" w:hAnsi="Times New Roman" w:cs="Times New Roman"/>
          <w:sz w:val="24"/>
          <w:szCs w:val="24"/>
        </w:rPr>
        <w:t xml:space="preserve"> that exhibit remarkable physiological adaptations to saline and waterlogged soils. Features such as aerial roots that enable oxygen exchange, salt-excreting glands that regulate osmotic balance, and viviparous propagules that aid dispersal highlight their evolutionary resilience (Alongi, 2014).</w:t>
      </w:r>
    </w:p>
    <w:p w14:paraId="261E0115" w14:textId="7485EDF5"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ecological importance of mangroves lies in their multifunctionality. They stabilize shorelines by binding sediments, thereby reducing erosion and mitigating storm surge impacts. The protective role of mangroves has been demonstrated empirically, such as during the 1999 Odisha super-cyclone in India, where mortality rates were significantly lower in villages protected by intact mangroves compared to those lacking this buffer (Das &amp; Vincent, 2009). Hydrodynamic studies confirm that mangroves reduce wave energy by approximately 50% within the first 100 m of forest, with efficiency depending on species composition and root density (Mazda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2006; Horstman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2014). Beyond protection, mangroves function as nurseries for juvenile fish, shrimp, and mollusks, sustaining coastal fisheries and ensuring food security for millions of people (</w:t>
      </w:r>
      <w:proofErr w:type="spellStart"/>
      <w:r w:rsidRPr="00A52E57">
        <w:rPr>
          <w:rFonts w:ascii="Times New Roman" w:hAnsi="Times New Roman" w:cs="Times New Roman"/>
          <w:sz w:val="24"/>
          <w:szCs w:val="24"/>
        </w:rPr>
        <w:t>Nagelkerken</w:t>
      </w:r>
      <w:proofErr w:type="spellEnd"/>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w:t>
      </w:r>
    </w:p>
    <w:p w14:paraId="681C4457" w14:textId="2B632FE4"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Equally important are their biogeochemical functions. Mangroves are among the most carbon-rich ecosystems on Earth, with mean ecosystem carbon stocks exceeding 1,000 Mg C ha⁻¹, of which soils account for up to 98% (Donato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2011). Alongi (2014) estimated global mangrove burial of approximately 24 </w:t>
      </w:r>
      <w:proofErr w:type="spellStart"/>
      <w:r w:rsidRPr="00A52E57">
        <w:rPr>
          <w:rFonts w:ascii="Times New Roman" w:hAnsi="Times New Roman" w:cs="Times New Roman"/>
          <w:sz w:val="24"/>
          <w:szCs w:val="24"/>
        </w:rPr>
        <w:t>Tg</w:t>
      </w:r>
      <w:proofErr w:type="spellEnd"/>
      <w:r w:rsidRPr="00A52E57">
        <w:rPr>
          <w:rFonts w:ascii="Times New Roman" w:hAnsi="Times New Roman" w:cs="Times New Roman"/>
          <w:sz w:val="24"/>
          <w:szCs w:val="24"/>
        </w:rPr>
        <w:t xml:space="preserve"> C yr⁻¹, despite mangroves occupying less than 1% of coastal zones. Destruction of these ecosystems </w:t>
      </w:r>
      <w:r w:rsidRPr="00A52E57">
        <w:rPr>
          <w:rFonts w:ascii="Times New Roman" w:hAnsi="Times New Roman" w:cs="Times New Roman"/>
          <w:sz w:val="24"/>
          <w:szCs w:val="24"/>
        </w:rPr>
        <w:lastRenderedPageBreak/>
        <w:t xml:space="preserve">results in significant greenhouse gas emissions, with 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 projecting cumulative losses of 2.4–3.4 Pg CO₂-eq by 2100 if deforestation persists.</w:t>
      </w:r>
    </w:p>
    <w:p w14:paraId="1F76A2E9" w14:textId="4C57DC8A"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Despite their ecological and climatic importance, mangroves have undergone extensive degradation. Between the mid-20th century and the early 2000s, global mangrove cover declined rapidly due to aquaculture expansion, agricultural conversion, and urban development (Hamilton &amp; Casey, 2016; Richards &amp; Friess, 2016). Southeast Asia alone accounted for nearly 30% of global losses during 2000–2012, driven largely by shrimp aquaculture and rice cultivation. However, recent evidence suggests a slowing of losses and localized recovery, coinciding with stronger protection measures, ecological restoration, and improved awareness of their climate role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25548E4D" w14:textId="1BE3F196"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advent of high-resolution remote sensing has revolutionized mangrove monitoring. The Global Mangrove Watch (GMW v3.0) dataset provides long-term global coverage from 1996 to 2020, while the High-resolution Global Mangrove Forest map (HGMF_2020) derived from Sentinel-2 offers unprecedented 10 m resolution (Bunting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2022;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2023). These datasets form the empirical basis for much of our current understanding of global and regional mangrove dynamics.</w:t>
      </w:r>
    </w:p>
    <w:p w14:paraId="3D612FDA"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Global Distribution and Recent Change</w:t>
      </w:r>
    </w:p>
    <w:p w14:paraId="54758839" w14:textId="2F3E9A3D"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are distributed unevenly across the tropics, with strong concentrations in Southeast Asia, northern South America, West Africa, and northern Australia. According to GMW v3.0, global mangrove cover declined from 152,604 km² in 1996 to 147,359 km² in 2020, reflecting a 3.4% net loss (Bunting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 Losses were most pronounced between 1996 and 2010, when extent dropped to 140,260 km², coinciding with rapid aquaculture development. However, partial recovery by 2020 demonstrates that stabilization is possible when policy and ecological conditions are favorable.</w:t>
      </w:r>
    </w:p>
    <w:p w14:paraId="3BF7DE3B" w14:textId="6A40F10F" w:rsidR="00A52E57" w:rsidRPr="00A52E57" w:rsidRDefault="00A52E57" w:rsidP="00A52E57">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HGMF_2020 dataset corroborates these findings, reporting 145,068 km² in 2020 and emphasizing Asia’s dominance, which accounts for 39.2% of global mangroves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2023). Table 1 summarizes global extent across datasets, while Figure 1 </w:t>
      </w:r>
      <w:r w:rsidRPr="00A52E57">
        <w:rPr>
          <w:rFonts w:ascii="Times New Roman" w:hAnsi="Times New Roman" w:cs="Times New Roman"/>
          <w:sz w:val="24"/>
          <w:szCs w:val="24"/>
        </w:rPr>
        <w:lastRenderedPageBreak/>
        <w:t>depicts the temporal trajectory of loss and recovery. Figure 2 compares extent estimates for 2020 across GMW and HGMF, highlighting the robustness of independent datasets.</w:t>
      </w:r>
    </w:p>
    <w:p w14:paraId="2F154A03" w14:textId="6E53C9FF" w:rsidR="00A52E57" w:rsidRP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Table 1. Global mangrove extent across datasets, 1996–2020</w:t>
      </w:r>
    </w:p>
    <w:tbl>
      <w:tblPr>
        <w:tblStyle w:val="TableGrid"/>
        <w:tblW w:w="0" w:type="auto"/>
        <w:jc w:val="center"/>
        <w:tblLook w:val="04A0" w:firstRow="1" w:lastRow="0" w:firstColumn="1" w:lastColumn="0" w:noHBand="0" w:noVBand="1"/>
      </w:tblPr>
      <w:tblGrid>
        <w:gridCol w:w="1510"/>
        <w:gridCol w:w="976"/>
        <w:gridCol w:w="1522"/>
        <w:gridCol w:w="3662"/>
      </w:tblGrid>
      <w:tr w:rsidR="00A52E57" w:rsidRPr="00A52E57" w14:paraId="2914E65F" w14:textId="77777777" w:rsidTr="00A52E57">
        <w:trPr>
          <w:jc w:val="center"/>
        </w:trPr>
        <w:tc>
          <w:tcPr>
            <w:tcW w:w="0" w:type="auto"/>
            <w:hideMark/>
          </w:tcPr>
          <w:p w14:paraId="5EC520FE"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Dataset</w:t>
            </w:r>
          </w:p>
        </w:tc>
        <w:tc>
          <w:tcPr>
            <w:tcW w:w="0" w:type="auto"/>
            <w:hideMark/>
          </w:tcPr>
          <w:p w14:paraId="4B8F8A30"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Year(s)</w:t>
            </w:r>
          </w:p>
        </w:tc>
        <w:tc>
          <w:tcPr>
            <w:tcW w:w="0" w:type="auto"/>
            <w:hideMark/>
          </w:tcPr>
          <w:p w14:paraId="5CB52C14"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Extent (km²)</w:t>
            </w:r>
          </w:p>
        </w:tc>
        <w:tc>
          <w:tcPr>
            <w:tcW w:w="0" w:type="auto"/>
            <w:hideMark/>
          </w:tcPr>
          <w:p w14:paraId="2D68D089"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Notes</w:t>
            </w:r>
          </w:p>
        </w:tc>
      </w:tr>
      <w:tr w:rsidR="00A52E57" w:rsidRPr="00A52E57" w14:paraId="2F4AFE76" w14:textId="77777777" w:rsidTr="00A52E57">
        <w:trPr>
          <w:jc w:val="center"/>
        </w:trPr>
        <w:tc>
          <w:tcPr>
            <w:tcW w:w="0" w:type="auto"/>
            <w:hideMark/>
          </w:tcPr>
          <w:p w14:paraId="21D692BF"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3FC860C2"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1996</w:t>
            </w:r>
          </w:p>
        </w:tc>
        <w:tc>
          <w:tcPr>
            <w:tcW w:w="0" w:type="auto"/>
            <w:hideMark/>
          </w:tcPr>
          <w:p w14:paraId="0534D53C"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152,604</w:t>
            </w:r>
          </w:p>
        </w:tc>
        <w:tc>
          <w:tcPr>
            <w:tcW w:w="0" w:type="auto"/>
            <w:hideMark/>
          </w:tcPr>
          <w:p w14:paraId="56E521B5"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Global SAR baseline</w:t>
            </w:r>
          </w:p>
        </w:tc>
      </w:tr>
      <w:tr w:rsidR="00A52E57" w:rsidRPr="00A52E57" w14:paraId="74AB048C" w14:textId="77777777" w:rsidTr="00A52E57">
        <w:trPr>
          <w:jc w:val="center"/>
        </w:trPr>
        <w:tc>
          <w:tcPr>
            <w:tcW w:w="0" w:type="auto"/>
            <w:hideMark/>
          </w:tcPr>
          <w:p w14:paraId="6B10C94F"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7E07D0BC"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2010</w:t>
            </w:r>
          </w:p>
        </w:tc>
        <w:tc>
          <w:tcPr>
            <w:tcW w:w="0" w:type="auto"/>
            <w:hideMark/>
          </w:tcPr>
          <w:p w14:paraId="0CDFB203"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140,260</w:t>
            </w:r>
          </w:p>
        </w:tc>
        <w:tc>
          <w:tcPr>
            <w:tcW w:w="0" w:type="auto"/>
            <w:hideMark/>
          </w:tcPr>
          <w:p w14:paraId="7CBCDE59"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Peak of aquaculture-driven loss</w:t>
            </w:r>
          </w:p>
        </w:tc>
      </w:tr>
      <w:tr w:rsidR="00A52E57" w:rsidRPr="00A52E57" w14:paraId="328651C5" w14:textId="77777777" w:rsidTr="00A52E57">
        <w:trPr>
          <w:jc w:val="center"/>
        </w:trPr>
        <w:tc>
          <w:tcPr>
            <w:tcW w:w="0" w:type="auto"/>
            <w:hideMark/>
          </w:tcPr>
          <w:p w14:paraId="5FDA77C0"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GMW v3.0</w:t>
            </w:r>
          </w:p>
        </w:tc>
        <w:tc>
          <w:tcPr>
            <w:tcW w:w="0" w:type="auto"/>
            <w:hideMark/>
          </w:tcPr>
          <w:p w14:paraId="5B30FB8E"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2020</w:t>
            </w:r>
          </w:p>
        </w:tc>
        <w:tc>
          <w:tcPr>
            <w:tcW w:w="0" w:type="auto"/>
            <w:hideMark/>
          </w:tcPr>
          <w:p w14:paraId="012F6BA1"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147,359</w:t>
            </w:r>
          </w:p>
        </w:tc>
        <w:tc>
          <w:tcPr>
            <w:tcW w:w="0" w:type="auto"/>
            <w:hideMark/>
          </w:tcPr>
          <w:p w14:paraId="1340A854"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Stabilization and localized recovery</w:t>
            </w:r>
          </w:p>
        </w:tc>
      </w:tr>
      <w:tr w:rsidR="00A52E57" w:rsidRPr="00A52E57" w14:paraId="69AB8AA1" w14:textId="77777777" w:rsidTr="00A52E57">
        <w:trPr>
          <w:jc w:val="center"/>
        </w:trPr>
        <w:tc>
          <w:tcPr>
            <w:tcW w:w="0" w:type="auto"/>
            <w:hideMark/>
          </w:tcPr>
          <w:p w14:paraId="65FBBAD5"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HGMF_2020</w:t>
            </w:r>
          </w:p>
        </w:tc>
        <w:tc>
          <w:tcPr>
            <w:tcW w:w="0" w:type="auto"/>
            <w:hideMark/>
          </w:tcPr>
          <w:p w14:paraId="053B71C9"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2020</w:t>
            </w:r>
          </w:p>
        </w:tc>
        <w:tc>
          <w:tcPr>
            <w:tcW w:w="0" w:type="auto"/>
            <w:hideMark/>
          </w:tcPr>
          <w:p w14:paraId="5488D322"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145,068</w:t>
            </w:r>
          </w:p>
        </w:tc>
        <w:tc>
          <w:tcPr>
            <w:tcW w:w="0" w:type="auto"/>
            <w:hideMark/>
          </w:tcPr>
          <w:p w14:paraId="20189226"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Sentinel-2, 10 m resolution</w:t>
            </w:r>
          </w:p>
        </w:tc>
      </w:tr>
    </w:tbl>
    <w:p w14:paraId="1CF2F49C" w14:textId="77777777" w:rsidR="00CA5F7D" w:rsidRDefault="00CA5F7D" w:rsidP="00FE2202">
      <w:pPr>
        <w:spacing w:line="360" w:lineRule="auto"/>
        <w:jc w:val="center"/>
        <w:rPr>
          <w:rFonts w:ascii="Times New Roman" w:hAnsi="Times New Roman" w:cs="Times New Roman"/>
          <w:b/>
          <w:bCs/>
          <w:sz w:val="24"/>
          <w:szCs w:val="24"/>
        </w:rPr>
      </w:pPr>
    </w:p>
    <w:p w14:paraId="72A6B42D" w14:textId="1D8F4912" w:rsidR="00FE2202" w:rsidRDefault="00FE2202" w:rsidP="00FE2202">
      <w:pPr>
        <w:spacing w:line="360" w:lineRule="auto"/>
        <w:jc w:val="center"/>
        <w:rPr>
          <w:rFonts w:ascii="Times New Roman" w:hAnsi="Times New Roman" w:cs="Times New Roman"/>
          <w:b/>
          <w:bCs/>
          <w:sz w:val="24"/>
          <w:szCs w:val="24"/>
        </w:rPr>
      </w:pPr>
      <w:r w:rsidRPr="00FE2202">
        <w:rPr>
          <w:rFonts w:ascii="Times New Roman" w:hAnsi="Times New Roman" w:cs="Times New Roman"/>
          <w:b/>
          <w:bCs/>
          <w:noProof/>
          <w:sz w:val="24"/>
          <w:szCs w:val="24"/>
          <w:lang w:val="en-IN" w:eastAsia="en-IN" w:bidi="ta-IN"/>
        </w:rPr>
        <w:drawing>
          <wp:inline distT="0" distB="0" distL="0" distR="0" wp14:anchorId="311E4E18" wp14:editId="26F9026D">
            <wp:extent cx="4523105" cy="3215497"/>
            <wp:effectExtent l="0" t="0" r="0" b="4445"/>
            <wp:docPr id="1826941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8">
                      <a:extLst>
                        <a:ext uri="{28A0092B-C50C-407E-A947-70E740481C1C}">
                          <a14:useLocalDpi xmlns:a14="http://schemas.microsoft.com/office/drawing/2010/main" val="0"/>
                        </a:ext>
                      </a:extLst>
                    </a:blip>
                    <a:srcRect t="5168"/>
                    <a:stretch>
                      <a:fillRect/>
                    </a:stretch>
                  </pic:blipFill>
                  <pic:spPr bwMode="auto">
                    <a:xfrm>
                      <a:off x="0" y="0"/>
                      <a:ext cx="4541138" cy="3228317"/>
                    </a:xfrm>
                    <a:prstGeom prst="rect">
                      <a:avLst/>
                    </a:prstGeom>
                    <a:noFill/>
                    <a:ln>
                      <a:noFill/>
                    </a:ln>
                    <a:extLst>
                      <a:ext uri="{53640926-AAD7-44D8-BBD7-CCE9431645EC}">
                        <a14:shadowObscured xmlns:a14="http://schemas.microsoft.com/office/drawing/2010/main"/>
                      </a:ext>
                    </a:extLst>
                  </pic:spPr>
                </pic:pic>
              </a:graphicData>
            </a:graphic>
          </wp:inline>
        </w:drawing>
      </w:r>
    </w:p>
    <w:p w14:paraId="7C9F3E4E" w14:textId="77777777" w:rsidR="00CA5F7D" w:rsidRDefault="00CA5F7D"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1. Global mangrove extent (1996–2020) from GMW v3.0.</w:t>
      </w:r>
    </w:p>
    <w:p w14:paraId="0D1AEB0E" w14:textId="77777777" w:rsidR="00CA5F7D" w:rsidRPr="00FE2202" w:rsidRDefault="00CA5F7D" w:rsidP="00FE2202">
      <w:pPr>
        <w:spacing w:line="360" w:lineRule="auto"/>
        <w:jc w:val="center"/>
        <w:rPr>
          <w:rFonts w:ascii="Times New Roman" w:hAnsi="Times New Roman" w:cs="Times New Roman"/>
          <w:b/>
          <w:bCs/>
          <w:sz w:val="24"/>
          <w:szCs w:val="24"/>
        </w:rPr>
      </w:pPr>
    </w:p>
    <w:p w14:paraId="532BB503" w14:textId="13462985" w:rsidR="00CA5F7D" w:rsidRDefault="00CA5F7D" w:rsidP="00CA5F7D">
      <w:pPr>
        <w:spacing w:line="360" w:lineRule="auto"/>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lastRenderedPageBreak/>
        <w:drawing>
          <wp:inline distT="0" distB="0" distL="0" distR="0" wp14:anchorId="0E685258" wp14:editId="7D63B44B">
            <wp:extent cx="5486400" cy="3488690"/>
            <wp:effectExtent l="0" t="0" r="0" b="0"/>
            <wp:docPr id="2037729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9">
                      <a:extLst>
                        <a:ext uri="{28A0092B-C50C-407E-A947-70E740481C1C}">
                          <a14:useLocalDpi xmlns:a14="http://schemas.microsoft.com/office/drawing/2010/main" val="0"/>
                        </a:ext>
                      </a:extLst>
                    </a:blip>
                    <a:srcRect t="7102"/>
                    <a:stretch>
                      <a:fillRect/>
                    </a:stretch>
                  </pic:blipFill>
                  <pic:spPr bwMode="auto">
                    <a:xfrm>
                      <a:off x="0" y="0"/>
                      <a:ext cx="5486400" cy="3488690"/>
                    </a:xfrm>
                    <a:prstGeom prst="rect">
                      <a:avLst/>
                    </a:prstGeom>
                    <a:noFill/>
                    <a:ln>
                      <a:noFill/>
                    </a:ln>
                    <a:extLst>
                      <a:ext uri="{53640926-AAD7-44D8-BBD7-CCE9431645EC}">
                        <a14:shadowObscured xmlns:a14="http://schemas.microsoft.com/office/drawing/2010/main"/>
                      </a:ext>
                    </a:extLst>
                  </pic:spPr>
                </pic:pic>
              </a:graphicData>
            </a:graphic>
          </wp:inline>
        </w:drawing>
      </w:r>
    </w:p>
    <w:p w14:paraId="40DDB78E" w14:textId="77777777" w:rsidR="00CA5F7D" w:rsidRDefault="00CA5F7D"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2. Comparison of global mangrove extent in 2020 across GMW v3.0 and HGMF_2020.</w:t>
      </w:r>
    </w:p>
    <w:p w14:paraId="219D022B"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Regional Patterns and Top Countries</w:t>
      </w:r>
    </w:p>
    <w:p w14:paraId="1F68F1E8" w14:textId="5FA3A378"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Regional analyses reveal stark differences in extent, drivers, and trends. Asia is the global epicenter, hosting approximately 39.2% of mangroves, with Indonesia alone contributing ~45,000 km², or one-third of the global total (Jia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2023). Brazil follows with ~13,000 km², concentrated along the Amazon estuary, while Australia supports ~10,000 km² along its northern coast. Nigeria and Mozambique represent Africa’s largest mangrove holders. Figure 3 shows regional contributions, emphasizing Asia’s overwhelming dominance.</w:t>
      </w:r>
    </w:p>
    <w:p w14:paraId="1815134C" w14:textId="725A7819" w:rsid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Losses remain concentrated in Southeast Asia, where aquaculture and rice agriculture continue to drive conversion (Richards &amp; Friess, 2016). By contrast, South America shows relative stability due to high sediment supply in the Amazon delta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Africa exhibits localized degradation from fuelwood harvesting, though community-based initiatives have emerged to counteract losses (Ward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w:t>
      </w:r>
      <w:r w:rsidRPr="00A52E57">
        <w:rPr>
          <w:rFonts w:ascii="Times New Roman" w:hAnsi="Times New Roman" w:cs="Times New Roman"/>
          <w:sz w:val="24"/>
          <w:szCs w:val="24"/>
        </w:rPr>
        <w:lastRenderedPageBreak/>
        <w:t xml:space="preserve">2016). Oceania demonstrates general stability but episodic dieback linked to extreme drought, as documented in northern Australia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2346ACBD" w14:textId="49A83006" w:rsidR="00CA5F7D" w:rsidRPr="00CA5F7D" w:rsidRDefault="00CA5F7D" w:rsidP="00CA5F7D">
      <w:pPr>
        <w:spacing w:line="360" w:lineRule="auto"/>
        <w:ind w:firstLine="720"/>
        <w:jc w:val="both"/>
        <w:rPr>
          <w:rFonts w:ascii="Times New Roman" w:hAnsi="Times New Roman" w:cs="Times New Roman"/>
          <w:sz w:val="24"/>
          <w:szCs w:val="24"/>
        </w:rPr>
      </w:pPr>
      <w:r w:rsidRPr="00CA5F7D">
        <w:rPr>
          <w:rFonts w:ascii="Times New Roman" w:hAnsi="Times New Roman" w:cs="Times New Roman"/>
          <w:noProof/>
          <w:sz w:val="24"/>
          <w:szCs w:val="24"/>
          <w:lang w:val="en-IN" w:eastAsia="en-IN" w:bidi="ta-IN"/>
        </w:rPr>
        <w:drawing>
          <wp:inline distT="0" distB="0" distL="0" distR="0" wp14:anchorId="3082C184" wp14:editId="30163703">
            <wp:extent cx="5486400" cy="3611880"/>
            <wp:effectExtent l="0" t="0" r="0" b="7620"/>
            <wp:docPr id="625497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0">
                      <a:extLst>
                        <a:ext uri="{28A0092B-C50C-407E-A947-70E740481C1C}">
                          <a14:useLocalDpi xmlns:a14="http://schemas.microsoft.com/office/drawing/2010/main" val="0"/>
                        </a:ext>
                      </a:extLst>
                    </a:blip>
                    <a:srcRect t="11628" b="8496"/>
                    <a:stretch>
                      <a:fillRect/>
                    </a:stretch>
                  </pic:blipFill>
                  <pic:spPr bwMode="auto">
                    <a:xfrm>
                      <a:off x="0" y="0"/>
                      <a:ext cx="5486400"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7B91FF0E" w14:textId="77777777" w:rsidR="00A52E57" w:rsidRDefault="00A52E57"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3. Regional share of mangroves in 2020 (Asia vs. rest of world) based on HGMF_2020.</w:t>
      </w:r>
    </w:p>
    <w:p w14:paraId="3E08AACD"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Ecosystem Services and Blue Carbon</w:t>
      </w:r>
    </w:p>
    <w:p w14:paraId="6D8D5489" w14:textId="08B9F6C0"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provide multiple ecosystem services that are disproportionately large relative to their area. In terms of carbon storage, 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(2011) quantified mean stocks at 1,023 Mg C ha⁻¹, with soils contributing 49–98%. Alongi (2014) estimated annual global burial rates of 24 </w:t>
      </w:r>
      <w:proofErr w:type="spellStart"/>
      <w:r w:rsidRPr="00A52E57">
        <w:rPr>
          <w:rFonts w:ascii="Times New Roman" w:hAnsi="Times New Roman" w:cs="Times New Roman"/>
          <w:sz w:val="24"/>
          <w:szCs w:val="24"/>
        </w:rPr>
        <w:t>Tg</w:t>
      </w:r>
      <w:proofErr w:type="spellEnd"/>
      <w:r w:rsidRPr="00A52E57">
        <w:rPr>
          <w:rFonts w:ascii="Times New Roman" w:hAnsi="Times New Roman" w:cs="Times New Roman"/>
          <w:sz w:val="24"/>
          <w:szCs w:val="24"/>
        </w:rPr>
        <w:t xml:space="preserve"> C, underscoring their global role in carbon cycling. Table 2 summarizes key carbon values, while Figure 4 illustrates mean carbon stocks across sites.</w:t>
      </w:r>
    </w:p>
    <w:p w14:paraId="61F0F258" w14:textId="7A680487" w:rsidR="00A52E57" w:rsidRPr="00A52E57" w:rsidRDefault="00A52E57" w:rsidP="00A52E57">
      <w:pPr>
        <w:spacing w:line="360" w:lineRule="auto"/>
        <w:jc w:val="center"/>
        <w:rPr>
          <w:rFonts w:ascii="Times New Roman" w:hAnsi="Times New Roman" w:cs="Times New Roman"/>
          <w:b/>
          <w:bCs/>
          <w:sz w:val="24"/>
          <w:szCs w:val="24"/>
        </w:rPr>
      </w:pPr>
      <w:r w:rsidRPr="00A52E57">
        <w:rPr>
          <w:rFonts w:ascii="Times New Roman" w:hAnsi="Times New Roman" w:cs="Times New Roman"/>
          <w:b/>
          <w:bCs/>
          <w:sz w:val="24"/>
          <w:szCs w:val="24"/>
        </w:rPr>
        <w:t>Table 2. Mangrove carbon storage and sequestration</w:t>
      </w:r>
    </w:p>
    <w:tbl>
      <w:tblPr>
        <w:tblStyle w:val="TableGrid"/>
        <w:tblW w:w="0" w:type="auto"/>
        <w:jc w:val="center"/>
        <w:tblLook w:val="04A0" w:firstRow="1" w:lastRow="0" w:firstColumn="1" w:lastColumn="0" w:noHBand="0" w:noVBand="1"/>
      </w:tblPr>
      <w:tblGrid>
        <w:gridCol w:w="3089"/>
        <w:gridCol w:w="2022"/>
        <w:gridCol w:w="2063"/>
      </w:tblGrid>
      <w:tr w:rsidR="00A52E57" w:rsidRPr="00A52E57" w14:paraId="0DFCDBFE" w14:textId="77777777" w:rsidTr="00A52E57">
        <w:trPr>
          <w:jc w:val="center"/>
        </w:trPr>
        <w:tc>
          <w:tcPr>
            <w:tcW w:w="0" w:type="auto"/>
            <w:hideMark/>
          </w:tcPr>
          <w:p w14:paraId="738E0D6E"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Parameter</w:t>
            </w:r>
          </w:p>
        </w:tc>
        <w:tc>
          <w:tcPr>
            <w:tcW w:w="0" w:type="auto"/>
            <w:hideMark/>
          </w:tcPr>
          <w:p w14:paraId="2BA631A5"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Value</w:t>
            </w:r>
          </w:p>
        </w:tc>
        <w:tc>
          <w:tcPr>
            <w:tcW w:w="0" w:type="auto"/>
            <w:hideMark/>
          </w:tcPr>
          <w:p w14:paraId="21CB4403"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Source</w:t>
            </w:r>
          </w:p>
        </w:tc>
      </w:tr>
      <w:tr w:rsidR="00A52E57" w:rsidRPr="00A52E57" w14:paraId="78431216" w14:textId="77777777" w:rsidTr="00A52E57">
        <w:trPr>
          <w:jc w:val="center"/>
        </w:trPr>
        <w:tc>
          <w:tcPr>
            <w:tcW w:w="0" w:type="auto"/>
            <w:hideMark/>
          </w:tcPr>
          <w:p w14:paraId="38905BE4"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lastRenderedPageBreak/>
              <w:t>Mean carbon stock</w:t>
            </w:r>
          </w:p>
        </w:tc>
        <w:tc>
          <w:tcPr>
            <w:tcW w:w="0" w:type="auto"/>
            <w:hideMark/>
          </w:tcPr>
          <w:p w14:paraId="152211A6"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1,023 Mg C ha⁻¹</w:t>
            </w:r>
          </w:p>
        </w:tc>
        <w:tc>
          <w:tcPr>
            <w:tcW w:w="0" w:type="auto"/>
            <w:hideMark/>
          </w:tcPr>
          <w:p w14:paraId="570BBC49" w14:textId="4F01C626"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2011</w:t>
            </w:r>
          </w:p>
        </w:tc>
      </w:tr>
      <w:tr w:rsidR="00A52E57" w:rsidRPr="00A52E57" w14:paraId="5B0F09AA" w14:textId="77777777" w:rsidTr="00A52E57">
        <w:trPr>
          <w:jc w:val="center"/>
        </w:trPr>
        <w:tc>
          <w:tcPr>
            <w:tcW w:w="0" w:type="auto"/>
            <w:hideMark/>
          </w:tcPr>
          <w:p w14:paraId="4019C077"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Soil contribution</w:t>
            </w:r>
          </w:p>
        </w:tc>
        <w:tc>
          <w:tcPr>
            <w:tcW w:w="0" w:type="auto"/>
            <w:hideMark/>
          </w:tcPr>
          <w:p w14:paraId="36F9736B"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49–98%</w:t>
            </w:r>
          </w:p>
        </w:tc>
        <w:tc>
          <w:tcPr>
            <w:tcW w:w="0" w:type="auto"/>
            <w:hideMark/>
          </w:tcPr>
          <w:p w14:paraId="1ACD8FB6" w14:textId="42EB628E"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Donato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2011</w:t>
            </w:r>
          </w:p>
        </w:tc>
      </w:tr>
      <w:tr w:rsidR="00A52E57" w:rsidRPr="00A52E57" w14:paraId="237DE9E9" w14:textId="77777777" w:rsidTr="00A52E57">
        <w:trPr>
          <w:jc w:val="center"/>
        </w:trPr>
        <w:tc>
          <w:tcPr>
            <w:tcW w:w="0" w:type="auto"/>
            <w:hideMark/>
          </w:tcPr>
          <w:p w14:paraId="6AF2A2B6"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Global burial rate</w:t>
            </w:r>
          </w:p>
        </w:tc>
        <w:tc>
          <w:tcPr>
            <w:tcW w:w="0" w:type="auto"/>
            <w:hideMark/>
          </w:tcPr>
          <w:p w14:paraId="795905CB"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24 </w:t>
            </w:r>
            <w:proofErr w:type="spellStart"/>
            <w:r w:rsidRPr="00A52E57">
              <w:rPr>
                <w:rFonts w:ascii="Times New Roman" w:hAnsi="Times New Roman" w:cs="Times New Roman"/>
                <w:sz w:val="24"/>
                <w:szCs w:val="24"/>
              </w:rPr>
              <w:t>Tg</w:t>
            </w:r>
            <w:proofErr w:type="spellEnd"/>
            <w:r w:rsidRPr="00A52E57">
              <w:rPr>
                <w:rFonts w:ascii="Times New Roman" w:hAnsi="Times New Roman" w:cs="Times New Roman"/>
                <w:sz w:val="24"/>
                <w:szCs w:val="24"/>
              </w:rPr>
              <w:t xml:space="preserve"> C yr⁻¹</w:t>
            </w:r>
          </w:p>
        </w:tc>
        <w:tc>
          <w:tcPr>
            <w:tcW w:w="0" w:type="auto"/>
            <w:hideMark/>
          </w:tcPr>
          <w:p w14:paraId="67402951"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Alongi, 2014</w:t>
            </w:r>
          </w:p>
        </w:tc>
      </w:tr>
      <w:tr w:rsidR="00A52E57" w:rsidRPr="00A52E57" w14:paraId="2EB933DA" w14:textId="77777777" w:rsidTr="00A52E57">
        <w:trPr>
          <w:jc w:val="center"/>
        </w:trPr>
        <w:tc>
          <w:tcPr>
            <w:tcW w:w="0" w:type="auto"/>
            <w:hideMark/>
          </w:tcPr>
          <w:p w14:paraId="30834F2F" w14:textId="77777777" w:rsidR="00A52E57" w:rsidRPr="00A52E57" w:rsidRDefault="00A52E57" w:rsidP="00A52E57">
            <w:pPr>
              <w:spacing w:after="200" w:line="360" w:lineRule="auto"/>
              <w:rPr>
                <w:rFonts w:ascii="Times New Roman" w:hAnsi="Times New Roman" w:cs="Times New Roman"/>
                <w:b/>
                <w:bCs/>
                <w:sz w:val="24"/>
                <w:szCs w:val="24"/>
              </w:rPr>
            </w:pPr>
            <w:r w:rsidRPr="00A52E57">
              <w:rPr>
                <w:rFonts w:ascii="Times New Roman" w:hAnsi="Times New Roman" w:cs="Times New Roman"/>
                <w:b/>
                <w:bCs/>
                <w:sz w:val="24"/>
                <w:szCs w:val="24"/>
              </w:rPr>
              <w:t>Projected emissions by 2100</w:t>
            </w:r>
          </w:p>
        </w:tc>
        <w:tc>
          <w:tcPr>
            <w:tcW w:w="0" w:type="auto"/>
            <w:hideMark/>
          </w:tcPr>
          <w:p w14:paraId="3881991D" w14:textId="7777777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2.4–3.4 Pg CO₂-eq</w:t>
            </w:r>
          </w:p>
        </w:tc>
        <w:tc>
          <w:tcPr>
            <w:tcW w:w="0" w:type="auto"/>
            <w:hideMark/>
          </w:tcPr>
          <w:p w14:paraId="5EDBBB9C" w14:textId="7545D0C7" w:rsidR="00A52E57" w:rsidRPr="00A52E57" w:rsidRDefault="00A52E57" w:rsidP="00A52E57">
            <w:pPr>
              <w:spacing w:after="200" w:line="360" w:lineRule="auto"/>
              <w:rPr>
                <w:rFonts w:ascii="Times New Roman" w:hAnsi="Times New Roman" w:cs="Times New Roman"/>
                <w:sz w:val="24"/>
                <w:szCs w:val="24"/>
              </w:rPr>
            </w:pPr>
            <w:r w:rsidRPr="00A52E57">
              <w:rPr>
                <w:rFonts w:ascii="Times New Roman" w:hAnsi="Times New Roman" w:cs="Times New Roman"/>
                <w:sz w:val="24"/>
                <w:szCs w:val="24"/>
              </w:rPr>
              <w:t xml:space="preserve">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w:t>
            </w:r>
          </w:p>
        </w:tc>
      </w:tr>
    </w:tbl>
    <w:p w14:paraId="5FACFE8D" w14:textId="77777777" w:rsidR="00CA5F7D" w:rsidRDefault="00CA5F7D" w:rsidP="00CA5F7D">
      <w:pPr>
        <w:spacing w:line="360" w:lineRule="auto"/>
        <w:rPr>
          <w:rFonts w:ascii="Times New Roman" w:hAnsi="Times New Roman" w:cs="Times New Roman"/>
          <w:b/>
          <w:bCs/>
          <w:sz w:val="24"/>
          <w:szCs w:val="24"/>
        </w:rPr>
      </w:pPr>
    </w:p>
    <w:p w14:paraId="3DB206D3" w14:textId="3F7AA8DD" w:rsidR="00CA5F7D" w:rsidRPr="00CA5F7D" w:rsidRDefault="00CA5F7D" w:rsidP="00CA5F7D">
      <w:pPr>
        <w:spacing w:line="360" w:lineRule="auto"/>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301C0329" wp14:editId="53217F23">
            <wp:extent cx="5486400" cy="2815590"/>
            <wp:effectExtent l="0" t="0" r="0" b="3810"/>
            <wp:docPr id="1415363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1">
                      <a:extLst>
                        <a:ext uri="{28A0092B-C50C-407E-A947-70E740481C1C}">
                          <a14:useLocalDpi xmlns:a14="http://schemas.microsoft.com/office/drawing/2010/main" val="0"/>
                        </a:ext>
                      </a:extLst>
                    </a:blip>
                    <a:srcRect t="6574"/>
                    <a:stretch>
                      <a:fillRect/>
                    </a:stretch>
                  </pic:blipFill>
                  <pic:spPr bwMode="auto">
                    <a:xfrm>
                      <a:off x="0" y="0"/>
                      <a:ext cx="5486400" cy="2815590"/>
                    </a:xfrm>
                    <a:prstGeom prst="rect">
                      <a:avLst/>
                    </a:prstGeom>
                    <a:noFill/>
                    <a:ln>
                      <a:noFill/>
                    </a:ln>
                    <a:extLst>
                      <a:ext uri="{53640926-AAD7-44D8-BBD7-CCE9431645EC}">
                        <a14:shadowObscured xmlns:a14="http://schemas.microsoft.com/office/drawing/2010/main"/>
                      </a:ext>
                    </a:extLst>
                  </pic:spPr>
                </pic:pic>
              </a:graphicData>
            </a:graphic>
          </wp:inline>
        </w:drawing>
      </w:r>
    </w:p>
    <w:p w14:paraId="09E18E97" w14:textId="77777777" w:rsidR="00CA5F7D" w:rsidRDefault="00A52E57" w:rsidP="00CA5F7D">
      <w:pPr>
        <w:spacing w:line="360" w:lineRule="auto"/>
        <w:jc w:val="center"/>
        <w:rPr>
          <w:rFonts w:ascii="Times New Roman" w:hAnsi="Times New Roman" w:cs="Times New Roman"/>
          <w:b/>
          <w:bCs/>
          <w:i/>
          <w:iCs/>
          <w:sz w:val="24"/>
          <w:szCs w:val="24"/>
        </w:rPr>
      </w:pPr>
      <w:r w:rsidRPr="00A52E57">
        <w:rPr>
          <w:rFonts w:ascii="Times New Roman" w:hAnsi="Times New Roman" w:cs="Times New Roman"/>
          <w:b/>
          <w:bCs/>
          <w:i/>
          <w:iCs/>
          <w:sz w:val="24"/>
          <w:szCs w:val="24"/>
        </w:rPr>
        <w:t>Figure 4. Mean mangrove ecosystem carbon stock (Donato et al., 2011).</w:t>
      </w:r>
    </w:p>
    <w:p w14:paraId="5B9044F9" w14:textId="030A84BC" w:rsidR="00CA5F7D" w:rsidRPr="00CA5F7D" w:rsidRDefault="00CA5F7D" w:rsidP="00CA5F7D">
      <w:pPr>
        <w:spacing w:line="360" w:lineRule="auto"/>
        <w:jc w:val="center"/>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lastRenderedPageBreak/>
        <w:drawing>
          <wp:inline distT="0" distB="0" distL="0" distR="0" wp14:anchorId="3845746D" wp14:editId="7852ED8D">
            <wp:extent cx="5486400" cy="3176270"/>
            <wp:effectExtent l="0" t="0" r="0" b="5080"/>
            <wp:docPr id="307319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2">
                      <a:extLst>
                        <a:ext uri="{28A0092B-C50C-407E-A947-70E740481C1C}">
                          <a14:useLocalDpi xmlns:a14="http://schemas.microsoft.com/office/drawing/2010/main" val="0"/>
                        </a:ext>
                      </a:extLst>
                    </a:blip>
                    <a:srcRect t="7336"/>
                    <a:stretch>
                      <a:fillRect/>
                    </a:stretch>
                  </pic:blipFill>
                  <pic:spPr bwMode="auto">
                    <a:xfrm>
                      <a:off x="0" y="0"/>
                      <a:ext cx="5486400" cy="3176270"/>
                    </a:xfrm>
                    <a:prstGeom prst="rect">
                      <a:avLst/>
                    </a:prstGeom>
                    <a:noFill/>
                    <a:ln>
                      <a:noFill/>
                    </a:ln>
                    <a:extLst>
                      <a:ext uri="{53640926-AAD7-44D8-BBD7-CCE9431645EC}">
                        <a14:shadowObscured xmlns:a14="http://schemas.microsoft.com/office/drawing/2010/main"/>
                      </a:ext>
                    </a:extLst>
                  </pic:spPr>
                </pic:pic>
              </a:graphicData>
            </a:graphic>
          </wp:inline>
        </w:drawing>
      </w:r>
    </w:p>
    <w:p w14:paraId="1207066B" w14:textId="676E49E5"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t>Figure 5. Projected global CO₂ emissions from mangrove loss by 2100 (Adame et al., 2021).</w:t>
      </w:r>
    </w:p>
    <w:p w14:paraId="328DF0A4" w14:textId="7EA1A6D8" w:rsid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Mangroves also play a crucial role in coastal protection. Field evidence shows ~50% wave attenuation within 100 m of forest (Mazda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2006), while the Odisha cyclone case study (Das &amp; Vincent, 2009) highlights their socio-economic significance. Figure 6 demonstrates wave-energy reduction along a mangrove transect. Beyond carbon and coastal defense, mangroves sustain biodiversity by providing habitat complexity that supports fish, crustaceans, birds, and mammals (</w:t>
      </w:r>
      <w:proofErr w:type="spellStart"/>
      <w:r w:rsidRPr="00A52E57">
        <w:rPr>
          <w:rFonts w:ascii="Times New Roman" w:hAnsi="Times New Roman" w:cs="Times New Roman"/>
          <w:sz w:val="24"/>
          <w:szCs w:val="24"/>
        </w:rPr>
        <w:t>Nagelkerken</w:t>
      </w:r>
      <w:proofErr w:type="spellEnd"/>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2008; Bosire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2008).</w:t>
      </w:r>
    </w:p>
    <w:p w14:paraId="0E7A2E05" w14:textId="38CFDBE1" w:rsidR="00CA5F7D" w:rsidRPr="00CA5F7D" w:rsidRDefault="00CA5F7D" w:rsidP="00CA5F7D">
      <w:pPr>
        <w:spacing w:line="360" w:lineRule="auto"/>
        <w:ind w:firstLine="720"/>
        <w:jc w:val="both"/>
        <w:rPr>
          <w:rFonts w:ascii="Times New Roman" w:hAnsi="Times New Roman" w:cs="Times New Roman"/>
          <w:sz w:val="24"/>
          <w:szCs w:val="24"/>
        </w:rPr>
      </w:pPr>
      <w:r w:rsidRPr="00CA5F7D">
        <w:rPr>
          <w:rFonts w:ascii="Times New Roman" w:hAnsi="Times New Roman" w:cs="Times New Roman"/>
          <w:noProof/>
          <w:sz w:val="24"/>
          <w:szCs w:val="24"/>
          <w:lang w:val="en-IN" w:eastAsia="en-IN" w:bidi="ta-IN"/>
        </w:rPr>
        <w:lastRenderedPageBreak/>
        <w:drawing>
          <wp:inline distT="0" distB="0" distL="0" distR="0" wp14:anchorId="64B4FDD1" wp14:editId="77CE0B63">
            <wp:extent cx="5486400" cy="3395980"/>
            <wp:effectExtent l="0" t="0" r="0" b="0"/>
            <wp:docPr id="1627058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3">
                      <a:extLst>
                        <a:ext uri="{28A0092B-C50C-407E-A947-70E740481C1C}">
                          <a14:useLocalDpi xmlns:a14="http://schemas.microsoft.com/office/drawing/2010/main" val="0"/>
                        </a:ext>
                      </a:extLst>
                    </a:blip>
                    <a:srcRect t="6699"/>
                    <a:stretch>
                      <a:fillRect/>
                    </a:stretch>
                  </pic:blipFill>
                  <pic:spPr bwMode="auto">
                    <a:xfrm>
                      <a:off x="0" y="0"/>
                      <a:ext cx="5486400" cy="3395980"/>
                    </a:xfrm>
                    <a:prstGeom prst="rect">
                      <a:avLst/>
                    </a:prstGeom>
                    <a:noFill/>
                    <a:ln>
                      <a:noFill/>
                    </a:ln>
                    <a:extLst>
                      <a:ext uri="{53640926-AAD7-44D8-BBD7-CCE9431645EC}">
                        <a14:shadowObscured xmlns:a14="http://schemas.microsoft.com/office/drawing/2010/main"/>
                      </a:ext>
                    </a:extLst>
                  </pic:spPr>
                </pic:pic>
              </a:graphicData>
            </a:graphic>
          </wp:inline>
        </w:drawing>
      </w:r>
    </w:p>
    <w:p w14:paraId="0A559F25" w14:textId="77777777"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t>Figure 6. Illustrative wave attenuation profile across a mangrove belt.</w:t>
      </w:r>
    </w:p>
    <w:p w14:paraId="1A6DA860"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Drivers of Loss, Stabilization, and Gain</w:t>
      </w:r>
    </w:p>
    <w:p w14:paraId="7BE11B5A" w14:textId="52771208"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The history of mangrove deforestation is closely tied to the expansion of coastal economies. Anthropogenic pressures are the dominant drivers of loss, particularly in Asia, which has accounted for over 90% of global mangrove deforestation in recent decades (Richards &amp; Friess, 2016). The single largest factor has been aquaculture expansion, most notably shrimp farming, which rapidly converted vast tracts of mangroves into artificial ponds. For example, Thailand lost nearly half of its mangroves during the 1980s and 1990s due to intensive aquaculture (Alongi, 2002). Agriculture also plays a role, as conversion to rice paddies and oil palm plantations is widespread in Myanmar, Vietnam, and Indonesia (Hamilton &amp; Casey, 2016). Urbanization contributes significantly in regions of rapid coastal growth; major cities such as Jakarta, Lagos, and Manila have expanded into former mangrove belts (Goldberg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2020).</w:t>
      </w:r>
    </w:p>
    <w:p w14:paraId="05E3398B" w14:textId="19B09C20"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Fuelwood harvesting remains an important driver in Africa and South Asia. In countries such as Nigeria, Bangladesh, and India, mangroves are harvested for charcoal production and construction material, often without sustainable practices (Ward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w:t>
      </w:r>
      <w:r w:rsidRPr="00A52E57">
        <w:rPr>
          <w:rFonts w:ascii="Times New Roman" w:hAnsi="Times New Roman" w:cs="Times New Roman"/>
          <w:sz w:val="24"/>
          <w:szCs w:val="24"/>
        </w:rPr>
        <w:lastRenderedPageBreak/>
        <w:t>2016). Infrastructure projects such as roads, embankments, and dykes also fragment mangrove hydrology, preventing tidal exchange and altering salinity regimes that are vital for seedling recruitment (Lewis, 2005).</w:t>
      </w:r>
    </w:p>
    <w:p w14:paraId="7923480F" w14:textId="7974626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Natural drivers include cyclones, erosion, and pest outbreaks. For instance, the massive dieback of northern Australian mangroves during the 2015–2016 El Niño drought was attributed to hydrological stress combined with extreme heat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2017). However, natural disturbances often lead to regeneration, provided sediment supply and hydrological connectivity remain intact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59905AFD" w14:textId="33F616C6"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Encouragingly, evidence indicates that losses have slowed in the past decade. Global Mangrove Watch data show that after a sharp decline between 1996 and 2010, mangrove extent partially recovered by 2020 (Figure 1). Localized gains are reported from hydrological restoration, such as in the Florida Everglades and the Philippines, where tidal reconnection allowed natural regeneration within a decade (Lewis, 2005). Similarly, mangroves have expanded into tidal flats in Bangladesh and northern Brazil, facilitated by sediment deposition and landward migration (Thomas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10DF1238"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Climate Change: Risks, Responses, and Resilience</w:t>
      </w:r>
    </w:p>
    <w:p w14:paraId="58CA9B60" w14:textId="2B0439F2"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Climate change represents both a threat and an opportunity for mangroves. On one hand, warming temperatures are enabling poleward expansion into salt-marsh zones. Evidence from northern Australia and the Gulf of Mexico shows mangroves encroaching into marshlands at rates of several kilometers per decade (Saintilan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2014). Such range expansions suggest potential gains in some regions.</w:t>
      </w:r>
    </w:p>
    <w:p w14:paraId="6FB79215" w14:textId="6E2E3A51"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On the other hand, accelerated sea-level rise poses one of the greatest threats to mangrove persistence. A multi-country Indo-Pacific assessment by Lovelock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(2015) found that approximately 70% of sites lack the vertical accretion capacity to keep pace with projected 21st-century sea-level rise, rendering them vulnerable to submergence. Figure 7 illustrates the proportion of sites considered at risk. Sediment supply and tidal dynamics will determine which forests survive, with deltas such as the Ganges–Brahmaputra retaining higher resilience compared to sediment-starved coasts (Friess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2022).</w:t>
      </w:r>
    </w:p>
    <w:p w14:paraId="706C1228" w14:textId="1576EBC1"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lastRenderedPageBreak/>
        <w:t xml:space="preserve">Mangroves also face increasing cyclone intensity. While these ecosystems can recover after storms, as seen in Bangladesh and the Philippines where canopy recovery occurred within 4–6 years (Das &amp; Vincent, 2009), repeated extreme events could exceed resilience thresholds. Furthermore, climate-related stressors such as prolonged droughts, heatwaves, and salinity shifts will likely exacerbate mortality events, as observed in northern Australia (Duke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2017).</w:t>
      </w:r>
    </w:p>
    <w:p w14:paraId="7D018356"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Yet mangroves also provide climate adaptation benefits. By attenuating storm surges and stabilizing sediments, they enhance coastal resilience for human populations. The Odisha super-cyclone example remains a landmark case demonstrating how intact mangroves reduce human vulnerability (Das &amp; Vincent, 2009).</w:t>
      </w:r>
    </w:p>
    <w:p w14:paraId="25622898" w14:textId="5A746A21" w:rsidR="00CA5F7D" w:rsidRPr="00CA5F7D" w:rsidRDefault="00CA5F7D" w:rsidP="00CA5F7D">
      <w:pPr>
        <w:spacing w:line="360" w:lineRule="auto"/>
        <w:jc w:val="both"/>
        <w:rPr>
          <w:rFonts w:ascii="Times New Roman" w:hAnsi="Times New Roman" w:cs="Times New Roman"/>
          <w:b/>
          <w:bCs/>
          <w:sz w:val="24"/>
          <w:szCs w:val="24"/>
        </w:rPr>
      </w:pPr>
      <w:r w:rsidRPr="00CA5F7D">
        <w:rPr>
          <w:rFonts w:ascii="Times New Roman" w:hAnsi="Times New Roman" w:cs="Times New Roman"/>
          <w:b/>
          <w:bCs/>
          <w:noProof/>
          <w:sz w:val="24"/>
          <w:szCs w:val="24"/>
          <w:lang w:val="en-IN" w:eastAsia="en-IN" w:bidi="ta-IN"/>
        </w:rPr>
        <w:drawing>
          <wp:inline distT="0" distB="0" distL="0" distR="0" wp14:anchorId="2D90C1A8" wp14:editId="75FAF8DF">
            <wp:extent cx="5486400" cy="2689860"/>
            <wp:effectExtent l="0" t="0" r="0" b="0"/>
            <wp:docPr id="16691476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50" b="7621"/>
                    <a:stretch>
                      <a:fillRect/>
                    </a:stretch>
                  </pic:blipFill>
                  <pic:spPr bwMode="auto">
                    <a:xfrm>
                      <a:off x="0" y="0"/>
                      <a:ext cx="5486400"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3E186F5B" w14:textId="793ED7F8" w:rsidR="00A52E57" w:rsidRPr="00A52E57" w:rsidRDefault="00A52E57" w:rsidP="00CA5F7D">
      <w:pPr>
        <w:spacing w:line="360" w:lineRule="auto"/>
        <w:jc w:val="center"/>
        <w:rPr>
          <w:rFonts w:ascii="Times New Roman" w:hAnsi="Times New Roman" w:cs="Times New Roman"/>
          <w:b/>
          <w:bCs/>
          <w:sz w:val="24"/>
          <w:szCs w:val="24"/>
        </w:rPr>
      </w:pPr>
      <w:r w:rsidRPr="00A52E57">
        <w:rPr>
          <w:rFonts w:ascii="Times New Roman" w:hAnsi="Times New Roman" w:cs="Times New Roman"/>
          <w:b/>
          <w:bCs/>
          <w:i/>
          <w:iCs/>
          <w:sz w:val="24"/>
          <w:szCs w:val="24"/>
        </w:rPr>
        <w:t xml:space="preserve">Figure 7. Proportion of Indo-Pacific mangroves vulnerable to sea-level rise, based on elevation capital (Lovelock </w:t>
      </w:r>
      <w:r w:rsidRPr="00CA5F7D">
        <w:rPr>
          <w:rFonts w:ascii="Times New Roman" w:hAnsi="Times New Roman" w:cs="Times New Roman"/>
          <w:b/>
          <w:bCs/>
          <w:i/>
          <w:iCs/>
          <w:sz w:val="24"/>
          <w:szCs w:val="24"/>
        </w:rPr>
        <w:t>et al</w:t>
      </w:r>
      <w:r w:rsidRPr="00A52E57">
        <w:rPr>
          <w:rFonts w:ascii="Times New Roman" w:hAnsi="Times New Roman" w:cs="Times New Roman"/>
          <w:b/>
          <w:bCs/>
          <w:i/>
          <w:iCs/>
          <w:sz w:val="24"/>
          <w:szCs w:val="24"/>
        </w:rPr>
        <w:t>., 2015).</w:t>
      </w:r>
    </w:p>
    <w:p w14:paraId="7DCE826E"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Conservation, Restoration, and Policy Priorities</w:t>
      </w:r>
    </w:p>
    <w:p w14:paraId="766EBBB4"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Given their ecological and socio-economic significance, mangroves have become a global conservation priority. The State of the World’s Mangroves 2024 report emphasizes three urgent targets: halting net loss, doubling protected areas, and restoring half of historically lost mangroves by 2030 (Global Mangrove Alliance, 2024).</w:t>
      </w:r>
    </w:p>
    <w:p w14:paraId="1123F170"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lastRenderedPageBreak/>
        <w:t>Restoration has emerged as a central strategy, but success depends on ecological principles. Lewis (2005) argues that simply planting mangrove seedlings, often in inappropriate sites, leads to high mortality and wasted resources. Instead, restoring tidal hydrology and allowing natural recruitment results in self-sustaining recovery. The Florida and Philippines case studies illustrate that ecological engineering approaches outperform monoculture plantations.</w:t>
      </w:r>
    </w:p>
    <w:p w14:paraId="2AF211B5" w14:textId="12EC70AF"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Policy frameworks are increasingly integrating mangroves into climate commitments. Incorporation into Nationally Determined Contributions (NDCs) under the Paris Agreement recognizes their role in mitigation and adaptation. Blue carbon finance mechanisms are being piloted in Kenya, Indonesia, and Colombia, linking mangrove conservation to carbon markets (Adame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2021). However, concerns exist over ensuring social equity and preventing exploitation of local communities. Safeguards and participatory governance are therefore essential.</w:t>
      </w:r>
    </w:p>
    <w:p w14:paraId="239E1330" w14:textId="387E5B5D"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Community-based management is another pillar of conservation. In Kenya, the </w:t>
      </w:r>
      <w:proofErr w:type="spellStart"/>
      <w:r w:rsidRPr="00A52E57">
        <w:rPr>
          <w:rFonts w:ascii="Times New Roman" w:hAnsi="Times New Roman" w:cs="Times New Roman"/>
          <w:sz w:val="24"/>
          <w:szCs w:val="24"/>
        </w:rPr>
        <w:t>Mikoko</w:t>
      </w:r>
      <w:proofErr w:type="spellEnd"/>
      <w:r w:rsidRPr="00A52E57">
        <w:rPr>
          <w:rFonts w:ascii="Times New Roman" w:hAnsi="Times New Roman" w:cs="Times New Roman"/>
          <w:sz w:val="24"/>
          <w:szCs w:val="24"/>
        </w:rPr>
        <w:t xml:space="preserve"> </w:t>
      </w:r>
      <w:proofErr w:type="spellStart"/>
      <w:r w:rsidRPr="00A52E57">
        <w:rPr>
          <w:rFonts w:ascii="Times New Roman" w:hAnsi="Times New Roman" w:cs="Times New Roman"/>
          <w:sz w:val="24"/>
          <w:szCs w:val="24"/>
        </w:rPr>
        <w:t>Pamoja</w:t>
      </w:r>
      <w:proofErr w:type="spellEnd"/>
      <w:r w:rsidRPr="00A52E57">
        <w:rPr>
          <w:rFonts w:ascii="Times New Roman" w:hAnsi="Times New Roman" w:cs="Times New Roman"/>
          <w:sz w:val="24"/>
          <w:szCs w:val="24"/>
        </w:rPr>
        <w:t xml:space="preserve"> project exemplifies how local communities can co-manage mangroves, benefiting from both ecosystem services and carbon revenue (Bosire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2008). Similar initiatives in India’s </w:t>
      </w:r>
      <w:proofErr w:type="spellStart"/>
      <w:r w:rsidRPr="00A52E57">
        <w:rPr>
          <w:rFonts w:ascii="Times New Roman" w:hAnsi="Times New Roman" w:cs="Times New Roman"/>
          <w:sz w:val="24"/>
          <w:szCs w:val="24"/>
        </w:rPr>
        <w:t>Muthupet</w:t>
      </w:r>
      <w:proofErr w:type="spellEnd"/>
      <w:r w:rsidRPr="00A52E57">
        <w:rPr>
          <w:rFonts w:ascii="Times New Roman" w:hAnsi="Times New Roman" w:cs="Times New Roman"/>
          <w:sz w:val="24"/>
          <w:szCs w:val="24"/>
        </w:rPr>
        <w:t xml:space="preserve"> and Odisha demonstrate that co-management improves compliance, reduces illegal felling, and aligns conservation with livelihoods.</w:t>
      </w:r>
    </w:p>
    <w:p w14:paraId="41A9F089"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 xml:space="preserve">Case Studies: Sundarbans, </w:t>
      </w:r>
      <w:proofErr w:type="spellStart"/>
      <w:r w:rsidRPr="00A52E57">
        <w:rPr>
          <w:rFonts w:ascii="Times New Roman" w:hAnsi="Times New Roman" w:cs="Times New Roman"/>
          <w:b/>
          <w:bCs/>
          <w:sz w:val="24"/>
          <w:szCs w:val="24"/>
        </w:rPr>
        <w:t>Muthupet</w:t>
      </w:r>
      <w:proofErr w:type="spellEnd"/>
      <w:r w:rsidRPr="00A52E57">
        <w:rPr>
          <w:rFonts w:ascii="Times New Roman" w:hAnsi="Times New Roman" w:cs="Times New Roman"/>
          <w:b/>
          <w:bCs/>
          <w:sz w:val="24"/>
          <w:szCs w:val="24"/>
        </w:rPr>
        <w:t xml:space="preserve">, and </w:t>
      </w:r>
      <w:proofErr w:type="spellStart"/>
      <w:r w:rsidRPr="00A52E57">
        <w:rPr>
          <w:rFonts w:ascii="Times New Roman" w:hAnsi="Times New Roman" w:cs="Times New Roman"/>
          <w:b/>
          <w:bCs/>
          <w:sz w:val="24"/>
          <w:szCs w:val="24"/>
        </w:rPr>
        <w:t>Pichavaram</w:t>
      </w:r>
      <w:proofErr w:type="spellEnd"/>
    </w:p>
    <w:p w14:paraId="2F7D980E"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The Sundarbans, shared between India and Bangladesh, provide a compelling case of site-specific restoration. A recent pilot-scale experiment in degraded Sundarbans patches demonstrated that mixed species planting tailored to salinity and elevation, coupled with hydrological restoration, outperformed conventional monoculture plantations (Bardhan, 2024). Survival rates, canopy cover, and species richness were significantly higher in adaptive plots, supported by soil salinity and sediment data. Figures in that study illustrate survival and growth curves, highlighting that ecological tailoring improves resilience.</w:t>
      </w:r>
    </w:p>
    <w:p w14:paraId="003F2B3B" w14:textId="74BE9EF4"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In Tamil Nadu, the </w:t>
      </w:r>
      <w:proofErr w:type="spellStart"/>
      <w:r w:rsidRPr="00A52E57">
        <w:rPr>
          <w:rFonts w:ascii="Times New Roman" w:hAnsi="Times New Roman" w:cs="Times New Roman"/>
          <w:sz w:val="24"/>
          <w:szCs w:val="24"/>
        </w:rPr>
        <w:t>Muthupet</w:t>
      </w:r>
      <w:proofErr w:type="spellEnd"/>
      <w:r w:rsidRPr="00A52E57">
        <w:rPr>
          <w:rFonts w:ascii="Times New Roman" w:hAnsi="Times New Roman" w:cs="Times New Roman"/>
          <w:sz w:val="24"/>
          <w:szCs w:val="24"/>
        </w:rPr>
        <w:t xml:space="preserve"> and </w:t>
      </w:r>
      <w:proofErr w:type="spellStart"/>
      <w:r w:rsidRPr="00A52E57">
        <w:rPr>
          <w:rFonts w:ascii="Times New Roman" w:hAnsi="Times New Roman" w:cs="Times New Roman"/>
          <w:sz w:val="24"/>
          <w:szCs w:val="24"/>
        </w:rPr>
        <w:t>Pichavaram</w:t>
      </w:r>
      <w:proofErr w:type="spellEnd"/>
      <w:r w:rsidRPr="00A52E57">
        <w:rPr>
          <w:rFonts w:ascii="Times New Roman" w:hAnsi="Times New Roman" w:cs="Times New Roman"/>
          <w:sz w:val="24"/>
          <w:szCs w:val="24"/>
        </w:rPr>
        <w:t xml:space="preserve"> mangroves highlight the interplay between natural regeneration and risk reduction. Inundation modeling under various sea-</w:t>
      </w:r>
      <w:r w:rsidRPr="00A52E57">
        <w:rPr>
          <w:rFonts w:ascii="Times New Roman" w:hAnsi="Times New Roman" w:cs="Times New Roman"/>
          <w:sz w:val="24"/>
          <w:szCs w:val="24"/>
        </w:rPr>
        <w:lastRenderedPageBreak/>
        <w:t xml:space="preserve">level rise scenarios estimated that coastal exposure values declined significantly when mangroves were present: from 3.47 to 2.80 in Pichavaram, and from 4.78 to 2.10 in </w:t>
      </w:r>
      <w:proofErr w:type="spellStart"/>
      <w:r w:rsidRPr="00A52E57">
        <w:rPr>
          <w:rFonts w:ascii="Times New Roman" w:hAnsi="Times New Roman" w:cs="Times New Roman"/>
          <w:sz w:val="24"/>
          <w:szCs w:val="24"/>
        </w:rPr>
        <w:t>Muthupet</w:t>
      </w:r>
      <w:proofErr w:type="spellEnd"/>
      <w:r w:rsidRPr="00A52E57">
        <w:rPr>
          <w:rFonts w:ascii="Times New Roman" w:hAnsi="Times New Roman" w:cs="Times New Roman"/>
          <w:sz w:val="24"/>
          <w:szCs w:val="24"/>
        </w:rPr>
        <w:t xml:space="preserve"> (Selvaraj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2025). Hyperspectral remote sensing has further mapped degraded versus healthy patches, with datasets showing salinity, moisture, and pixel-based degradation indices. Figures from these studies include inundation maps and degraded-area maps, demonstrating how technology informs management.</w:t>
      </w:r>
    </w:p>
    <w:p w14:paraId="126A1741"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Together, these case studies emphasize that site-specific, hydrology-informed restoration (Sundarbans) and monitoring-driven adaptive management (</w:t>
      </w:r>
      <w:proofErr w:type="spellStart"/>
      <w:r w:rsidRPr="00A52E57">
        <w:rPr>
          <w:rFonts w:ascii="Times New Roman" w:hAnsi="Times New Roman" w:cs="Times New Roman"/>
          <w:sz w:val="24"/>
          <w:szCs w:val="24"/>
        </w:rPr>
        <w:t>Muthupet</w:t>
      </w:r>
      <w:proofErr w:type="spellEnd"/>
      <w:r w:rsidRPr="00A52E57">
        <w:rPr>
          <w:rFonts w:ascii="Times New Roman" w:hAnsi="Times New Roman" w:cs="Times New Roman"/>
          <w:sz w:val="24"/>
          <w:szCs w:val="24"/>
        </w:rPr>
        <w:t xml:space="preserve">, </w:t>
      </w:r>
      <w:proofErr w:type="spellStart"/>
      <w:r w:rsidRPr="00A52E57">
        <w:rPr>
          <w:rFonts w:ascii="Times New Roman" w:hAnsi="Times New Roman" w:cs="Times New Roman"/>
          <w:sz w:val="24"/>
          <w:szCs w:val="24"/>
        </w:rPr>
        <w:t>Pichavaram</w:t>
      </w:r>
      <w:proofErr w:type="spellEnd"/>
      <w:r w:rsidRPr="00A52E57">
        <w:rPr>
          <w:rFonts w:ascii="Times New Roman" w:hAnsi="Times New Roman" w:cs="Times New Roman"/>
          <w:sz w:val="24"/>
          <w:szCs w:val="24"/>
        </w:rPr>
        <w:t>) provide pathways for resilience.</w:t>
      </w:r>
    </w:p>
    <w:p w14:paraId="3B7A8969"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Future Directions</w:t>
      </w:r>
    </w:p>
    <w:p w14:paraId="47A77504" w14:textId="001C6A9C"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Future mangrove conservation must be grounded in science, technology, and social inclusivity. Improved monitoring is crucial, with high-resolution optical and radar sensors, coupled with machine learning, enabling near-real-time detection of mangrove change</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Harmonizing datasets such as GMW and HGMF will provide consistent baselines for global monitoring.</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Research must prioritize resilience under climate change, particularly the interaction between sediment supply, elevation capital, and coastal squeeze. Integrated models linking geomorphology, hydrology, and species-specific tolerances are needed to predict mangrove trajectories under different sea-level rise scenarios</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Restoration should shift away from plantation-centric approaches towards ecosystem-based interventions. Hydrological restoration, species diversification, and connectivity with adjacent ecosystems such as seagrass beds and coral reefs must be emphasized</w:t>
      </w:r>
      <w:r w:rsidR="00CA5F7D">
        <w:rPr>
          <w:rFonts w:ascii="Times New Roman" w:hAnsi="Times New Roman" w:cs="Times New Roman"/>
          <w:sz w:val="24"/>
          <w:szCs w:val="24"/>
        </w:rPr>
        <w:t xml:space="preserve">. </w:t>
      </w:r>
      <w:r w:rsidRPr="00A52E57">
        <w:rPr>
          <w:rFonts w:ascii="Times New Roman" w:hAnsi="Times New Roman" w:cs="Times New Roman"/>
          <w:sz w:val="24"/>
          <w:szCs w:val="24"/>
        </w:rPr>
        <w:t>Policy frameworks must embed mangroves into national climate strategies. While blue carbon markets offer opportunities, equity safeguards are critical to ensure benefits reach local communities. Community participation remains essential, with traditional knowledge complementing scientific monitoring for sustainable outcomes</w:t>
      </w:r>
      <w:r w:rsidR="00CA5F7D">
        <w:rPr>
          <w:rFonts w:ascii="Times New Roman" w:hAnsi="Times New Roman" w:cs="Times New Roman"/>
          <w:sz w:val="24"/>
          <w:szCs w:val="24"/>
        </w:rPr>
        <w:t>.</w:t>
      </w:r>
    </w:p>
    <w:p w14:paraId="1F4A1781"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Conclusion</w:t>
      </w:r>
    </w:p>
    <w:p w14:paraId="78746BBA"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 xml:space="preserve">Mangrove forests epitomize both fragility and resilience in the Anthropocene. While they have experienced severe losses driven by aquaculture, agriculture, and urbanization, recent evidence indicates stabilization and localized recovery. As blue </w:t>
      </w:r>
      <w:r w:rsidRPr="00A52E57">
        <w:rPr>
          <w:rFonts w:ascii="Times New Roman" w:hAnsi="Times New Roman" w:cs="Times New Roman"/>
          <w:sz w:val="24"/>
          <w:szCs w:val="24"/>
        </w:rPr>
        <w:lastRenderedPageBreak/>
        <w:t>carbon ecosystems, mangroves contribute disproportionately to climate mitigation while simultaneously enhancing coastal resilience. Yet, climate change, particularly sea-level rise, poses existential threats that will require proactive management.</w:t>
      </w:r>
    </w:p>
    <w:p w14:paraId="2555C3CB" w14:textId="77777777" w:rsidR="00A52E57" w:rsidRPr="00A52E57" w:rsidRDefault="00A52E57" w:rsidP="00CA5F7D">
      <w:pPr>
        <w:spacing w:line="360" w:lineRule="auto"/>
        <w:ind w:firstLine="720"/>
        <w:jc w:val="both"/>
        <w:rPr>
          <w:rFonts w:ascii="Times New Roman" w:hAnsi="Times New Roman" w:cs="Times New Roman"/>
          <w:sz w:val="24"/>
          <w:szCs w:val="24"/>
        </w:rPr>
      </w:pPr>
      <w:r w:rsidRPr="00A52E57">
        <w:rPr>
          <w:rFonts w:ascii="Times New Roman" w:hAnsi="Times New Roman" w:cs="Times New Roman"/>
          <w:sz w:val="24"/>
          <w:szCs w:val="24"/>
        </w:rPr>
        <w:t>Conservation strategies must combine ecological engineering, community co-management, and policy integration. With strengthened monitoring, scientific restoration, and equitable financing, mangroves can remain vital allies in addressing global climate and biodiversity crises. Their future depends not on ecological limits but on political will, social inclusion, and sustained global investment.</w:t>
      </w:r>
    </w:p>
    <w:p w14:paraId="042CFAC1" w14:textId="77777777" w:rsidR="00A52E57" w:rsidRPr="00A52E57" w:rsidRDefault="00A52E57" w:rsidP="00A52E57">
      <w:pPr>
        <w:spacing w:line="360" w:lineRule="auto"/>
        <w:rPr>
          <w:rFonts w:ascii="Times New Roman" w:hAnsi="Times New Roman" w:cs="Times New Roman"/>
          <w:b/>
          <w:bCs/>
          <w:sz w:val="24"/>
          <w:szCs w:val="24"/>
        </w:rPr>
      </w:pPr>
      <w:r w:rsidRPr="00A52E57">
        <w:rPr>
          <w:rFonts w:ascii="Times New Roman" w:hAnsi="Times New Roman" w:cs="Times New Roman"/>
          <w:b/>
          <w:bCs/>
          <w:sz w:val="24"/>
          <w:szCs w:val="24"/>
        </w:rPr>
        <w:t>References</w:t>
      </w:r>
    </w:p>
    <w:p w14:paraId="4C9C76D5"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Adame, M. F., Connolly, R. M., Lovelock, C. E., &amp; Friess, D. A. (2021). Coastal wetlands as global carbon sinks. </w:t>
      </w:r>
      <w:r w:rsidRPr="00A52E57">
        <w:rPr>
          <w:rFonts w:ascii="Times New Roman" w:hAnsi="Times New Roman" w:cs="Times New Roman"/>
          <w:i/>
          <w:iCs/>
          <w:sz w:val="24"/>
          <w:szCs w:val="24"/>
        </w:rPr>
        <w:t>Nature Reviews Earth &amp; Environment, 2</w:t>
      </w:r>
      <w:r w:rsidRPr="00A52E57">
        <w:rPr>
          <w:rFonts w:ascii="Times New Roman" w:hAnsi="Times New Roman" w:cs="Times New Roman"/>
          <w:sz w:val="24"/>
          <w:szCs w:val="24"/>
        </w:rPr>
        <w:t>(12), 900–915. https://doi.org/10.1038/s43017-021-00241-8</w:t>
      </w:r>
    </w:p>
    <w:p w14:paraId="2987B67A"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Alongi, D. M. (2002). Present state and future of the world’s mangrove forests. </w:t>
      </w:r>
      <w:r w:rsidRPr="00A52E57">
        <w:rPr>
          <w:rFonts w:ascii="Times New Roman" w:hAnsi="Times New Roman" w:cs="Times New Roman"/>
          <w:i/>
          <w:iCs/>
          <w:sz w:val="24"/>
          <w:szCs w:val="24"/>
        </w:rPr>
        <w:t>Environmental Conservation, 29</w:t>
      </w:r>
      <w:r w:rsidRPr="00A52E57">
        <w:rPr>
          <w:rFonts w:ascii="Times New Roman" w:hAnsi="Times New Roman" w:cs="Times New Roman"/>
          <w:sz w:val="24"/>
          <w:szCs w:val="24"/>
        </w:rPr>
        <w:t>(3), 331–349. https://doi.org/10.1017/S0376892902000231</w:t>
      </w:r>
    </w:p>
    <w:p w14:paraId="56702BC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Alongi, D. M. (2014). Carbon cycling and storage in mangrove forests. </w:t>
      </w:r>
      <w:r w:rsidRPr="00A52E57">
        <w:rPr>
          <w:rFonts w:ascii="Times New Roman" w:hAnsi="Times New Roman" w:cs="Times New Roman"/>
          <w:i/>
          <w:iCs/>
          <w:sz w:val="24"/>
          <w:szCs w:val="24"/>
        </w:rPr>
        <w:t>Annual Review of Marine Science, 6</w:t>
      </w:r>
      <w:r w:rsidRPr="00A52E57">
        <w:rPr>
          <w:rFonts w:ascii="Times New Roman" w:hAnsi="Times New Roman" w:cs="Times New Roman"/>
          <w:sz w:val="24"/>
          <w:szCs w:val="24"/>
        </w:rPr>
        <w:t>(1), 195–219. https://doi.org/10.1146/annurev-marine-010213-135020</w:t>
      </w:r>
    </w:p>
    <w:p w14:paraId="284C59BF"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Bardhan, M. (2024). Ecological restoration at pilot-scale employing site-specific strategies in degraded mangrove patches in the Indian Sundarbans. </w:t>
      </w:r>
      <w:r w:rsidRPr="00A52E57">
        <w:rPr>
          <w:rFonts w:ascii="Times New Roman" w:hAnsi="Times New Roman" w:cs="Times New Roman"/>
          <w:i/>
          <w:iCs/>
          <w:sz w:val="24"/>
          <w:szCs w:val="24"/>
        </w:rPr>
        <w:t>Scientific Reports, 14</w:t>
      </w:r>
      <w:r w:rsidRPr="00A52E57">
        <w:rPr>
          <w:rFonts w:ascii="Times New Roman" w:hAnsi="Times New Roman" w:cs="Times New Roman"/>
          <w:sz w:val="24"/>
          <w:szCs w:val="24"/>
        </w:rPr>
        <w:t>, 63281. https://doi.org/10.1038/s41598-024-63281-8</w:t>
      </w:r>
    </w:p>
    <w:p w14:paraId="141BAFCF"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Bosire, J. O., </w:t>
      </w:r>
      <w:proofErr w:type="spellStart"/>
      <w:r w:rsidRPr="00A52E57">
        <w:rPr>
          <w:rFonts w:ascii="Times New Roman" w:hAnsi="Times New Roman" w:cs="Times New Roman"/>
          <w:sz w:val="24"/>
          <w:szCs w:val="24"/>
        </w:rPr>
        <w:t>Dahdouh-Guebas</w:t>
      </w:r>
      <w:proofErr w:type="spellEnd"/>
      <w:r w:rsidRPr="00A52E57">
        <w:rPr>
          <w:rFonts w:ascii="Times New Roman" w:hAnsi="Times New Roman" w:cs="Times New Roman"/>
          <w:sz w:val="24"/>
          <w:szCs w:val="24"/>
        </w:rPr>
        <w:t xml:space="preserve">, F., Walton, M., Crona, B. I., Lewis, R. R., Field, C., Kairo, J. G., &amp; Koedam, N. (2008). Functionality of restored mangroves: A review. </w:t>
      </w:r>
      <w:r w:rsidRPr="00A52E57">
        <w:rPr>
          <w:rFonts w:ascii="Times New Roman" w:hAnsi="Times New Roman" w:cs="Times New Roman"/>
          <w:i/>
          <w:iCs/>
          <w:sz w:val="24"/>
          <w:szCs w:val="24"/>
        </w:rPr>
        <w:t>Aquatic Botany, 89</w:t>
      </w:r>
      <w:r w:rsidRPr="00A52E57">
        <w:rPr>
          <w:rFonts w:ascii="Times New Roman" w:hAnsi="Times New Roman" w:cs="Times New Roman"/>
          <w:sz w:val="24"/>
          <w:szCs w:val="24"/>
        </w:rPr>
        <w:t>(2), 251–259. https://doi.org/10.1016/j.aquabot.2008.03.010</w:t>
      </w:r>
    </w:p>
    <w:p w14:paraId="05344D41"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Bunting, P., Rosenqvist, A., Lucas, R. M., Rebelo, L. M., Hilarides, L., Thomas, N., Hardy, A., Itoh, T., Shimada, M., &amp; Finlayson, C. M. (2022). Global Mangrove Watch: Updated remote sensing data for global mangrove extent and change monitoring (1996–2020). </w:t>
      </w:r>
      <w:r w:rsidRPr="00A52E57">
        <w:rPr>
          <w:rFonts w:ascii="Times New Roman" w:hAnsi="Times New Roman" w:cs="Times New Roman"/>
          <w:i/>
          <w:iCs/>
          <w:sz w:val="24"/>
          <w:szCs w:val="24"/>
        </w:rPr>
        <w:t>Remote Sensing, 14</w:t>
      </w:r>
      <w:r w:rsidRPr="00A52E57">
        <w:rPr>
          <w:rFonts w:ascii="Times New Roman" w:hAnsi="Times New Roman" w:cs="Times New Roman"/>
          <w:sz w:val="24"/>
          <w:szCs w:val="24"/>
        </w:rPr>
        <w:t>(16), 3657. https://doi.org/10.3390/rs14163657</w:t>
      </w:r>
    </w:p>
    <w:p w14:paraId="42845ACE"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lastRenderedPageBreak/>
        <w:t xml:space="preserve">Das, S., &amp; Vincent, J. R. (2009). Mangroves protected villages and reduced death toll during Indian super cyclone. </w:t>
      </w:r>
      <w:r w:rsidRPr="00A52E57">
        <w:rPr>
          <w:rFonts w:ascii="Times New Roman" w:hAnsi="Times New Roman" w:cs="Times New Roman"/>
          <w:i/>
          <w:iCs/>
          <w:sz w:val="24"/>
          <w:szCs w:val="24"/>
        </w:rPr>
        <w:t>Proceedings of the National Academy of Sciences, 106</w:t>
      </w:r>
      <w:r w:rsidRPr="00A52E57">
        <w:rPr>
          <w:rFonts w:ascii="Times New Roman" w:hAnsi="Times New Roman" w:cs="Times New Roman"/>
          <w:sz w:val="24"/>
          <w:szCs w:val="24"/>
        </w:rPr>
        <w:t>(18), 7357–7360. https://doi.org/10.1073/pnas.0810440106</w:t>
      </w:r>
    </w:p>
    <w:p w14:paraId="6A9C6068"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Donato, D. C., Kauffman, J. B., </w:t>
      </w:r>
      <w:proofErr w:type="spellStart"/>
      <w:r w:rsidRPr="00A52E57">
        <w:rPr>
          <w:rFonts w:ascii="Times New Roman" w:hAnsi="Times New Roman" w:cs="Times New Roman"/>
          <w:sz w:val="24"/>
          <w:szCs w:val="24"/>
        </w:rPr>
        <w:t>Murdiyarso</w:t>
      </w:r>
      <w:proofErr w:type="spellEnd"/>
      <w:r w:rsidRPr="00A52E57">
        <w:rPr>
          <w:rFonts w:ascii="Times New Roman" w:hAnsi="Times New Roman" w:cs="Times New Roman"/>
          <w:sz w:val="24"/>
          <w:szCs w:val="24"/>
        </w:rPr>
        <w:t xml:space="preserve">, D., </w:t>
      </w:r>
      <w:proofErr w:type="spellStart"/>
      <w:r w:rsidRPr="00A52E57">
        <w:rPr>
          <w:rFonts w:ascii="Times New Roman" w:hAnsi="Times New Roman" w:cs="Times New Roman"/>
          <w:sz w:val="24"/>
          <w:szCs w:val="24"/>
        </w:rPr>
        <w:t>Kurnianto</w:t>
      </w:r>
      <w:proofErr w:type="spellEnd"/>
      <w:r w:rsidRPr="00A52E57">
        <w:rPr>
          <w:rFonts w:ascii="Times New Roman" w:hAnsi="Times New Roman" w:cs="Times New Roman"/>
          <w:sz w:val="24"/>
          <w:szCs w:val="24"/>
        </w:rPr>
        <w:t xml:space="preserve">, S., Stidham, M., &amp; </w:t>
      </w:r>
      <w:proofErr w:type="spellStart"/>
      <w:r w:rsidRPr="00A52E57">
        <w:rPr>
          <w:rFonts w:ascii="Times New Roman" w:hAnsi="Times New Roman" w:cs="Times New Roman"/>
          <w:sz w:val="24"/>
          <w:szCs w:val="24"/>
        </w:rPr>
        <w:t>Kanninen</w:t>
      </w:r>
      <w:proofErr w:type="spellEnd"/>
      <w:r w:rsidRPr="00A52E57">
        <w:rPr>
          <w:rFonts w:ascii="Times New Roman" w:hAnsi="Times New Roman" w:cs="Times New Roman"/>
          <w:sz w:val="24"/>
          <w:szCs w:val="24"/>
        </w:rPr>
        <w:t xml:space="preserve">, M. (2011). Mangroves among the most carbon-rich forests in the tropics. </w:t>
      </w:r>
      <w:r w:rsidRPr="00A52E57">
        <w:rPr>
          <w:rFonts w:ascii="Times New Roman" w:hAnsi="Times New Roman" w:cs="Times New Roman"/>
          <w:i/>
          <w:iCs/>
          <w:sz w:val="24"/>
          <w:szCs w:val="24"/>
        </w:rPr>
        <w:t>Nature Geoscience, 4</w:t>
      </w:r>
      <w:r w:rsidRPr="00A52E57">
        <w:rPr>
          <w:rFonts w:ascii="Times New Roman" w:hAnsi="Times New Roman" w:cs="Times New Roman"/>
          <w:sz w:val="24"/>
          <w:szCs w:val="24"/>
        </w:rPr>
        <w:t>(5), 293–297. https://doi.org/10.1038/ngeo1123</w:t>
      </w:r>
    </w:p>
    <w:p w14:paraId="0C2B723E"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Duke, N. C., Meynecke, J. O., Dittmann, S., Ellison, A. M., Anger, K., Berger, U., … </w:t>
      </w:r>
      <w:proofErr w:type="spellStart"/>
      <w:r w:rsidRPr="00A52E57">
        <w:rPr>
          <w:rFonts w:ascii="Times New Roman" w:hAnsi="Times New Roman" w:cs="Times New Roman"/>
          <w:sz w:val="24"/>
          <w:szCs w:val="24"/>
        </w:rPr>
        <w:t>Dahdouh-Guebas</w:t>
      </w:r>
      <w:proofErr w:type="spellEnd"/>
      <w:r w:rsidRPr="00A52E57">
        <w:rPr>
          <w:rFonts w:ascii="Times New Roman" w:hAnsi="Times New Roman" w:cs="Times New Roman"/>
          <w:sz w:val="24"/>
          <w:szCs w:val="24"/>
        </w:rPr>
        <w:t xml:space="preserve">, F. (2007). A world without mangroves? </w:t>
      </w:r>
      <w:r w:rsidRPr="00A52E57">
        <w:rPr>
          <w:rFonts w:ascii="Times New Roman" w:hAnsi="Times New Roman" w:cs="Times New Roman"/>
          <w:i/>
          <w:iCs/>
          <w:sz w:val="24"/>
          <w:szCs w:val="24"/>
        </w:rPr>
        <w:t>Science, 317</w:t>
      </w:r>
      <w:r w:rsidRPr="00A52E57">
        <w:rPr>
          <w:rFonts w:ascii="Times New Roman" w:hAnsi="Times New Roman" w:cs="Times New Roman"/>
          <w:sz w:val="24"/>
          <w:szCs w:val="24"/>
        </w:rPr>
        <w:t>(5834), 41–42. https://doi.org/10.1126/science.317.5834.41b</w:t>
      </w:r>
    </w:p>
    <w:p w14:paraId="79CA5CAF"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Duke, N. C., Kovacs, J. M., Griffiths, A. D., Preece, L., Hill, D. J. E., van </w:t>
      </w:r>
      <w:proofErr w:type="spellStart"/>
      <w:r w:rsidRPr="00A52E57">
        <w:rPr>
          <w:rFonts w:ascii="Times New Roman" w:hAnsi="Times New Roman" w:cs="Times New Roman"/>
          <w:sz w:val="24"/>
          <w:szCs w:val="24"/>
        </w:rPr>
        <w:t>Oosterzee</w:t>
      </w:r>
      <w:proofErr w:type="spellEnd"/>
      <w:r w:rsidRPr="00A52E57">
        <w:rPr>
          <w:rFonts w:ascii="Times New Roman" w:hAnsi="Times New Roman" w:cs="Times New Roman"/>
          <w:sz w:val="24"/>
          <w:szCs w:val="24"/>
        </w:rPr>
        <w:t xml:space="preserve">, P., Mackenzie, J., Morning, H. S., &amp; Burrows, D. (2017). Large-scale dieback of mangroves in Australia. </w:t>
      </w:r>
      <w:r w:rsidRPr="00A52E57">
        <w:rPr>
          <w:rFonts w:ascii="Times New Roman" w:hAnsi="Times New Roman" w:cs="Times New Roman"/>
          <w:i/>
          <w:iCs/>
          <w:sz w:val="24"/>
          <w:szCs w:val="24"/>
        </w:rPr>
        <w:t>Marine and Freshwater Research, 68</w:t>
      </w:r>
      <w:r w:rsidRPr="00A52E57">
        <w:rPr>
          <w:rFonts w:ascii="Times New Roman" w:hAnsi="Times New Roman" w:cs="Times New Roman"/>
          <w:sz w:val="24"/>
          <w:szCs w:val="24"/>
        </w:rPr>
        <w:t>(10), 1816–1829. https://doi.org/10.1071/MF16322</w:t>
      </w:r>
    </w:p>
    <w:p w14:paraId="63528D33"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Friess, D. A., Rogers, K., Lovelock, C. E., Krauss, K. W., Hamilton, S. E., Lee, S. Y., Lucas, R., Primavera, J., </w:t>
      </w:r>
      <w:proofErr w:type="spellStart"/>
      <w:r w:rsidRPr="00A52E57">
        <w:rPr>
          <w:rFonts w:ascii="Times New Roman" w:hAnsi="Times New Roman" w:cs="Times New Roman"/>
          <w:sz w:val="24"/>
          <w:szCs w:val="24"/>
        </w:rPr>
        <w:t>Rajkaran</w:t>
      </w:r>
      <w:proofErr w:type="spellEnd"/>
      <w:r w:rsidRPr="00A52E57">
        <w:rPr>
          <w:rFonts w:ascii="Times New Roman" w:hAnsi="Times New Roman" w:cs="Times New Roman"/>
          <w:sz w:val="24"/>
          <w:szCs w:val="24"/>
        </w:rPr>
        <w:t xml:space="preserve">, A., &amp; Shi, S. (2022). The state of the world’s mangrove forests: Past, present, and future. </w:t>
      </w:r>
      <w:r w:rsidRPr="00A52E57">
        <w:rPr>
          <w:rFonts w:ascii="Times New Roman" w:hAnsi="Times New Roman" w:cs="Times New Roman"/>
          <w:i/>
          <w:iCs/>
          <w:sz w:val="24"/>
          <w:szCs w:val="24"/>
        </w:rPr>
        <w:t>Annual Review of Environment and Resources, 47</w:t>
      </w:r>
      <w:r w:rsidRPr="00A52E57">
        <w:rPr>
          <w:rFonts w:ascii="Times New Roman" w:hAnsi="Times New Roman" w:cs="Times New Roman"/>
          <w:sz w:val="24"/>
          <w:szCs w:val="24"/>
        </w:rPr>
        <w:t>(1), 1–30. https://doi.org/10.1146/annurev-environ-120920-104849</w:t>
      </w:r>
    </w:p>
    <w:p w14:paraId="70FFBF75"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Giri, C., Ochieng, E., Tieszen, L. L., Zhu, Z., Singh, A., Loveland, T., Masek, J., &amp; Duke, N. (2011). Status and distribution of mangrove forests of the world using earth observation satellite data. </w:t>
      </w:r>
      <w:r w:rsidRPr="00A52E57">
        <w:rPr>
          <w:rFonts w:ascii="Times New Roman" w:hAnsi="Times New Roman" w:cs="Times New Roman"/>
          <w:i/>
          <w:iCs/>
          <w:sz w:val="24"/>
          <w:szCs w:val="24"/>
        </w:rPr>
        <w:t>Global Ecology and Biogeography, 20</w:t>
      </w:r>
      <w:r w:rsidRPr="00A52E57">
        <w:rPr>
          <w:rFonts w:ascii="Times New Roman" w:hAnsi="Times New Roman" w:cs="Times New Roman"/>
          <w:sz w:val="24"/>
          <w:szCs w:val="24"/>
        </w:rPr>
        <w:t>(1), 154–159. https://doi.org/10.1111/j.1466-8238.2010.00584.x</w:t>
      </w:r>
    </w:p>
    <w:p w14:paraId="1E60D4DB"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Global Mangrove Alliance. (2024). </w:t>
      </w:r>
      <w:r w:rsidRPr="00A52E57">
        <w:rPr>
          <w:rFonts w:ascii="Times New Roman" w:hAnsi="Times New Roman" w:cs="Times New Roman"/>
          <w:i/>
          <w:iCs/>
          <w:sz w:val="24"/>
          <w:szCs w:val="24"/>
        </w:rPr>
        <w:t>The state of the world’s mangroves 2024</w:t>
      </w:r>
      <w:r w:rsidRPr="00A52E57">
        <w:rPr>
          <w:rFonts w:ascii="Times New Roman" w:hAnsi="Times New Roman" w:cs="Times New Roman"/>
          <w:sz w:val="24"/>
          <w:szCs w:val="24"/>
        </w:rPr>
        <w:t>. Global Mangrove Alliance. Retrieved from https://www.mangrovealliance.org</w:t>
      </w:r>
    </w:p>
    <w:p w14:paraId="03D29806"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Goldberg, L., Lagomasino, D., Thomas, N., &amp; </w:t>
      </w:r>
      <w:proofErr w:type="spellStart"/>
      <w:r w:rsidRPr="00A52E57">
        <w:rPr>
          <w:rFonts w:ascii="Times New Roman" w:hAnsi="Times New Roman" w:cs="Times New Roman"/>
          <w:sz w:val="24"/>
          <w:szCs w:val="24"/>
        </w:rPr>
        <w:t>Fatoyinbo</w:t>
      </w:r>
      <w:proofErr w:type="spellEnd"/>
      <w:r w:rsidRPr="00A52E57">
        <w:rPr>
          <w:rFonts w:ascii="Times New Roman" w:hAnsi="Times New Roman" w:cs="Times New Roman"/>
          <w:sz w:val="24"/>
          <w:szCs w:val="24"/>
        </w:rPr>
        <w:t xml:space="preserve">, T. (2020). Global declines in human-driven mangrove loss. </w:t>
      </w:r>
      <w:r w:rsidRPr="00A52E57">
        <w:rPr>
          <w:rFonts w:ascii="Times New Roman" w:hAnsi="Times New Roman" w:cs="Times New Roman"/>
          <w:i/>
          <w:iCs/>
          <w:sz w:val="24"/>
          <w:szCs w:val="24"/>
        </w:rPr>
        <w:t>Global Change Biology, 26</w:t>
      </w:r>
      <w:r w:rsidRPr="00A52E57">
        <w:rPr>
          <w:rFonts w:ascii="Times New Roman" w:hAnsi="Times New Roman" w:cs="Times New Roman"/>
          <w:sz w:val="24"/>
          <w:szCs w:val="24"/>
        </w:rPr>
        <w:t>(10), 5844–5855. https://doi.org/10.1111/gcb.15275</w:t>
      </w:r>
    </w:p>
    <w:p w14:paraId="411ED61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Hamilton, S. E., &amp; Casey, D. (2016). Creation of a high </w:t>
      </w:r>
      <w:proofErr w:type="spellStart"/>
      <w:r w:rsidRPr="00A52E57">
        <w:rPr>
          <w:rFonts w:ascii="Times New Roman" w:hAnsi="Times New Roman" w:cs="Times New Roman"/>
          <w:sz w:val="24"/>
          <w:szCs w:val="24"/>
        </w:rPr>
        <w:t>spatio</w:t>
      </w:r>
      <w:proofErr w:type="spellEnd"/>
      <w:r w:rsidRPr="00A52E57">
        <w:rPr>
          <w:rFonts w:ascii="Times New Roman" w:hAnsi="Times New Roman" w:cs="Times New Roman"/>
          <w:sz w:val="24"/>
          <w:szCs w:val="24"/>
        </w:rPr>
        <w:t xml:space="preserve">-temporal resolution global database of continuous mangrove forest cover for the 21st century (CGMFC-21). </w:t>
      </w:r>
      <w:r w:rsidRPr="00A52E57">
        <w:rPr>
          <w:rFonts w:ascii="Times New Roman" w:hAnsi="Times New Roman" w:cs="Times New Roman"/>
          <w:i/>
          <w:iCs/>
          <w:sz w:val="24"/>
          <w:szCs w:val="24"/>
        </w:rPr>
        <w:t>Global Ecology and Biogeography, 25</w:t>
      </w:r>
      <w:r w:rsidRPr="00A52E57">
        <w:rPr>
          <w:rFonts w:ascii="Times New Roman" w:hAnsi="Times New Roman" w:cs="Times New Roman"/>
          <w:sz w:val="24"/>
          <w:szCs w:val="24"/>
        </w:rPr>
        <w:t>(6), 729–738. https://doi.org/10.1111/geb.12449</w:t>
      </w:r>
    </w:p>
    <w:p w14:paraId="57078412"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lastRenderedPageBreak/>
        <w:t xml:space="preserve">Horstman, E. M., Dohmen-Janssen, C. M., Narra, P. M. F., van den Berg, N. J. F., </w:t>
      </w:r>
      <w:proofErr w:type="spellStart"/>
      <w:r w:rsidRPr="00A52E57">
        <w:rPr>
          <w:rFonts w:ascii="Times New Roman" w:hAnsi="Times New Roman" w:cs="Times New Roman"/>
          <w:sz w:val="24"/>
          <w:szCs w:val="24"/>
        </w:rPr>
        <w:t>Siemerink</w:t>
      </w:r>
      <w:proofErr w:type="spellEnd"/>
      <w:r w:rsidRPr="00A52E57">
        <w:rPr>
          <w:rFonts w:ascii="Times New Roman" w:hAnsi="Times New Roman" w:cs="Times New Roman"/>
          <w:sz w:val="24"/>
          <w:szCs w:val="24"/>
        </w:rPr>
        <w:t xml:space="preserve">, M., &amp; Balke, T. (2014). Wave attenuation in mangroves: A quantitative approach to field observations. </w:t>
      </w:r>
      <w:r w:rsidRPr="00A52E57">
        <w:rPr>
          <w:rFonts w:ascii="Times New Roman" w:hAnsi="Times New Roman" w:cs="Times New Roman"/>
          <w:i/>
          <w:iCs/>
          <w:sz w:val="24"/>
          <w:szCs w:val="24"/>
        </w:rPr>
        <w:t>Coastal Engineering, 94</w:t>
      </w:r>
      <w:r w:rsidRPr="00A52E57">
        <w:rPr>
          <w:rFonts w:ascii="Times New Roman" w:hAnsi="Times New Roman" w:cs="Times New Roman"/>
          <w:sz w:val="24"/>
          <w:szCs w:val="24"/>
        </w:rPr>
        <w:t>, 47–62. https://doi.org/10.1016/j.coastaleng.2014.08.005</w:t>
      </w:r>
    </w:p>
    <w:p w14:paraId="5662995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Jia, M., Wang, Z., Mao, D., Ren, C., Wang, C., &amp; Zhu, Z. (2023). A high-resolution global map of mangroves and its </w:t>
      </w:r>
      <w:proofErr w:type="spellStart"/>
      <w:r w:rsidRPr="00A52E57">
        <w:rPr>
          <w:rFonts w:ascii="Times New Roman" w:hAnsi="Times New Roman" w:cs="Times New Roman"/>
          <w:sz w:val="24"/>
          <w:szCs w:val="24"/>
        </w:rPr>
        <w:t>spatio</w:t>
      </w:r>
      <w:proofErr w:type="spellEnd"/>
      <w:r w:rsidRPr="00A52E57">
        <w:rPr>
          <w:rFonts w:ascii="Times New Roman" w:hAnsi="Times New Roman" w:cs="Times New Roman"/>
          <w:sz w:val="24"/>
          <w:szCs w:val="24"/>
        </w:rPr>
        <w:t xml:space="preserve">-temporal dynamics. </w:t>
      </w:r>
      <w:r w:rsidRPr="00A52E57">
        <w:rPr>
          <w:rFonts w:ascii="Times New Roman" w:hAnsi="Times New Roman" w:cs="Times New Roman"/>
          <w:i/>
          <w:iCs/>
          <w:sz w:val="24"/>
          <w:szCs w:val="24"/>
        </w:rPr>
        <w:t>Remote Sensing of Environment, 286</w:t>
      </w:r>
      <w:r w:rsidRPr="00A52E57">
        <w:rPr>
          <w:rFonts w:ascii="Times New Roman" w:hAnsi="Times New Roman" w:cs="Times New Roman"/>
          <w:sz w:val="24"/>
          <w:szCs w:val="24"/>
        </w:rPr>
        <w:t>, 113410. https://doi.org/10.1016/j.rse.2022.113410</w:t>
      </w:r>
    </w:p>
    <w:p w14:paraId="1FA10FD9"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Lewis, R. R. (2005). Ecological engineering for successful management and restoration of mangrove forests. </w:t>
      </w:r>
      <w:r w:rsidRPr="00A52E57">
        <w:rPr>
          <w:rFonts w:ascii="Times New Roman" w:hAnsi="Times New Roman" w:cs="Times New Roman"/>
          <w:i/>
          <w:iCs/>
          <w:sz w:val="24"/>
          <w:szCs w:val="24"/>
        </w:rPr>
        <w:t>Ecological Engineering, 24</w:t>
      </w:r>
      <w:r w:rsidRPr="00A52E57">
        <w:rPr>
          <w:rFonts w:ascii="Times New Roman" w:hAnsi="Times New Roman" w:cs="Times New Roman"/>
          <w:sz w:val="24"/>
          <w:szCs w:val="24"/>
        </w:rPr>
        <w:t>(4), 403–418. https://doi.org/10.1016/j.ecoleng.2004.10.003</w:t>
      </w:r>
    </w:p>
    <w:p w14:paraId="00E9B3A1"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Lovelock, C. E., Cahoon, D. R., Friess, D. A., </w:t>
      </w:r>
      <w:proofErr w:type="spellStart"/>
      <w:r w:rsidRPr="00A52E57">
        <w:rPr>
          <w:rFonts w:ascii="Times New Roman" w:hAnsi="Times New Roman" w:cs="Times New Roman"/>
          <w:sz w:val="24"/>
          <w:szCs w:val="24"/>
        </w:rPr>
        <w:t>Guntenspergen</w:t>
      </w:r>
      <w:proofErr w:type="spellEnd"/>
      <w:r w:rsidRPr="00A52E57">
        <w:rPr>
          <w:rFonts w:ascii="Times New Roman" w:hAnsi="Times New Roman" w:cs="Times New Roman"/>
          <w:sz w:val="24"/>
          <w:szCs w:val="24"/>
        </w:rPr>
        <w:t xml:space="preserve">, G. R., Krauss, K. W., Reef, R., Rogers, K., Saunders, M. L., </w:t>
      </w:r>
      <w:proofErr w:type="spellStart"/>
      <w:r w:rsidRPr="00A52E57">
        <w:rPr>
          <w:rFonts w:ascii="Times New Roman" w:hAnsi="Times New Roman" w:cs="Times New Roman"/>
          <w:sz w:val="24"/>
          <w:szCs w:val="24"/>
        </w:rPr>
        <w:t>Sidik</w:t>
      </w:r>
      <w:proofErr w:type="spellEnd"/>
      <w:r w:rsidRPr="00A52E57">
        <w:rPr>
          <w:rFonts w:ascii="Times New Roman" w:hAnsi="Times New Roman" w:cs="Times New Roman"/>
          <w:sz w:val="24"/>
          <w:szCs w:val="24"/>
        </w:rPr>
        <w:t xml:space="preserve">, F., Swales, A., Saintilan, N., Thuyen, L. X., &amp; Triet, T. (2015). The vulnerability of Indo-Pacific mangrove forests to sea-level rise. </w:t>
      </w:r>
      <w:r w:rsidRPr="00A52E57">
        <w:rPr>
          <w:rFonts w:ascii="Times New Roman" w:hAnsi="Times New Roman" w:cs="Times New Roman"/>
          <w:i/>
          <w:iCs/>
          <w:sz w:val="24"/>
          <w:szCs w:val="24"/>
        </w:rPr>
        <w:t>Nature, 526</w:t>
      </w:r>
      <w:r w:rsidRPr="00A52E57">
        <w:rPr>
          <w:rFonts w:ascii="Times New Roman" w:hAnsi="Times New Roman" w:cs="Times New Roman"/>
          <w:sz w:val="24"/>
          <w:szCs w:val="24"/>
        </w:rPr>
        <w:t>(7574), 559–563. https://doi.org/10.1038/nature15538</w:t>
      </w:r>
    </w:p>
    <w:p w14:paraId="209CD905"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Mazda, Y., Magi, M., Kogo, M., &amp; Hong, P. N. (2006). Wave reduction in a mangrove forest dominated by </w:t>
      </w:r>
      <w:proofErr w:type="spellStart"/>
      <w:r w:rsidRPr="00A52E57">
        <w:rPr>
          <w:rFonts w:ascii="Times New Roman" w:hAnsi="Times New Roman" w:cs="Times New Roman"/>
          <w:i/>
          <w:iCs/>
          <w:sz w:val="24"/>
          <w:szCs w:val="24"/>
        </w:rPr>
        <w:t>Sonneratia</w:t>
      </w:r>
      <w:proofErr w:type="spellEnd"/>
      <w:r w:rsidRPr="00A52E57">
        <w:rPr>
          <w:rFonts w:ascii="Times New Roman" w:hAnsi="Times New Roman" w:cs="Times New Roman"/>
          <w:i/>
          <w:iCs/>
          <w:sz w:val="24"/>
          <w:szCs w:val="24"/>
        </w:rPr>
        <w:t xml:space="preserve"> sp.</w:t>
      </w:r>
      <w:r w:rsidRPr="00A52E57">
        <w:rPr>
          <w:rFonts w:ascii="Times New Roman" w:hAnsi="Times New Roman" w:cs="Times New Roman"/>
          <w:sz w:val="24"/>
          <w:szCs w:val="24"/>
        </w:rPr>
        <w:t xml:space="preserve"> </w:t>
      </w:r>
      <w:r w:rsidRPr="00A52E57">
        <w:rPr>
          <w:rFonts w:ascii="Times New Roman" w:hAnsi="Times New Roman" w:cs="Times New Roman"/>
          <w:i/>
          <w:iCs/>
          <w:sz w:val="24"/>
          <w:szCs w:val="24"/>
        </w:rPr>
        <w:t>Wetlands Ecology and Management, 14</w:t>
      </w:r>
      <w:r w:rsidRPr="00A52E57">
        <w:rPr>
          <w:rFonts w:ascii="Times New Roman" w:hAnsi="Times New Roman" w:cs="Times New Roman"/>
          <w:sz w:val="24"/>
          <w:szCs w:val="24"/>
        </w:rPr>
        <w:t>(4), 365–378. https://doi.org/10.1007/s11273-005-5384-0</w:t>
      </w:r>
    </w:p>
    <w:p w14:paraId="3C3E4AC4"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proofErr w:type="spellStart"/>
      <w:r w:rsidRPr="00A52E57">
        <w:rPr>
          <w:rFonts w:ascii="Times New Roman" w:hAnsi="Times New Roman" w:cs="Times New Roman"/>
          <w:sz w:val="24"/>
          <w:szCs w:val="24"/>
        </w:rPr>
        <w:t>Nagelkerken</w:t>
      </w:r>
      <w:proofErr w:type="spellEnd"/>
      <w:r w:rsidRPr="00A52E57">
        <w:rPr>
          <w:rFonts w:ascii="Times New Roman" w:hAnsi="Times New Roman" w:cs="Times New Roman"/>
          <w:sz w:val="24"/>
          <w:szCs w:val="24"/>
        </w:rPr>
        <w:t xml:space="preserve">, I., Blaber, S. J. M., Bouillon, S., Green, P., Haywood, M., Kirton, L. G., … Somerfield, P. J. (2008). The habitat function of mangroves for terrestrial and marine fauna: A review. </w:t>
      </w:r>
      <w:r w:rsidRPr="00A52E57">
        <w:rPr>
          <w:rFonts w:ascii="Times New Roman" w:hAnsi="Times New Roman" w:cs="Times New Roman"/>
          <w:i/>
          <w:iCs/>
          <w:sz w:val="24"/>
          <w:szCs w:val="24"/>
        </w:rPr>
        <w:t>Aquatic Botany, 89</w:t>
      </w:r>
      <w:r w:rsidRPr="00A52E57">
        <w:rPr>
          <w:rFonts w:ascii="Times New Roman" w:hAnsi="Times New Roman" w:cs="Times New Roman"/>
          <w:sz w:val="24"/>
          <w:szCs w:val="24"/>
        </w:rPr>
        <w:t>(2), 155–185. https://doi.org/10.1016/j.aquabot.2007.12.007</w:t>
      </w:r>
    </w:p>
    <w:p w14:paraId="3CC71E2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Richards, D. R., &amp; Friess, D. A. (2016). Rates and drivers of mangrove deforestation in Southeast Asia, 2000–2012. </w:t>
      </w:r>
      <w:r w:rsidRPr="00A52E57">
        <w:rPr>
          <w:rFonts w:ascii="Times New Roman" w:hAnsi="Times New Roman" w:cs="Times New Roman"/>
          <w:i/>
          <w:iCs/>
          <w:sz w:val="24"/>
          <w:szCs w:val="24"/>
        </w:rPr>
        <w:t>Proceedings of the National Academy of Sciences, 113</w:t>
      </w:r>
      <w:r w:rsidRPr="00A52E57">
        <w:rPr>
          <w:rFonts w:ascii="Times New Roman" w:hAnsi="Times New Roman" w:cs="Times New Roman"/>
          <w:sz w:val="24"/>
          <w:szCs w:val="24"/>
        </w:rPr>
        <w:t>(2), 344–349. https://doi.org/10.1073/pnas.1510272113</w:t>
      </w:r>
    </w:p>
    <w:p w14:paraId="3DDC9157"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Saintilan, N., Wilson, N. C., Rogers, K., </w:t>
      </w:r>
      <w:proofErr w:type="spellStart"/>
      <w:r w:rsidRPr="00A52E57">
        <w:rPr>
          <w:rFonts w:ascii="Times New Roman" w:hAnsi="Times New Roman" w:cs="Times New Roman"/>
          <w:sz w:val="24"/>
          <w:szCs w:val="24"/>
        </w:rPr>
        <w:t>Rajkaran</w:t>
      </w:r>
      <w:proofErr w:type="spellEnd"/>
      <w:r w:rsidRPr="00A52E57">
        <w:rPr>
          <w:rFonts w:ascii="Times New Roman" w:hAnsi="Times New Roman" w:cs="Times New Roman"/>
          <w:sz w:val="24"/>
          <w:szCs w:val="24"/>
        </w:rPr>
        <w:t xml:space="preserve">, A., &amp; Krauss, K. W. (2014). Mangrove expansion and salt marsh decline at mangrove poleward limits. </w:t>
      </w:r>
      <w:r w:rsidRPr="00A52E57">
        <w:rPr>
          <w:rFonts w:ascii="Times New Roman" w:hAnsi="Times New Roman" w:cs="Times New Roman"/>
          <w:i/>
          <w:iCs/>
          <w:sz w:val="24"/>
          <w:szCs w:val="24"/>
        </w:rPr>
        <w:t>Global Change Biology, 20</w:t>
      </w:r>
      <w:r w:rsidRPr="00A52E57">
        <w:rPr>
          <w:rFonts w:ascii="Times New Roman" w:hAnsi="Times New Roman" w:cs="Times New Roman"/>
          <w:sz w:val="24"/>
          <w:szCs w:val="24"/>
        </w:rPr>
        <w:t>(1), 147–157. https://doi.org/10.1111/gcb.12341</w:t>
      </w:r>
    </w:p>
    <w:p w14:paraId="51C081E8" w14:textId="497ABF7D"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Selvaraj, A., </w:t>
      </w:r>
      <w:r w:rsidRPr="00A52E57">
        <w:rPr>
          <w:rFonts w:ascii="Times New Roman" w:hAnsi="Times New Roman" w:cs="Times New Roman"/>
          <w:i/>
          <w:iCs/>
          <w:sz w:val="24"/>
          <w:szCs w:val="24"/>
        </w:rPr>
        <w:t>et al</w:t>
      </w:r>
      <w:r w:rsidRPr="00A52E57">
        <w:rPr>
          <w:rFonts w:ascii="Times New Roman" w:hAnsi="Times New Roman" w:cs="Times New Roman"/>
          <w:sz w:val="24"/>
          <w:szCs w:val="24"/>
        </w:rPr>
        <w:t xml:space="preserve">. (2025). Enhancement of tropical degraded mangrove mapping using hyperspectral data in the </w:t>
      </w:r>
      <w:proofErr w:type="spellStart"/>
      <w:r w:rsidRPr="00A52E57">
        <w:rPr>
          <w:rFonts w:ascii="Times New Roman" w:hAnsi="Times New Roman" w:cs="Times New Roman"/>
          <w:sz w:val="24"/>
          <w:szCs w:val="24"/>
        </w:rPr>
        <w:t>Muthupet</w:t>
      </w:r>
      <w:proofErr w:type="spellEnd"/>
      <w:r w:rsidRPr="00A52E57">
        <w:rPr>
          <w:rFonts w:ascii="Times New Roman" w:hAnsi="Times New Roman" w:cs="Times New Roman"/>
          <w:sz w:val="24"/>
          <w:szCs w:val="24"/>
        </w:rPr>
        <w:t xml:space="preserve"> mangrove forest, Tamil Nadu, India. </w:t>
      </w:r>
      <w:r w:rsidRPr="00A52E57">
        <w:rPr>
          <w:rFonts w:ascii="Times New Roman" w:hAnsi="Times New Roman" w:cs="Times New Roman"/>
          <w:i/>
          <w:iCs/>
          <w:sz w:val="24"/>
          <w:szCs w:val="24"/>
        </w:rPr>
        <w:lastRenderedPageBreak/>
        <w:t>Applied Earth Observation and Geoinformation, 156</w:t>
      </w:r>
      <w:r w:rsidRPr="00A52E57">
        <w:rPr>
          <w:rFonts w:ascii="Times New Roman" w:hAnsi="Times New Roman" w:cs="Times New Roman"/>
          <w:sz w:val="24"/>
          <w:szCs w:val="24"/>
        </w:rPr>
        <w:t>, 337–352. https://doi.org/10.1016/j.jag.2024.103551</w:t>
      </w:r>
    </w:p>
    <w:p w14:paraId="6144902C"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Thomas, N., Lucas, R., Bunting, P., Hardy, A., Rosenqvist, A., &amp; Simard, M. (2017). Distribution and drivers of global mangrove forest change, 1996–2010. </w:t>
      </w:r>
      <w:proofErr w:type="spellStart"/>
      <w:r w:rsidRPr="00A52E57">
        <w:rPr>
          <w:rFonts w:ascii="Times New Roman" w:hAnsi="Times New Roman" w:cs="Times New Roman"/>
          <w:i/>
          <w:iCs/>
          <w:sz w:val="24"/>
          <w:szCs w:val="24"/>
        </w:rPr>
        <w:t>PLoS</w:t>
      </w:r>
      <w:proofErr w:type="spellEnd"/>
      <w:r w:rsidRPr="00A52E57">
        <w:rPr>
          <w:rFonts w:ascii="Times New Roman" w:hAnsi="Times New Roman" w:cs="Times New Roman"/>
          <w:i/>
          <w:iCs/>
          <w:sz w:val="24"/>
          <w:szCs w:val="24"/>
        </w:rPr>
        <w:t xml:space="preserve"> ONE, 12</w:t>
      </w:r>
      <w:r w:rsidRPr="00A52E57">
        <w:rPr>
          <w:rFonts w:ascii="Times New Roman" w:hAnsi="Times New Roman" w:cs="Times New Roman"/>
          <w:sz w:val="24"/>
          <w:szCs w:val="24"/>
        </w:rPr>
        <w:t>(6), e0179302. https://doi.org/10.1371/journal.pone.0179302</w:t>
      </w:r>
    </w:p>
    <w:p w14:paraId="1E5BE198"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Ward, R. D., Friess, D. A., Day, R. H., &amp; </w:t>
      </w:r>
      <w:proofErr w:type="spellStart"/>
      <w:r w:rsidRPr="00A52E57">
        <w:rPr>
          <w:rFonts w:ascii="Times New Roman" w:hAnsi="Times New Roman" w:cs="Times New Roman"/>
          <w:sz w:val="24"/>
          <w:szCs w:val="24"/>
        </w:rPr>
        <w:t>MacKenzie</w:t>
      </w:r>
      <w:proofErr w:type="spellEnd"/>
      <w:r w:rsidRPr="00A52E57">
        <w:rPr>
          <w:rFonts w:ascii="Times New Roman" w:hAnsi="Times New Roman" w:cs="Times New Roman"/>
          <w:sz w:val="24"/>
          <w:szCs w:val="24"/>
        </w:rPr>
        <w:t xml:space="preserve">, R. A. (2016). Impacts of climate change on mangrove ecosystems: A region by region overview. </w:t>
      </w:r>
      <w:r w:rsidRPr="00A52E57">
        <w:rPr>
          <w:rFonts w:ascii="Times New Roman" w:hAnsi="Times New Roman" w:cs="Times New Roman"/>
          <w:i/>
          <w:iCs/>
          <w:sz w:val="24"/>
          <w:szCs w:val="24"/>
        </w:rPr>
        <w:t>Ecosystem Health and Sustainability, 2</w:t>
      </w:r>
      <w:r w:rsidRPr="00A52E57">
        <w:rPr>
          <w:rFonts w:ascii="Times New Roman" w:hAnsi="Times New Roman" w:cs="Times New Roman"/>
          <w:sz w:val="24"/>
          <w:szCs w:val="24"/>
        </w:rPr>
        <w:t>(4), e01211. https://doi.org/10.1002/ehs2.1211</w:t>
      </w:r>
    </w:p>
    <w:p w14:paraId="45EA567D" w14:textId="77777777" w:rsidR="00A52E57" w:rsidRPr="00A52E57" w:rsidRDefault="00A52E57" w:rsidP="00A52E57">
      <w:pPr>
        <w:pStyle w:val="ListParagraph"/>
        <w:numPr>
          <w:ilvl w:val="0"/>
          <w:numId w:val="10"/>
        </w:numPr>
        <w:spacing w:line="360" w:lineRule="auto"/>
        <w:jc w:val="both"/>
        <w:rPr>
          <w:rFonts w:ascii="Times New Roman" w:hAnsi="Times New Roman" w:cs="Times New Roman"/>
          <w:sz w:val="24"/>
          <w:szCs w:val="24"/>
        </w:rPr>
      </w:pPr>
      <w:r w:rsidRPr="00A52E57">
        <w:rPr>
          <w:rFonts w:ascii="Times New Roman" w:hAnsi="Times New Roman" w:cs="Times New Roman"/>
          <w:sz w:val="24"/>
          <w:szCs w:val="24"/>
        </w:rPr>
        <w:t xml:space="preserve">Xu, J., Friess, D. A., &amp; Brown, C. J. (2024). Projected impacts of sea-level rise on global coastal wetlands. </w:t>
      </w:r>
      <w:r w:rsidRPr="00A52E57">
        <w:rPr>
          <w:rFonts w:ascii="Times New Roman" w:hAnsi="Times New Roman" w:cs="Times New Roman"/>
          <w:i/>
          <w:iCs/>
          <w:sz w:val="24"/>
          <w:szCs w:val="24"/>
        </w:rPr>
        <w:t>Science, 383</w:t>
      </w:r>
      <w:r w:rsidRPr="00A52E57">
        <w:rPr>
          <w:rFonts w:ascii="Times New Roman" w:hAnsi="Times New Roman" w:cs="Times New Roman"/>
          <w:sz w:val="24"/>
          <w:szCs w:val="24"/>
        </w:rPr>
        <w:t>(6671), 403–409. https://doi.org/10.1126/science.adi1811</w:t>
      </w:r>
    </w:p>
    <w:p w14:paraId="44A227A7" w14:textId="18783C78" w:rsidR="004300FA" w:rsidRPr="00A52E57" w:rsidRDefault="004300FA" w:rsidP="00A52E57">
      <w:pPr>
        <w:spacing w:line="360" w:lineRule="auto"/>
        <w:rPr>
          <w:rFonts w:ascii="Times New Roman" w:hAnsi="Times New Roman" w:cs="Times New Roman"/>
          <w:b/>
          <w:bCs/>
          <w:sz w:val="24"/>
          <w:szCs w:val="24"/>
        </w:rPr>
      </w:pPr>
    </w:p>
    <w:sectPr w:rsidR="004300FA" w:rsidRPr="00A52E57" w:rsidSect="00034616">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DBFD5" w14:textId="77777777" w:rsidR="006C614F" w:rsidRDefault="006C614F" w:rsidP="00761E7B">
      <w:pPr>
        <w:spacing w:after="0" w:line="240" w:lineRule="auto"/>
      </w:pPr>
      <w:r>
        <w:separator/>
      </w:r>
    </w:p>
  </w:endnote>
  <w:endnote w:type="continuationSeparator" w:id="0">
    <w:p w14:paraId="203BA66E" w14:textId="77777777" w:rsidR="006C614F" w:rsidRDefault="006C614F" w:rsidP="0076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altName w:val="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3A9E8" w14:textId="77777777" w:rsidR="00761E7B" w:rsidRDefault="00761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083F" w14:textId="77777777" w:rsidR="00761E7B" w:rsidRDefault="00761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1C97" w14:textId="77777777" w:rsidR="00761E7B" w:rsidRDefault="00761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86730" w14:textId="77777777" w:rsidR="006C614F" w:rsidRDefault="006C614F" w:rsidP="00761E7B">
      <w:pPr>
        <w:spacing w:after="0" w:line="240" w:lineRule="auto"/>
      </w:pPr>
      <w:r>
        <w:separator/>
      </w:r>
    </w:p>
  </w:footnote>
  <w:footnote w:type="continuationSeparator" w:id="0">
    <w:p w14:paraId="4DC6C273" w14:textId="77777777" w:rsidR="006C614F" w:rsidRDefault="006C614F" w:rsidP="0076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35F6" w14:textId="5CED6439" w:rsidR="00761E7B" w:rsidRDefault="00761E7B">
    <w:pPr>
      <w:pStyle w:val="Header"/>
    </w:pPr>
    <w:r>
      <w:rPr>
        <w:noProof/>
      </w:rPr>
      <w:pict w14:anchorId="5E5E2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5"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0FB2" w14:textId="27C489BF" w:rsidR="00761E7B" w:rsidRDefault="00761E7B">
    <w:pPr>
      <w:pStyle w:val="Header"/>
    </w:pPr>
    <w:r>
      <w:rPr>
        <w:noProof/>
      </w:rPr>
      <w:pict w14:anchorId="46E3A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6"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4C21" w14:textId="324E2E33" w:rsidR="00761E7B" w:rsidRDefault="00761E7B">
    <w:pPr>
      <w:pStyle w:val="Header"/>
    </w:pPr>
    <w:r>
      <w:rPr>
        <w:noProof/>
      </w:rPr>
      <w:pict w14:anchorId="682A1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90484"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57D95"/>
    <w:multiLevelType w:val="hybridMultilevel"/>
    <w:tmpl w:val="1B1C5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300FA"/>
    <w:rsid w:val="006C614F"/>
    <w:rsid w:val="00761E7B"/>
    <w:rsid w:val="008143DC"/>
    <w:rsid w:val="008958BA"/>
    <w:rsid w:val="008D4168"/>
    <w:rsid w:val="00945ACB"/>
    <w:rsid w:val="00960936"/>
    <w:rsid w:val="00A52E57"/>
    <w:rsid w:val="00AA1D8D"/>
    <w:rsid w:val="00B47730"/>
    <w:rsid w:val="00CA5F7D"/>
    <w:rsid w:val="00CB0664"/>
    <w:rsid w:val="00F35C93"/>
    <w:rsid w:val="00FC693F"/>
    <w:rsid w:val="00FE2202"/>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4ACA64D"/>
  <w14:defaultImageDpi w14:val="300"/>
  <w15:docId w15:val="{28537F8F-0766-44D8-94A0-B2386D82F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945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ACB"/>
    <w:rPr>
      <w:rFonts w:ascii="Tahoma" w:hAnsi="Tahoma" w:cs="Tahoma"/>
      <w:sz w:val="16"/>
      <w:szCs w:val="16"/>
    </w:rPr>
  </w:style>
  <w:style w:type="character" w:styleId="Hyperlink">
    <w:name w:val="Hyperlink"/>
    <w:basedOn w:val="DefaultParagraphFont"/>
    <w:uiPriority w:val="99"/>
    <w:unhideWhenUsed/>
    <w:rsid w:val="00960936"/>
    <w:rPr>
      <w:color w:val="0000FF" w:themeColor="hyperlink"/>
      <w:u w:val="single"/>
    </w:rPr>
  </w:style>
  <w:style w:type="character" w:styleId="UnresolvedMention">
    <w:name w:val="Unresolved Mention"/>
    <w:basedOn w:val="DefaultParagraphFont"/>
    <w:uiPriority w:val="99"/>
    <w:semiHidden/>
    <w:unhideWhenUsed/>
    <w:rsid w:val="00960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849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271E2-991A-4744-A833-9EA339F4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3922</Words>
  <Characters>22357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1084</cp:lastModifiedBy>
  <cp:revision>4</cp:revision>
  <dcterms:created xsi:type="dcterms:W3CDTF">2025-09-29T02:12:00Z</dcterms:created>
  <dcterms:modified xsi:type="dcterms:W3CDTF">2025-10-04T13:01:00Z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0d532694-3ff6-4158-a280-1cfd7ef6a483</vt:lpwstr>
  </property>
</Properties>
</file>