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FC672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41C1" w:rsidRPr="00E00F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Environment and Climate Change </w:t>
              </w:r>
            </w:hyperlink>
            <w:r w:rsidR="00D941C1" w:rsidRPr="00D941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407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4079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Ms_IJECC_145510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8407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40790">
              <w:rPr>
                <w:rFonts w:ascii="Arial" w:hAnsi="Arial" w:cs="Arial"/>
                <w:b/>
                <w:sz w:val="20"/>
                <w:szCs w:val="28"/>
                <w:lang w:val="en-GB"/>
              </w:rPr>
              <w:t>Climate Change and Sustainable Agriculture: Pathways to Resilience, Productivity, and Decarbonisation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6A05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Review-cum-Synthesis</w:t>
            </w:r>
          </w:p>
        </w:tc>
      </w:tr>
    </w:tbl>
    <w:p w:rsidR="00E303E9" w:rsidRPr="00900E9B" w:rsidRDefault="00E303E9" w:rsidP="00E303E9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303E9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E303E9" w:rsidRPr="00900E9B" w:rsidRDefault="00E303E9">
            <w:pPr>
              <w:rPr>
                <w:sz w:val="20"/>
                <w:szCs w:val="20"/>
                <w:lang w:val="en-GB"/>
              </w:rPr>
            </w:pPr>
          </w:p>
        </w:tc>
      </w:tr>
      <w:tr w:rsidR="00E303E9" w:rsidRPr="00900E9B">
        <w:tc>
          <w:tcPr>
            <w:tcW w:w="1265" w:type="pct"/>
            <w:noWrap/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E303E9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4621F" w:rsidRDefault="0054621F" w:rsidP="0054621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4621F" w:rsidRPr="0054621F" w:rsidRDefault="0054621F" w:rsidP="0054621F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96C39" w:rsidRDefault="00496C39" w:rsidP="00496C3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1264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6A05D3" w:rsidRPr="00900E9B" w:rsidRDefault="006A05D3" w:rsidP="006A05D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A05D3" w:rsidRDefault="006A05D3" w:rsidP="006A05D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245" w:hanging="274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 xml:space="preserve">This manuscript is highly important for the scientific community as it synthesizes recent peer-reviewed evidence on the dual role of agriculture in climate change—as both a victim of impacts and a contributor to emissions—while outlining evidence-based pathways for sustainable practices that enhance resilience, productivity, and decarbonization. </w:t>
            </w:r>
          </w:p>
          <w:p w:rsidR="006A05D3" w:rsidRDefault="006A05D3" w:rsidP="006A05D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245" w:hanging="274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 xml:space="preserve">It bridges biophysical, technological, and policy dimensions, providing a valuable resource for researchers in agronomy, environmental science, and climate policy to inform context-specific strategies for food security under warming scenarios. </w:t>
            </w:r>
          </w:p>
          <w:p w:rsidR="006A05D3" w:rsidRDefault="006A05D3" w:rsidP="006A05D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245" w:hanging="274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 xml:space="preserve">By emphasizing trade-offs, co-benefits, and enabling factors like governance and equity, it advances the discourse on climate-smart agriculture and supports interdisciplinary efforts to align farming with global sustainability goals. </w:t>
            </w:r>
          </w:p>
          <w:p w:rsidR="006A05D3" w:rsidRPr="009807F3" w:rsidRDefault="006A05D3" w:rsidP="006A05D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245" w:hanging="274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Overall, it consolidates fragmented knowledge into a coherent framework that can guide future research, innovation, and implementation in diverse agro</w:t>
            </w:r>
            <w:r>
              <w:rPr>
                <w:sz w:val="20"/>
                <w:szCs w:val="20"/>
                <w:lang w:val="en-GB"/>
              </w:rPr>
              <w:t>-</w:t>
            </w:r>
            <w:r w:rsidRPr="009807F3">
              <w:rPr>
                <w:sz w:val="20"/>
                <w:szCs w:val="20"/>
                <w:lang w:val="en-GB"/>
              </w:rPr>
              <w:t>ecological contexts.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1262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A05D3" w:rsidRPr="00900E9B" w:rsidRDefault="006A05D3" w:rsidP="006A05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A05D3" w:rsidRPr="009807F3" w:rsidRDefault="006A05D3" w:rsidP="006A05D3">
            <w:pPr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Yes, the title is suitable as it accurately captures the manuscript's focus on climate change impacts, sustainable agriculture responses, and goals of resilience, productivity, and decarbonization.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1262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A05D3" w:rsidRDefault="006A05D3" w:rsidP="006A05D3">
            <w:pPr>
              <w:numPr>
                <w:ilvl w:val="0"/>
                <w:numId w:val="14"/>
              </w:numPr>
              <w:ind w:left="246" w:hanging="180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The abstract is comprehensive, effectively summariz</w:t>
            </w:r>
            <w:r>
              <w:rPr>
                <w:sz w:val="20"/>
                <w:szCs w:val="20"/>
                <w:lang w:val="en-GB"/>
              </w:rPr>
              <w:t>e</w:t>
            </w:r>
            <w:r w:rsidRPr="009807F3">
              <w:rPr>
                <w:sz w:val="20"/>
                <w:szCs w:val="20"/>
                <w:lang w:val="en-GB"/>
              </w:rPr>
              <w:t xml:space="preserve"> the problem, key sustainable practices, technologies, and the need for integrated strategies, policies, and equity. </w:t>
            </w:r>
          </w:p>
          <w:p w:rsidR="006A05D3" w:rsidRPr="009807F3" w:rsidRDefault="006A05D3" w:rsidP="006A05D3">
            <w:pPr>
              <w:numPr>
                <w:ilvl w:val="0"/>
                <w:numId w:val="14"/>
              </w:numPr>
              <w:spacing w:before="120"/>
              <w:ind w:left="246" w:hanging="180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No additions or deletions are suggested, as it balances breadth and conciseness while including keywords for discoverability.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704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6A05D3" w:rsidRDefault="006A05D3" w:rsidP="006A05D3">
            <w:pPr>
              <w:pStyle w:val="ListParagraph"/>
              <w:numPr>
                <w:ilvl w:val="0"/>
                <w:numId w:val="15"/>
              </w:numPr>
              <w:ind w:left="340" w:hanging="250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 xml:space="preserve">Yes, the manuscript is scientifically correct. </w:t>
            </w:r>
          </w:p>
          <w:p w:rsidR="006A05D3" w:rsidRDefault="006A05D3" w:rsidP="006A05D3">
            <w:pPr>
              <w:pStyle w:val="ListParagraph"/>
              <w:numPr>
                <w:ilvl w:val="0"/>
                <w:numId w:val="15"/>
              </w:numPr>
              <w:ind w:left="340" w:hanging="250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It draws on robust evidence from meta-analyses, long-term field studies, and global mode</w:t>
            </w:r>
            <w:r>
              <w:rPr>
                <w:sz w:val="20"/>
                <w:szCs w:val="20"/>
                <w:lang w:val="en-GB"/>
              </w:rPr>
              <w:t>l</w:t>
            </w:r>
            <w:r w:rsidRPr="009807F3">
              <w:rPr>
                <w:sz w:val="20"/>
                <w:szCs w:val="20"/>
                <w:lang w:val="en-GB"/>
              </w:rPr>
              <w:t xml:space="preserve">ling, with careful attention to context-dependency, trade-offs, and methodological rigor. </w:t>
            </w:r>
          </w:p>
          <w:p w:rsidR="006A05D3" w:rsidRPr="009807F3" w:rsidRDefault="006A05D3" w:rsidP="006A05D3">
            <w:pPr>
              <w:pStyle w:val="ListParagraph"/>
              <w:numPr>
                <w:ilvl w:val="0"/>
                <w:numId w:val="15"/>
              </w:numPr>
              <w:ind w:left="340" w:hanging="250"/>
              <w:jc w:val="both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Claims are supported by recent, high-quality citations, and the synthesis avoids overgeneralization by emphasizing variability across agro</w:t>
            </w:r>
            <w:r>
              <w:rPr>
                <w:sz w:val="20"/>
                <w:szCs w:val="20"/>
                <w:lang w:val="en-GB"/>
              </w:rPr>
              <w:t>-</w:t>
            </w:r>
            <w:r w:rsidRPr="009807F3">
              <w:rPr>
                <w:sz w:val="20"/>
                <w:szCs w:val="20"/>
                <w:lang w:val="en-GB"/>
              </w:rPr>
              <w:t>ecological zones.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703"/>
        </w:trPr>
        <w:tc>
          <w:tcPr>
            <w:tcW w:w="1265" w:type="pct"/>
            <w:noWrap/>
          </w:tcPr>
          <w:p w:rsidR="006A05D3" w:rsidRPr="00E10705" w:rsidRDefault="006A05D3" w:rsidP="006A05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6A05D3" w:rsidRDefault="006A05D3" w:rsidP="006A05D3">
            <w:pPr>
              <w:pStyle w:val="ListParagraph"/>
              <w:numPr>
                <w:ilvl w:val="0"/>
                <w:numId w:val="16"/>
              </w:numPr>
              <w:ind w:left="340" w:hanging="250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 xml:space="preserve">The references are sufficient and recent, with a strong emphasis on publications from the last decade (many from 2020–2025), including meta-analyses and syntheses from reputable journals like Nature, Science, and Global Change Biology. </w:t>
            </w:r>
          </w:p>
          <w:p w:rsidR="006A05D3" w:rsidRPr="009807F3" w:rsidRDefault="006A05D3" w:rsidP="006A05D3">
            <w:pPr>
              <w:pStyle w:val="ListParagraph"/>
              <w:numPr>
                <w:ilvl w:val="0"/>
                <w:numId w:val="16"/>
              </w:numPr>
              <w:ind w:left="340" w:hanging="250"/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No additional references are suggested, as the list comprehensively covers impacts, practices, and policy aspects.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A05D3" w:rsidRPr="00900E9B">
        <w:trPr>
          <w:trHeight w:val="386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6A05D3" w:rsidRPr="00900E9B" w:rsidRDefault="006A05D3" w:rsidP="006A05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A05D3" w:rsidRPr="009807F3" w:rsidRDefault="006A05D3" w:rsidP="006A05D3">
            <w:pPr>
              <w:rPr>
                <w:sz w:val="20"/>
                <w:szCs w:val="20"/>
                <w:lang w:val="en-GB"/>
              </w:rPr>
            </w:pPr>
            <w:r w:rsidRPr="009807F3">
              <w:rPr>
                <w:sz w:val="20"/>
                <w:szCs w:val="20"/>
                <w:lang w:val="en-GB"/>
              </w:rPr>
              <w:t>Yes, the language is clear, precise, and suitable for scholarly communications, with excellent structure, technical accuracy, and readability.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rPr>
                <w:sz w:val="20"/>
                <w:szCs w:val="20"/>
                <w:lang w:val="en-GB"/>
              </w:rPr>
            </w:pPr>
          </w:p>
        </w:tc>
      </w:tr>
      <w:tr w:rsidR="006A05D3" w:rsidRPr="00900E9B">
        <w:trPr>
          <w:trHeight w:val="1178"/>
        </w:trPr>
        <w:tc>
          <w:tcPr>
            <w:tcW w:w="1265" w:type="pct"/>
            <w:noWrap/>
          </w:tcPr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6A05D3" w:rsidRPr="00900E9B" w:rsidRDefault="006A05D3" w:rsidP="006A05D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A05D3" w:rsidRDefault="006A05D3" w:rsidP="006A05D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40" w:hanging="25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0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manuscript is well-organized, with logical progression from impacts to definitions, practices, and enablers. </w:t>
            </w:r>
          </w:p>
          <w:p w:rsidR="006A05D3" w:rsidRDefault="006A05D3" w:rsidP="006A05D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40" w:hanging="25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0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Figures or tables summarizing key meta-analysis findings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i.</w:t>
            </w:r>
            <w:r w:rsidRPr="00980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e., yield responses or mitigation potentials) could enhance visual appeal, but are not essential. </w:t>
            </w:r>
          </w:p>
          <w:p w:rsidR="006A05D3" w:rsidRPr="009807F3" w:rsidRDefault="006A05D3" w:rsidP="006A05D3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40" w:hanging="25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0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emphasis on equity and governance adds depth beyond technical aspects.</w:t>
            </w:r>
          </w:p>
        </w:tc>
        <w:tc>
          <w:tcPr>
            <w:tcW w:w="1523" w:type="pct"/>
          </w:tcPr>
          <w:p w:rsidR="006A05D3" w:rsidRPr="00900E9B" w:rsidRDefault="006A05D3" w:rsidP="006A05D3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22034" w:rsidRPr="00900E9B" w:rsidRDefault="00422034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303E9" w:rsidRPr="00900E9B" w:rsidRDefault="00E303E9" w:rsidP="00E303E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303E9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03E9" w:rsidRPr="00900E9B" w:rsidTr="008A2419">
        <w:trPr>
          <w:trHeight w:val="63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E9" w:rsidRPr="00900E9B" w:rsidRDefault="00E303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E303E9" w:rsidRPr="008A2419" w:rsidRDefault="00496C39" w:rsidP="008A241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</w:t>
            </w:r>
            <w:r w:rsidR="008A2419">
              <w:rPr>
                <w:rFonts w:eastAsia="Calibri"/>
                <w:kern w:val="2"/>
                <w:sz w:val="20"/>
                <w:szCs w:val="20"/>
                <w:lang w:val="en-IN"/>
              </w:rPr>
              <w:t>ld write his/her feedback here)</w:t>
            </w:r>
          </w:p>
        </w:tc>
      </w:tr>
      <w:tr w:rsidR="00E303E9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3E9" w:rsidRPr="008A2419" w:rsidRDefault="006A05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No.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E303E9" w:rsidRPr="00900E9B" w:rsidRDefault="00E303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Default="008913D5" w:rsidP="00E303E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422034" w:rsidRDefault="00422034" w:rsidP="0042203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22034" w:rsidRPr="005F4EDD" w:rsidRDefault="00422034" w:rsidP="0042203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22034" w:rsidRDefault="00422034" w:rsidP="0042203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22034" w:rsidRDefault="00422034" w:rsidP="00422034">
      <w:r>
        <w:rPr>
          <w:rFonts w:ascii="Calibri" w:hAnsi="Calibri" w:cs="Calibri"/>
          <w:color w:val="000000"/>
        </w:rPr>
        <w:t>Mahesh Kumar Gaur, ICAR-Central Arid Zone Research Institute, India</w:t>
      </w:r>
      <w:r>
        <w:rPr>
          <w:rFonts w:ascii="Calibri" w:hAnsi="Calibri" w:cs="Calibri"/>
          <w:color w:val="000000"/>
        </w:rPr>
        <w:br/>
      </w:r>
    </w:p>
    <w:p w:rsidR="00422034" w:rsidRDefault="00422034" w:rsidP="00E303E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422034" w:rsidSect="009D7C5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25" w:rsidRPr="0000007A" w:rsidRDefault="00FC6725" w:rsidP="0099583E">
      <w:r>
        <w:separator/>
      </w:r>
    </w:p>
  </w:endnote>
  <w:endnote w:type="continuationSeparator" w:id="0">
    <w:p w:rsidR="00FC6725" w:rsidRPr="0000007A" w:rsidRDefault="00FC67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25" w:rsidRPr="0000007A" w:rsidRDefault="00FC6725" w:rsidP="0099583E">
      <w:r>
        <w:separator/>
      </w:r>
    </w:p>
  </w:footnote>
  <w:footnote w:type="continuationSeparator" w:id="0">
    <w:p w:rsidR="00FC6725" w:rsidRPr="0000007A" w:rsidRDefault="00FC67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2981"/>
    <w:multiLevelType w:val="hybridMultilevel"/>
    <w:tmpl w:val="EF80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C6502"/>
    <w:multiLevelType w:val="hybridMultilevel"/>
    <w:tmpl w:val="717E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C2E04"/>
    <w:multiLevelType w:val="hybridMultilevel"/>
    <w:tmpl w:val="72E65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04B1F"/>
    <w:multiLevelType w:val="hybridMultilevel"/>
    <w:tmpl w:val="785827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4BB7"/>
    <w:multiLevelType w:val="hybridMultilevel"/>
    <w:tmpl w:val="EC0A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80666"/>
    <w:multiLevelType w:val="hybridMultilevel"/>
    <w:tmpl w:val="526E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7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EC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936B2"/>
    <w:rsid w:val="003A04E7"/>
    <w:rsid w:val="003A4991"/>
    <w:rsid w:val="003A6E1A"/>
    <w:rsid w:val="003B2172"/>
    <w:rsid w:val="003E746A"/>
    <w:rsid w:val="00412A1E"/>
    <w:rsid w:val="0042203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C39"/>
    <w:rsid w:val="004A1DAA"/>
    <w:rsid w:val="004B4CAD"/>
    <w:rsid w:val="004B4FDC"/>
    <w:rsid w:val="004C3DF1"/>
    <w:rsid w:val="004C5074"/>
    <w:rsid w:val="004D2E36"/>
    <w:rsid w:val="004D557F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05D3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3C1"/>
    <w:rsid w:val="00766889"/>
    <w:rsid w:val="00766A0D"/>
    <w:rsid w:val="00767F8C"/>
    <w:rsid w:val="00780B67"/>
    <w:rsid w:val="007B1099"/>
    <w:rsid w:val="007B16BA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0790"/>
    <w:rsid w:val="008423BB"/>
    <w:rsid w:val="00846F1F"/>
    <w:rsid w:val="0087201B"/>
    <w:rsid w:val="00877F10"/>
    <w:rsid w:val="00882091"/>
    <w:rsid w:val="008913D5"/>
    <w:rsid w:val="00893E75"/>
    <w:rsid w:val="008A2419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47D2"/>
    <w:rsid w:val="00A519D1"/>
    <w:rsid w:val="00A6343B"/>
    <w:rsid w:val="00A65C50"/>
    <w:rsid w:val="00A66DD2"/>
    <w:rsid w:val="00A71F1F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71E5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BD3"/>
    <w:rsid w:val="00C84097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50E2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303E9"/>
    <w:rsid w:val="00E451EA"/>
    <w:rsid w:val="00E53E52"/>
    <w:rsid w:val="00E57F4B"/>
    <w:rsid w:val="00E63889"/>
    <w:rsid w:val="00E65EB7"/>
    <w:rsid w:val="00E71C8D"/>
    <w:rsid w:val="00E72360"/>
    <w:rsid w:val="00E972A7"/>
    <w:rsid w:val="00EA26C5"/>
    <w:rsid w:val="00EA2839"/>
    <w:rsid w:val="00EB3E91"/>
    <w:rsid w:val="00EB604A"/>
    <w:rsid w:val="00EC6894"/>
    <w:rsid w:val="00ED6B12"/>
    <w:rsid w:val="00EE0D3E"/>
    <w:rsid w:val="00EF326D"/>
    <w:rsid w:val="00EF53FE"/>
    <w:rsid w:val="00F245A7"/>
    <w:rsid w:val="00F2643C"/>
    <w:rsid w:val="00F30CB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725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0D51D"/>
  <w15:chartTrackingRefBased/>
  <w15:docId w15:val="{CC5A354D-6E1E-4287-BB2C-E7696B2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00F9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407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B604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220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4901-DF98-4B20-BD8A-DC3B3FD7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2025-09-28T09:20:00Z</dcterms:created>
  <dcterms:modified xsi:type="dcterms:W3CDTF">2025-10-04T09:28:00Z</dcterms:modified>
</cp:coreProperties>
</file>