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1F" w:rsidRDefault="00FB561F">
      <w:pPr>
        <w:spacing w:before="96"/>
        <w:rPr>
          <w:sz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FB561F">
        <w:trPr>
          <w:trHeight w:val="282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line="229" w:lineRule="exact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Journal 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FB561F" w:rsidRDefault="00C4490F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hyperlink r:id="rId6">
              <w:r w:rsidR="00C505D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C505DF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505D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505DF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505D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505DF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505D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Biochemistry</w:t>
              </w:r>
              <w:r w:rsidR="00C505DF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C505D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C505DF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C505D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C505D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505D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Review</w:t>
              </w:r>
            </w:hyperlink>
          </w:p>
        </w:tc>
      </w:tr>
      <w:tr w:rsidR="00FB561F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line="229" w:lineRule="exact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Ms_IJBCRR_145129</w:t>
            </w:r>
          </w:p>
        </w:tc>
      </w:tr>
      <w:tr w:rsidR="00FB561F">
        <w:trPr>
          <w:trHeight w:val="65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before="5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before="96"/>
              <w:ind w:righ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rubber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seed cake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popularized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Ivory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Coast 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biofertilizer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agronomic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parameters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Ebanga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variety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plantain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banana (Musa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paradisiaca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</w:t>
            </w:r>
          </w:p>
        </w:tc>
      </w:tr>
      <w:tr w:rsidR="00FB561F">
        <w:trPr>
          <w:trHeight w:val="33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line="229" w:lineRule="exact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61F" w:rsidRDefault="00C505DF">
            <w:pPr>
              <w:pStyle w:val="TableParagraph"/>
              <w:spacing w:before="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FB561F" w:rsidRDefault="00FB561F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9359"/>
        <w:gridCol w:w="6442"/>
      </w:tblGrid>
      <w:tr w:rsidR="00FB561F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FB561F" w:rsidRDefault="00C505DF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B561F">
        <w:trPr>
          <w:trHeight w:val="968"/>
        </w:trPr>
        <w:tc>
          <w:tcPr>
            <w:tcW w:w="5354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spacing w:before="6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B561F" w:rsidRDefault="00C505DF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FB561F" w:rsidRDefault="00C505DF">
            <w:pPr>
              <w:pStyle w:val="TableParagraph"/>
              <w:spacing w:before="6" w:line="254" w:lineRule="auto"/>
              <w:ind w:right="72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FB561F">
        <w:trPr>
          <w:trHeight w:val="1260"/>
        </w:trPr>
        <w:tc>
          <w:tcPr>
            <w:tcW w:w="5354" w:type="dxa"/>
          </w:tcPr>
          <w:p w:rsidR="00FB561F" w:rsidRDefault="00C505DF">
            <w:pPr>
              <w:pStyle w:val="TableParagraph"/>
              <w:ind w:left="468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objective of the study was timely to augment the usage of chemicals in growing plants like banana. </w:t>
            </w:r>
            <w:proofErr w:type="spellStart"/>
            <w:r>
              <w:rPr>
                <w:sz w:val="20"/>
              </w:rPr>
              <w:t>Thie</w:t>
            </w:r>
            <w:proofErr w:type="spellEnd"/>
            <w:r>
              <w:rPr>
                <w:sz w:val="20"/>
              </w:rPr>
              <w:t xml:space="preserve"> utilization of sources from other crop by-products as waste into biofertilizer was beneficial as saving and conserving the environment and health of the human. </w:t>
            </w:r>
            <w:proofErr w:type="spellStart"/>
            <w:r>
              <w:rPr>
                <w:sz w:val="20"/>
              </w:rPr>
              <w:t>Moreso</w:t>
            </w:r>
            <w:proofErr w:type="spellEnd"/>
            <w:r>
              <w:rPr>
                <w:sz w:val="20"/>
              </w:rPr>
              <w:t>, the provision of considering the soil properties is necessarily to produce good quality products for human consumption.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61F">
        <w:trPr>
          <w:trHeight w:val="1265"/>
        </w:trPr>
        <w:tc>
          <w:tcPr>
            <w:tcW w:w="5354" w:type="dxa"/>
          </w:tcPr>
          <w:p w:rsidR="00FB561F" w:rsidRDefault="00C505DF">
            <w:pPr>
              <w:pStyle w:val="TableParagraph"/>
              <w:spacing w:before="5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B561F" w:rsidRDefault="00C505DF">
            <w:pPr>
              <w:pStyle w:val="TableParagraph"/>
              <w:spacing w:before="1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The title 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improved 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“Agronomic Performance of Big </w:t>
            </w:r>
            <w:proofErr w:type="spellStart"/>
            <w:r>
              <w:rPr>
                <w:sz w:val="20"/>
              </w:rPr>
              <w:t>Ebanga</w:t>
            </w:r>
            <w:proofErr w:type="spellEnd"/>
            <w:r>
              <w:rPr>
                <w:sz w:val="20"/>
              </w:rPr>
              <w:t xml:space="preserve"> Plantain Banana (</w:t>
            </w:r>
            <w:r>
              <w:rPr>
                <w:i/>
                <w:sz w:val="20"/>
              </w:rPr>
              <w:t xml:space="preserve">Musa </w:t>
            </w:r>
            <w:proofErr w:type="spellStart"/>
            <w:r>
              <w:rPr>
                <w:i/>
                <w:sz w:val="20"/>
              </w:rPr>
              <w:t>paradisiaca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 Rubber Seed Cake Meal as Biofertilizer popularized in Ivory Coast”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61F">
        <w:trPr>
          <w:trHeight w:val="1260"/>
        </w:trPr>
        <w:tc>
          <w:tcPr>
            <w:tcW w:w="5354" w:type="dxa"/>
          </w:tcPr>
          <w:p w:rsidR="00FB561F" w:rsidRDefault="00C505DF">
            <w:pPr>
              <w:pStyle w:val="TableParagraph"/>
              <w:ind w:left="468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objective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written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title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clarity.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 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 included in the methodology. The word treatment 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written as Treatment 1(T1) and the rest so that remaining used of abbreviation is clear to readers.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61F">
        <w:trPr>
          <w:trHeight w:val="707"/>
        </w:trPr>
        <w:tc>
          <w:tcPr>
            <w:tcW w:w="5354" w:type="dxa"/>
          </w:tcPr>
          <w:p w:rsidR="00FB561F" w:rsidRDefault="00C505DF">
            <w:pPr>
              <w:pStyle w:val="TableParagraph"/>
              <w:spacing w:before="10" w:line="235" w:lineRule="auto"/>
              <w:ind w:left="468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spacing w:before="10" w:line="235" w:lineRule="auto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 following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obtained significant results justified and supported with literature studies.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61F">
        <w:trPr>
          <w:trHeight w:val="701"/>
        </w:trPr>
        <w:tc>
          <w:tcPr>
            <w:tcW w:w="5354" w:type="dxa"/>
          </w:tcPr>
          <w:p w:rsidR="00FB561F" w:rsidRDefault="00C505DF">
            <w:pPr>
              <w:pStyle w:val="TableParagraph"/>
              <w:spacing w:line="230" w:lineRule="exact"/>
              <w:ind w:left="468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context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especially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experiment.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61F">
        <w:trPr>
          <w:trHeight w:val="689"/>
        </w:trPr>
        <w:tc>
          <w:tcPr>
            <w:tcW w:w="5354" w:type="dxa"/>
          </w:tcPr>
          <w:p w:rsidR="00FB561F" w:rsidRDefault="00C505DF">
            <w:pPr>
              <w:pStyle w:val="TableParagraph"/>
              <w:ind w:left="468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scholarly </w:t>
            </w:r>
            <w:r>
              <w:rPr>
                <w:spacing w:val="-2"/>
                <w:sz w:val="20"/>
              </w:rPr>
              <w:t>communications.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  <w:tr w:rsidR="00FB561F">
        <w:trPr>
          <w:trHeight w:val="1606"/>
        </w:trPr>
        <w:tc>
          <w:tcPr>
            <w:tcW w:w="5354" w:type="dxa"/>
          </w:tcPr>
          <w:p w:rsidR="00FB561F" w:rsidRDefault="00C505DF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9" w:type="dxa"/>
          </w:tcPr>
          <w:p w:rsidR="00FB561F" w:rsidRDefault="00C505DF">
            <w:pPr>
              <w:pStyle w:val="TableParagraph"/>
              <w:spacing w:before="9" w:line="235" w:lineRule="auto"/>
              <w:ind w:right="1772"/>
              <w:rPr>
                <w:sz w:val="20"/>
              </w:rPr>
            </w:pPr>
            <w:r>
              <w:rPr>
                <w:sz w:val="20"/>
              </w:rPr>
              <w:t>Kindly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caps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lock 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uniformity. For uniformity, used the rubber seed cake meal in the whole paper for uniformity.</w:t>
            </w:r>
          </w:p>
          <w:p w:rsidR="00FB561F" w:rsidRDefault="00C505D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RESULT,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 the 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word 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be written in caps lock form and observed a uniform font size and fix the alignment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content for the tables.</w:t>
            </w:r>
          </w:p>
          <w:p w:rsidR="00FB561F" w:rsidRDefault="00C505D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numbered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references.</w:t>
            </w:r>
          </w:p>
          <w:p w:rsidR="00FB561F" w:rsidRDefault="00C505DF">
            <w:pPr>
              <w:pStyle w:val="TableParagraph"/>
              <w:spacing w:line="230" w:lineRule="atLeast"/>
              <w:ind w:right="2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conducted soil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nutrient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rubber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included in the </w:t>
            </w:r>
            <w:r>
              <w:rPr>
                <w:spacing w:val="-2"/>
                <w:sz w:val="20"/>
              </w:rPr>
              <w:t>paper.</w:t>
            </w:r>
          </w:p>
        </w:tc>
        <w:tc>
          <w:tcPr>
            <w:tcW w:w="6442" w:type="dxa"/>
          </w:tcPr>
          <w:p w:rsidR="00FB561F" w:rsidRDefault="00FB561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C2D00" w:rsidRDefault="00FC2D00">
      <w:pPr>
        <w:rPr>
          <w:sz w:val="20"/>
        </w:rPr>
      </w:pPr>
    </w:p>
    <w:p w:rsidR="00FC2D00" w:rsidRDefault="00FC2D00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p w:rsidR="00FB561F" w:rsidRDefault="00FB561F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8435A" w:rsidRPr="00340561" w:rsidTr="003E04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35A" w:rsidRPr="00340561" w:rsidRDefault="0048435A" w:rsidP="003E04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8435A" w:rsidRPr="00340561" w:rsidRDefault="0048435A" w:rsidP="003E04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435A" w:rsidRPr="00340561" w:rsidTr="003E045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35A" w:rsidRPr="00340561" w:rsidRDefault="0048435A" w:rsidP="003E0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5A" w:rsidRPr="00340561" w:rsidRDefault="0048435A" w:rsidP="003E04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8435A" w:rsidRPr="008608EB" w:rsidRDefault="0048435A" w:rsidP="003E045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435A" w:rsidRPr="00340561" w:rsidRDefault="0048435A" w:rsidP="003E0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8435A" w:rsidRPr="00340561" w:rsidTr="003E045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35A" w:rsidRPr="00340561" w:rsidRDefault="0048435A" w:rsidP="003E045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8435A" w:rsidRPr="00340561" w:rsidRDefault="0048435A" w:rsidP="003E0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35A" w:rsidRPr="00340561" w:rsidRDefault="0048435A" w:rsidP="003E045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8435A" w:rsidRPr="00340561" w:rsidRDefault="0048435A" w:rsidP="003E0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8435A" w:rsidRPr="00340561" w:rsidRDefault="0048435A" w:rsidP="003E0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8435A" w:rsidRPr="00340561" w:rsidRDefault="0048435A" w:rsidP="003E0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8435A" w:rsidRPr="00340561" w:rsidRDefault="0048435A" w:rsidP="003E0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8435A" w:rsidRDefault="0048435A" w:rsidP="0048435A"/>
    <w:p w:rsidR="00FC2D00" w:rsidRPr="005F4EDD" w:rsidRDefault="00FC2D00" w:rsidP="00FC2D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C2D00" w:rsidRDefault="00FC2D00" w:rsidP="00FC2D0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C2D00" w:rsidRPr="00852806" w:rsidRDefault="00FC2D00" w:rsidP="00FC2D00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Abigail G. </w:t>
      </w:r>
      <w:proofErr w:type="spellStart"/>
      <w:r>
        <w:rPr>
          <w:rFonts w:ascii="Calibri" w:hAnsi="Calibri" w:cs="Calibri"/>
          <w:color w:val="000000"/>
        </w:rPr>
        <w:t>Abuan</w:t>
      </w:r>
      <w:proofErr w:type="spellEnd"/>
      <w:r>
        <w:rPr>
          <w:rFonts w:ascii="Calibri" w:hAnsi="Calibri" w:cs="Calibri"/>
          <w:color w:val="000000"/>
        </w:rPr>
        <w:t>, Bataan Peninsula State University, Philippines</w:t>
      </w:r>
    </w:p>
    <w:p w:rsidR="0048435A" w:rsidRDefault="0048435A" w:rsidP="0048435A">
      <w:bookmarkStart w:id="4" w:name="_GoBack"/>
      <w:bookmarkEnd w:id="4"/>
    </w:p>
    <w:p w:rsidR="0048435A" w:rsidRPr="00375011" w:rsidRDefault="0048435A" w:rsidP="0048435A">
      <w:pPr>
        <w:rPr>
          <w:bCs/>
          <w:u w:val="single"/>
          <w:lang w:val="en-GB"/>
        </w:rPr>
      </w:pPr>
    </w:p>
    <w:bookmarkEnd w:id="1"/>
    <w:p w:rsidR="0048435A" w:rsidRDefault="0048435A" w:rsidP="0048435A"/>
    <w:bookmarkEnd w:id="2"/>
    <w:p w:rsidR="0048435A" w:rsidRPr="005139BA" w:rsidRDefault="0048435A" w:rsidP="0048435A"/>
    <w:bookmarkEnd w:id="3"/>
    <w:p w:rsidR="0048435A" w:rsidRPr="0019116E" w:rsidRDefault="0048435A" w:rsidP="0048435A"/>
    <w:p w:rsidR="00FB561F" w:rsidRDefault="00FB561F">
      <w:pPr>
        <w:rPr>
          <w:sz w:val="20"/>
        </w:rPr>
      </w:pPr>
    </w:p>
    <w:sectPr w:rsidR="00FB561F">
      <w:pgSz w:w="23820" w:h="16840" w:orient="landscape"/>
      <w:pgMar w:top="1820" w:right="1275" w:bottom="880" w:left="1275" w:header="1287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90F" w:rsidRDefault="00C4490F">
      <w:r>
        <w:separator/>
      </w:r>
    </w:p>
  </w:endnote>
  <w:endnote w:type="continuationSeparator" w:id="0">
    <w:p w:rsidR="00C4490F" w:rsidRDefault="00C4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90F" w:rsidRDefault="00C4490F">
      <w:r>
        <w:separator/>
      </w:r>
    </w:p>
  </w:footnote>
  <w:footnote w:type="continuationSeparator" w:id="0">
    <w:p w:rsidR="00C4490F" w:rsidRDefault="00C4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61F"/>
    <w:rsid w:val="0028076C"/>
    <w:rsid w:val="0048435A"/>
    <w:rsid w:val="00A44AB4"/>
    <w:rsid w:val="00C4490F"/>
    <w:rsid w:val="00C505DF"/>
    <w:rsid w:val="00D40672"/>
    <w:rsid w:val="00F251FB"/>
    <w:rsid w:val="00FB561F"/>
    <w:rsid w:val="00F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732A"/>
  <w15:docId w15:val="{6BC7ECAF-B43B-4F74-8543-1717716A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5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D406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67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C2D0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bcrr.com/index.php/IJBC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2025-09-26T08:56:00Z</dcterms:created>
  <dcterms:modified xsi:type="dcterms:W3CDTF">2025-09-27T07:23:00Z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