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A576C" w14:textId="77777777" w:rsidR="004352C0" w:rsidRPr="004352C0" w:rsidRDefault="004352C0" w:rsidP="004352C0">
      <w:pPr>
        <w:pStyle w:val="Title"/>
        <w:jc w:val="both"/>
        <w:rPr>
          <w:rFonts w:ascii="Arial" w:hAnsi="Arial" w:cs="Arial"/>
          <w:bCs/>
          <w:i/>
          <w:iCs/>
          <w:u w:val="single"/>
        </w:rPr>
      </w:pPr>
      <w:r w:rsidRPr="004352C0">
        <w:rPr>
          <w:rFonts w:ascii="Arial" w:hAnsi="Arial" w:cs="Arial"/>
          <w:bCs/>
          <w:i/>
          <w:iCs/>
          <w:u w:val="single"/>
        </w:rPr>
        <w:t>Original Research Article</w:t>
      </w:r>
    </w:p>
    <w:p w14:paraId="74FB4626" w14:textId="77777777" w:rsidR="00754C9A" w:rsidRDefault="00754C9A" w:rsidP="00441B6F">
      <w:pPr>
        <w:pStyle w:val="Title"/>
        <w:spacing w:after="0"/>
        <w:jc w:val="both"/>
        <w:rPr>
          <w:rFonts w:ascii="Arial" w:hAnsi="Arial" w:cs="Arial"/>
        </w:rPr>
      </w:pPr>
    </w:p>
    <w:p w14:paraId="66BF0555" w14:textId="4020F1DF" w:rsidR="00163BC4" w:rsidRPr="00163BC4" w:rsidRDefault="00BF6410" w:rsidP="00441B6F">
      <w:pPr>
        <w:pStyle w:val="Author"/>
        <w:spacing w:line="240" w:lineRule="auto"/>
        <w:rPr>
          <w:rFonts w:ascii="Arial" w:hAnsi="Arial" w:cs="Arial"/>
          <w:bCs/>
          <w:iCs/>
          <w:kern w:val="28"/>
          <w:sz w:val="36"/>
        </w:rPr>
      </w:pPr>
      <w:r w:rsidRPr="00BF6410">
        <w:rPr>
          <w:rFonts w:ascii="Arial" w:hAnsi="Arial" w:cs="Arial"/>
          <w:bCs/>
          <w:iCs/>
          <w:kern w:val="28"/>
          <w:sz w:val="36"/>
        </w:rPr>
        <w:t>Can Lemongrass essential oil (</w:t>
      </w:r>
      <w:r w:rsidRPr="00BF6410">
        <w:rPr>
          <w:rFonts w:ascii="Arial" w:hAnsi="Arial" w:cs="Arial"/>
          <w:bCs/>
          <w:i/>
          <w:kern w:val="28"/>
          <w:sz w:val="36"/>
        </w:rPr>
        <w:t xml:space="preserve">Cymbopogon </w:t>
      </w:r>
      <w:proofErr w:type="spellStart"/>
      <w:r w:rsidRPr="00BF6410">
        <w:rPr>
          <w:rFonts w:ascii="Arial" w:hAnsi="Arial" w:cs="Arial"/>
          <w:bCs/>
          <w:i/>
          <w:kern w:val="28"/>
          <w:sz w:val="36"/>
        </w:rPr>
        <w:t>citratus</w:t>
      </w:r>
      <w:proofErr w:type="spellEnd"/>
      <w:r w:rsidRPr="00BF6410">
        <w:rPr>
          <w:rFonts w:ascii="Arial" w:hAnsi="Arial" w:cs="Arial"/>
          <w:bCs/>
          <w:iCs/>
          <w:kern w:val="28"/>
          <w:sz w:val="36"/>
        </w:rPr>
        <w:t>) improve on the social interactions of weaned piglets?</w:t>
      </w:r>
      <w:r w:rsidR="00231920">
        <w:rPr>
          <w:rFonts w:ascii="Arial" w:hAnsi="Arial" w:cs="Arial"/>
          <w:bCs/>
          <w:iCs/>
          <w:kern w:val="28"/>
          <w:sz w:val="36"/>
        </w:rPr>
        <w:t xml:space="preserve"> </w:t>
      </w:r>
    </w:p>
    <w:p w14:paraId="493C6C83" w14:textId="77777777" w:rsidR="00A258C3" w:rsidRPr="00790ADA" w:rsidRDefault="00A258C3" w:rsidP="00441B6F">
      <w:pPr>
        <w:pStyle w:val="Author"/>
        <w:spacing w:line="240" w:lineRule="auto"/>
        <w:jc w:val="both"/>
        <w:rPr>
          <w:rFonts w:ascii="Arial" w:hAnsi="Arial" w:cs="Arial"/>
          <w:sz w:val="36"/>
        </w:rPr>
      </w:pPr>
    </w:p>
    <w:p w14:paraId="17D77253" w14:textId="77777777" w:rsidR="002C57D2" w:rsidRPr="00841143" w:rsidRDefault="002C57D2" w:rsidP="00441B6F">
      <w:pPr>
        <w:pStyle w:val="Affiliation"/>
        <w:spacing w:after="0" w:line="240" w:lineRule="auto"/>
        <w:jc w:val="both"/>
        <w:rPr>
          <w:rFonts w:ascii="Arial" w:hAnsi="Arial" w:cs="Arial"/>
          <w:lang w:val="pt-BR"/>
        </w:rPr>
      </w:pPr>
    </w:p>
    <w:p w14:paraId="7C602317" w14:textId="77777777" w:rsidR="00B01FCD" w:rsidRPr="00FB3A86" w:rsidRDefault="00000000" w:rsidP="00441B6F">
      <w:pPr>
        <w:pStyle w:val="Copyright"/>
        <w:spacing w:after="0" w:line="240" w:lineRule="auto"/>
        <w:jc w:val="both"/>
        <w:rPr>
          <w:rFonts w:ascii="Arial" w:hAnsi="Arial" w:cs="Arial"/>
        </w:rPr>
        <w:sectPr w:rsidR="00B01FCD" w:rsidRPr="00FB3A86" w:rsidSect="009675A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2F3088">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2226E641" w14:textId="16CAE08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5C02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A2179E" w14:textId="77777777" w:rsidTr="001E44FE">
        <w:tc>
          <w:tcPr>
            <w:tcW w:w="9576" w:type="dxa"/>
            <w:shd w:val="clear" w:color="auto" w:fill="F2F2F2"/>
          </w:tcPr>
          <w:p w14:paraId="294D7F78" w14:textId="77777777" w:rsidR="00A03B96" w:rsidRDefault="00A03B96" w:rsidP="00441B6F">
            <w:pPr>
              <w:pStyle w:val="Body"/>
              <w:spacing w:after="0"/>
              <w:rPr>
                <w:rFonts w:ascii="Arial" w:eastAsia="Calibri" w:hAnsi="Arial" w:cs="Arial"/>
                <w:szCs w:val="22"/>
              </w:rPr>
            </w:pPr>
          </w:p>
          <w:p w14:paraId="7A122936" w14:textId="6D35B3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27E6E" w:rsidRPr="00227E6E">
              <w:rPr>
                <w:rFonts w:ascii="Arial" w:eastAsia="Calibri" w:hAnsi="Arial" w:cs="Arial"/>
                <w:szCs w:val="22"/>
              </w:rPr>
              <w:t xml:space="preserve">This study investigated a sustainable and innovative alternative to improve animal welfare in swine production through the topical application of </w:t>
            </w:r>
            <w:r w:rsidR="00227E6E" w:rsidRPr="00227E6E">
              <w:rPr>
                <w:rFonts w:ascii="Arial" w:eastAsia="Calibri" w:hAnsi="Arial" w:cs="Arial"/>
                <w:i/>
                <w:iCs/>
                <w:szCs w:val="22"/>
              </w:rPr>
              <w:t xml:space="preserve">Cymbopogon </w:t>
            </w:r>
            <w:proofErr w:type="spellStart"/>
            <w:r w:rsidR="00227E6E" w:rsidRPr="00227E6E">
              <w:rPr>
                <w:rFonts w:ascii="Arial" w:eastAsia="Calibri" w:hAnsi="Arial" w:cs="Arial"/>
                <w:i/>
                <w:iCs/>
                <w:szCs w:val="22"/>
              </w:rPr>
              <w:t>citratus</w:t>
            </w:r>
            <w:proofErr w:type="spellEnd"/>
            <w:r w:rsidR="00227E6E" w:rsidRPr="00227E6E">
              <w:rPr>
                <w:rFonts w:ascii="Arial" w:eastAsia="Calibri" w:hAnsi="Arial" w:cs="Arial"/>
                <w:szCs w:val="22"/>
              </w:rPr>
              <w:t xml:space="preserve"> essential oil (CCEO) in newly weaned piglets.</w:t>
            </w:r>
          </w:p>
          <w:p w14:paraId="25C3F973" w14:textId="75E504C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236AF">
              <w:rPr>
                <w:rFonts w:ascii="Arial" w:eastAsia="Calibri" w:hAnsi="Arial" w:cs="Arial"/>
                <w:szCs w:val="22"/>
              </w:rPr>
              <w:t>C</w:t>
            </w:r>
            <w:r w:rsidR="00E236AF" w:rsidRPr="005F6E11">
              <w:rPr>
                <w:rFonts w:ascii="Arial" w:eastAsia="Calibri" w:hAnsi="Arial" w:cs="Arial"/>
                <w:szCs w:val="22"/>
              </w:rPr>
              <w:t>ompletely randomized design</w:t>
            </w:r>
            <w:r w:rsidRPr="00BA1B01">
              <w:rPr>
                <w:rFonts w:ascii="Arial" w:eastAsia="Calibri" w:hAnsi="Arial" w:cs="Arial"/>
                <w:szCs w:val="22"/>
              </w:rPr>
              <w:t>.</w:t>
            </w:r>
          </w:p>
          <w:p w14:paraId="6A457BEE" w14:textId="270850D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236AF" w:rsidRPr="005F6E11">
              <w:rPr>
                <w:rFonts w:ascii="Arial" w:eastAsia="Calibri" w:hAnsi="Arial" w:cs="Arial"/>
                <w:szCs w:val="22"/>
              </w:rPr>
              <w:t xml:space="preserve">The experiment was conducted at the Swine Teaching and Learning Unit of the Federal Institute of Education, Science and Technology of Santa Catarina (IFC), </w:t>
            </w:r>
            <w:proofErr w:type="spellStart"/>
            <w:r w:rsidR="00E236AF" w:rsidRPr="005F6E11">
              <w:rPr>
                <w:rFonts w:ascii="Arial" w:eastAsia="Calibri" w:hAnsi="Arial" w:cs="Arial"/>
                <w:szCs w:val="22"/>
              </w:rPr>
              <w:t>Araquari</w:t>
            </w:r>
            <w:proofErr w:type="spellEnd"/>
            <w:r w:rsidR="00E236AF" w:rsidRPr="005F6E11">
              <w:rPr>
                <w:rFonts w:ascii="Arial" w:eastAsia="Calibri" w:hAnsi="Arial" w:cs="Arial"/>
                <w:szCs w:val="22"/>
              </w:rPr>
              <w:t xml:space="preserve"> Campus, Brazil, between February 2019 and April 2020</w:t>
            </w:r>
            <w:r w:rsidR="00E236AF">
              <w:rPr>
                <w:rFonts w:ascii="Arial" w:eastAsia="Calibri" w:hAnsi="Arial" w:cs="Arial"/>
                <w:szCs w:val="22"/>
              </w:rPr>
              <w:t>.</w:t>
            </w:r>
          </w:p>
          <w:p w14:paraId="06B03A6C" w14:textId="567BD5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F6E11" w:rsidRPr="005F6E11">
              <w:rPr>
                <w:rFonts w:ascii="Arial" w:eastAsia="Calibri" w:hAnsi="Arial" w:cs="Arial"/>
                <w:szCs w:val="22"/>
              </w:rPr>
              <w:t>A total of 124 newly weaned piglets were randomly assigned to four groups: a control group and three treatments with CCEO applied at concentrations of 1.25%, 2.50%, and 5.00%. At each weaning, piglets received 1 mL of the solution on the dorsal region and were observed for 3 hours for behavioral recording through photos and videos, without observer interaction. Skin lesions were mapped 24 h after weaning and classified by anatomical region. The study was structured in three stages: (I) an initial observational survey of the behavioral repertoire, (II) development of an ethogram with zootechnical parameters, and (III) validation of the ethogram with detailed behavioral analysis. Zootechnical performance (body weight, average daily gain, and mortality rate) was assessed in stages II and III.</w:t>
            </w:r>
          </w:p>
          <w:p w14:paraId="31BDF65C" w14:textId="55F21E7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D4923" w:rsidRPr="002D4923">
              <w:rPr>
                <w:rFonts w:ascii="Arial" w:eastAsia="Calibri" w:hAnsi="Arial" w:cs="Arial"/>
                <w:szCs w:val="22"/>
              </w:rPr>
              <w:t xml:space="preserve">Chemical analysis showed that CCEO was predominantly composed of citral (geranial + </w:t>
            </w:r>
            <w:proofErr w:type="spellStart"/>
            <w:r w:rsidR="002D4923" w:rsidRPr="002D4923">
              <w:rPr>
                <w:rFonts w:ascii="Arial" w:eastAsia="Calibri" w:hAnsi="Arial" w:cs="Arial"/>
                <w:szCs w:val="22"/>
              </w:rPr>
              <w:t>neral</w:t>
            </w:r>
            <w:proofErr w:type="spellEnd"/>
            <w:r w:rsidR="002D4923" w:rsidRPr="002D4923">
              <w:rPr>
                <w:rFonts w:ascii="Arial" w:eastAsia="Calibri" w:hAnsi="Arial" w:cs="Arial"/>
                <w:szCs w:val="22"/>
              </w:rPr>
              <w:t xml:space="preserve">, 87.53%) and </w:t>
            </w:r>
            <w:r w:rsidR="002D4923" w:rsidRPr="002D4923">
              <w:rPr>
                <w:rFonts w:ascii="Arial" w:eastAsia="Calibri" w:hAnsi="Arial" w:cs="Arial" w:hint="eastAsia"/>
                <w:szCs w:val="22"/>
              </w:rPr>
              <w:t>β</w:t>
            </w:r>
            <w:r w:rsidR="002D4923" w:rsidRPr="002D4923">
              <w:rPr>
                <w:rFonts w:ascii="Arial" w:eastAsia="Calibri" w:hAnsi="Arial" w:cs="Arial"/>
                <w:szCs w:val="22"/>
              </w:rPr>
              <w:t>-myrcene (7.78%). Topical application significantly influenced the frequency of some social and exploratory behaviors (P &lt; 0.05), although no effect was observed on aggressions or inactivity. While lesion numbers did not differ statistically among treatments (P &gt; 0.05), all CCEO-treated groups showed numerically fewer lesions than the control, with ears being the most affected region. Zootechnical indexes were not significantly influenced by treatment (P &gt; 0.05), but piglets treated with 2.50% and 5.00% CCEO showed a trend toward improved performance</w:t>
            </w:r>
            <w:r w:rsidRPr="00BA1B01">
              <w:rPr>
                <w:rFonts w:ascii="Arial" w:eastAsia="Calibri" w:hAnsi="Arial" w:cs="Arial"/>
                <w:szCs w:val="22"/>
              </w:rPr>
              <w:t>.</w:t>
            </w:r>
          </w:p>
          <w:p w14:paraId="3D7B275E" w14:textId="37F78A9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00983" w:rsidRPr="00800983">
              <w:rPr>
                <w:rFonts w:ascii="Arial" w:eastAsia="Calibri" w:hAnsi="Arial" w:cs="Arial"/>
                <w:szCs w:val="22"/>
              </w:rPr>
              <w:t xml:space="preserve">However, topical application of </w:t>
            </w:r>
            <w:r w:rsidR="00800983" w:rsidRPr="00800983">
              <w:rPr>
                <w:rFonts w:ascii="Arial" w:eastAsia="Calibri" w:hAnsi="Arial" w:cs="Arial"/>
                <w:i/>
                <w:iCs/>
                <w:szCs w:val="22"/>
              </w:rPr>
              <w:t xml:space="preserve">Cymbopogon </w:t>
            </w:r>
            <w:proofErr w:type="spellStart"/>
            <w:r w:rsidR="00800983" w:rsidRPr="00800983">
              <w:rPr>
                <w:rFonts w:ascii="Arial" w:eastAsia="Calibri" w:hAnsi="Arial" w:cs="Arial"/>
                <w:i/>
                <w:iCs/>
                <w:szCs w:val="22"/>
              </w:rPr>
              <w:t>citratus</w:t>
            </w:r>
            <w:proofErr w:type="spellEnd"/>
            <w:r w:rsidR="00800983" w:rsidRPr="00800983">
              <w:rPr>
                <w:rFonts w:ascii="Arial" w:eastAsia="Calibri" w:hAnsi="Arial" w:cs="Arial"/>
                <w:szCs w:val="22"/>
              </w:rPr>
              <w:t xml:space="preserve"> essential oil, particularly at 2.5% and 5.0%, favored positive social interactions and contributed to piglet welfare without impairing productive performance, while also reducing the severity of agonistic behaviors and lesions</w:t>
            </w:r>
            <w:r w:rsidRPr="00BA1B01">
              <w:rPr>
                <w:rFonts w:ascii="Arial" w:eastAsia="Calibri" w:hAnsi="Arial" w:cs="Arial"/>
                <w:szCs w:val="22"/>
              </w:rPr>
              <w:t>.</w:t>
            </w:r>
          </w:p>
        </w:tc>
      </w:tr>
    </w:tbl>
    <w:p w14:paraId="3D70D367" w14:textId="77777777" w:rsidR="00636EB2" w:rsidRDefault="00636EB2" w:rsidP="00441B6F">
      <w:pPr>
        <w:pStyle w:val="Body"/>
        <w:spacing w:after="0"/>
        <w:rPr>
          <w:rFonts w:ascii="Arial" w:hAnsi="Arial" w:cs="Arial"/>
          <w:i/>
        </w:rPr>
      </w:pPr>
    </w:p>
    <w:p w14:paraId="574F1D1F" w14:textId="58AFE012" w:rsidR="0024282C" w:rsidRPr="00B120FC" w:rsidRDefault="00A24E7E" w:rsidP="00441B6F">
      <w:pPr>
        <w:pStyle w:val="Body"/>
        <w:spacing w:after="0"/>
        <w:rPr>
          <w:rFonts w:ascii="Arial" w:hAnsi="Arial" w:cs="Arial"/>
          <w:i/>
        </w:rPr>
      </w:pPr>
      <w:r>
        <w:rPr>
          <w:rFonts w:ascii="Arial" w:hAnsi="Arial" w:cs="Arial"/>
          <w:i/>
        </w:rPr>
        <w:t xml:space="preserve">Keywords: </w:t>
      </w:r>
      <w:r w:rsidR="00713AF7" w:rsidRPr="00713AF7">
        <w:rPr>
          <w:rFonts w:ascii="Arial" w:hAnsi="Arial" w:cs="Arial"/>
          <w:i/>
        </w:rPr>
        <w:t>Agonistic interactions, animal welfare, stress, weaned piglets, zootechnical performance</w:t>
      </w:r>
    </w:p>
    <w:p w14:paraId="111D0CD3" w14:textId="77777777" w:rsidR="00505F06" w:rsidRPr="00A24E7E" w:rsidRDefault="00505F06" w:rsidP="00441B6F">
      <w:pPr>
        <w:pStyle w:val="Body"/>
        <w:spacing w:after="0"/>
        <w:rPr>
          <w:rFonts w:ascii="Arial" w:hAnsi="Arial" w:cs="Arial"/>
          <w:i/>
        </w:rPr>
      </w:pPr>
    </w:p>
    <w:p w14:paraId="2281B6F9" w14:textId="31E2E34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5552A66" w14:textId="77777777" w:rsidR="00790ADA" w:rsidRPr="00FB3A86" w:rsidRDefault="00790ADA" w:rsidP="00441B6F">
      <w:pPr>
        <w:pStyle w:val="AbstHead"/>
        <w:spacing w:after="0"/>
        <w:jc w:val="both"/>
        <w:rPr>
          <w:rFonts w:ascii="Arial" w:hAnsi="Arial" w:cs="Arial"/>
        </w:rPr>
      </w:pPr>
    </w:p>
    <w:p w14:paraId="4E7091DE" w14:textId="77777777" w:rsidR="009531BA" w:rsidRDefault="009531BA" w:rsidP="002A01E9">
      <w:pPr>
        <w:pStyle w:val="Body"/>
        <w:spacing w:after="0"/>
        <w:rPr>
          <w:rFonts w:ascii="Arial" w:hAnsi="Arial" w:cs="Arial"/>
        </w:rPr>
      </w:pPr>
      <w:r w:rsidRPr="009531BA">
        <w:rPr>
          <w:rFonts w:ascii="Arial" w:hAnsi="Arial" w:cs="Arial"/>
        </w:rPr>
        <w:t>In Brazil, swine farming plays a significant role in the national economy (ABPA, 2025). The country ranks fourth worldwide in both pork production and exports (USDA, 2025), with steadily increasing indices. In 2024, Brazilian production reached 5.305 million tons (ABPA, 2025). This strong performance reflects the rise in domestic pork consumption, which increased from 14.7 kg per capita in 2014 to 18.6 kg in 2024, with approximately 75% of production destined for the domestic market (ABPA, 2025).</w:t>
      </w:r>
    </w:p>
    <w:p w14:paraId="69DE1424" w14:textId="77777777" w:rsidR="002A01E9" w:rsidRPr="009531BA" w:rsidRDefault="002A01E9" w:rsidP="002A01E9">
      <w:pPr>
        <w:pStyle w:val="Body"/>
        <w:spacing w:after="0"/>
        <w:rPr>
          <w:rFonts w:ascii="Arial" w:hAnsi="Arial" w:cs="Arial"/>
        </w:rPr>
      </w:pPr>
    </w:p>
    <w:p w14:paraId="4F98CF75" w14:textId="77777777" w:rsidR="009531BA" w:rsidRDefault="009531BA" w:rsidP="002A01E9">
      <w:pPr>
        <w:pStyle w:val="Body"/>
        <w:spacing w:after="0"/>
        <w:rPr>
          <w:rFonts w:ascii="Arial" w:hAnsi="Arial" w:cs="Arial"/>
        </w:rPr>
      </w:pPr>
      <w:r w:rsidRPr="009531BA">
        <w:rPr>
          <w:rFonts w:ascii="Arial" w:hAnsi="Arial" w:cs="Arial"/>
        </w:rPr>
        <w:t>Parallel to production growth, there has been a shift in public perception, with greater concern about food production practices, driving debates in the field of animal welfare (OIE, 2017). Consumers are now interested not only in animal welfare, but also in ethical aspects and their sociological, economic, and environmental implications (Cornish et al., 2019). This change in attitude has been accompanied by increased demand for information and regulations regarding production systems, as well as a growing willingness to pay more for products from systems certified for animal welfare (Miranda-de la Lama et al., 2017). In this context, the food industry has exerted additional pressure and placed greater value on products from companies adopting practices aligned with these principles (Amos &amp; Sullivan, 2017).</w:t>
      </w:r>
    </w:p>
    <w:p w14:paraId="4416B75C" w14:textId="77777777" w:rsidR="002A01E9" w:rsidRPr="009531BA" w:rsidRDefault="002A01E9" w:rsidP="002A01E9">
      <w:pPr>
        <w:pStyle w:val="Body"/>
        <w:spacing w:after="0"/>
        <w:rPr>
          <w:rFonts w:ascii="Arial" w:hAnsi="Arial" w:cs="Arial"/>
        </w:rPr>
      </w:pPr>
    </w:p>
    <w:p w14:paraId="345BA53B" w14:textId="77777777" w:rsidR="009531BA" w:rsidRDefault="009531BA" w:rsidP="002A01E9">
      <w:pPr>
        <w:pStyle w:val="Body"/>
        <w:spacing w:after="0"/>
        <w:rPr>
          <w:rFonts w:ascii="Arial" w:hAnsi="Arial" w:cs="Arial"/>
        </w:rPr>
      </w:pPr>
      <w:r w:rsidRPr="009531BA">
        <w:rPr>
          <w:rFonts w:ascii="Arial" w:hAnsi="Arial" w:cs="Arial"/>
        </w:rPr>
        <w:t>Considering that the scientific community recognizes pigs as sentient beings and that many current production systems do not fully meet the five freedoms (sanitary, behavioral, nutritional, environmental, and psychological), it becomes essential to develop research aimed at improving animal welfare. Such studies are crucial, as they have direct impacts on biological functioning and, consequently, on animal health and productivity (Broom, 1988, 1991</w:t>
      </w:r>
      <w:proofErr w:type="gramStart"/>
      <w:r w:rsidRPr="009531BA">
        <w:rPr>
          <w:rFonts w:ascii="Arial" w:hAnsi="Arial" w:cs="Arial"/>
        </w:rPr>
        <w:t>a,b</w:t>
      </w:r>
      <w:proofErr w:type="gramEnd"/>
      <w:r w:rsidRPr="009531BA">
        <w:rPr>
          <w:rFonts w:ascii="Arial" w:hAnsi="Arial" w:cs="Arial"/>
        </w:rPr>
        <w:t>, 1998).</w:t>
      </w:r>
    </w:p>
    <w:p w14:paraId="78BA82A4" w14:textId="77777777" w:rsidR="002A01E9" w:rsidRPr="009531BA" w:rsidRDefault="002A01E9" w:rsidP="002A01E9">
      <w:pPr>
        <w:pStyle w:val="Body"/>
        <w:spacing w:after="0"/>
        <w:rPr>
          <w:rFonts w:ascii="Arial" w:hAnsi="Arial" w:cs="Arial"/>
        </w:rPr>
      </w:pPr>
    </w:p>
    <w:p w14:paraId="3ADE8739" w14:textId="77777777" w:rsidR="009531BA" w:rsidRDefault="009531BA" w:rsidP="002A01E9">
      <w:pPr>
        <w:pStyle w:val="Body"/>
        <w:spacing w:after="0"/>
        <w:rPr>
          <w:rFonts w:ascii="Arial" w:hAnsi="Arial" w:cs="Arial"/>
        </w:rPr>
      </w:pPr>
      <w:r w:rsidRPr="009531BA">
        <w:rPr>
          <w:rFonts w:ascii="Arial" w:hAnsi="Arial" w:cs="Arial"/>
        </w:rPr>
        <w:t>In this sense, it is worth noting that, weaning represents a critical stage in piglets</w:t>
      </w:r>
      <w:r w:rsidRPr="009531BA">
        <w:rPr>
          <w:rFonts w:ascii="Arial" w:hAnsi="Arial" w:cs="Arial" w:hint="eastAsia"/>
        </w:rPr>
        <w:t>’</w:t>
      </w:r>
      <w:r w:rsidRPr="009531BA">
        <w:rPr>
          <w:rFonts w:ascii="Arial" w:hAnsi="Arial" w:cs="Arial"/>
        </w:rPr>
        <w:t xml:space="preserve"> lives, mainly due to the early age at which it occurs, generally at 21 days. This period coincides with the transition from passive to active immunity, characterized by a state of relative immunosuppression that increases susceptibility to infections (</w:t>
      </w:r>
      <w:proofErr w:type="spellStart"/>
      <w:r w:rsidRPr="009531BA">
        <w:rPr>
          <w:rFonts w:ascii="Arial" w:hAnsi="Arial" w:cs="Arial"/>
        </w:rPr>
        <w:t>Mor</w:t>
      </w:r>
      <w:r w:rsidRPr="009531BA">
        <w:rPr>
          <w:rFonts w:ascii="Arial" w:hAnsi="Arial" w:cs="Arial" w:hint="eastAsia"/>
        </w:rPr>
        <w:t>é</w:t>
      </w:r>
      <w:r w:rsidRPr="009531BA">
        <w:rPr>
          <w:rFonts w:ascii="Arial" w:hAnsi="Arial" w:cs="Arial"/>
        </w:rPr>
        <w:t>s</w:t>
      </w:r>
      <w:proofErr w:type="spellEnd"/>
      <w:r w:rsidRPr="009531BA">
        <w:rPr>
          <w:rFonts w:ascii="Arial" w:hAnsi="Arial" w:cs="Arial"/>
        </w:rPr>
        <w:t xml:space="preserve"> &amp; Amaral, 2001). Furthermore, weaning marks the beginning of a new phase, in which piglets live without maternal presence and share space and resources (such as feed and water), often with individuals from different litters. This practice, combined with group mixing, is associated with higher stress levels, injuries, inflammatory processes, immunosuppression, and reduced productive performance (Ji et al., 2021).</w:t>
      </w:r>
    </w:p>
    <w:p w14:paraId="7717AA73" w14:textId="77777777" w:rsidR="002A01E9" w:rsidRPr="009531BA" w:rsidRDefault="002A01E9" w:rsidP="002A01E9">
      <w:pPr>
        <w:pStyle w:val="Body"/>
        <w:spacing w:after="0"/>
        <w:rPr>
          <w:rFonts w:ascii="Arial" w:hAnsi="Arial" w:cs="Arial"/>
        </w:rPr>
      </w:pPr>
    </w:p>
    <w:p w14:paraId="05F677CB" w14:textId="77777777" w:rsidR="009531BA" w:rsidRDefault="009531BA" w:rsidP="002A01E9">
      <w:pPr>
        <w:pStyle w:val="Body"/>
        <w:spacing w:after="0"/>
        <w:rPr>
          <w:rFonts w:ascii="Arial" w:hAnsi="Arial" w:cs="Arial"/>
        </w:rPr>
      </w:pPr>
      <w:r w:rsidRPr="009531BA">
        <w:rPr>
          <w:rFonts w:ascii="Arial" w:hAnsi="Arial" w:cs="Arial"/>
        </w:rPr>
        <w:t>Pigs are highly gregarious animals (Ji et al., 2021) and exhibit a strong social dominance structure. When regrouped, the social hierarchy is disrupted, triggering aggression until a new hierarchy is established, which negatively impacts welfare (Peden et al., 2018). Moreover, the greater the heterogeneity of the group, the more intense the agonistic interactions required to reorganize this hierarchy (Andersen et al., 2000).</w:t>
      </w:r>
    </w:p>
    <w:p w14:paraId="1C1D47AD" w14:textId="77777777" w:rsidR="002A01E9" w:rsidRPr="009531BA" w:rsidRDefault="002A01E9" w:rsidP="002A01E9">
      <w:pPr>
        <w:pStyle w:val="Body"/>
        <w:spacing w:after="0"/>
        <w:rPr>
          <w:rFonts w:ascii="Arial" w:hAnsi="Arial" w:cs="Arial"/>
        </w:rPr>
      </w:pPr>
    </w:p>
    <w:p w14:paraId="5B5E514E" w14:textId="77777777" w:rsidR="009531BA" w:rsidRDefault="009531BA" w:rsidP="002A01E9">
      <w:pPr>
        <w:pStyle w:val="Body"/>
        <w:spacing w:after="0"/>
        <w:rPr>
          <w:rFonts w:ascii="Arial" w:hAnsi="Arial" w:cs="Arial"/>
        </w:rPr>
      </w:pPr>
      <w:r w:rsidRPr="009531BA">
        <w:rPr>
          <w:rFonts w:ascii="Arial" w:hAnsi="Arial" w:cs="Arial"/>
        </w:rPr>
        <w:t>Research has sought to develop methods and strategies capable of minimizing stress and improving welfare in animal production, considering that small changes can yield significant impacts (Morgan et al., 2014; Poletto et al., 2014; Peden et al., 2018; Ji et al., 2021; Chaaban et al., 2022). In this context, the use of medicinal plants with calming properties emerges as a sustainable alternative to mitigate agonistic behaviors. Among these possibilities, essential oils (EOs)</w:t>
      </w:r>
      <w:r w:rsidRPr="009531BA">
        <w:rPr>
          <w:rFonts w:ascii="Arial" w:hAnsi="Arial" w:cs="Arial" w:hint="eastAsia"/>
        </w:rPr>
        <w:t>—</w:t>
      </w:r>
      <w:r w:rsidRPr="009531BA">
        <w:rPr>
          <w:rFonts w:ascii="Arial" w:hAnsi="Arial" w:cs="Arial"/>
        </w:rPr>
        <w:t>secondary metabolites of aromatic plants (Blanco et al., 2009)</w:t>
      </w:r>
      <w:r w:rsidRPr="009531BA">
        <w:rPr>
          <w:rFonts w:ascii="Arial" w:hAnsi="Arial" w:cs="Arial" w:hint="eastAsia"/>
        </w:rPr>
        <w:t>—</w:t>
      </w:r>
      <w:r w:rsidRPr="009531BA">
        <w:rPr>
          <w:rFonts w:ascii="Arial" w:hAnsi="Arial" w:cs="Arial"/>
        </w:rPr>
        <w:t>stand out for their diverse therapeutic properties. In addition to their potential to improve animal welfare, the use of EOs in swine production can represent significant cost reductions, up to six times lower per piglet compared to conventional programs (Suzuki et al., 2008).</w:t>
      </w:r>
    </w:p>
    <w:p w14:paraId="680B3DD6" w14:textId="77777777" w:rsidR="002A01E9" w:rsidRPr="009531BA" w:rsidRDefault="002A01E9" w:rsidP="002A01E9">
      <w:pPr>
        <w:pStyle w:val="Body"/>
        <w:spacing w:after="0"/>
        <w:rPr>
          <w:rFonts w:ascii="Arial" w:hAnsi="Arial" w:cs="Arial"/>
        </w:rPr>
      </w:pPr>
    </w:p>
    <w:p w14:paraId="4C61FDC5" w14:textId="77777777" w:rsidR="009531BA" w:rsidRDefault="009531BA" w:rsidP="002A01E9">
      <w:pPr>
        <w:pStyle w:val="Body"/>
        <w:spacing w:after="0"/>
        <w:rPr>
          <w:rFonts w:ascii="Arial" w:hAnsi="Arial" w:cs="Arial"/>
        </w:rPr>
      </w:pPr>
      <w:r w:rsidRPr="009531BA">
        <w:rPr>
          <w:rFonts w:ascii="Arial" w:hAnsi="Arial" w:cs="Arial"/>
        </w:rPr>
        <w:t xml:space="preserve">The botanical species </w:t>
      </w:r>
      <w:r w:rsidRPr="009531BA">
        <w:rPr>
          <w:rFonts w:ascii="Arial" w:hAnsi="Arial" w:cs="Arial"/>
          <w:i/>
          <w:iCs/>
        </w:rPr>
        <w:t xml:space="preserve">Cymbopogon </w:t>
      </w:r>
      <w:proofErr w:type="spellStart"/>
      <w:r w:rsidRPr="009531BA">
        <w:rPr>
          <w:rFonts w:ascii="Arial" w:hAnsi="Arial" w:cs="Arial"/>
          <w:i/>
          <w:iCs/>
        </w:rPr>
        <w:t>citratus</w:t>
      </w:r>
      <w:proofErr w:type="spellEnd"/>
      <w:r w:rsidRPr="009531BA">
        <w:rPr>
          <w:rFonts w:ascii="Arial" w:hAnsi="Arial" w:cs="Arial"/>
        </w:rPr>
        <w:t xml:space="preserve"> (</w:t>
      </w:r>
      <w:r w:rsidRPr="009531BA">
        <w:rPr>
          <w:rFonts w:ascii="Arial" w:hAnsi="Arial" w:cs="Arial"/>
          <w:i/>
          <w:iCs/>
        </w:rPr>
        <w:t xml:space="preserve">C. </w:t>
      </w:r>
      <w:proofErr w:type="spellStart"/>
      <w:r w:rsidRPr="009531BA">
        <w:rPr>
          <w:rFonts w:ascii="Arial" w:hAnsi="Arial" w:cs="Arial"/>
          <w:i/>
          <w:iCs/>
        </w:rPr>
        <w:t>citratus</w:t>
      </w:r>
      <w:proofErr w:type="spellEnd"/>
      <w:r w:rsidRPr="009531BA">
        <w:rPr>
          <w:rFonts w:ascii="Arial" w:hAnsi="Arial" w:cs="Arial"/>
        </w:rPr>
        <w:t xml:space="preserve">), popularly known as lemongrass, is a perennial aromatic plant of the </w:t>
      </w:r>
      <w:proofErr w:type="spellStart"/>
      <w:r w:rsidRPr="009531BA">
        <w:rPr>
          <w:rFonts w:ascii="Arial" w:hAnsi="Arial" w:cs="Arial"/>
        </w:rPr>
        <w:t>Poaceae</w:t>
      </w:r>
      <w:proofErr w:type="spellEnd"/>
      <w:r w:rsidRPr="009531BA">
        <w:rPr>
          <w:rFonts w:ascii="Arial" w:hAnsi="Arial" w:cs="Arial"/>
        </w:rPr>
        <w:t xml:space="preserve"> family, characterized by thin, long green leaves (</w:t>
      </w:r>
      <w:proofErr w:type="spellStart"/>
      <w:r w:rsidRPr="009531BA">
        <w:rPr>
          <w:rFonts w:ascii="Arial" w:hAnsi="Arial" w:cs="Arial"/>
        </w:rPr>
        <w:t>Tarkang</w:t>
      </w:r>
      <w:proofErr w:type="spellEnd"/>
      <w:r w:rsidRPr="009531BA">
        <w:rPr>
          <w:rFonts w:ascii="Arial" w:hAnsi="Arial" w:cs="Arial"/>
        </w:rPr>
        <w:t xml:space="preserve"> et al., 2012). Widely used in herbal medicine, it presents various therapeutic applications, including antibacterial, antifungal, antiprotozoal, anticarcinogenic, anti-inflammatory, antioxidant, and especially sedative activities (Blanco et al., 2009). The essential oil of </w:t>
      </w:r>
      <w:r w:rsidRPr="004A346A">
        <w:rPr>
          <w:rFonts w:ascii="Arial" w:hAnsi="Arial" w:cs="Arial"/>
          <w:i/>
          <w:iCs/>
        </w:rPr>
        <w:t xml:space="preserve">C. </w:t>
      </w:r>
      <w:proofErr w:type="spellStart"/>
      <w:r w:rsidRPr="004A346A">
        <w:rPr>
          <w:rFonts w:ascii="Arial" w:hAnsi="Arial" w:cs="Arial"/>
          <w:i/>
          <w:iCs/>
        </w:rPr>
        <w:t>citratus</w:t>
      </w:r>
      <w:proofErr w:type="spellEnd"/>
      <w:r w:rsidRPr="009531BA">
        <w:rPr>
          <w:rFonts w:ascii="Arial" w:hAnsi="Arial" w:cs="Arial"/>
        </w:rPr>
        <w:t xml:space="preserve"> (CCEO) is rich in bioactive substances such as saponins, tannins, anthraquinones, flavonoids, phenols, alkaloids, alcohols, esters, and terpenes, the latter representing about 96% of its composition. Among them, geranial, </w:t>
      </w:r>
      <w:r w:rsidRPr="009531BA">
        <w:rPr>
          <w:rFonts w:ascii="Arial" w:hAnsi="Arial" w:cs="Arial" w:hint="eastAsia"/>
        </w:rPr>
        <w:t>β</w:t>
      </w:r>
      <w:r w:rsidRPr="009531BA">
        <w:rPr>
          <w:rFonts w:ascii="Arial" w:hAnsi="Arial" w:cs="Arial"/>
        </w:rPr>
        <w:t xml:space="preserve">-myrcene, </w:t>
      </w:r>
      <w:proofErr w:type="spellStart"/>
      <w:r w:rsidRPr="009531BA">
        <w:rPr>
          <w:rFonts w:ascii="Arial" w:hAnsi="Arial" w:cs="Arial"/>
        </w:rPr>
        <w:t>neral</w:t>
      </w:r>
      <w:proofErr w:type="spellEnd"/>
      <w:r w:rsidRPr="009531BA">
        <w:rPr>
          <w:rFonts w:ascii="Arial" w:hAnsi="Arial" w:cs="Arial"/>
        </w:rPr>
        <w:t xml:space="preserve">, and citral (a mixture of geranial and </w:t>
      </w:r>
      <w:proofErr w:type="spellStart"/>
      <w:r w:rsidRPr="009531BA">
        <w:rPr>
          <w:rFonts w:ascii="Arial" w:hAnsi="Arial" w:cs="Arial"/>
        </w:rPr>
        <w:t>neral</w:t>
      </w:r>
      <w:proofErr w:type="spellEnd"/>
      <w:r w:rsidRPr="009531BA">
        <w:rPr>
          <w:rFonts w:ascii="Arial" w:hAnsi="Arial" w:cs="Arial"/>
        </w:rPr>
        <w:t>) stand out as compounds with relevant biological properties in animal therapeutics, due to their psychoactive and medicinal effects, including sedative and anxiolytic actions (</w:t>
      </w:r>
      <w:proofErr w:type="spellStart"/>
      <w:r w:rsidRPr="009531BA">
        <w:rPr>
          <w:rFonts w:ascii="Arial" w:hAnsi="Arial" w:cs="Arial"/>
        </w:rPr>
        <w:t>Negrelle</w:t>
      </w:r>
      <w:proofErr w:type="spellEnd"/>
      <w:r w:rsidRPr="009531BA">
        <w:rPr>
          <w:rFonts w:ascii="Arial" w:hAnsi="Arial" w:cs="Arial"/>
        </w:rPr>
        <w:t xml:space="preserve"> &amp; Gomes, 2007; Blanco et al., 2009; Akhila, 2009). Evidence suggests that this phytochemical diversity is responsible for the broad spectrum of biological and therapeutic activities of lemongrass (Ekpenyong et al., 2015).</w:t>
      </w:r>
    </w:p>
    <w:p w14:paraId="5231FE85" w14:textId="77777777" w:rsidR="00CA01DC" w:rsidRPr="009531BA" w:rsidRDefault="00CA01DC" w:rsidP="002A01E9">
      <w:pPr>
        <w:pStyle w:val="Body"/>
        <w:spacing w:after="0"/>
        <w:rPr>
          <w:rFonts w:ascii="Arial" w:hAnsi="Arial" w:cs="Arial"/>
        </w:rPr>
      </w:pPr>
    </w:p>
    <w:p w14:paraId="25DB3C84" w14:textId="66513FA3" w:rsidR="00790ADA" w:rsidRDefault="009531BA" w:rsidP="002A01E9">
      <w:pPr>
        <w:pStyle w:val="Body"/>
        <w:spacing w:after="0"/>
        <w:rPr>
          <w:rFonts w:ascii="Arial" w:hAnsi="Arial" w:cs="Arial"/>
        </w:rPr>
      </w:pPr>
      <w:r w:rsidRPr="009531BA">
        <w:rPr>
          <w:rFonts w:ascii="Arial" w:hAnsi="Arial" w:cs="Arial"/>
        </w:rPr>
        <w:t xml:space="preserve">Despite the numerous studies on the therapeutic effects of </w:t>
      </w:r>
      <w:r w:rsidRPr="009531BA">
        <w:rPr>
          <w:rFonts w:ascii="Arial" w:hAnsi="Arial" w:cs="Arial"/>
          <w:i/>
          <w:iCs/>
        </w:rPr>
        <w:t xml:space="preserve">C. </w:t>
      </w:r>
      <w:proofErr w:type="spellStart"/>
      <w:r w:rsidRPr="009531BA">
        <w:rPr>
          <w:rFonts w:ascii="Arial" w:hAnsi="Arial" w:cs="Arial"/>
          <w:i/>
          <w:iCs/>
        </w:rPr>
        <w:t>citratus</w:t>
      </w:r>
      <w:proofErr w:type="spellEnd"/>
      <w:r w:rsidRPr="009531BA">
        <w:rPr>
          <w:rFonts w:ascii="Arial" w:hAnsi="Arial" w:cs="Arial"/>
        </w:rPr>
        <w:t>, no research has evaluated the topical administration of its essential oil on social interactions in newly weaned piglets. In this context, the present study aimed to investigate a sustainable and innovative alternative to improve animal welfare in swine production through the topical application of lemongrass essential oil in newly weaned piglets.</w:t>
      </w:r>
    </w:p>
    <w:p w14:paraId="00AAACAE" w14:textId="77777777" w:rsidR="009531BA" w:rsidRPr="00FB3A86" w:rsidRDefault="009531BA" w:rsidP="002A01E9">
      <w:pPr>
        <w:pStyle w:val="Body"/>
        <w:spacing w:after="0"/>
        <w:rPr>
          <w:rFonts w:ascii="Arial" w:hAnsi="Arial" w:cs="Arial"/>
        </w:rPr>
      </w:pPr>
    </w:p>
    <w:p w14:paraId="66AD6BB1" w14:textId="0304266B" w:rsidR="007F7B32" w:rsidRDefault="00902823" w:rsidP="002A01E9">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6095A0A" w14:textId="77777777" w:rsidR="00790ADA" w:rsidRPr="00FB3A86" w:rsidRDefault="00790ADA" w:rsidP="002A01E9">
      <w:pPr>
        <w:pStyle w:val="AbstHead"/>
        <w:spacing w:after="0"/>
        <w:jc w:val="both"/>
        <w:rPr>
          <w:rFonts w:ascii="Arial" w:hAnsi="Arial" w:cs="Arial"/>
        </w:rPr>
      </w:pPr>
    </w:p>
    <w:p w14:paraId="08F2ADE1" w14:textId="2AD8A265" w:rsidR="00A6214C" w:rsidRDefault="00A6214C" w:rsidP="002A01E9">
      <w:pPr>
        <w:pStyle w:val="Body"/>
        <w:spacing w:after="0"/>
        <w:rPr>
          <w:rFonts w:ascii="Arial" w:hAnsi="Arial" w:cs="Arial"/>
          <w:b/>
          <w:bCs/>
          <w:sz w:val="22"/>
          <w:szCs w:val="22"/>
        </w:rPr>
      </w:pPr>
      <w:r>
        <w:rPr>
          <w:rFonts w:ascii="Arial" w:hAnsi="Arial" w:cs="Arial"/>
          <w:b/>
          <w:bCs/>
          <w:sz w:val="22"/>
          <w:szCs w:val="22"/>
        </w:rPr>
        <w:t>2.1</w:t>
      </w:r>
      <w:r w:rsidR="009C5ABA">
        <w:rPr>
          <w:rFonts w:ascii="Arial" w:hAnsi="Arial" w:cs="Arial"/>
          <w:b/>
          <w:bCs/>
          <w:sz w:val="22"/>
          <w:szCs w:val="22"/>
        </w:rPr>
        <w:t xml:space="preserve"> </w:t>
      </w:r>
      <w:r w:rsidR="002E45DC" w:rsidRPr="00A6214C">
        <w:rPr>
          <w:rFonts w:ascii="Arial" w:hAnsi="Arial" w:cs="Arial"/>
          <w:b/>
          <w:bCs/>
          <w:sz w:val="22"/>
          <w:szCs w:val="22"/>
        </w:rPr>
        <w:t>Location of the experimental stage</w:t>
      </w:r>
    </w:p>
    <w:p w14:paraId="76E6011D" w14:textId="77777777" w:rsidR="00CA01DC" w:rsidRPr="00A6214C" w:rsidRDefault="00CA01DC" w:rsidP="002A01E9">
      <w:pPr>
        <w:pStyle w:val="Body"/>
        <w:spacing w:after="0"/>
        <w:rPr>
          <w:rFonts w:ascii="Arial" w:hAnsi="Arial" w:cs="Arial"/>
          <w:b/>
          <w:bCs/>
          <w:sz w:val="22"/>
          <w:szCs w:val="22"/>
        </w:rPr>
      </w:pPr>
    </w:p>
    <w:p w14:paraId="2F57B0CA" w14:textId="0056471C" w:rsidR="002E45DC" w:rsidRPr="002E45DC" w:rsidRDefault="002E45DC" w:rsidP="002A01E9">
      <w:pPr>
        <w:pStyle w:val="Body"/>
        <w:spacing w:after="0"/>
        <w:rPr>
          <w:rFonts w:ascii="Arial" w:hAnsi="Arial" w:cs="Arial"/>
        </w:rPr>
      </w:pPr>
      <w:r w:rsidRPr="002E45DC">
        <w:rPr>
          <w:rFonts w:ascii="Arial" w:hAnsi="Arial" w:cs="Arial"/>
        </w:rPr>
        <w:t xml:space="preserve">The study was carried out at the Swine Teaching and Learning Unit (UEA) of the Federal Institute of Education, Science and Technology of Santa Catarina (IFC), </w:t>
      </w:r>
      <w:proofErr w:type="spellStart"/>
      <w:r w:rsidRPr="002E45DC">
        <w:rPr>
          <w:rFonts w:ascii="Arial" w:hAnsi="Arial" w:cs="Arial"/>
        </w:rPr>
        <w:t>Araquari</w:t>
      </w:r>
      <w:proofErr w:type="spellEnd"/>
      <w:r w:rsidRPr="002E45DC">
        <w:rPr>
          <w:rFonts w:ascii="Arial" w:hAnsi="Arial" w:cs="Arial"/>
        </w:rPr>
        <w:t xml:space="preserve"> Campus </w:t>
      </w:r>
      <w:r w:rsidRPr="002E45DC">
        <w:rPr>
          <w:rFonts w:ascii="Arial" w:hAnsi="Arial" w:cs="Arial" w:hint="eastAsia"/>
        </w:rPr>
        <w:t>–</w:t>
      </w:r>
      <w:r w:rsidRPr="002E45DC">
        <w:rPr>
          <w:rFonts w:ascii="Arial" w:hAnsi="Arial" w:cs="Arial"/>
        </w:rPr>
        <w:t xml:space="preserve"> Santa Catarina, Brazil. The herd was composed of 16 </w:t>
      </w:r>
      <w:proofErr w:type="spellStart"/>
      <w:r w:rsidRPr="002E45DC">
        <w:rPr>
          <w:rFonts w:ascii="Arial" w:hAnsi="Arial" w:cs="Arial"/>
        </w:rPr>
        <w:t>Topigs</w:t>
      </w:r>
      <w:proofErr w:type="spellEnd"/>
      <w:r w:rsidRPr="002E45DC">
        <w:rPr>
          <w:rFonts w:ascii="Arial" w:hAnsi="Arial" w:cs="Arial"/>
        </w:rPr>
        <w:t xml:space="preserve"> </w:t>
      </w:r>
      <w:proofErr w:type="spellStart"/>
      <w:r w:rsidRPr="002E45DC">
        <w:rPr>
          <w:rFonts w:ascii="Arial" w:hAnsi="Arial" w:cs="Arial"/>
        </w:rPr>
        <w:t>Norvins</w:t>
      </w:r>
      <w:proofErr w:type="spellEnd"/>
      <w:r w:rsidRPr="002E45DC">
        <w:rPr>
          <w:rFonts w:ascii="Arial" w:hAnsi="Arial" w:cs="Arial"/>
        </w:rPr>
        <w:t xml:space="preserve"> F1 hybrid TN70 (Landrace x Large White) sows, housed in a full-cycle intensive confinement system. The project was approved by the Animal Use Ethics Committee under protocol number 291/2019. After weaning, marking the beginning of the experimental phase, piglets were moved to the nursery room, which was equipped with elevated slatted plastic flooring, natural air renewal, curtains for temperature control, and ad libitum supply of water and starter feed.</w:t>
      </w:r>
    </w:p>
    <w:p w14:paraId="522608C7" w14:textId="77777777" w:rsidR="002E45DC" w:rsidRPr="002E45DC" w:rsidRDefault="002E45DC" w:rsidP="002A01E9">
      <w:pPr>
        <w:pStyle w:val="Body"/>
        <w:spacing w:after="0"/>
        <w:rPr>
          <w:rFonts w:ascii="Arial" w:hAnsi="Arial" w:cs="Arial"/>
        </w:rPr>
      </w:pPr>
    </w:p>
    <w:p w14:paraId="182B9A81" w14:textId="0B6BD4E6" w:rsidR="002E45DC" w:rsidRPr="00CA01DC" w:rsidRDefault="00CA01DC" w:rsidP="002A01E9">
      <w:pPr>
        <w:pStyle w:val="Body"/>
        <w:spacing w:after="0"/>
        <w:rPr>
          <w:rFonts w:ascii="Arial" w:hAnsi="Arial" w:cs="Arial"/>
          <w:b/>
          <w:bCs/>
          <w:sz w:val="22"/>
          <w:szCs w:val="22"/>
        </w:rPr>
      </w:pPr>
      <w:r>
        <w:rPr>
          <w:rFonts w:ascii="Arial" w:hAnsi="Arial" w:cs="Arial"/>
          <w:b/>
          <w:bCs/>
          <w:sz w:val="22"/>
          <w:szCs w:val="22"/>
        </w:rPr>
        <w:t xml:space="preserve">2.2 </w:t>
      </w:r>
      <w:r w:rsidR="002E45DC" w:rsidRPr="00CA01DC">
        <w:rPr>
          <w:rFonts w:ascii="Arial" w:hAnsi="Arial" w:cs="Arial"/>
          <w:b/>
          <w:bCs/>
          <w:sz w:val="22"/>
          <w:szCs w:val="22"/>
        </w:rPr>
        <w:t>Cultivation site of the botanical species</w:t>
      </w:r>
    </w:p>
    <w:p w14:paraId="5BD30308" w14:textId="77777777" w:rsidR="002E45DC" w:rsidRPr="002E45DC" w:rsidRDefault="002E45DC" w:rsidP="002A01E9">
      <w:pPr>
        <w:pStyle w:val="Body"/>
        <w:spacing w:after="0"/>
        <w:rPr>
          <w:rFonts w:ascii="Arial" w:hAnsi="Arial" w:cs="Arial"/>
        </w:rPr>
      </w:pPr>
    </w:p>
    <w:p w14:paraId="49281E46" w14:textId="5AF3F3AD" w:rsidR="002E45DC" w:rsidRPr="002E45DC" w:rsidRDefault="002E45DC" w:rsidP="002A01E9">
      <w:pPr>
        <w:pStyle w:val="Body"/>
        <w:spacing w:after="0"/>
        <w:rPr>
          <w:rFonts w:ascii="Arial" w:hAnsi="Arial" w:cs="Arial"/>
        </w:rPr>
      </w:pPr>
      <w:r w:rsidRPr="002E45DC">
        <w:rPr>
          <w:rFonts w:ascii="Arial" w:hAnsi="Arial" w:cs="Arial"/>
        </w:rPr>
        <w:t xml:space="preserve">Leaves of </w:t>
      </w:r>
      <w:r w:rsidRPr="00CA01DC">
        <w:rPr>
          <w:rFonts w:ascii="Arial" w:hAnsi="Arial" w:cs="Arial"/>
          <w:i/>
          <w:iCs/>
        </w:rPr>
        <w:t xml:space="preserve">C. </w:t>
      </w:r>
      <w:proofErr w:type="spellStart"/>
      <w:r w:rsidRPr="00CA01DC">
        <w:rPr>
          <w:rFonts w:ascii="Arial" w:hAnsi="Arial" w:cs="Arial"/>
          <w:i/>
          <w:iCs/>
        </w:rPr>
        <w:t>citratus</w:t>
      </w:r>
      <w:proofErr w:type="spellEnd"/>
      <w:r w:rsidRPr="002E45DC">
        <w:rPr>
          <w:rFonts w:ascii="Arial" w:hAnsi="Arial" w:cs="Arial"/>
        </w:rPr>
        <w:t xml:space="preserve"> were collected from a population of approximately 15 individuals cultivated under an agroecological system at the UEA garden of IFC-</w:t>
      </w:r>
      <w:proofErr w:type="spellStart"/>
      <w:r w:rsidRPr="002E45DC">
        <w:rPr>
          <w:rFonts w:ascii="Arial" w:hAnsi="Arial" w:cs="Arial"/>
        </w:rPr>
        <w:t>Araquari</w:t>
      </w:r>
      <w:proofErr w:type="spellEnd"/>
      <w:r w:rsidRPr="002E45DC">
        <w:rPr>
          <w:rFonts w:ascii="Arial" w:hAnsi="Arial" w:cs="Arial"/>
        </w:rPr>
        <w:t>, located on the northern coast of Santa Catarina, under the geographical coordinates 26</w:t>
      </w:r>
      <w:r w:rsidRPr="002E45DC">
        <w:rPr>
          <w:rFonts w:ascii="Arial" w:hAnsi="Arial" w:cs="Arial" w:hint="eastAsia"/>
        </w:rPr>
        <w:t>°</w:t>
      </w:r>
      <w:r w:rsidRPr="002E45DC">
        <w:rPr>
          <w:rFonts w:ascii="Arial" w:hAnsi="Arial" w:cs="Arial"/>
        </w:rPr>
        <w:t xml:space="preserve"> 23' 33.6691" S, 48</w:t>
      </w:r>
      <w:r w:rsidRPr="002E45DC">
        <w:rPr>
          <w:rFonts w:ascii="Arial" w:hAnsi="Arial" w:cs="Arial" w:hint="eastAsia"/>
        </w:rPr>
        <w:t>°</w:t>
      </w:r>
      <w:r w:rsidRPr="002E45DC">
        <w:rPr>
          <w:rFonts w:ascii="Arial" w:hAnsi="Arial" w:cs="Arial"/>
        </w:rPr>
        <w:t xml:space="preserve"> 44' 18.3336" W, at an altitude of 10.60 m. The species was photographed, and a voucher specimen was deposited in the HFIE Herbarium in Curitiba under number HFIE 8.558.</w:t>
      </w:r>
    </w:p>
    <w:p w14:paraId="231E5180" w14:textId="77777777" w:rsidR="002E45DC" w:rsidRPr="002E45DC" w:rsidRDefault="002E45DC" w:rsidP="002A01E9">
      <w:pPr>
        <w:pStyle w:val="Body"/>
        <w:spacing w:after="0"/>
        <w:rPr>
          <w:rFonts w:ascii="Arial" w:hAnsi="Arial" w:cs="Arial"/>
        </w:rPr>
      </w:pPr>
    </w:p>
    <w:p w14:paraId="5D296ED2" w14:textId="325CD4F6"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2.3 </w:t>
      </w:r>
      <w:r w:rsidR="002E45DC" w:rsidRPr="007714EF">
        <w:rPr>
          <w:rFonts w:ascii="Arial" w:hAnsi="Arial" w:cs="Arial"/>
          <w:b/>
          <w:bCs/>
          <w:sz w:val="22"/>
          <w:szCs w:val="22"/>
        </w:rPr>
        <w:t xml:space="preserve">Extraction and chemical characterization of </w:t>
      </w:r>
      <w:r w:rsidR="002E45DC" w:rsidRPr="00992A8A">
        <w:rPr>
          <w:rFonts w:ascii="Arial" w:hAnsi="Arial" w:cs="Arial"/>
          <w:b/>
          <w:bCs/>
          <w:i/>
          <w:iCs/>
          <w:sz w:val="22"/>
          <w:szCs w:val="22"/>
        </w:rPr>
        <w:t xml:space="preserve">Cymbopogon </w:t>
      </w:r>
      <w:proofErr w:type="spellStart"/>
      <w:r w:rsidR="002E45DC" w:rsidRPr="00992A8A">
        <w:rPr>
          <w:rFonts w:ascii="Arial" w:hAnsi="Arial" w:cs="Arial"/>
          <w:b/>
          <w:bCs/>
          <w:i/>
          <w:iCs/>
          <w:sz w:val="22"/>
          <w:szCs w:val="22"/>
        </w:rPr>
        <w:t>citratus</w:t>
      </w:r>
      <w:proofErr w:type="spellEnd"/>
      <w:r w:rsidR="002E45DC" w:rsidRPr="007714EF">
        <w:rPr>
          <w:rFonts w:ascii="Arial" w:hAnsi="Arial" w:cs="Arial"/>
          <w:b/>
          <w:bCs/>
          <w:sz w:val="22"/>
          <w:szCs w:val="22"/>
        </w:rPr>
        <w:t xml:space="preserve"> essential oil</w:t>
      </w:r>
    </w:p>
    <w:p w14:paraId="198D4788" w14:textId="77777777" w:rsidR="002E45DC" w:rsidRPr="002E45DC" w:rsidRDefault="002E45DC" w:rsidP="002A01E9">
      <w:pPr>
        <w:pStyle w:val="Body"/>
        <w:spacing w:after="0"/>
        <w:rPr>
          <w:rFonts w:ascii="Arial" w:hAnsi="Arial" w:cs="Arial"/>
        </w:rPr>
      </w:pPr>
    </w:p>
    <w:p w14:paraId="5BFDECB1" w14:textId="690AE540" w:rsidR="002E45DC" w:rsidRPr="002E45DC" w:rsidRDefault="002E45DC" w:rsidP="002A01E9">
      <w:pPr>
        <w:pStyle w:val="Body"/>
        <w:spacing w:after="0"/>
        <w:rPr>
          <w:rFonts w:ascii="Arial" w:hAnsi="Arial" w:cs="Arial"/>
        </w:rPr>
      </w:pPr>
      <w:r w:rsidRPr="002E45DC">
        <w:rPr>
          <w:rFonts w:ascii="Arial" w:hAnsi="Arial" w:cs="Arial"/>
        </w:rPr>
        <w:t xml:space="preserve">The collected botanical material was subjected to fresh </w:t>
      </w:r>
      <w:r w:rsidR="00D3406C" w:rsidRPr="002E45DC">
        <w:rPr>
          <w:rFonts w:ascii="Arial" w:hAnsi="Arial" w:cs="Arial"/>
        </w:rPr>
        <w:t>hydro distillation</w:t>
      </w:r>
      <w:r w:rsidRPr="002E45DC">
        <w:rPr>
          <w:rFonts w:ascii="Arial" w:hAnsi="Arial" w:cs="Arial"/>
        </w:rPr>
        <w:t xml:space="preserve"> using a Clevenger-type apparatus. After extraction, the essential oils were stored in amber glass containers at 4 </w:t>
      </w:r>
      <w:r w:rsidRPr="002E45DC">
        <w:rPr>
          <w:rFonts w:ascii="Arial" w:hAnsi="Arial" w:cs="Arial" w:hint="eastAsia"/>
        </w:rPr>
        <w:t>°</w:t>
      </w:r>
      <w:r w:rsidRPr="002E45DC">
        <w:rPr>
          <w:rFonts w:ascii="Arial" w:hAnsi="Arial" w:cs="Arial"/>
        </w:rPr>
        <w:t>C until biological testing. Qualitative and quantitative analyses of their components were performed using GC/MS, following the methodology described by Chaaban et al. (2019).</w:t>
      </w:r>
    </w:p>
    <w:p w14:paraId="376E3CA9" w14:textId="77777777" w:rsidR="002E45DC" w:rsidRPr="002E45DC" w:rsidRDefault="002E45DC" w:rsidP="002A01E9">
      <w:pPr>
        <w:pStyle w:val="Body"/>
        <w:spacing w:after="0"/>
        <w:rPr>
          <w:rFonts w:ascii="Arial" w:hAnsi="Arial" w:cs="Arial"/>
        </w:rPr>
      </w:pPr>
    </w:p>
    <w:p w14:paraId="1B19EAA0" w14:textId="60BC5047"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2.4 </w:t>
      </w:r>
      <w:r w:rsidR="002E45DC" w:rsidRPr="007714EF">
        <w:rPr>
          <w:rFonts w:ascii="Arial" w:hAnsi="Arial" w:cs="Arial"/>
          <w:b/>
          <w:bCs/>
          <w:sz w:val="22"/>
          <w:szCs w:val="22"/>
        </w:rPr>
        <w:t xml:space="preserve">Behavioral assessment in newly weaned piglets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General information</w:t>
      </w:r>
    </w:p>
    <w:p w14:paraId="4C4ABDB0" w14:textId="77777777" w:rsidR="002E45DC" w:rsidRPr="002E45DC" w:rsidRDefault="002E45DC" w:rsidP="002A01E9">
      <w:pPr>
        <w:pStyle w:val="Body"/>
        <w:spacing w:after="0"/>
        <w:rPr>
          <w:rFonts w:ascii="Arial" w:hAnsi="Arial" w:cs="Arial"/>
        </w:rPr>
      </w:pPr>
    </w:p>
    <w:p w14:paraId="6A5BE04D" w14:textId="77777777" w:rsidR="002E45DC" w:rsidRDefault="002E45DC" w:rsidP="002A01E9">
      <w:pPr>
        <w:pStyle w:val="Body"/>
        <w:spacing w:after="0"/>
        <w:rPr>
          <w:rFonts w:ascii="Arial" w:hAnsi="Arial" w:cs="Arial"/>
        </w:rPr>
      </w:pPr>
      <w:r w:rsidRPr="002E45DC">
        <w:rPr>
          <w:rFonts w:ascii="Arial" w:hAnsi="Arial" w:cs="Arial"/>
        </w:rPr>
        <w:t xml:space="preserve">A total of 124 weaned piglets aged between 24 and 28 days were evaluated, randomly allocated into four groups at each weaning. </w:t>
      </w:r>
      <w:commentRangeStart w:id="0"/>
      <w:r w:rsidRPr="002E45DC">
        <w:rPr>
          <w:rFonts w:ascii="Arial" w:hAnsi="Arial" w:cs="Arial"/>
        </w:rPr>
        <w:t xml:space="preserve">The groups were defined by treatment type: one control group (CG) and three groups treated with different concentrations of </w:t>
      </w:r>
      <w:r w:rsidRPr="002B3E73">
        <w:rPr>
          <w:rFonts w:ascii="Arial" w:hAnsi="Arial" w:cs="Arial"/>
          <w:i/>
          <w:iCs/>
        </w:rPr>
        <w:t xml:space="preserve">C. </w:t>
      </w:r>
      <w:proofErr w:type="spellStart"/>
      <w:r w:rsidRPr="002B3E73">
        <w:rPr>
          <w:rFonts w:ascii="Arial" w:hAnsi="Arial" w:cs="Arial"/>
          <w:i/>
          <w:iCs/>
        </w:rPr>
        <w:t>citratus</w:t>
      </w:r>
      <w:proofErr w:type="spellEnd"/>
      <w:r w:rsidRPr="002E45DC">
        <w:rPr>
          <w:rFonts w:ascii="Arial" w:hAnsi="Arial" w:cs="Arial"/>
        </w:rPr>
        <w:t xml:space="preserve"> essential oil: 1.25%, 2.50%, and 5.00%, designated T1.25%, T2.50%, and T5.00%, respectively. The EO was diluted in a solution of 50% ethanol (92%) and 50% distilled water. </w:t>
      </w:r>
      <w:commentRangeEnd w:id="0"/>
      <w:r w:rsidR="00D3406C">
        <w:rPr>
          <w:rStyle w:val="CommentReference"/>
          <w:rFonts w:ascii="Times New Roman" w:hAnsi="Times New Roman"/>
          <w:lang w:val="nb-NO" w:eastAsia="nb-NO"/>
        </w:rPr>
        <w:commentReference w:id="0"/>
      </w:r>
      <w:r w:rsidRPr="002E45DC">
        <w:rPr>
          <w:rFonts w:ascii="Arial" w:hAnsi="Arial" w:cs="Arial"/>
        </w:rPr>
        <w:t>The control group received only the diluent to ensure consistency in handling and application procedures across all animals.</w:t>
      </w:r>
    </w:p>
    <w:p w14:paraId="6A691EE7" w14:textId="77777777" w:rsidR="007714EF" w:rsidRPr="002E45DC" w:rsidRDefault="007714EF" w:rsidP="002A01E9">
      <w:pPr>
        <w:pStyle w:val="Body"/>
        <w:spacing w:after="0"/>
        <w:rPr>
          <w:rFonts w:ascii="Arial" w:hAnsi="Arial" w:cs="Arial"/>
        </w:rPr>
      </w:pPr>
    </w:p>
    <w:p w14:paraId="61B8E23B" w14:textId="77777777" w:rsidR="002E45DC" w:rsidRDefault="002E45DC" w:rsidP="002A01E9">
      <w:pPr>
        <w:pStyle w:val="Body"/>
        <w:spacing w:after="0"/>
        <w:rPr>
          <w:rFonts w:ascii="Arial" w:hAnsi="Arial" w:cs="Arial"/>
        </w:rPr>
      </w:pPr>
      <w:r w:rsidRPr="002E45DC">
        <w:rPr>
          <w:rFonts w:ascii="Arial" w:hAnsi="Arial" w:cs="Arial"/>
        </w:rPr>
        <w:t xml:space="preserve">At weaning, as per UEA standard procedures, piglets were individually weighed, and the average litter weight was recorded. After group allocation, 1.00 mL of the solution containing 1.25%, 2.50%, or 5.00% </w:t>
      </w:r>
      <w:r w:rsidRPr="002B3E73">
        <w:rPr>
          <w:rFonts w:ascii="Arial" w:hAnsi="Arial" w:cs="Arial"/>
          <w:i/>
          <w:iCs/>
        </w:rPr>
        <w:t xml:space="preserve">C. </w:t>
      </w:r>
      <w:proofErr w:type="spellStart"/>
      <w:r w:rsidRPr="002B3E73">
        <w:rPr>
          <w:rFonts w:ascii="Arial" w:hAnsi="Arial" w:cs="Arial"/>
          <w:i/>
          <w:iCs/>
        </w:rPr>
        <w:t>citratus</w:t>
      </w:r>
      <w:proofErr w:type="spellEnd"/>
      <w:r w:rsidRPr="002E45DC">
        <w:rPr>
          <w:rFonts w:ascii="Arial" w:hAnsi="Arial" w:cs="Arial"/>
        </w:rPr>
        <w:t xml:space="preserve"> essential oil (CCEO), or diluent (control), was applied topically to the dorsal region using a syringe. Piglets were then placed in nursery pens at a density until than 0.75 m</w:t>
      </w:r>
      <w:r w:rsidRPr="002E45DC">
        <w:rPr>
          <w:rFonts w:ascii="Arial" w:hAnsi="Arial" w:cs="Arial" w:hint="eastAsia"/>
        </w:rPr>
        <w:t>²</w:t>
      </w:r>
      <w:r w:rsidRPr="002E45DC">
        <w:rPr>
          <w:rFonts w:ascii="Arial" w:hAnsi="Arial" w:cs="Arial"/>
        </w:rPr>
        <w:t xml:space="preserve"> per piglet. From this point, visual observations and behavioral repertoire recordings were performed by an observer over a 3-hour period. During this time photos and videos were taken alongside written notes. The observer remained in the corridor and did not interact with the animals.</w:t>
      </w:r>
    </w:p>
    <w:p w14:paraId="7172616C" w14:textId="77777777" w:rsidR="007714EF" w:rsidRPr="002E45DC" w:rsidRDefault="007714EF" w:rsidP="002A01E9">
      <w:pPr>
        <w:pStyle w:val="Body"/>
        <w:spacing w:after="0"/>
        <w:rPr>
          <w:rFonts w:ascii="Arial" w:hAnsi="Arial" w:cs="Arial"/>
        </w:rPr>
      </w:pPr>
    </w:p>
    <w:p w14:paraId="0CCBDFBB" w14:textId="77777777" w:rsidR="002E45DC" w:rsidRPr="002E45DC" w:rsidRDefault="002E45DC" w:rsidP="002A01E9">
      <w:pPr>
        <w:pStyle w:val="Body"/>
        <w:spacing w:after="0"/>
        <w:rPr>
          <w:rFonts w:ascii="Arial" w:hAnsi="Arial" w:cs="Arial"/>
        </w:rPr>
      </w:pPr>
      <w:r w:rsidRPr="002E45DC">
        <w:rPr>
          <w:rFonts w:ascii="Arial" w:hAnsi="Arial" w:cs="Arial"/>
        </w:rPr>
        <w:t>Twenty-four hours after weaning, piglet skin lesions were mapped and classified into four regions: (1) ear lesions (right and left), (2) anterior region (head, excluding ears, forelimbs, and thoracic region), (3) posterior region (abdominal area and hindlimbs), and (4) tail lesions. The number of animals with bites or scratches in each area was recorded according to treatment group. Lesion mapping followed the same procedure across all experiments.</w:t>
      </w:r>
    </w:p>
    <w:p w14:paraId="0452CACD" w14:textId="77777777" w:rsidR="002E45DC" w:rsidRPr="002E45DC" w:rsidRDefault="002E45DC" w:rsidP="002A01E9">
      <w:pPr>
        <w:pStyle w:val="Body"/>
        <w:spacing w:after="0"/>
        <w:rPr>
          <w:rFonts w:ascii="Arial" w:hAnsi="Arial" w:cs="Arial"/>
        </w:rPr>
      </w:pPr>
    </w:p>
    <w:p w14:paraId="773AC0FC" w14:textId="0625FCB0"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2.5 </w:t>
      </w:r>
      <w:r w:rsidR="002E45DC" w:rsidRPr="007714EF">
        <w:rPr>
          <w:rFonts w:ascii="Arial" w:hAnsi="Arial" w:cs="Arial"/>
          <w:b/>
          <w:bCs/>
          <w:sz w:val="22"/>
          <w:szCs w:val="22"/>
        </w:rPr>
        <w:t xml:space="preserve">Behavioral assessment in newly weaned piglets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Experiment I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Observational</w:t>
      </w:r>
    </w:p>
    <w:p w14:paraId="240A6B53" w14:textId="77777777" w:rsidR="002E45DC" w:rsidRPr="002E45DC" w:rsidRDefault="002E45DC" w:rsidP="002A01E9">
      <w:pPr>
        <w:pStyle w:val="Body"/>
        <w:spacing w:after="0"/>
        <w:rPr>
          <w:rFonts w:ascii="Arial" w:hAnsi="Arial" w:cs="Arial"/>
        </w:rPr>
      </w:pPr>
    </w:p>
    <w:p w14:paraId="3EC418A8" w14:textId="77A62286" w:rsidR="002E45DC" w:rsidRPr="002E45DC" w:rsidRDefault="002E45DC" w:rsidP="002A01E9">
      <w:pPr>
        <w:pStyle w:val="Body"/>
        <w:spacing w:after="0"/>
        <w:rPr>
          <w:rFonts w:ascii="Arial" w:hAnsi="Arial" w:cs="Arial"/>
        </w:rPr>
      </w:pPr>
      <w:r w:rsidRPr="002E45DC">
        <w:rPr>
          <w:rFonts w:ascii="Arial" w:hAnsi="Arial" w:cs="Arial"/>
        </w:rPr>
        <w:t xml:space="preserve">Experiment I began in 2019 and included two </w:t>
      </w:r>
      <w:r w:rsidR="00E56CE1" w:rsidRPr="002E45DC">
        <w:rPr>
          <w:rFonts w:ascii="Arial" w:hAnsi="Arial" w:cs="Arial"/>
        </w:rPr>
        <w:t>weaning’s</w:t>
      </w:r>
      <w:r w:rsidRPr="002E45DC">
        <w:rPr>
          <w:rFonts w:ascii="Arial" w:hAnsi="Arial" w:cs="Arial"/>
        </w:rPr>
        <w:t xml:space="preserve"> (twice to year). The first occurred in April with 28 piglets (</w:t>
      </w:r>
      <w:proofErr w:type="spellStart"/>
      <w:r w:rsidRPr="002E45DC">
        <w:rPr>
          <w:rFonts w:ascii="Arial" w:hAnsi="Arial" w:cs="Arial"/>
        </w:rPr>
        <w:t>i.e</w:t>
      </w:r>
      <w:proofErr w:type="spellEnd"/>
      <w:r w:rsidRPr="002E45DC">
        <w:rPr>
          <w:rFonts w:ascii="Arial" w:hAnsi="Arial" w:cs="Arial"/>
        </w:rPr>
        <w:t>, coming from 3 different matrices), seven per treatment (N=7 and the useful area allocated to each animal was 0.85 m</w:t>
      </w:r>
      <w:r w:rsidRPr="002E45DC">
        <w:rPr>
          <w:rFonts w:ascii="Arial" w:hAnsi="Arial" w:cs="Arial" w:hint="eastAsia"/>
        </w:rPr>
        <w:t>²</w:t>
      </w:r>
      <w:r w:rsidRPr="002E45DC">
        <w:rPr>
          <w:rFonts w:ascii="Arial" w:hAnsi="Arial" w:cs="Arial"/>
        </w:rPr>
        <w:t>/piglet), randomly chosen. The second occurred in May with 32 piglets (</w:t>
      </w:r>
      <w:proofErr w:type="spellStart"/>
      <w:r w:rsidRPr="002E45DC">
        <w:rPr>
          <w:rFonts w:ascii="Arial" w:hAnsi="Arial" w:cs="Arial"/>
        </w:rPr>
        <w:t>i.e</w:t>
      </w:r>
      <w:proofErr w:type="spellEnd"/>
      <w:r w:rsidRPr="002E45DC">
        <w:rPr>
          <w:rFonts w:ascii="Arial" w:hAnsi="Arial" w:cs="Arial"/>
        </w:rPr>
        <w:t>, coming from 3 different matrices), eight per treatment (N=8 and the useful area allocated to each animal was 0.75 m</w:t>
      </w:r>
      <w:r w:rsidRPr="002E45DC">
        <w:rPr>
          <w:rFonts w:ascii="Arial" w:hAnsi="Arial" w:cs="Arial" w:hint="eastAsia"/>
        </w:rPr>
        <w:t>²</w:t>
      </w:r>
      <w:r w:rsidRPr="002E45DC">
        <w:rPr>
          <w:rFonts w:ascii="Arial" w:hAnsi="Arial" w:cs="Arial"/>
        </w:rPr>
        <w:t>/piglet), randomly chosen. All piglets were managed identically to generate a behavioral repertoire after application and acclimatization. In this experiment, behaviors were noted but not quantified, as the purpose was to survey the most common behaviors. Zootechnical indexes were not evaluated in this stage.</w:t>
      </w:r>
    </w:p>
    <w:p w14:paraId="03F2C624" w14:textId="77777777" w:rsidR="002E45DC" w:rsidRPr="002E45DC" w:rsidRDefault="002E45DC" w:rsidP="002A01E9">
      <w:pPr>
        <w:pStyle w:val="Body"/>
        <w:spacing w:after="0"/>
        <w:rPr>
          <w:rFonts w:ascii="Arial" w:hAnsi="Arial" w:cs="Arial"/>
        </w:rPr>
      </w:pPr>
    </w:p>
    <w:p w14:paraId="13A81624" w14:textId="112540CE"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2.6 </w:t>
      </w:r>
      <w:r w:rsidR="002E45DC" w:rsidRPr="005B2AE1">
        <w:rPr>
          <w:rFonts w:ascii="Arial" w:hAnsi="Arial" w:cs="Arial"/>
          <w:b/>
          <w:bCs/>
          <w:sz w:val="22"/>
          <w:szCs w:val="22"/>
        </w:rPr>
        <w:t xml:space="preserve">Behavioral assessment in newly weaned piglets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Experiment II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Ethogram development</w:t>
      </w:r>
    </w:p>
    <w:p w14:paraId="32662C5C" w14:textId="77777777" w:rsidR="002E45DC" w:rsidRPr="002E45DC" w:rsidRDefault="002E45DC" w:rsidP="002A01E9">
      <w:pPr>
        <w:pStyle w:val="Body"/>
        <w:spacing w:after="0"/>
        <w:rPr>
          <w:rFonts w:ascii="Arial" w:hAnsi="Arial" w:cs="Arial"/>
        </w:rPr>
      </w:pPr>
    </w:p>
    <w:tbl>
      <w:tblPr>
        <w:tblpPr w:leftFromText="180" w:rightFromText="180" w:vertAnchor="text" w:horzAnchor="margin" w:tblpXSpec="center" w:tblpY="157"/>
        <w:tblW w:w="9076" w:type="dxa"/>
        <w:tblLayout w:type="fixed"/>
        <w:tblCellMar>
          <w:left w:w="10" w:type="dxa"/>
          <w:right w:w="10" w:type="dxa"/>
        </w:tblCellMar>
        <w:tblLook w:val="04A0" w:firstRow="1" w:lastRow="0" w:firstColumn="1" w:lastColumn="0" w:noHBand="0" w:noVBand="1"/>
      </w:tblPr>
      <w:tblGrid>
        <w:gridCol w:w="1441"/>
        <w:gridCol w:w="7635"/>
      </w:tblGrid>
      <w:tr w:rsidR="00D3406C" w:rsidRPr="007B3592" w14:paraId="43BED5A3" w14:textId="77777777" w:rsidTr="00D3406C">
        <w:trPr>
          <w:trHeight w:val="293"/>
        </w:trPr>
        <w:tc>
          <w:tcPr>
            <w:tcW w:w="1441" w:type="dxa"/>
            <w:tcBorders>
              <w:bottom w:val="single" w:sz="8" w:space="0" w:color="000000"/>
            </w:tcBorders>
            <w:tcMar>
              <w:top w:w="0" w:type="dxa"/>
              <w:left w:w="70" w:type="dxa"/>
              <w:bottom w:w="0" w:type="dxa"/>
              <w:right w:w="70" w:type="dxa"/>
            </w:tcMar>
            <w:vAlign w:val="center"/>
          </w:tcPr>
          <w:p w14:paraId="190FADE4" w14:textId="77777777" w:rsidR="00D3406C" w:rsidRPr="007B3592" w:rsidRDefault="00D3406C" w:rsidP="00D3406C">
            <w:pPr>
              <w:pStyle w:val="Body"/>
              <w:spacing w:after="0"/>
              <w:rPr>
                <w:rFonts w:ascii="Arial" w:hAnsi="Arial" w:cs="Arial"/>
                <w:lang w:val="pt-BR"/>
              </w:rPr>
            </w:pPr>
            <w:r w:rsidRPr="007B3592">
              <w:rPr>
                <w:rFonts w:ascii="Arial" w:hAnsi="Arial" w:cs="Arial"/>
                <w:b/>
                <w:bCs/>
                <w:lang w:val="pt-BR"/>
              </w:rPr>
              <w:t>Behavior</w:t>
            </w:r>
          </w:p>
        </w:tc>
        <w:tc>
          <w:tcPr>
            <w:tcW w:w="7635" w:type="dxa"/>
            <w:tcBorders>
              <w:bottom w:val="single" w:sz="8" w:space="0" w:color="000000"/>
            </w:tcBorders>
            <w:tcMar>
              <w:top w:w="0" w:type="dxa"/>
              <w:left w:w="70" w:type="dxa"/>
              <w:bottom w:w="0" w:type="dxa"/>
              <w:right w:w="70" w:type="dxa"/>
            </w:tcMar>
            <w:vAlign w:val="center"/>
          </w:tcPr>
          <w:p w14:paraId="098EBB94" w14:textId="77777777" w:rsidR="00D3406C" w:rsidRPr="007B3592" w:rsidRDefault="00D3406C" w:rsidP="00D3406C">
            <w:pPr>
              <w:pStyle w:val="Body"/>
              <w:spacing w:after="0"/>
              <w:rPr>
                <w:rFonts w:ascii="Arial" w:hAnsi="Arial" w:cs="Arial"/>
                <w:lang w:val="pt-BR"/>
              </w:rPr>
            </w:pPr>
            <w:r w:rsidRPr="007B3592">
              <w:rPr>
                <w:rFonts w:ascii="Arial" w:hAnsi="Arial" w:cs="Arial"/>
                <w:b/>
                <w:bCs/>
                <w:lang w:val="pt-BR"/>
              </w:rPr>
              <w:t>Description</w:t>
            </w:r>
          </w:p>
        </w:tc>
      </w:tr>
      <w:tr w:rsidR="00D3406C" w:rsidRPr="007B3592" w14:paraId="34284B69" w14:textId="77777777" w:rsidTr="00D3406C">
        <w:trPr>
          <w:trHeight w:val="266"/>
        </w:trPr>
        <w:tc>
          <w:tcPr>
            <w:tcW w:w="1441" w:type="dxa"/>
            <w:tcMar>
              <w:top w:w="0" w:type="dxa"/>
              <w:left w:w="70" w:type="dxa"/>
              <w:bottom w:w="0" w:type="dxa"/>
              <w:right w:w="70" w:type="dxa"/>
            </w:tcMar>
            <w:vAlign w:val="center"/>
          </w:tcPr>
          <w:p w14:paraId="0B16A2E3"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Inactive</w:t>
            </w:r>
          </w:p>
        </w:tc>
        <w:tc>
          <w:tcPr>
            <w:tcW w:w="7635" w:type="dxa"/>
            <w:tcMar>
              <w:top w:w="0" w:type="dxa"/>
              <w:left w:w="70" w:type="dxa"/>
              <w:bottom w:w="0" w:type="dxa"/>
              <w:right w:w="70" w:type="dxa"/>
            </w:tcMar>
            <w:vAlign w:val="center"/>
          </w:tcPr>
          <w:p w14:paraId="7E739BAE" w14:textId="77777777" w:rsidR="00D3406C" w:rsidRPr="007B3592" w:rsidRDefault="00D3406C" w:rsidP="00D3406C">
            <w:pPr>
              <w:pStyle w:val="Body"/>
              <w:spacing w:after="0"/>
              <w:rPr>
                <w:rFonts w:ascii="Arial" w:hAnsi="Arial" w:cs="Arial"/>
              </w:rPr>
            </w:pPr>
            <w:r w:rsidRPr="007B3592">
              <w:rPr>
                <w:rFonts w:ascii="Arial" w:hAnsi="Arial" w:cs="Arial"/>
              </w:rPr>
              <w:t>Physical immobility with no activity</w:t>
            </w:r>
          </w:p>
        </w:tc>
      </w:tr>
      <w:tr w:rsidR="00D3406C" w:rsidRPr="007B3592" w14:paraId="08B3C96D" w14:textId="77777777" w:rsidTr="00D3406C">
        <w:trPr>
          <w:trHeight w:val="964"/>
        </w:trPr>
        <w:tc>
          <w:tcPr>
            <w:tcW w:w="1441" w:type="dxa"/>
            <w:tcMar>
              <w:top w:w="0" w:type="dxa"/>
              <w:left w:w="70" w:type="dxa"/>
              <w:bottom w:w="0" w:type="dxa"/>
              <w:right w:w="70" w:type="dxa"/>
            </w:tcMar>
            <w:vAlign w:val="center"/>
          </w:tcPr>
          <w:p w14:paraId="08E1D5E3"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Aggression</w:t>
            </w:r>
          </w:p>
        </w:tc>
        <w:tc>
          <w:tcPr>
            <w:tcW w:w="7635" w:type="dxa"/>
            <w:tcMar>
              <w:top w:w="0" w:type="dxa"/>
              <w:left w:w="70" w:type="dxa"/>
              <w:bottom w:w="0" w:type="dxa"/>
              <w:right w:w="70" w:type="dxa"/>
            </w:tcMar>
            <w:vAlign w:val="center"/>
          </w:tcPr>
          <w:p w14:paraId="5AD717AA" w14:textId="77777777" w:rsidR="00D3406C" w:rsidRPr="007B3592" w:rsidRDefault="00D3406C" w:rsidP="00D3406C">
            <w:pPr>
              <w:pStyle w:val="Body"/>
              <w:spacing w:after="0"/>
              <w:rPr>
                <w:rFonts w:ascii="Arial" w:hAnsi="Arial" w:cs="Arial"/>
              </w:rPr>
            </w:pPr>
            <w:r w:rsidRPr="007B3592">
              <w:rPr>
                <w:rFonts w:ascii="Arial" w:hAnsi="Arial" w:cs="Arial"/>
              </w:rPr>
              <w:t>Piglets involved in actions that cause the recipient to react negatively (e.g., fighting, biting, aggressive shoulder-to-shoulder posture, mounting). If the recipient moved away, the event was classified as one pig behaving aggressively; if the recipient later retaliated, it was classified as two aggressive pigs. If the recipient did not react negatively, the initiator was described as investigating.</w:t>
            </w:r>
          </w:p>
        </w:tc>
      </w:tr>
      <w:tr w:rsidR="00D3406C" w:rsidRPr="007B3592" w14:paraId="12EA5542" w14:textId="77777777" w:rsidTr="00D3406C">
        <w:trPr>
          <w:trHeight w:val="266"/>
        </w:trPr>
        <w:tc>
          <w:tcPr>
            <w:tcW w:w="1441" w:type="dxa"/>
            <w:tcMar>
              <w:top w:w="0" w:type="dxa"/>
              <w:left w:w="70" w:type="dxa"/>
              <w:bottom w:w="0" w:type="dxa"/>
              <w:right w:w="70" w:type="dxa"/>
            </w:tcMar>
            <w:vAlign w:val="center"/>
          </w:tcPr>
          <w:p w14:paraId="744306F4"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Investigating</w:t>
            </w:r>
          </w:p>
        </w:tc>
        <w:tc>
          <w:tcPr>
            <w:tcW w:w="7635" w:type="dxa"/>
            <w:tcMar>
              <w:top w:w="0" w:type="dxa"/>
              <w:left w:w="70" w:type="dxa"/>
              <w:bottom w:w="0" w:type="dxa"/>
              <w:right w:w="70" w:type="dxa"/>
            </w:tcMar>
            <w:vAlign w:val="center"/>
          </w:tcPr>
          <w:p w14:paraId="4A6EACDC" w14:textId="77777777" w:rsidR="00D3406C" w:rsidRPr="007B3592" w:rsidRDefault="00D3406C" w:rsidP="00D3406C">
            <w:pPr>
              <w:pStyle w:val="Body"/>
              <w:spacing w:after="0"/>
              <w:rPr>
                <w:rFonts w:ascii="Arial" w:hAnsi="Arial" w:cs="Arial"/>
              </w:rPr>
            </w:pPr>
            <w:r w:rsidRPr="007B3592">
              <w:rPr>
                <w:rFonts w:ascii="Arial" w:hAnsi="Arial" w:cs="Arial"/>
              </w:rPr>
              <w:t>Activities of chewing, sniffing, and exploring the pen or pen-mates</w:t>
            </w:r>
          </w:p>
        </w:tc>
      </w:tr>
      <w:tr w:rsidR="00D3406C" w:rsidRPr="007B3592" w14:paraId="47096CAF" w14:textId="77777777" w:rsidTr="00D3406C">
        <w:trPr>
          <w:trHeight w:val="266"/>
        </w:trPr>
        <w:tc>
          <w:tcPr>
            <w:tcW w:w="1441" w:type="dxa"/>
            <w:tcMar>
              <w:top w:w="0" w:type="dxa"/>
              <w:left w:w="70" w:type="dxa"/>
              <w:bottom w:w="0" w:type="dxa"/>
              <w:right w:w="70" w:type="dxa"/>
            </w:tcMar>
            <w:vAlign w:val="center"/>
          </w:tcPr>
          <w:p w14:paraId="42D57694"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Drinking</w:t>
            </w:r>
          </w:p>
        </w:tc>
        <w:tc>
          <w:tcPr>
            <w:tcW w:w="7635" w:type="dxa"/>
            <w:tcMar>
              <w:top w:w="0" w:type="dxa"/>
              <w:left w:w="70" w:type="dxa"/>
              <w:bottom w:w="0" w:type="dxa"/>
              <w:right w:w="70" w:type="dxa"/>
            </w:tcMar>
            <w:vAlign w:val="center"/>
          </w:tcPr>
          <w:p w14:paraId="1232EF0C"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Drinking water</w:t>
            </w:r>
          </w:p>
        </w:tc>
      </w:tr>
      <w:tr w:rsidR="00D3406C" w:rsidRPr="007B3592" w14:paraId="424D1FBC" w14:textId="77777777" w:rsidTr="00D3406C">
        <w:trPr>
          <w:trHeight w:val="266"/>
        </w:trPr>
        <w:tc>
          <w:tcPr>
            <w:tcW w:w="1441" w:type="dxa"/>
            <w:tcMar>
              <w:top w:w="0" w:type="dxa"/>
              <w:left w:w="70" w:type="dxa"/>
              <w:bottom w:w="0" w:type="dxa"/>
              <w:right w:w="70" w:type="dxa"/>
            </w:tcMar>
            <w:vAlign w:val="center"/>
          </w:tcPr>
          <w:p w14:paraId="4F9B60CC"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Feeding</w:t>
            </w:r>
          </w:p>
        </w:tc>
        <w:tc>
          <w:tcPr>
            <w:tcW w:w="7635" w:type="dxa"/>
            <w:tcMar>
              <w:top w:w="0" w:type="dxa"/>
              <w:left w:w="70" w:type="dxa"/>
              <w:bottom w:w="0" w:type="dxa"/>
              <w:right w:w="70" w:type="dxa"/>
            </w:tcMar>
            <w:vAlign w:val="center"/>
          </w:tcPr>
          <w:p w14:paraId="16DD492E"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Eating</w:t>
            </w:r>
          </w:p>
        </w:tc>
      </w:tr>
      <w:tr w:rsidR="00D3406C" w:rsidRPr="007B3592" w14:paraId="1F2EF46F" w14:textId="77777777" w:rsidTr="00D3406C">
        <w:trPr>
          <w:trHeight w:val="266"/>
        </w:trPr>
        <w:tc>
          <w:tcPr>
            <w:tcW w:w="1441" w:type="dxa"/>
            <w:tcMar>
              <w:top w:w="0" w:type="dxa"/>
              <w:left w:w="70" w:type="dxa"/>
              <w:bottom w:w="0" w:type="dxa"/>
              <w:right w:w="70" w:type="dxa"/>
            </w:tcMar>
            <w:vAlign w:val="center"/>
          </w:tcPr>
          <w:p w14:paraId="23C747B7"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Sitting</w:t>
            </w:r>
          </w:p>
        </w:tc>
        <w:tc>
          <w:tcPr>
            <w:tcW w:w="7635" w:type="dxa"/>
            <w:tcMar>
              <w:top w:w="0" w:type="dxa"/>
              <w:left w:w="70" w:type="dxa"/>
              <w:bottom w:w="0" w:type="dxa"/>
              <w:right w:w="70" w:type="dxa"/>
            </w:tcMar>
            <w:vAlign w:val="center"/>
          </w:tcPr>
          <w:p w14:paraId="2F16F7D8" w14:textId="77777777" w:rsidR="00D3406C" w:rsidRPr="007B3592" w:rsidRDefault="00D3406C" w:rsidP="00D3406C">
            <w:pPr>
              <w:pStyle w:val="Body"/>
              <w:spacing w:after="0"/>
              <w:rPr>
                <w:rFonts w:ascii="Arial" w:hAnsi="Arial" w:cs="Arial"/>
              </w:rPr>
            </w:pPr>
            <w:r w:rsidRPr="007B3592">
              <w:rPr>
                <w:rFonts w:ascii="Arial" w:hAnsi="Arial" w:cs="Arial"/>
              </w:rPr>
              <w:t>Hindquarters on the floor, front legs supporting the body</w:t>
            </w:r>
          </w:p>
        </w:tc>
      </w:tr>
      <w:tr w:rsidR="00D3406C" w:rsidRPr="007B3592" w14:paraId="0FC36730" w14:textId="77777777" w:rsidTr="00D3406C">
        <w:trPr>
          <w:trHeight w:val="266"/>
        </w:trPr>
        <w:tc>
          <w:tcPr>
            <w:tcW w:w="1441" w:type="dxa"/>
            <w:tcMar>
              <w:top w:w="0" w:type="dxa"/>
              <w:left w:w="70" w:type="dxa"/>
              <w:bottom w:w="0" w:type="dxa"/>
              <w:right w:w="70" w:type="dxa"/>
            </w:tcMar>
            <w:vAlign w:val="center"/>
          </w:tcPr>
          <w:p w14:paraId="67640D6E"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Lying down</w:t>
            </w:r>
          </w:p>
        </w:tc>
        <w:tc>
          <w:tcPr>
            <w:tcW w:w="7635" w:type="dxa"/>
            <w:tcMar>
              <w:top w:w="0" w:type="dxa"/>
              <w:left w:w="70" w:type="dxa"/>
              <w:bottom w:w="0" w:type="dxa"/>
              <w:right w:w="70" w:type="dxa"/>
            </w:tcMar>
            <w:vAlign w:val="center"/>
          </w:tcPr>
          <w:p w14:paraId="04641D44" w14:textId="77777777" w:rsidR="00D3406C" w:rsidRPr="007B3592" w:rsidRDefault="00D3406C" w:rsidP="00D3406C">
            <w:pPr>
              <w:pStyle w:val="Body"/>
              <w:spacing w:after="0"/>
              <w:rPr>
                <w:rFonts w:ascii="Arial" w:hAnsi="Arial" w:cs="Arial"/>
              </w:rPr>
            </w:pPr>
            <w:r w:rsidRPr="007B3592">
              <w:rPr>
                <w:rFonts w:ascii="Arial" w:hAnsi="Arial" w:cs="Arial"/>
              </w:rPr>
              <w:t>Entire body length on the floor or on other pigs, i.e., not supported by the legs</w:t>
            </w:r>
          </w:p>
        </w:tc>
      </w:tr>
      <w:tr w:rsidR="00D3406C" w:rsidRPr="007B3592" w14:paraId="6F5B3D46" w14:textId="77777777" w:rsidTr="00D3406C">
        <w:trPr>
          <w:trHeight w:val="280"/>
        </w:trPr>
        <w:tc>
          <w:tcPr>
            <w:tcW w:w="1441" w:type="dxa"/>
            <w:tcBorders>
              <w:bottom w:val="single" w:sz="8" w:space="0" w:color="000000"/>
            </w:tcBorders>
            <w:tcMar>
              <w:top w:w="0" w:type="dxa"/>
              <w:left w:w="70" w:type="dxa"/>
              <w:bottom w:w="0" w:type="dxa"/>
              <w:right w:w="70" w:type="dxa"/>
            </w:tcMar>
            <w:vAlign w:val="center"/>
          </w:tcPr>
          <w:p w14:paraId="565A59BA"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Excreting</w:t>
            </w:r>
          </w:p>
        </w:tc>
        <w:tc>
          <w:tcPr>
            <w:tcW w:w="7635" w:type="dxa"/>
            <w:tcBorders>
              <w:bottom w:val="single" w:sz="8" w:space="0" w:color="000000"/>
            </w:tcBorders>
            <w:tcMar>
              <w:top w:w="0" w:type="dxa"/>
              <w:left w:w="70" w:type="dxa"/>
              <w:bottom w:w="0" w:type="dxa"/>
              <w:right w:w="70" w:type="dxa"/>
            </w:tcMar>
            <w:vAlign w:val="center"/>
          </w:tcPr>
          <w:p w14:paraId="633124BC" w14:textId="77777777" w:rsidR="00D3406C" w:rsidRPr="007B3592" w:rsidRDefault="00D3406C" w:rsidP="00D3406C">
            <w:pPr>
              <w:pStyle w:val="Body"/>
              <w:spacing w:after="0"/>
              <w:rPr>
                <w:rFonts w:ascii="Arial" w:hAnsi="Arial" w:cs="Arial"/>
                <w:lang w:val="pt-BR"/>
              </w:rPr>
            </w:pPr>
            <w:r w:rsidRPr="007B3592">
              <w:rPr>
                <w:rFonts w:ascii="Arial" w:hAnsi="Arial" w:cs="Arial"/>
                <w:lang w:val="pt-BR"/>
              </w:rPr>
              <w:t>Urinating or defecating</w:t>
            </w:r>
          </w:p>
        </w:tc>
      </w:tr>
    </w:tbl>
    <w:p w14:paraId="14C091A0" w14:textId="77777777" w:rsidR="002E45DC" w:rsidRDefault="002E45DC" w:rsidP="002A01E9">
      <w:pPr>
        <w:pStyle w:val="Body"/>
        <w:spacing w:after="0"/>
        <w:rPr>
          <w:rFonts w:ascii="Arial" w:hAnsi="Arial" w:cs="Arial"/>
        </w:rPr>
      </w:pPr>
      <w:r w:rsidRPr="002E45DC">
        <w:rPr>
          <w:rFonts w:ascii="Arial" w:hAnsi="Arial" w:cs="Arial"/>
        </w:rPr>
        <w:t>The third weaning took place in October 2019 with 32 piglets (</w:t>
      </w:r>
      <w:proofErr w:type="spellStart"/>
      <w:r w:rsidRPr="002E45DC">
        <w:rPr>
          <w:rFonts w:ascii="Arial" w:hAnsi="Arial" w:cs="Arial"/>
        </w:rPr>
        <w:t>i.e</w:t>
      </w:r>
      <w:proofErr w:type="spellEnd"/>
      <w:r w:rsidRPr="002E45DC">
        <w:rPr>
          <w:rFonts w:ascii="Arial" w:hAnsi="Arial" w:cs="Arial"/>
        </w:rPr>
        <w:t>, coming from 3 different matrices), divided into eight per group (N=8 and the useful area allocated to each animal was 0.75 m</w:t>
      </w:r>
      <w:r w:rsidRPr="002E45DC">
        <w:rPr>
          <w:rFonts w:ascii="Arial" w:hAnsi="Arial" w:cs="Arial" w:hint="eastAsia"/>
        </w:rPr>
        <w:t>²</w:t>
      </w:r>
      <w:r w:rsidRPr="002E45DC">
        <w:rPr>
          <w:rFonts w:ascii="Arial" w:hAnsi="Arial" w:cs="Arial"/>
        </w:rPr>
        <w:t>/piglet), randomly chosen. In this experiment, zootechnical performance were collected, and the number of interactions was quantified to support the creation of the ethogram used in Experiment III (Table 1).</w:t>
      </w:r>
    </w:p>
    <w:p w14:paraId="4B1EC4D2" w14:textId="77777777" w:rsidR="007B3592" w:rsidRDefault="007B3592" w:rsidP="002A01E9">
      <w:pPr>
        <w:pStyle w:val="Body"/>
        <w:spacing w:after="0"/>
        <w:rPr>
          <w:rFonts w:ascii="Arial" w:hAnsi="Arial" w:cs="Arial"/>
        </w:rPr>
      </w:pPr>
    </w:p>
    <w:p w14:paraId="45D8126F" w14:textId="77777777" w:rsidR="007B3592" w:rsidRDefault="007B3592" w:rsidP="007B3592">
      <w:pPr>
        <w:pStyle w:val="Body"/>
        <w:spacing w:after="0"/>
        <w:rPr>
          <w:rFonts w:ascii="Arial" w:hAnsi="Arial" w:cs="Arial"/>
          <w:b/>
          <w:bCs/>
        </w:rPr>
      </w:pPr>
      <w:r w:rsidRPr="007B3592">
        <w:rPr>
          <w:rFonts w:ascii="Arial" w:hAnsi="Arial" w:cs="Arial"/>
          <w:b/>
          <w:bCs/>
        </w:rPr>
        <w:t>Table 1. Ethogram used for evaluating behaviors and postures observed in newly weaned piglets.</w:t>
      </w:r>
    </w:p>
    <w:p w14:paraId="4B9D2085" w14:textId="77777777" w:rsidR="003F41FC" w:rsidRPr="007B3592" w:rsidRDefault="003F41FC" w:rsidP="007B3592">
      <w:pPr>
        <w:pStyle w:val="Body"/>
        <w:spacing w:after="0"/>
        <w:rPr>
          <w:rFonts w:ascii="Arial" w:hAnsi="Arial" w:cs="Arial"/>
          <w:b/>
          <w:bCs/>
        </w:rPr>
      </w:pPr>
    </w:p>
    <w:p w14:paraId="5C0F37B3" w14:textId="77777777" w:rsidR="007B3592" w:rsidRPr="00817CE9" w:rsidRDefault="007B3592" w:rsidP="007B3592">
      <w:pPr>
        <w:pStyle w:val="Body"/>
        <w:spacing w:after="0"/>
        <w:rPr>
          <w:rFonts w:ascii="Arial" w:hAnsi="Arial" w:cs="Arial"/>
          <w:sz w:val="18"/>
          <w:szCs w:val="18"/>
        </w:rPr>
      </w:pPr>
      <w:r w:rsidRPr="007B3592">
        <w:rPr>
          <w:rFonts w:ascii="Arial" w:hAnsi="Arial" w:cs="Arial"/>
          <w:sz w:val="18"/>
          <w:szCs w:val="18"/>
        </w:rPr>
        <w:t xml:space="preserve">Adapted from Poletto et al. </w:t>
      </w:r>
      <w:r w:rsidRPr="00817CE9">
        <w:rPr>
          <w:rFonts w:ascii="Arial" w:hAnsi="Arial" w:cs="Arial"/>
          <w:sz w:val="18"/>
          <w:szCs w:val="18"/>
        </w:rPr>
        <w:t>(2014) and Morgan et al. (2014)</w:t>
      </w:r>
    </w:p>
    <w:p w14:paraId="3A9F768D" w14:textId="77777777" w:rsidR="002E45DC" w:rsidRPr="002E45DC" w:rsidRDefault="002E45DC" w:rsidP="002A01E9">
      <w:pPr>
        <w:pStyle w:val="Body"/>
        <w:spacing w:after="0"/>
        <w:rPr>
          <w:rFonts w:ascii="Arial" w:hAnsi="Arial" w:cs="Arial"/>
        </w:rPr>
      </w:pPr>
    </w:p>
    <w:p w14:paraId="1293C762" w14:textId="0C0A9B47"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2.7 </w:t>
      </w:r>
      <w:r w:rsidR="002E45DC" w:rsidRPr="005B2AE1">
        <w:rPr>
          <w:rFonts w:ascii="Arial" w:hAnsi="Arial" w:cs="Arial"/>
          <w:b/>
          <w:bCs/>
          <w:sz w:val="22"/>
          <w:szCs w:val="22"/>
        </w:rPr>
        <w:t xml:space="preserve">Behavioral assessment in newly weaned piglets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Experiment III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Behavioral recording</w:t>
      </w:r>
    </w:p>
    <w:p w14:paraId="4A54AB01" w14:textId="77777777" w:rsidR="002E45DC" w:rsidRPr="002E45DC" w:rsidRDefault="002E45DC" w:rsidP="002A01E9">
      <w:pPr>
        <w:pStyle w:val="Body"/>
        <w:spacing w:after="0"/>
        <w:rPr>
          <w:rFonts w:ascii="Arial" w:hAnsi="Arial" w:cs="Arial"/>
        </w:rPr>
      </w:pPr>
    </w:p>
    <w:p w14:paraId="2D312C3E" w14:textId="77777777" w:rsidR="002E45DC" w:rsidRPr="002E45DC" w:rsidRDefault="002E45DC" w:rsidP="002A01E9">
      <w:pPr>
        <w:pStyle w:val="Body"/>
        <w:spacing w:after="0"/>
        <w:rPr>
          <w:rFonts w:ascii="Arial" w:hAnsi="Arial" w:cs="Arial"/>
        </w:rPr>
      </w:pPr>
      <w:r w:rsidRPr="002E45DC">
        <w:rPr>
          <w:rFonts w:ascii="Arial" w:hAnsi="Arial" w:cs="Arial"/>
        </w:rPr>
        <w:t>The fourth weaning occurred in February 2020 using 32 piglets (</w:t>
      </w:r>
      <w:proofErr w:type="spellStart"/>
      <w:r w:rsidRPr="002E45DC">
        <w:rPr>
          <w:rFonts w:ascii="Arial" w:hAnsi="Arial" w:cs="Arial"/>
        </w:rPr>
        <w:t>i.e</w:t>
      </w:r>
      <w:proofErr w:type="spellEnd"/>
      <w:r w:rsidRPr="002E45DC">
        <w:rPr>
          <w:rFonts w:ascii="Arial" w:hAnsi="Arial" w:cs="Arial"/>
        </w:rPr>
        <w:t>, coming from 3 different matrices), divided into eight per group (N=8 and the useful area allocated to each animal was 0.75 m</w:t>
      </w:r>
      <w:r w:rsidRPr="002E45DC">
        <w:rPr>
          <w:rFonts w:ascii="Arial" w:hAnsi="Arial" w:cs="Arial" w:hint="eastAsia"/>
        </w:rPr>
        <w:t>²</w:t>
      </w:r>
      <w:r w:rsidRPr="002E45DC">
        <w:rPr>
          <w:rFonts w:ascii="Arial" w:hAnsi="Arial" w:cs="Arial"/>
        </w:rPr>
        <w:t>/piglet), randomly chosen. This experiment employed the ethogram (Table 1) developed from behavioral observations in Experiments I and II. In all evaluations, all animals were chosen randomly, in order to mix different litters in each group.</w:t>
      </w:r>
    </w:p>
    <w:p w14:paraId="527B090F" w14:textId="77777777" w:rsidR="002E45DC" w:rsidRPr="002E45DC" w:rsidRDefault="002E45DC" w:rsidP="002A01E9">
      <w:pPr>
        <w:pStyle w:val="Body"/>
        <w:spacing w:after="0"/>
        <w:rPr>
          <w:rFonts w:ascii="Arial" w:hAnsi="Arial" w:cs="Arial"/>
        </w:rPr>
      </w:pPr>
    </w:p>
    <w:p w14:paraId="551769AD" w14:textId="7B2591F9"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2.8 </w:t>
      </w:r>
      <w:r w:rsidR="002E45DC" w:rsidRPr="005B2AE1">
        <w:rPr>
          <w:rFonts w:ascii="Arial" w:hAnsi="Arial" w:cs="Arial"/>
          <w:b/>
          <w:bCs/>
          <w:sz w:val="22"/>
          <w:szCs w:val="22"/>
        </w:rPr>
        <w:t>Zootechnical performance assessment</w:t>
      </w:r>
    </w:p>
    <w:p w14:paraId="7E3DFAE5" w14:textId="77777777" w:rsidR="002E45DC" w:rsidRPr="002E45DC" w:rsidRDefault="002E45DC" w:rsidP="002A01E9">
      <w:pPr>
        <w:pStyle w:val="Body"/>
        <w:spacing w:after="0"/>
        <w:rPr>
          <w:rFonts w:ascii="Arial" w:hAnsi="Arial" w:cs="Arial"/>
        </w:rPr>
      </w:pPr>
    </w:p>
    <w:p w14:paraId="2ACF165C" w14:textId="77777777" w:rsidR="002E45DC" w:rsidRPr="002E45DC" w:rsidRDefault="002E45DC" w:rsidP="002A01E9">
      <w:pPr>
        <w:pStyle w:val="Body"/>
        <w:spacing w:after="0"/>
        <w:rPr>
          <w:rFonts w:ascii="Arial" w:hAnsi="Arial" w:cs="Arial"/>
        </w:rPr>
      </w:pPr>
      <w:r w:rsidRPr="002E45DC">
        <w:rPr>
          <w:rFonts w:ascii="Arial" w:hAnsi="Arial" w:cs="Arial"/>
        </w:rPr>
        <w:t>Zootechnical performance was evaluated from weaning until the end of the nursery phase (63 days of age) in Experiments II and III. Data collected included body weight, average daily gain (ADG), and mortality rate. Weighing was conducted on the day of weaning (initial weight) and on the day of nursery exit (final weight), with average litter weight recorded. Mortality rate was also determined, with cause of death recorded when identified. Routine management procedures followed UEA standards and were documented as supplementary information.</w:t>
      </w:r>
    </w:p>
    <w:p w14:paraId="659981F0" w14:textId="77777777" w:rsidR="002E45DC" w:rsidRPr="002E45DC" w:rsidRDefault="002E45DC" w:rsidP="002A01E9">
      <w:pPr>
        <w:pStyle w:val="Body"/>
        <w:spacing w:after="0"/>
        <w:rPr>
          <w:rFonts w:ascii="Arial" w:hAnsi="Arial" w:cs="Arial"/>
        </w:rPr>
      </w:pPr>
    </w:p>
    <w:p w14:paraId="4D1ACF12" w14:textId="29A39F82" w:rsidR="002E45DC" w:rsidRPr="005B2AE1" w:rsidRDefault="005B2AE1" w:rsidP="002A01E9">
      <w:pPr>
        <w:pStyle w:val="Body"/>
        <w:spacing w:after="0"/>
        <w:rPr>
          <w:rFonts w:ascii="Arial" w:hAnsi="Arial" w:cs="Arial"/>
          <w:b/>
          <w:bCs/>
          <w:sz w:val="22"/>
          <w:szCs w:val="22"/>
        </w:rPr>
      </w:pPr>
      <w:r w:rsidRPr="005B2AE1">
        <w:rPr>
          <w:rFonts w:ascii="Arial" w:hAnsi="Arial" w:cs="Arial"/>
          <w:b/>
          <w:bCs/>
          <w:sz w:val="22"/>
          <w:szCs w:val="22"/>
        </w:rPr>
        <w:t xml:space="preserve">2.9 </w:t>
      </w:r>
      <w:r w:rsidR="002E45DC" w:rsidRPr="005B2AE1">
        <w:rPr>
          <w:rFonts w:ascii="Arial" w:hAnsi="Arial" w:cs="Arial"/>
          <w:b/>
          <w:bCs/>
          <w:sz w:val="22"/>
          <w:szCs w:val="22"/>
        </w:rPr>
        <w:t>Statistical analysis</w:t>
      </w:r>
    </w:p>
    <w:p w14:paraId="1886BB2F" w14:textId="77777777" w:rsidR="002E45DC" w:rsidRPr="005B2AE1" w:rsidRDefault="002E45DC" w:rsidP="002A01E9">
      <w:pPr>
        <w:pStyle w:val="Body"/>
        <w:spacing w:after="0"/>
        <w:rPr>
          <w:rFonts w:ascii="Arial" w:hAnsi="Arial" w:cs="Arial"/>
          <w:b/>
          <w:bCs/>
          <w:sz w:val="22"/>
          <w:szCs w:val="22"/>
        </w:rPr>
      </w:pPr>
    </w:p>
    <w:p w14:paraId="13DAFC4E" w14:textId="190E73E9" w:rsidR="00E66E10" w:rsidRDefault="002E45DC" w:rsidP="002A01E9">
      <w:pPr>
        <w:pStyle w:val="Body"/>
        <w:spacing w:after="0"/>
        <w:rPr>
          <w:rFonts w:ascii="Arial" w:hAnsi="Arial" w:cs="Arial"/>
        </w:rPr>
      </w:pPr>
      <w:r w:rsidRPr="002E45DC">
        <w:rPr>
          <w:rFonts w:ascii="Arial" w:hAnsi="Arial" w:cs="Arial"/>
        </w:rPr>
        <w:t>Data were tested for normality using the Shapiro-Wilk test and for variance homogeneity using Bartlett</w:t>
      </w:r>
      <w:r w:rsidRPr="002E45DC">
        <w:rPr>
          <w:rFonts w:ascii="Arial" w:hAnsi="Arial" w:cs="Arial" w:hint="eastAsia"/>
        </w:rPr>
        <w:t>’</w:t>
      </w:r>
      <w:r w:rsidRPr="002E45DC">
        <w:rPr>
          <w:rFonts w:ascii="Arial" w:hAnsi="Arial" w:cs="Arial"/>
        </w:rPr>
        <w:t xml:space="preserve">s test. Lesion data were analyzed using the Kruskal-Wallis test followed by the Wilcoxon test for mean comparisons. Zootechnical indexes were analyzed using the F test. Behavioral variables were individually assessed using the Proportions test followed by the </w:t>
      </w:r>
      <w:r w:rsidRPr="002E45DC">
        <w:rPr>
          <w:rFonts w:ascii="Arial" w:hAnsi="Arial" w:cs="Arial" w:hint="eastAsia"/>
        </w:rPr>
        <w:t>χ²</w:t>
      </w:r>
      <w:r w:rsidRPr="002E45DC">
        <w:rPr>
          <w:rFonts w:ascii="Arial" w:hAnsi="Arial" w:cs="Arial"/>
        </w:rPr>
        <w:t xml:space="preserve"> Goodness-of-Fit test. All tests were conducted at a 5% significance level. Statistical analyses were performed using R Core Team (2020) and The </w:t>
      </w:r>
      <w:proofErr w:type="spellStart"/>
      <w:r w:rsidRPr="002E45DC">
        <w:rPr>
          <w:rFonts w:ascii="Arial" w:hAnsi="Arial" w:cs="Arial"/>
        </w:rPr>
        <w:t>Jamovi</w:t>
      </w:r>
      <w:proofErr w:type="spellEnd"/>
      <w:r w:rsidRPr="002E45DC">
        <w:rPr>
          <w:rFonts w:ascii="Arial" w:hAnsi="Arial" w:cs="Arial"/>
        </w:rPr>
        <w:t xml:space="preserve"> Project (2021).</w:t>
      </w:r>
    </w:p>
    <w:p w14:paraId="4738E928" w14:textId="77777777" w:rsidR="00790ADA" w:rsidRPr="00FB3A86" w:rsidRDefault="00790ADA" w:rsidP="00441B6F">
      <w:pPr>
        <w:pStyle w:val="Body"/>
        <w:spacing w:after="0"/>
        <w:rPr>
          <w:rFonts w:ascii="Arial" w:hAnsi="Arial" w:cs="Arial"/>
        </w:rPr>
      </w:pPr>
    </w:p>
    <w:p w14:paraId="6D556DC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1619216" w14:textId="77777777" w:rsidR="00790ADA" w:rsidRPr="00FB3A86" w:rsidRDefault="00790ADA" w:rsidP="00441B6F">
      <w:pPr>
        <w:pStyle w:val="Head1"/>
        <w:spacing w:after="0"/>
        <w:jc w:val="both"/>
        <w:rPr>
          <w:rFonts w:ascii="Arial" w:hAnsi="Arial" w:cs="Arial"/>
        </w:rPr>
      </w:pPr>
    </w:p>
    <w:p w14:paraId="780CB23A" w14:textId="77F50180" w:rsidR="00B437F9" w:rsidRDefault="00981F2D" w:rsidP="00981F2D">
      <w:pPr>
        <w:pStyle w:val="Body"/>
        <w:spacing w:after="0"/>
        <w:rPr>
          <w:rFonts w:ascii="Arial" w:hAnsi="Arial" w:cs="Arial"/>
          <w:b/>
          <w:bCs/>
          <w:sz w:val="22"/>
          <w:szCs w:val="22"/>
        </w:rPr>
      </w:pPr>
      <w:r w:rsidRPr="00CE7069">
        <w:rPr>
          <w:rFonts w:ascii="Arial" w:hAnsi="Arial" w:cs="Arial"/>
          <w:b/>
          <w:bCs/>
          <w:sz w:val="22"/>
          <w:szCs w:val="22"/>
        </w:rPr>
        <w:t>3.</w:t>
      </w:r>
      <w:r w:rsidR="00CE7069" w:rsidRPr="00CE7069">
        <w:rPr>
          <w:rFonts w:ascii="Arial" w:hAnsi="Arial" w:cs="Arial"/>
          <w:b/>
          <w:bCs/>
          <w:sz w:val="22"/>
          <w:szCs w:val="22"/>
        </w:rPr>
        <w:t xml:space="preserve">1 </w:t>
      </w:r>
      <w:r w:rsidR="00B437F9">
        <w:rPr>
          <w:rFonts w:ascii="Arial" w:hAnsi="Arial" w:cs="Arial"/>
          <w:b/>
          <w:bCs/>
          <w:sz w:val="22"/>
          <w:szCs w:val="22"/>
        </w:rPr>
        <w:t>Results</w:t>
      </w:r>
    </w:p>
    <w:p w14:paraId="090906A2" w14:textId="77777777" w:rsidR="00515D87" w:rsidRDefault="00515D87" w:rsidP="00981F2D">
      <w:pPr>
        <w:pStyle w:val="Body"/>
        <w:spacing w:after="0"/>
        <w:rPr>
          <w:rFonts w:ascii="Arial" w:hAnsi="Arial" w:cs="Arial"/>
          <w:b/>
          <w:bCs/>
          <w:sz w:val="22"/>
          <w:szCs w:val="22"/>
        </w:rPr>
      </w:pPr>
    </w:p>
    <w:p w14:paraId="3698B3B0" w14:textId="65FE4873" w:rsidR="00981F2D" w:rsidRPr="00F2070C" w:rsidRDefault="00515D87" w:rsidP="00981F2D">
      <w:pPr>
        <w:pStyle w:val="Body"/>
        <w:spacing w:after="0"/>
        <w:rPr>
          <w:rFonts w:ascii="Arial" w:hAnsi="Arial" w:cs="Arial"/>
          <w:b/>
          <w:bCs/>
          <w:u w:val="single"/>
        </w:rPr>
      </w:pPr>
      <w:r w:rsidRPr="00F2070C">
        <w:rPr>
          <w:rFonts w:ascii="Arial" w:hAnsi="Arial" w:cs="Arial"/>
          <w:b/>
          <w:bCs/>
          <w:u w:val="single"/>
        </w:rPr>
        <w:t xml:space="preserve">3.1.1 </w:t>
      </w:r>
      <w:r w:rsidR="00981F2D" w:rsidRPr="00F2070C">
        <w:rPr>
          <w:rFonts w:ascii="Arial" w:hAnsi="Arial" w:cs="Arial"/>
          <w:b/>
          <w:bCs/>
          <w:u w:val="single"/>
        </w:rPr>
        <w:t xml:space="preserve">Chemical composition of </w:t>
      </w:r>
      <w:r w:rsidR="00981F2D" w:rsidRPr="00F2070C">
        <w:rPr>
          <w:rFonts w:ascii="Arial" w:hAnsi="Arial" w:cs="Arial"/>
          <w:b/>
          <w:bCs/>
          <w:i/>
          <w:iCs/>
          <w:u w:val="single"/>
        </w:rPr>
        <w:t xml:space="preserve">Cymbopogon </w:t>
      </w:r>
      <w:proofErr w:type="spellStart"/>
      <w:r w:rsidR="00981F2D" w:rsidRPr="00F2070C">
        <w:rPr>
          <w:rFonts w:ascii="Arial" w:hAnsi="Arial" w:cs="Arial"/>
          <w:b/>
          <w:bCs/>
          <w:i/>
          <w:iCs/>
          <w:u w:val="single"/>
        </w:rPr>
        <w:t>citratus</w:t>
      </w:r>
      <w:proofErr w:type="spellEnd"/>
      <w:r w:rsidR="00981F2D" w:rsidRPr="00F2070C">
        <w:rPr>
          <w:rFonts w:ascii="Arial" w:hAnsi="Arial" w:cs="Arial"/>
          <w:b/>
          <w:bCs/>
          <w:u w:val="single"/>
        </w:rPr>
        <w:t xml:space="preserve"> essential oil</w:t>
      </w:r>
    </w:p>
    <w:p w14:paraId="1B324799" w14:textId="77777777" w:rsidR="00981F2D" w:rsidRPr="00981F2D" w:rsidRDefault="00981F2D" w:rsidP="00981F2D">
      <w:pPr>
        <w:pStyle w:val="Body"/>
        <w:spacing w:after="0"/>
        <w:rPr>
          <w:rFonts w:ascii="Arial" w:hAnsi="Arial" w:cs="Arial"/>
        </w:rPr>
      </w:pPr>
    </w:p>
    <w:p w14:paraId="72F17832" w14:textId="77777777" w:rsidR="00981F2D" w:rsidRPr="00981F2D" w:rsidRDefault="00981F2D" w:rsidP="00981F2D">
      <w:pPr>
        <w:pStyle w:val="Body"/>
        <w:spacing w:after="0"/>
        <w:rPr>
          <w:rFonts w:ascii="Arial" w:hAnsi="Arial" w:cs="Arial"/>
        </w:rPr>
      </w:pPr>
      <w:r w:rsidRPr="00981F2D">
        <w:rPr>
          <w:rFonts w:ascii="Arial" w:hAnsi="Arial" w:cs="Arial"/>
        </w:rPr>
        <w:t xml:space="preserve">The CCEO is predominantly composed (95.31%) of three components: Geranial, Neral, and </w:t>
      </w:r>
      <w:r w:rsidRPr="00981F2D">
        <w:rPr>
          <w:rFonts w:ascii="Arial" w:hAnsi="Arial" w:cs="Arial" w:hint="eastAsia"/>
        </w:rPr>
        <w:t>β</w:t>
      </w:r>
      <w:r w:rsidRPr="00981F2D">
        <w:rPr>
          <w:rFonts w:ascii="Arial" w:hAnsi="Arial" w:cs="Arial"/>
        </w:rPr>
        <w:t>-Myrcene (Table 2). Within this high percentage, Citral (Neral + Geranial) accounts for 87.53%.</w:t>
      </w:r>
    </w:p>
    <w:p w14:paraId="349CF82C" w14:textId="77777777" w:rsidR="00981F2D" w:rsidRPr="00890FFC" w:rsidRDefault="00981F2D" w:rsidP="00981F2D">
      <w:pPr>
        <w:pStyle w:val="Body"/>
        <w:spacing w:after="0"/>
        <w:rPr>
          <w:rFonts w:ascii="Arial" w:hAnsi="Arial" w:cs="Arial"/>
          <w:b/>
          <w:bCs/>
        </w:rPr>
      </w:pPr>
    </w:p>
    <w:p w14:paraId="0318BD2C" w14:textId="77777777" w:rsidR="00890FFC" w:rsidRDefault="00890FFC" w:rsidP="001D0E67">
      <w:pPr>
        <w:pStyle w:val="Body"/>
        <w:spacing w:after="0"/>
        <w:rPr>
          <w:rFonts w:ascii="Arial" w:hAnsi="Arial" w:cs="Arial"/>
          <w:b/>
          <w:bCs/>
        </w:rPr>
      </w:pPr>
      <w:r w:rsidRPr="00890FFC">
        <w:rPr>
          <w:rFonts w:ascii="Arial" w:hAnsi="Arial" w:cs="Arial"/>
          <w:b/>
          <w:bCs/>
        </w:rPr>
        <w:t xml:space="preserve">Table 2. Chemical composition of </w:t>
      </w:r>
      <w:r w:rsidRPr="00890FFC">
        <w:rPr>
          <w:rFonts w:ascii="Arial" w:hAnsi="Arial" w:cs="Arial"/>
          <w:b/>
          <w:bCs/>
          <w:i/>
          <w:iCs/>
        </w:rPr>
        <w:t xml:space="preserve">Cymbopogon </w:t>
      </w:r>
      <w:proofErr w:type="spellStart"/>
      <w:r w:rsidRPr="00890FFC">
        <w:rPr>
          <w:rFonts w:ascii="Arial" w:hAnsi="Arial" w:cs="Arial"/>
          <w:b/>
          <w:bCs/>
          <w:i/>
          <w:iCs/>
        </w:rPr>
        <w:t>citratus</w:t>
      </w:r>
      <w:proofErr w:type="spellEnd"/>
      <w:r w:rsidRPr="00890FFC">
        <w:rPr>
          <w:rFonts w:ascii="Arial" w:hAnsi="Arial" w:cs="Arial"/>
          <w:b/>
          <w:bCs/>
        </w:rPr>
        <w:t xml:space="preserve"> essential oil.</w:t>
      </w:r>
    </w:p>
    <w:p w14:paraId="086940A7" w14:textId="77777777" w:rsidR="001D0E67" w:rsidRPr="00890FFC" w:rsidRDefault="001D0E67" w:rsidP="001D0E67">
      <w:pPr>
        <w:pStyle w:val="Body"/>
        <w:spacing w:after="0"/>
        <w:rPr>
          <w:rFonts w:ascii="Arial" w:hAnsi="Arial" w:cs="Arial"/>
          <w:b/>
          <w:bCs/>
        </w:rPr>
      </w:pPr>
    </w:p>
    <w:tbl>
      <w:tblPr>
        <w:tblW w:w="5000" w:type="pct"/>
        <w:jc w:val="center"/>
        <w:tblLayout w:type="fixed"/>
        <w:tblCellMar>
          <w:left w:w="10" w:type="dxa"/>
          <w:right w:w="10" w:type="dxa"/>
        </w:tblCellMar>
        <w:tblLook w:val="04A0" w:firstRow="1" w:lastRow="0" w:firstColumn="1" w:lastColumn="0" w:noHBand="0" w:noVBand="1"/>
      </w:tblPr>
      <w:tblGrid>
        <w:gridCol w:w="3633"/>
        <w:gridCol w:w="1966"/>
        <w:gridCol w:w="1381"/>
        <w:gridCol w:w="4036"/>
      </w:tblGrid>
      <w:tr w:rsidR="00890FFC" w:rsidRPr="00890FFC" w14:paraId="5291EC09" w14:textId="77777777" w:rsidTr="001D0E67">
        <w:trPr>
          <w:trHeight w:val="485"/>
          <w:jc w:val="center"/>
        </w:trPr>
        <w:tc>
          <w:tcPr>
            <w:tcW w:w="2804" w:type="dxa"/>
            <w:tcBorders>
              <w:top w:val="single" w:sz="4" w:space="0" w:color="000000"/>
              <w:bottom w:val="single" w:sz="4" w:space="0" w:color="000000"/>
            </w:tcBorders>
            <w:tcMar>
              <w:top w:w="0" w:type="dxa"/>
              <w:left w:w="108" w:type="dxa"/>
              <w:bottom w:w="0" w:type="dxa"/>
              <w:right w:w="108" w:type="dxa"/>
            </w:tcMar>
          </w:tcPr>
          <w:p w14:paraId="671DF9DA"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Components</w:t>
            </w:r>
          </w:p>
        </w:tc>
        <w:tc>
          <w:tcPr>
            <w:tcW w:w="1518" w:type="dxa"/>
            <w:tcBorders>
              <w:top w:val="single" w:sz="4" w:space="0" w:color="000000"/>
              <w:bottom w:val="single" w:sz="4" w:space="0" w:color="000000"/>
            </w:tcBorders>
            <w:tcMar>
              <w:top w:w="0" w:type="dxa"/>
              <w:left w:w="108" w:type="dxa"/>
              <w:bottom w:w="0" w:type="dxa"/>
              <w:right w:w="108" w:type="dxa"/>
            </w:tcMar>
          </w:tcPr>
          <w:p w14:paraId="04071B3C"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RIc</w:t>
            </w:r>
          </w:p>
        </w:tc>
        <w:tc>
          <w:tcPr>
            <w:tcW w:w="1066" w:type="dxa"/>
            <w:tcBorders>
              <w:top w:val="single" w:sz="4" w:space="0" w:color="000000"/>
              <w:bottom w:val="single" w:sz="4" w:space="0" w:color="000000"/>
            </w:tcBorders>
            <w:tcMar>
              <w:top w:w="0" w:type="dxa"/>
              <w:left w:w="108" w:type="dxa"/>
              <w:bottom w:w="0" w:type="dxa"/>
              <w:right w:w="108" w:type="dxa"/>
            </w:tcMar>
          </w:tcPr>
          <w:p w14:paraId="1FAC7AA8"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RIi</w:t>
            </w:r>
          </w:p>
        </w:tc>
        <w:tc>
          <w:tcPr>
            <w:tcW w:w="3116" w:type="dxa"/>
            <w:tcBorders>
              <w:top w:val="single" w:sz="4" w:space="0" w:color="000000"/>
              <w:bottom w:val="single" w:sz="4" w:space="0" w:color="000000"/>
            </w:tcBorders>
            <w:tcMar>
              <w:top w:w="0" w:type="dxa"/>
              <w:left w:w="108" w:type="dxa"/>
              <w:bottom w:w="0" w:type="dxa"/>
              <w:right w:w="108" w:type="dxa"/>
            </w:tcMar>
          </w:tcPr>
          <w:p w14:paraId="36EA38CD" w14:textId="77777777" w:rsidR="00890FFC" w:rsidRPr="00890FFC" w:rsidRDefault="00890FFC" w:rsidP="001D0E67">
            <w:pPr>
              <w:pStyle w:val="Body"/>
              <w:spacing w:after="0"/>
              <w:rPr>
                <w:rFonts w:ascii="Arial" w:hAnsi="Arial" w:cs="Arial"/>
                <w:lang w:val="pt-BR"/>
              </w:rPr>
            </w:pPr>
            <w:r w:rsidRPr="00890FFC">
              <w:rPr>
                <w:rFonts w:ascii="Arial" w:hAnsi="Arial" w:cs="Arial"/>
                <w:b/>
                <w:i/>
                <w:lang w:val="pt-BR"/>
              </w:rPr>
              <w:t xml:space="preserve">Cymbopogon citratus </w:t>
            </w:r>
            <w:r w:rsidRPr="00890FFC">
              <w:rPr>
                <w:rFonts w:ascii="Arial" w:hAnsi="Arial" w:cs="Arial"/>
                <w:b/>
                <w:lang w:val="pt-BR"/>
              </w:rPr>
              <w:t>(%)</w:t>
            </w:r>
          </w:p>
        </w:tc>
      </w:tr>
      <w:tr w:rsidR="00890FFC" w:rsidRPr="00890FFC" w14:paraId="0A14A3EB" w14:textId="77777777" w:rsidTr="001D0E67">
        <w:trPr>
          <w:trHeight w:val="235"/>
          <w:jc w:val="center"/>
        </w:trPr>
        <w:tc>
          <w:tcPr>
            <w:tcW w:w="2804" w:type="dxa"/>
            <w:tcBorders>
              <w:top w:val="single" w:sz="4" w:space="0" w:color="000000"/>
            </w:tcBorders>
            <w:tcMar>
              <w:top w:w="0" w:type="dxa"/>
              <w:left w:w="108" w:type="dxa"/>
              <w:bottom w:w="0" w:type="dxa"/>
              <w:right w:w="108" w:type="dxa"/>
            </w:tcMar>
          </w:tcPr>
          <w:p w14:paraId="4318EDC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6-Methyl-5-heptene-2-one</w:t>
            </w:r>
          </w:p>
        </w:tc>
        <w:tc>
          <w:tcPr>
            <w:tcW w:w="1518" w:type="dxa"/>
            <w:tcBorders>
              <w:top w:val="single" w:sz="4" w:space="0" w:color="000000"/>
            </w:tcBorders>
            <w:tcMar>
              <w:top w:w="0" w:type="dxa"/>
              <w:left w:w="108" w:type="dxa"/>
              <w:bottom w:w="0" w:type="dxa"/>
              <w:right w:w="108" w:type="dxa"/>
            </w:tcMar>
            <w:vAlign w:val="bottom"/>
          </w:tcPr>
          <w:p w14:paraId="2E66192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984</w:t>
            </w:r>
          </w:p>
        </w:tc>
        <w:tc>
          <w:tcPr>
            <w:tcW w:w="1066" w:type="dxa"/>
            <w:tcBorders>
              <w:top w:val="single" w:sz="4" w:space="0" w:color="000000"/>
            </w:tcBorders>
            <w:tcMar>
              <w:top w:w="0" w:type="dxa"/>
              <w:left w:w="108" w:type="dxa"/>
              <w:bottom w:w="0" w:type="dxa"/>
              <w:right w:w="108" w:type="dxa"/>
            </w:tcMar>
            <w:vAlign w:val="bottom"/>
          </w:tcPr>
          <w:p w14:paraId="1DE083D4"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986</w:t>
            </w:r>
          </w:p>
        </w:tc>
        <w:tc>
          <w:tcPr>
            <w:tcW w:w="3116" w:type="dxa"/>
            <w:tcBorders>
              <w:top w:val="single" w:sz="4" w:space="0" w:color="000000"/>
            </w:tcBorders>
            <w:tcMar>
              <w:top w:w="0" w:type="dxa"/>
              <w:left w:w="108" w:type="dxa"/>
              <w:bottom w:w="0" w:type="dxa"/>
              <w:right w:w="108" w:type="dxa"/>
            </w:tcMar>
            <w:vAlign w:val="bottom"/>
          </w:tcPr>
          <w:p w14:paraId="492E237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0.90</w:t>
            </w:r>
          </w:p>
        </w:tc>
      </w:tr>
      <w:tr w:rsidR="00890FFC" w:rsidRPr="00890FFC" w14:paraId="110354CB" w14:textId="77777777" w:rsidTr="001D0E67">
        <w:trPr>
          <w:trHeight w:val="235"/>
          <w:jc w:val="center"/>
        </w:trPr>
        <w:tc>
          <w:tcPr>
            <w:tcW w:w="2804" w:type="dxa"/>
            <w:tcMar>
              <w:top w:w="0" w:type="dxa"/>
              <w:left w:w="108" w:type="dxa"/>
              <w:bottom w:w="0" w:type="dxa"/>
              <w:right w:w="108" w:type="dxa"/>
            </w:tcMar>
          </w:tcPr>
          <w:p w14:paraId="54E12D9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β-Myrcene</w:t>
            </w:r>
          </w:p>
        </w:tc>
        <w:tc>
          <w:tcPr>
            <w:tcW w:w="1518" w:type="dxa"/>
            <w:tcMar>
              <w:top w:w="0" w:type="dxa"/>
              <w:left w:w="108" w:type="dxa"/>
              <w:bottom w:w="0" w:type="dxa"/>
              <w:right w:w="108" w:type="dxa"/>
            </w:tcMar>
            <w:vAlign w:val="bottom"/>
          </w:tcPr>
          <w:p w14:paraId="5D9F9F3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989</w:t>
            </w:r>
          </w:p>
        </w:tc>
        <w:tc>
          <w:tcPr>
            <w:tcW w:w="1066" w:type="dxa"/>
            <w:tcMar>
              <w:top w:w="0" w:type="dxa"/>
              <w:left w:w="108" w:type="dxa"/>
              <w:bottom w:w="0" w:type="dxa"/>
              <w:right w:w="108" w:type="dxa"/>
            </w:tcMar>
            <w:vAlign w:val="bottom"/>
          </w:tcPr>
          <w:p w14:paraId="4FAB4616"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989</w:t>
            </w:r>
          </w:p>
        </w:tc>
        <w:tc>
          <w:tcPr>
            <w:tcW w:w="3116" w:type="dxa"/>
            <w:tcMar>
              <w:top w:w="0" w:type="dxa"/>
              <w:left w:w="108" w:type="dxa"/>
              <w:bottom w:w="0" w:type="dxa"/>
              <w:right w:w="108" w:type="dxa"/>
            </w:tcMar>
            <w:vAlign w:val="bottom"/>
          </w:tcPr>
          <w:p w14:paraId="78AC9CAB"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7.78</w:t>
            </w:r>
          </w:p>
        </w:tc>
      </w:tr>
      <w:tr w:rsidR="00890FFC" w:rsidRPr="00890FFC" w14:paraId="72041A45" w14:textId="77777777" w:rsidTr="001D0E67">
        <w:trPr>
          <w:trHeight w:val="235"/>
          <w:jc w:val="center"/>
        </w:trPr>
        <w:tc>
          <w:tcPr>
            <w:tcW w:w="2804" w:type="dxa"/>
            <w:tcMar>
              <w:top w:w="0" w:type="dxa"/>
              <w:left w:w="108" w:type="dxa"/>
              <w:bottom w:w="0" w:type="dxa"/>
              <w:right w:w="108" w:type="dxa"/>
            </w:tcMar>
          </w:tcPr>
          <w:p w14:paraId="47D8AF36"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Linalool</w:t>
            </w:r>
          </w:p>
        </w:tc>
        <w:tc>
          <w:tcPr>
            <w:tcW w:w="1518" w:type="dxa"/>
            <w:tcMar>
              <w:top w:w="0" w:type="dxa"/>
              <w:left w:w="108" w:type="dxa"/>
              <w:bottom w:w="0" w:type="dxa"/>
              <w:right w:w="108" w:type="dxa"/>
            </w:tcMar>
            <w:vAlign w:val="bottom"/>
          </w:tcPr>
          <w:p w14:paraId="5EC67EA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1100</w:t>
            </w:r>
          </w:p>
        </w:tc>
        <w:tc>
          <w:tcPr>
            <w:tcW w:w="1066" w:type="dxa"/>
            <w:tcMar>
              <w:top w:w="0" w:type="dxa"/>
              <w:left w:w="108" w:type="dxa"/>
              <w:bottom w:w="0" w:type="dxa"/>
              <w:right w:w="108" w:type="dxa"/>
            </w:tcMar>
            <w:vAlign w:val="bottom"/>
          </w:tcPr>
          <w:p w14:paraId="7FF6F82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1100</w:t>
            </w:r>
          </w:p>
        </w:tc>
        <w:tc>
          <w:tcPr>
            <w:tcW w:w="3116" w:type="dxa"/>
            <w:tcMar>
              <w:top w:w="0" w:type="dxa"/>
              <w:left w:w="108" w:type="dxa"/>
              <w:bottom w:w="0" w:type="dxa"/>
              <w:right w:w="108" w:type="dxa"/>
            </w:tcMar>
            <w:vAlign w:val="bottom"/>
          </w:tcPr>
          <w:p w14:paraId="409A1428"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0.58</w:t>
            </w:r>
          </w:p>
        </w:tc>
      </w:tr>
      <w:tr w:rsidR="00890FFC" w:rsidRPr="00890FFC" w14:paraId="72FB4BFA" w14:textId="77777777" w:rsidTr="001D0E67">
        <w:trPr>
          <w:trHeight w:val="235"/>
          <w:jc w:val="center"/>
        </w:trPr>
        <w:tc>
          <w:tcPr>
            <w:tcW w:w="2804" w:type="dxa"/>
            <w:tcMar>
              <w:top w:w="0" w:type="dxa"/>
              <w:left w:w="108" w:type="dxa"/>
              <w:bottom w:w="0" w:type="dxa"/>
              <w:right w:w="108" w:type="dxa"/>
            </w:tcMar>
          </w:tcPr>
          <w:p w14:paraId="2270BDC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Neral</w:t>
            </w:r>
          </w:p>
        </w:tc>
        <w:tc>
          <w:tcPr>
            <w:tcW w:w="1518" w:type="dxa"/>
            <w:tcMar>
              <w:top w:w="0" w:type="dxa"/>
              <w:left w:w="108" w:type="dxa"/>
              <w:bottom w:w="0" w:type="dxa"/>
              <w:right w:w="108" w:type="dxa"/>
            </w:tcMar>
            <w:vAlign w:val="bottom"/>
          </w:tcPr>
          <w:p w14:paraId="5A2E61A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1239</w:t>
            </w:r>
          </w:p>
        </w:tc>
        <w:tc>
          <w:tcPr>
            <w:tcW w:w="1066" w:type="dxa"/>
            <w:tcMar>
              <w:top w:w="0" w:type="dxa"/>
              <w:left w:w="108" w:type="dxa"/>
              <w:bottom w:w="0" w:type="dxa"/>
              <w:right w:w="108" w:type="dxa"/>
            </w:tcMar>
            <w:vAlign w:val="bottom"/>
          </w:tcPr>
          <w:p w14:paraId="4065FB8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1240</w:t>
            </w:r>
          </w:p>
        </w:tc>
        <w:tc>
          <w:tcPr>
            <w:tcW w:w="3116" w:type="dxa"/>
            <w:tcMar>
              <w:top w:w="0" w:type="dxa"/>
              <w:left w:w="108" w:type="dxa"/>
              <w:bottom w:w="0" w:type="dxa"/>
              <w:right w:w="108" w:type="dxa"/>
            </w:tcMar>
            <w:vAlign w:val="bottom"/>
          </w:tcPr>
          <w:p w14:paraId="236EF6B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35.57</w:t>
            </w:r>
          </w:p>
        </w:tc>
      </w:tr>
      <w:tr w:rsidR="00890FFC" w:rsidRPr="00890FFC" w14:paraId="33117A6E" w14:textId="77777777" w:rsidTr="001D0E67">
        <w:trPr>
          <w:trHeight w:val="235"/>
          <w:jc w:val="center"/>
        </w:trPr>
        <w:tc>
          <w:tcPr>
            <w:tcW w:w="2804" w:type="dxa"/>
            <w:tcMar>
              <w:top w:w="0" w:type="dxa"/>
              <w:left w:w="108" w:type="dxa"/>
              <w:bottom w:w="0" w:type="dxa"/>
              <w:right w:w="108" w:type="dxa"/>
            </w:tcMar>
          </w:tcPr>
          <w:p w14:paraId="2D9EA7F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D-Carvone</w:t>
            </w:r>
          </w:p>
        </w:tc>
        <w:tc>
          <w:tcPr>
            <w:tcW w:w="1518" w:type="dxa"/>
            <w:tcMar>
              <w:top w:w="0" w:type="dxa"/>
              <w:left w:w="108" w:type="dxa"/>
              <w:bottom w:w="0" w:type="dxa"/>
              <w:right w:w="108" w:type="dxa"/>
            </w:tcMar>
            <w:vAlign w:val="bottom"/>
          </w:tcPr>
          <w:p w14:paraId="3A9D6E3E"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1246</w:t>
            </w:r>
          </w:p>
        </w:tc>
        <w:tc>
          <w:tcPr>
            <w:tcW w:w="1066" w:type="dxa"/>
            <w:tcMar>
              <w:top w:w="0" w:type="dxa"/>
              <w:left w:w="108" w:type="dxa"/>
              <w:bottom w:w="0" w:type="dxa"/>
              <w:right w:w="108" w:type="dxa"/>
            </w:tcMar>
            <w:vAlign w:val="bottom"/>
          </w:tcPr>
          <w:p w14:paraId="449B020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1246</w:t>
            </w:r>
          </w:p>
        </w:tc>
        <w:tc>
          <w:tcPr>
            <w:tcW w:w="3116" w:type="dxa"/>
            <w:tcMar>
              <w:top w:w="0" w:type="dxa"/>
              <w:left w:w="108" w:type="dxa"/>
              <w:bottom w:w="0" w:type="dxa"/>
              <w:right w:w="108" w:type="dxa"/>
            </w:tcMar>
            <w:vAlign w:val="bottom"/>
          </w:tcPr>
          <w:p w14:paraId="09A8FD7E"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0.65</w:t>
            </w:r>
          </w:p>
        </w:tc>
      </w:tr>
      <w:tr w:rsidR="00890FFC" w:rsidRPr="00890FFC" w14:paraId="20658207" w14:textId="77777777" w:rsidTr="001D0E67">
        <w:trPr>
          <w:trHeight w:val="235"/>
          <w:jc w:val="center"/>
        </w:trPr>
        <w:tc>
          <w:tcPr>
            <w:tcW w:w="2804" w:type="dxa"/>
            <w:tcMar>
              <w:top w:w="0" w:type="dxa"/>
              <w:left w:w="108" w:type="dxa"/>
              <w:bottom w:w="0" w:type="dxa"/>
              <w:right w:w="108" w:type="dxa"/>
            </w:tcMar>
          </w:tcPr>
          <w:p w14:paraId="4092958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Geraniol</w:t>
            </w:r>
          </w:p>
        </w:tc>
        <w:tc>
          <w:tcPr>
            <w:tcW w:w="1518" w:type="dxa"/>
            <w:tcMar>
              <w:top w:w="0" w:type="dxa"/>
              <w:left w:w="108" w:type="dxa"/>
              <w:bottom w:w="0" w:type="dxa"/>
              <w:right w:w="108" w:type="dxa"/>
            </w:tcMar>
            <w:vAlign w:val="bottom"/>
          </w:tcPr>
          <w:p w14:paraId="527ED4B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1251</w:t>
            </w:r>
          </w:p>
        </w:tc>
        <w:tc>
          <w:tcPr>
            <w:tcW w:w="1066" w:type="dxa"/>
            <w:tcMar>
              <w:top w:w="0" w:type="dxa"/>
              <w:left w:w="108" w:type="dxa"/>
              <w:bottom w:w="0" w:type="dxa"/>
              <w:right w:w="108" w:type="dxa"/>
            </w:tcMar>
            <w:vAlign w:val="bottom"/>
          </w:tcPr>
          <w:p w14:paraId="66B2B882"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1249</w:t>
            </w:r>
          </w:p>
        </w:tc>
        <w:tc>
          <w:tcPr>
            <w:tcW w:w="3116" w:type="dxa"/>
            <w:tcMar>
              <w:top w:w="0" w:type="dxa"/>
              <w:left w:w="108" w:type="dxa"/>
              <w:bottom w:w="0" w:type="dxa"/>
              <w:right w:w="108" w:type="dxa"/>
            </w:tcMar>
            <w:vAlign w:val="bottom"/>
          </w:tcPr>
          <w:p w14:paraId="715D392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1.79</w:t>
            </w:r>
          </w:p>
        </w:tc>
      </w:tr>
      <w:tr w:rsidR="00890FFC" w:rsidRPr="00890FFC" w14:paraId="3399C2ED" w14:textId="77777777" w:rsidTr="001D0E67">
        <w:trPr>
          <w:trHeight w:val="235"/>
          <w:jc w:val="center"/>
        </w:trPr>
        <w:tc>
          <w:tcPr>
            <w:tcW w:w="2804" w:type="dxa"/>
            <w:tcMar>
              <w:top w:w="0" w:type="dxa"/>
              <w:left w:w="108" w:type="dxa"/>
              <w:bottom w:w="0" w:type="dxa"/>
              <w:right w:w="108" w:type="dxa"/>
            </w:tcMar>
          </w:tcPr>
          <w:p w14:paraId="713A14B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Geranial</w:t>
            </w:r>
          </w:p>
        </w:tc>
        <w:tc>
          <w:tcPr>
            <w:tcW w:w="1518" w:type="dxa"/>
            <w:tcMar>
              <w:top w:w="0" w:type="dxa"/>
              <w:left w:w="108" w:type="dxa"/>
              <w:bottom w:w="0" w:type="dxa"/>
              <w:right w:w="108" w:type="dxa"/>
            </w:tcMar>
            <w:vAlign w:val="bottom"/>
          </w:tcPr>
          <w:p w14:paraId="5C38B572"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1268</w:t>
            </w:r>
          </w:p>
        </w:tc>
        <w:tc>
          <w:tcPr>
            <w:tcW w:w="1066" w:type="dxa"/>
            <w:tcMar>
              <w:top w:w="0" w:type="dxa"/>
              <w:left w:w="108" w:type="dxa"/>
              <w:bottom w:w="0" w:type="dxa"/>
              <w:right w:w="108" w:type="dxa"/>
            </w:tcMar>
            <w:vAlign w:val="bottom"/>
          </w:tcPr>
          <w:p w14:paraId="0695CD08" w14:textId="77777777" w:rsidR="00890FFC" w:rsidRPr="00890FFC" w:rsidRDefault="00890FFC" w:rsidP="001D0E67">
            <w:pPr>
              <w:pStyle w:val="Body"/>
              <w:spacing w:after="0"/>
              <w:rPr>
                <w:rFonts w:ascii="Arial" w:hAnsi="Arial" w:cs="Arial"/>
                <w:lang w:val="pt-BR"/>
              </w:rPr>
            </w:pPr>
            <w:r w:rsidRPr="00890FFC">
              <w:rPr>
                <w:rFonts w:ascii="Arial" w:hAnsi="Arial" w:cs="Arial"/>
              </w:rPr>
              <w:t>1271</w:t>
            </w:r>
          </w:p>
        </w:tc>
        <w:tc>
          <w:tcPr>
            <w:tcW w:w="3116" w:type="dxa"/>
            <w:tcMar>
              <w:top w:w="0" w:type="dxa"/>
              <w:left w:w="108" w:type="dxa"/>
              <w:bottom w:w="0" w:type="dxa"/>
              <w:right w:w="108" w:type="dxa"/>
            </w:tcMar>
            <w:vAlign w:val="bottom"/>
          </w:tcPr>
          <w:p w14:paraId="3BE74DA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51.96</w:t>
            </w:r>
          </w:p>
        </w:tc>
      </w:tr>
      <w:tr w:rsidR="00890FFC" w:rsidRPr="00890FFC" w14:paraId="36A4D3F4" w14:textId="77777777" w:rsidTr="001D0E67">
        <w:trPr>
          <w:trHeight w:val="235"/>
          <w:jc w:val="center"/>
        </w:trPr>
        <w:tc>
          <w:tcPr>
            <w:tcW w:w="2804" w:type="dxa"/>
            <w:tcMar>
              <w:top w:w="0" w:type="dxa"/>
              <w:left w:w="108" w:type="dxa"/>
              <w:bottom w:w="0" w:type="dxa"/>
              <w:right w:w="108" w:type="dxa"/>
            </w:tcMar>
          </w:tcPr>
          <w:p w14:paraId="2CD7C2B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2-Undecanone</w:t>
            </w:r>
          </w:p>
        </w:tc>
        <w:tc>
          <w:tcPr>
            <w:tcW w:w="1518" w:type="dxa"/>
            <w:tcMar>
              <w:top w:w="0" w:type="dxa"/>
              <w:left w:w="108" w:type="dxa"/>
              <w:bottom w:w="0" w:type="dxa"/>
              <w:right w:w="108" w:type="dxa"/>
            </w:tcMar>
            <w:vAlign w:val="bottom"/>
          </w:tcPr>
          <w:p w14:paraId="6C56687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1293</w:t>
            </w:r>
          </w:p>
        </w:tc>
        <w:tc>
          <w:tcPr>
            <w:tcW w:w="1066" w:type="dxa"/>
            <w:tcMar>
              <w:top w:w="0" w:type="dxa"/>
              <w:left w:w="108" w:type="dxa"/>
              <w:bottom w:w="0" w:type="dxa"/>
              <w:right w:w="108" w:type="dxa"/>
            </w:tcMar>
            <w:vAlign w:val="bottom"/>
          </w:tcPr>
          <w:p w14:paraId="49F2394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1292</w:t>
            </w:r>
          </w:p>
        </w:tc>
        <w:tc>
          <w:tcPr>
            <w:tcW w:w="3116" w:type="dxa"/>
            <w:tcMar>
              <w:top w:w="0" w:type="dxa"/>
              <w:left w:w="108" w:type="dxa"/>
              <w:bottom w:w="0" w:type="dxa"/>
              <w:right w:w="108" w:type="dxa"/>
            </w:tcMar>
            <w:vAlign w:val="bottom"/>
          </w:tcPr>
          <w:p w14:paraId="6C8B4A0D"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0.77</w:t>
            </w:r>
          </w:p>
        </w:tc>
      </w:tr>
      <w:tr w:rsidR="00890FFC" w:rsidRPr="00890FFC" w14:paraId="23063D4D" w14:textId="77777777" w:rsidTr="001D0E67">
        <w:trPr>
          <w:trHeight w:val="235"/>
          <w:jc w:val="center"/>
        </w:trPr>
        <w:tc>
          <w:tcPr>
            <w:tcW w:w="2804" w:type="dxa"/>
            <w:tcBorders>
              <w:bottom w:val="single" w:sz="4" w:space="0" w:color="000000"/>
            </w:tcBorders>
            <w:tcMar>
              <w:top w:w="0" w:type="dxa"/>
              <w:left w:w="108" w:type="dxa"/>
              <w:bottom w:w="0" w:type="dxa"/>
              <w:right w:w="108" w:type="dxa"/>
            </w:tcMar>
          </w:tcPr>
          <w:p w14:paraId="6C63FB99"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Total identified</w:t>
            </w:r>
          </w:p>
        </w:tc>
        <w:tc>
          <w:tcPr>
            <w:tcW w:w="1518" w:type="dxa"/>
            <w:tcBorders>
              <w:bottom w:val="single" w:sz="4" w:space="0" w:color="000000"/>
            </w:tcBorders>
            <w:tcMar>
              <w:top w:w="0" w:type="dxa"/>
              <w:left w:w="108" w:type="dxa"/>
              <w:bottom w:w="0" w:type="dxa"/>
              <w:right w:w="108" w:type="dxa"/>
            </w:tcMar>
          </w:tcPr>
          <w:p w14:paraId="52B8131E" w14:textId="77777777" w:rsidR="00890FFC" w:rsidRPr="00890FFC" w:rsidRDefault="00890FFC" w:rsidP="001D0E67">
            <w:pPr>
              <w:pStyle w:val="Body"/>
              <w:spacing w:after="0"/>
              <w:rPr>
                <w:rFonts w:ascii="Arial" w:hAnsi="Arial" w:cs="Arial"/>
                <w:lang w:val="pt-BR"/>
              </w:rPr>
            </w:pPr>
          </w:p>
        </w:tc>
        <w:tc>
          <w:tcPr>
            <w:tcW w:w="1066" w:type="dxa"/>
            <w:tcBorders>
              <w:bottom w:val="single" w:sz="4" w:space="0" w:color="000000"/>
            </w:tcBorders>
            <w:tcMar>
              <w:top w:w="0" w:type="dxa"/>
              <w:left w:w="108" w:type="dxa"/>
              <w:bottom w:w="0" w:type="dxa"/>
              <w:right w:w="108" w:type="dxa"/>
            </w:tcMar>
          </w:tcPr>
          <w:p w14:paraId="7AC24D85" w14:textId="77777777" w:rsidR="00890FFC" w:rsidRPr="00890FFC" w:rsidRDefault="00890FFC" w:rsidP="001D0E67">
            <w:pPr>
              <w:pStyle w:val="Body"/>
              <w:spacing w:after="0"/>
              <w:rPr>
                <w:rFonts w:ascii="Arial" w:hAnsi="Arial" w:cs="Arial"/>
                <w:lang w:val="pt-BR"/>
              </w:rPr>
            </w:pPr>
          </w:p>
        </w:tc>
        <w:tc>
          <w:tcPr>
            <w:tcW w:w="3116" w:type="dxa"/>
            <w:tcBorders>
              <w:bottom w:val="single" w:sz="4" w:space="0" w:color="000000"/>
            </w:tcBorders>
            <w:tcMar>
              <w:top w:w="0" w:type="dxa"/>
              <w:left w:w="108" w:type="dxa"/>
              <w:bottom w:w="0" w:type="dxa"/>
              <w:right w:w="108" w:type="dxa"/>
            </w:tcMar>
            <w:vAlign w:val="bottom"/>
          </w:tcPr>
          <w:p w14:paraId="0B24EF8A"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100.00</w:t>
            </w:r>
          </w:p>
        </w:tc>
      </w:tr>
    </w:tbl>
    <w:p w14:paraId="06A81282" w14:textId="55590092" w:rsidR="00890FFC" w:rsidRPr="00890FFC" w:rsidRDefault="00890FFC" w:rsidP="001D0E67">
      <w:pPr>
        <w:pStyle w:val="Body"/>
        <w:spacing w:after="0"/>
        <w:rPr>
          <w:rFonts w:ascii="Arial" w:hAnsi="Arial" w:cs="Arial"/>
          <w:sz w:val="18"/>
          <w:szCs w:val="18"/>
        </w:rPr>
      </w:pPr>
      <w:proofErr w:type="spellStart"/>
      <w:r w:rsidRPr="00890FFC">
        <w:rPr>
          <w:rFonts w:ascii="Arial" w:hAnsi="Arial" w:cs="Arial"/>
          <w:sz w:val="18"/>
          <w:szCs w:val="18"/>
        </w:rPr>
        <w:t>RIc</w:t>
      </w:r>
      <w:proofErr w:type="spellEnd"/>
      <w:r w:rsidRPr="00890FFC">
        <w:rPr>
          <w:rFonts w:ascii="Arial" w:hAnsi="Arial" w:cs="Arial"/>
          <w:sz w:val="18"/>
          <w:szCs w:val="18"/>
        </w:rPr>
        <w:t xml:space="preserve">: Retention index of calculated, </w:t>
      </w:r>
      <w:proofErr w:type="spellStart"/>
      <w:r w:rsidRPr="00890FFC">
        <w:rPr>
          <w:rFonts w:ascii="Arial" w:hAnsi="Arial" w:cs="Arial"/>
          <w:sz w:val="18"/>
          <w:szCs w:val="18"/>
        </w:rPr>
        <w:t>RIi</w:t>
      </w:r>
      <w:proofErr w:type="spellEnd"/>
      <w:r w:rsidRPr="00890FFC">
        <w:rPr>
          <w:rFonts w:ascii="Arial" w:hAnsi="Arial" w:cs="Arial"/>
          <w:sz w:val="18"/>
          <w:szCs w:val="18"/>
        </w:rPr>
        <w:t>: Retention index of literature, %: percentage of the component in the essential oil.</w:t>
      </w:r>
    </w:p>
    <w:p w14:paraId="11C89063" w14:textId="77777777" w:rsidR="00890FFC" w:rsidRPr="00981F2D" w:rsidRDefault="00890FFC" w:rsidP="00981F2D">
      <w:pPr>
        <w:pStyle w:val="Body"/>
        <w:spacing w:after="0"/>
        <w:rPr>
          <w:rFonts w:ascii="Arial" w:hAnsi="Arial" w:cs="Arial"/>
        </w:rPr>
      </w:pPr>
    </w:p>
    <w:p w14:paraId="04E979F1" w14:textId="56F7F5AD" w:rsidR="00981F2D" w:rsidRPr="00817CE9" w:rsidRDefault="00CE7069" w:rsidP="00981F2D">
      <w:pPr>
        <w:pStyle w:val="Body"/>
        <w:spacing w:after="0"/>
        <w:rPr>
          <w:rFonts w:ascii="Arial" w:hAnsi="Arial" w:cs="Arial"/>
          <w:b/>
          <w:bCs/>
          <w:u w:val="single"/>
        </w:rPr>
      </w:pPr>
      <w:r w:rsidRPr="00817CE9">
        <w:rPr>
          <w:rFonts w:ascii="Arial" w:hAnsi="Arial" w:cs="Arial"/>
          <w:b/>
          <w:bCs/>
          <w:u w:val="single"/>
        </w:rPr>
        <w:t>3.</w:t>
      </w:r>
      <w:r w:rsidR="00817CE9">
        <w:rPr>
          <w:rFonts w:ascii="Arial" w:hAnsi="Arial" w:cs="Arial"/>
          <w:b/>
          <w:bCs/>
          <w:u w:val="single"/>
        </w:rPr>
        <w:t>1.</w:t>
      </w:r>
      <w:r w:rsidRPr="00817CE9">
        <w:rPr>
          <w:rFonts w:ascii="Arial" w:hAnsi="Arial" w:cs="Arial"/>
          <w:b/>
          <w:bCs/>
          <w:u w:val="single"/>
        </w:rPr>
        <w:t xml:space="preserve">2 </w:t>
      </w:r>
      <w:r w:rsidR="00981F2D" w:rsidRPr="00817CE9">
        <w:rPr>
          <w:rFonts w:ascii="Arial" w:hAnsi="Arial" w:cs="Arial"/>
          <w:b/>
          <w:bCs/>
          <w:u w:val="single"/>
        </w:rPr>
        <w:t>Behavior</w:t>
      </w:r>
    </w:p>
    <w:p w14:paraId="0BF7D0BF" w14:textId="77777777" w:rsidR="00981F2D" w:rsidRPr="00981F2D" w:rsidRDefault="00981F2D" w:rsidP="00981F2D">
      <w:pPr>
        <w:pStyle w:val="Body"/>
        <w:spacing w:after="0"/>
        <w:rPr>
          <w:rFonts w:ascii="Arial" w:hAnsi="Arial" w:cs="Arial"/>
        </w:rPr>
      </w:pPr>
    </w:p>
    <w:p w14:paraId="3D0FD9B9" w14:textId="77777777" w:rsidR="00981F2D" w:rsidRPr="00981F2D" w:rsidRDefault="00981F2D" w:rsidP="00981F2D">
      <w:pPr>
        <w:pStyle w:val="Body"/>
        <w:spacing w:after="0"/>
        <w:rPr>
          <w:rFonts w:ascii="Arial" w:hAnsi="Arial" w:cs="Arial"/>
        </w:rPr>
      </w:pPr>
      <w:r w:rsidRPr="00981F2D">
        <w:rPr>
          <w:rFonts w:ascii="Arial" w:hAnsi="Arial" w:cs="Arial"/>
        </w:rPr>
        <w:t>The frequencies of piglets running around the pen, biting the gate, lying down, sitting, investigating the environment, vocalizing, feeding, and drinking were significantly influenced by treatment (P &lt; 0.05) (Figure 1; Video 1). However, aggression/fighting, urination/defecation, lethargy, and inactivity were not significantly affected by treatments (P &gt; 0.05) (Figure 1).</w:t>
      </w:r>
    </w:p>
    <w:p w14:paraId="242059BD" w14:textId="77777777" w:rsidR="00981F2D" w:rsidRDefault="00981F2D" w:rsidP="0036031C">
      <w:pPr>
        <w:pStyle w:val="Body"/>
        <w:spacing w:after="0"/>
        <w:rPr>
          <w:rFonts w:ascii="Arial" w:hAnsi="Arial" w:cs="Arial"/>
        </w:rPr>
      </w:pPr>
    </w:p>
    <w:p w14:paraId="76DA1C7E" w14:textId="77777777" w:rsidR="00124C77" w:rsidRPr="0036031C" w:rsidRDefault="00124C77" w:rsidP="0036031C">
      <w:pPr>
        <w:pStyle w:val="Standard"/>
        <w:spacing w:after="0"/>
        <w:rPr>
          <w:rFonts w:ascii="Arial" w:hAnsi="Arial" w:cs="Arial"/>
        </w:rPr>
      </w:pPr>
      <w:r w:rsidRPr="0036031C">
        <w:rPr>
          <w:rFonts w:ascii="Arial" w:hAnsi="Arial" w:cs="Arial"/>
          <w:noProof/>
        </w:rPr>
        <w:drawing>
          <wp:inline distT="0" distB="0" distL="0" distR="0" wp14:anchorId="6BAED1DC" wp14:editId="2CB5D9D0">
            <wp:extent cx="6103620" cy="3726180"/>
            <wp:effectExtent l="0" t="0" r="0" b="0"/>
            <wp:docPr id="193496638" name="Gráfico 1"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A90E2C" w14:textId="77777777" w:rsidR="003677CC" w:rsidRDefault="003677CC" w:rsidP="0036031C">
      <w:pPr>
        <w:pStyle w:val="Standard"/>
        <w:spacing w:after="0"/>
        <w:jc w:val="both"/>
        <w:rPr>
          <w:rFonts w:ascii="Arial" w:eastAsia="Times New Roman" w:hAnsi="Arial" w:cs="Arial"/>
          <w:b/>
          <w:bCs/>
          <w:sz w:val="20"/>
          <w:szCs w:val="20"/>
          <w:lang w:val="en-US"/>
        </w:rPr>
      </w:pPr>
    </w:p>
    <w:p w14:paraId="1D15228A" w14:textId="1B8AD20D" w:rsidR="0036031C" w:rsidRDefault="00124C77" w:rsidP="0036031C">
      <w:pPr>
        <w:pStyle w:val="Standard"/>
        <w:spacing w:after="0"/>
        <w:jc w:val="both"/>
        <w:rPr>
          <w:rFonts w:ascii="Arial" w:hAnsi="Arial" w:cs="Arial"/>
          <w:lang w:val="en-US"/>
        </w:rPr>
      </w:pPr>
      <w:r w:rsidRPr="0036031C">
        <w:rPr>
          <w:rFonts w:ascii="Arial" w:eastAsia="Times New Roman" w:hAnsi="Arial" w:cs="Arial"/>
          <w:b/>
          <w:bCs/>
          <w:sz w:val="20"/>
          <w:szCs w:val="20"/>
          <w:lang w:val="en-US"/>
        </w:rPr>
        <w:t>Fig. 1.</w:t>
      </w:r>
      <w:r w:rsidRPr="0036031C">
        <w:rPr>
          <w:rFonts w:ascii="Arial" w:eastAsia="Times New Roman" w:hAnsi="Arial" w:cs="Arial"/>
          <w:sz w:val="20"/>
          <w:szCs w:val="20"/>
          <w:lang w:val="en-US"/>
        </w:rPr>
        <w:t xml:space="preserve"> </w:t>
      </w:r>
      <w:r w:rsidRPr="0036031C">
        <w:rPr>
          <w:rFonts w:ascii="Arial" w:eastAsia="Times New Roman" w:hAnsi="Arial" w:cs="Arial"/>
          <w:b/>
          <w:bCs/>
          <w:sz w:val="20"/>
          <w:szCs w:val="20"/>
          <w:lang w:val="en-US"/>
        </w:rPr>
        <w:t xml:space="preserve">Frequency of behaviors in newly weaned piglets treated with </w:t>
      </w:r>
      <w:r w:rsidRPr="0036031C">
        <w:rPr>
          <w:rFonts w:ascii="Arial" w:eastAsia="Times New Roman" w:hAnsi="Arial" w:cs="Arial"/>
          <w:b/>
          <w:bCs/>
          <w:i/>
          <w:iCs/>
          <w:sz w:val="20"/>
          <w:szCs w:val="20"/>
          <w:lang w:val="en-US"/>
        </w:rPr>
        <w:t xml:space="preserve">Cymbopogon </w:t>
      </w:r>
      <w:proofErr w:type="spellStart"/>
      <w:r w:rsidRPr="0036031C">
        <w:rPr>
          <w:rFonts w:ascii="Arial" w:eastAsia="Times New Roman" w:hAnsi="Arial" w:cs="Arial"/>
          <w:b/>
          <w:bCs/>
          <w:i/>
          <w:iCs/>
          <w:sz w:val="20"/>
          <w:szCs w:val="20"/>
          <w:lang w:val="en-US"/>
        </w:rPr>
        <w:t>citratus</w:t>
      </w:r>
      <w:proofErr w:type="spellEnd"/>
      <w:r w:rsidRPr="0036031C">
        <w:rPr>
          <w:rFonts w:ascii="Arial" w:eastAsia="Times New Roman" w:hAnsi="Arial" w:cs="Arial"/>
          <w:b/>
          <w:bCs/>
          <w:sz w:val="20"/>
          <w:szCs w:val="20"/>
          <w:lang w:val="en-US"/>
        </w:rPr>
        <w:t xml:space="preserve"> essential oil during two hours of observation.</w:t>
      </w:r>
      <w:r w:rsidRPr="0036031C">
        <w:rPr>
          <w:rFonts w:ascii="Arial" w:hAnsi="Arial" w:cs="Arial"/>
          <w:lang w:val="en-US"/>
        </w:rPr>
        <w:t xml:space="preserve"> </w:t>
      </w:r>
    </w:p>
    <w:p w14:paraId="28840489" w14:textId="5CE3753A" w:rsidR="00124C77" w:rsidRPr="0036031C" w:rsidRDefault="00124C77" w:rsidP="0036031C">
      <w:pPr>
        <w:pStyle w:val="Standard"/>
        <w:spacing w:after="0"/>
        <w:ind w:firstLine="720"/>
        <w:jc w:val="both"/>
        <w:rPr>
          <w:rFonts w:ascii="Arial" w:hAnsi="Arial" w:cs="Arial"/>
          <w:sz w:val="16"/>
          <w:szCs w:val="16"/>
        </w:rPr>
      </w:pPr>
      <w:r w:rsidRPr="0036031C">
        <w:rPr>
          <w:rFonts w:ascii="Arial" w:eastAsia="Times New Roman" w:hAnsi="Arial" w:cs="Arial"/>
          <w:sz w:val="18"/>
          <w:szCs w:val="18"/>
        </w:rPr>
        <w:t>*: Statistical difference (P &lt; 0.05).</w:t>
      </w:r>
    </w:p>
    <w:p w14:paraId="26DC84FF" w14:textId="77777777" w:rsidR="00124C77" w:rsidRDefault="00124C77" w:rsidP="00981F2D">
      <w:pPr>
        <w:pStyle w:val="Body"/>
        <w:spacing w:after="0"/>
        <w:rPr>
          <w:rFonts w:ascii="Arial" w:hAnsi="Arial" w:cs="Arial"/>
        </w:rPr>
      </w:pPr>
    </w:p>
    <w:p w14:paraId="04E459A0" w14:textId="242AABE8" w:rsidR="00124C77" w:rsidRDefault="008800C7" w:rsidP="00000AC0">
      <w:pPr>
        <w:pStyle w:val="Body"/>
        <w:spacing w:after="0"/>
        <w:jc w:val="center"/>
        <w:rPr>
          <w:rFonts w:ascii="Arial" w:hAnsi="Arial" w:cs="Arial"/>
        </w:rPr>
      </w:pPr>
      <w:r>
        <w:rPr>
          <w:rFonts w:ascii="Arial" w:hAnsi="Arial" w:cs="Arial"/>
        </w:rPr>
        <w:object w:dxaOrig="2976" w:dyaOrig="816" w14:anchorId="14119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8.95pt;height:40.65pt" o:ole="">
            <v:imagedata r:id="rId19" o:title=""/>
          </v:shape>
          <o:OLEObject Type="Embed" ProgID="Package" ShapeID="_x0000_i1030" DrawAspect="Content" ObjectID="_1824899826" r:id="rId20"/>
        </w:object>
      </w:r>
    </w:p>
    <w:p w14:paraId="14FB84AA" w14:textId="77777777" w:rsidR="00233A8D" w:rsidRDefault="00233A8D" w:rsidP="00981F2D">
      <w:pPr>
        <w:pStyle w:val="Body"/>
        <w:spacing w:after="0"/>
        <w:rPr>
          <w:rFonts w:ascii="Arial" w:hAnsi="Arial" w:cs="Arial"/>
        </w:rPr>
      </w:pPr>
    </w:p>
    <w:p w14:paraId="098AC7AA" w14:textId="77777777" w:rsidR="00233A8D" w:rsidRDefault="00233A8D" w:rsidP="00981F2D">
      <w:pPr>
        <w:pStyle w:val="Body"/>
        <w:spacing w:after="0"/>
        <w:rPr>
          <w:rFonts w:ascii="Arial" w:hAnsi="Arial" w:cs="Arial"/>
          <w:b/>
          <w:bCs/>
        </w:rPr>
      </w:pPr>
      <w:r w:rsidRPr="00233A8D">
        <w:rPr>
          <w:rFonts w:ascii="Arial" w:hAnsi="Arial" w:cs="Arial"/>
          <w:b/>
          <w:bCs/>
        </w:rPr>
        <w:t xml:space="preserve">Video 1. Behavior of recently weaned piglets after treatment with </w:t>
      </w:r>
      <w:r w:rsidRPr="00233A8D">
        <w:rPr>
          <w:rFonts w:ascii="Arial" w:hAnsi="Arial" w:cs="Arial"/>
          <w:b/>
          <w:bCs/>
          <w:i/>
          <w:iCs/>
        </w:rPr>
        <w:t xml:space="preserve">Cymbopogon </w:t>
      </w:r>
      <w:proofErr w:type="spellStart"/>
      <w:r w:rsidRPr="00233A8D">
        <w:rPr>
          <w:rFonts w:ascii="Arial" w:hAnsi="Arial" w:cs="Arial"/>
          <w:b/>
          <w:bCs/>
          <w:i/>
          <w:iCs/>
        </w:rPr>
        <w:t>citratus</w:t>
      </w:r>
      <w:proofErr w:type="spellEnd"/>
      <w:r w:rsidRPr="00233A8D">
        <w:rPr>
          <w:rFonts w:ascii="Arial" w:hAnsi="Arial" w:cs="Arial"/>
          <w:b/>
          <w:bCs/>
        </w:rPr>
        <w:t xml:space="preserve"> essential oil (CCEO). </w:t>
      </w:r>
    </w:p>
    <w:p w14:paraId="192C7CA8" w14:textId="604D1E28" w:rsidR="00233A8D" w:rsidRPr="00233A8D" w:rsidRDefault="00233A8D" w:rsidP="00233A8D">
      <w:pPr>
        <w:pStyle w:val="Body"/>
        <w:spacing w:after="0"/>
        <w:ind w:firstLine="720"/>
        <w:rPr>
          <w:rFonts w:ascii="Arial" w:hAnsi="Arial" w:cs="Arial"/>
          <w:b/>
          <w:bCs/>
          <w:sz w:val="18"/>
          <w:szCs w:val="18"/>
        </w:rPr>
      </w:pPr>
      <w:r w:rsidRPr="00233A8D">
        <w:rPr>
          <w:rFonts w:ascii="Arial" w:hAnsi="Arial" w:cs="Arial"/>
          <w:sz w:val="18"/>
          <w:szCs w:val="18"/>
        </w:rPr>
        <w:t>A) Control group – Animals treated only with the diluent (50% 92% alcohol and 50% distilled water). Observe agonistic interactions, intense fights, and aggressive behavior; B) Animals treated with 1.25% CCEO solution. Note more lethargic and lying animals; C) Animals treated with 2.50% CCEO solution. Observe playful behavior and running in the pen; D) Animals treated with 5.0% CCEO solution. Note food-seeking behavior.</w:t>
      </w:r>
    </w:p>
    <w:p w14:paraId="024C4133" w14:textId="77777777" w:rsidR="00233A8D" w:rsidRPr="00981F2D" w:rsidRDefault="00233A8D" w:rsidP="00981F2D">
      <w:pPr>
        <w:pStyle w:val="Body"/>
        <w:spacing w:after="0"/>
        <w:rPr>
          <w:rFonts w:ascii="Arial" w:hAnsi="Arial" w:cs="Arial"/>
        </w:rPr>
      </w:pPr>
    </w:p>
    <w:p w14:paraId="081F5EBC" w14:textId="1BA08549" w:rsidR="00981F2D" w:rsidRPr="00615EC3" w:rsidRDefault="00615EC3" w:rsidP="00981F2D">
      <w:pPr>
        <w:pStyle w:val="Body"/>
        <w:spacing w:after="0"/>
        <w:rPr>
          <w:rFonts w:ascii="Arial" w:hAnsi="Arial" w:cs="Arial"/>
          <w:b/>
          <w:bCs/>
          <w:u w:val="single"/>
        </w:rPr>
      </w:pPr>
      <w:r w:rsidRPr="00615EC3">
        <w:rPr>
          <w:rFonts w:ascii="Arial" w:hAnsi="Arial" w:cs="Arial"/>
          <w:b/>
          <w:bCs/>
          <w:u w:val="single"/>
        </w:rPr>
        <w:t xml:space="preserve">3.1.3 </w:t>
      </w:r>
      <w:r w:rsidR="00981F2D" w:rsidRPr="00615EC3">
        <w:rPr>
          <w:rFonts w:ascii="Arial" w:hAnsi="Arial" w:cs="Arial"/>
          <w:b/>
          <w:bCs/>
          <w:u w:val="single"/>
        </w:rPr>
        <w:t>Lesions</w:t>
      </w:r>
    </w:p>
    <w:p w14:paraId="3682192E" w14:textId="77777777" w:rsidR="00981F2D" w:rsidRPr="00981F2D" w:rsidRDefault="00981F2D" w:rsidP="00981F2D">
      <w:pPr>
        <w:pStyle w:val="Body"/>
        <w:spacing w:after="0"/>
        <w:rPr>
          <w:rFonts w:ascii="Arial" w:hAnsi="Arial" w:cs="Arial"/>
        </w:rPr>
      </w:pPr>
    </w:p>
    <w:p w14:paraId="380CCD1B" w14:textId="77777777" w:rsidR="00981F2D" w:rsidRPr="00981F2D" w:rsidRDefault="00981F2D" w:rsidP="00981F2D">
      <w:pPr>
        <w:pStyle w:val="Body"/>
        <w:spacing w:after="0"/>
        <w:rPr>
          <w:rFonts w:ascii="Arial" w:hAnsi="Arial" w:cs="Arial"/>
        </w:rPr>
      </w:pPr>
      <w:r w:rsidRPr="00981F2D">
        <w:rPr>
          <w:rFonts w:ascii="Arial" w:hAnsi="Arial" w:cs="Arial"/>
        </w:rPr>
        <w:t>The average number of piglets with general lesions, ear lesions, tail lesions, anterior region lesions, and posterior region lesions did not differ statistically (P &gt; 0.05) among treatments (Table 3). However, all CCEO concentrations numerically reduced the number of piglets with any evaluated lesion compared to the control group. Ear lesions (Figure 2) were the most frequently observed. However, lesions were present in all evaluated areas (Table 3; Figure 3).</w:t>
      </w:r>
    </w:p>
    <w:p w14:paraId="5E256504" w14:textId="77777777" w:rsidR="00981F2D" w:rsidRDefault="00981F2D" w:rsidP="00981F2D">
      <w:pPr>
        <w:pStyle w:val="Body"/>
        <w:spacing w:after="0"/>
        <w:rPr>
          <w:rFonts w:ascii="Arial" w:hAnsi="Arial" w:cs="Arial"/>
        </w:rPr>
      </w:pPr>
    </w:p>
    <w:p w14:paraId="771DB307" w14:textId="77777777" w:rsidR="003A1DF0" w:rsidRPr="005E5833" w:rsidRDefault="003A1DF0" w:rsidP="003A1DF0">
      <w:pPr>
        <w:pStyle w:val="Body"/>
        <w:spacing w:after="0"/>
        <w:rPr>
          <w:rFonts w:ascii="Arial" w:hAnsi="Arial" w:cs="Arial"/>
          <w:b/>
          <w:bCs/>
        </w:rPr>
      </w:pPr>
      <w:r w:rsidRPr="003A1DF0">
        <w:rPr>
          <w:rFonts w:ascii="Arial" w:hAnsi="Arial" w:cs="Arial"/>
          <w:b/>
          <w:bCs/>
        </w:rPr>
        <w:t xml:space="preserve">Table 3. Number of recently weaned piglets after treatment with different concentrations of </w:t>
      </w:r>
      <w:r w:rsidRPr="003A1DF0">
        <w:rPr>
          <w:rFonts w:ascii="Arial" w:hAnsi="Arial" w:cs="Arial"/>
          <w:b/>
          <w:bCs/>
          <w:i/>
          <w:iCs/>
        </w:rPr>
        <w:t xml:space="preserve">Cymbopogon </w:t>
      </w:r>
      <w:proofErr w:type="spellStart"/>
      <w:r w:rsidRPr="003A1DF0">
        <w:rPr>
          <w:rFonts w:ascii="Arial" w:hAnsi="Arial" w:cs="Arial"/>
          <w:b/>
          <w:bCs/>
          <w:i/>
          <w:iCs/>
        </w:rPr>
        <w:t>citratus</w:t>
      </w:r>
      <w:proofErr w:type="spellEnd"/>
      <w:r w:rsidRPr="003A1DF0">
        <w:rPr>
          <w:rFonts w:ascii="Arial" w:hAnsi="Arial" w:cs="Arial"/>
          <w:b/>
          <w:bCs/>
        </w:rPr>
        <w:t xml:space="preserve"> essential oil. Values are presented as mean ± standard deviation, referring to animals that presented lesions 24 h after group formation. Mean refers to n of 7 or 8 animals per treatment in 4 repetitions (total n = 124).</w:t>
      </w:r>
    </w:p>
    <w:p w14:paraId="51418860" w14:textId="77777777" w:rsidR="005E5833" w:rsidRPr="003A1DF0" w:rsidRDefault="005E5833" w:rsidP="003A1DF0">
      <w:pPr>
        <w:pStyle w:val="Body"/>
        <w:spacing w:after="0"/>
        <w:rPr>
          <w:rFonts w:ascii="Arial" w:hAnsi="Arial" w:cs="Arial"/>
        </w:rPr>
      </w:pPr>
    </w:p>
    <w:tbl>
      <w:tblPr>
        <w:tblW w:w="8324" w:type="dxa"/>
        <w:jc w:val="center"/>
        <w:tblLayout w:type="fixed"/>
        <w:tblCellMar>
          <w:left w:w="10" w:type="dxa"/>
          <w:right w:w="10" w:type="dxa"/>
        </w:tblCellMar>
        <w:tblLook w:val="04A0" w:firstRow="1" w:lastRow="0" w:firstColumn="1" w:lastColumn="0" w:noHBand="0" w:noVBand="1"/>
      </w:tblPr>
      <w:tblGrid>
        <w:gridCol w:w="2244"/>
        <w:gridCol w:w="1520"/>
        <w:gridCol w:w="1520"/>
        <w:gridCol w:w="1520"/>
        <w:gridCol w:w="1520"/>
      </w:tblGrid>
      <w:tr w:rsidR="003A1DF0" w:rsidRPr="003A1DF0" w14:paraId="7A1DC6C2" w14:textId="77777777" w:rsidTr="005C58C0">
        <w:trPr>
          <w:trHeight w:val="315"/>
          <w:jc w:val="center"/>
        </w:trPr>
        <w:tc>
          <w:tcPr>
            <w:tcW w:w="2244" w:type="dxa"/>
            <w:tcBorders>
              <w:bottom w:val="single" w:sz="8" w:space="0" w:color="000000"/>
            </w:tcBorders>
            <w:tcMar>
              <w:top w:w="0" w:type="dxa"/>
              <w:left w:w="70" w:type="dxa"/>
              <w:bottom w:w="0" w:type="dxa"/>
              <w:right w:w="70" w:type="dxa"/>
            </w:tcMar>
            <w:vAlign w:val="center"/>
          </w:tcPr>
          <w:p w14:paraId="496A134C" w14:textId="77777777" w:rsidR="003A1DF0" w:rsidRPr="003A1DF0" w:rsidRDefault="003A1DF0" w:rsidP="003A1DF0">
            <w:pPr>
              <w:pStyle w:val="Body"/>
              <w:rPr>
                <w:rFonts w:ascii="Arial" w:hAnsi="Arial" w:cs="Arial"/>
                <w:lang w:val="pt-BR"/>
              </w:rPr>
            </w:pPr>
            <w:r w:rsidRPr="003A1DF0">
              <w:rPr>
                <w:rFonts w:ascii="Arial" w:hAnsi="Arial" w:cs="Arial"/>
                <w:b/>
                <w:bCs/>
                <w:lang w:val="pt-BR"/>
              </w:rPr>
              <w:t>Variables</w:t>
            </w:r>
          </w:p>
        </w:tc>
        <w:tc>
          <w:tcPr>
            <w:tcW w:w="1520" w:type="dxa"/>
            <w:tcBorders>
              <w:bottom w:val="single" w:sz="8" w:space="0" w:color="000000"/>
            </w:tcBorders>
            <w:tcMar>
              <w:top w:w="0" w:type="dxa"/>
              <w:left w:w="70" w:type="dxa"/>
              <w:bottom w:w="0" w:type="dxa"/>
              <w:right w:w="70" w:type="dxa"/>
            </w:tcMar>
            <w:vAlign w:val="center"/>
          </w:tcPr>
          <w:p w14:paraId="057318EA" w14:textId="77777777" w:rsidR="003A1DF0" w:rsidRPr="003A1DF0" w:rsidRDefault="003A1DF0" w:rsidP="003A1DF0">
            <w:pPr>
              <w:pStyle w:val="Body"/>
              <w:rPr>
                <w:rFonts w:ascii="Arial" w:hAnsi="Arial" w:cs="Arial"/>
                <w:lang w:val="pt-BR"/>
              </w:rPr>
            </w:pPr>
            <w:r w:rsidRPr="003A1DF0">
              <w:rPr>
                <w:rFonts w:ascii="Arial" w:hAnsi="Arial" w:cs="Arial"/>
                <w:b/>
                <w:bCs/>
                <w:lang w:val="pt-BR"/>
              </w:rPr>
              <w:t>Control</w:t>
            </w:r>
          </w:p>
        </w:tc>
        <w:tc>
          <w:tcPr>
            <w:tcW w:w="1520" w:type="dxa"/>
            <w:tcBorders>
              <w:bottom w:val="single" w:sz="8" w:space="0" w:color="000000"/>
            </w:tcBorders>
            <w:tcMar>
              <w:top w:w="0" w:type="dxa"/>
              <w:left w:w="70" w:type="dxa"/>
              <w:bottom w:w="0" w:type="dxa"/>
              <w:right w:w="70" w:type="dxa"/>
            </w:tcMar>
            <w:vAlign w:val="center"/>
          </w:tcPr>
          <w:p w14:paraId="2B8F755E" w14:textId="77777777" w:rsidR="003A1DF0" w:rsidRPr="003A1DF0" w:rsidRDefault="003A1DF0" w:rsidP="003A1DF0">
            <w:pPr>
              <w:pStyle w:val="Body"/>
              <w:rPr>
                <w:rFonts w:ascii="Arial" w:hAnsi="Arial" w:cs="Arial"/>
                <w:lang w:val="pt-BR"/>
              </w:rPr>
            </w:pPr>
            <w:r w:rsidRPr="003A1DF0">
              <w:rPr>
                <w:rFonts w:ascii="Arial" w:hAnsi="Arial" w:cs="Arial"/>
                <w:b/>
                <w:bCs/>
                <w:lang w:val="pt-BR"/>
              </w:rPr>
              <w:t>T1.25%</w:t>
            </w:r>
          </w:p>
        </w:tc>
        <w:tc>
          <w:tcPr>
            <w:tcW w:w="1520" w:type="dxa"/>
            <w:tcBorders>
              <w:bottom w:val="single" w:sz="8" w:space="0" w:color="000000"/>
            </w:tcBorders>
            <w:tcMar>
              <w:top w:w="0" w:type="dxa"/>
              <w:left w:w="70" w:type="dxa"/>
              <w:bottom w:w="0" w:type="dxa"/>
              <w:right w:w="70" w:type="dxa"/>
            </w:tcMar>
            <w:vAlign w:val="center"/>
          </w:tcPr>
          <w:p w14:paraId="39965F01" w14:textId="77777777" w:rsidR="003A1DF0" w:rsidRPr="003A1DF0" w:rsidRDefault="003A1DF0" w:rsidP="003A1DF0">
            <w:pPr>
              <w:pStyle w:val="Body"/>
              <w:rPr>
                <w:rFonts w:ascii="Arial" w:hAnsi="Arial" w:cs="Arial"/>
                <w:lang w:val="pt-BR"/>
              </w:rPr>
            </w:pPr>
            <w:r w:rsidRPr="003A1DF0">
              <w:rPr>
                <w:rFonts w:ascii="Arial" w:hAnsi="Arial" w:cs="Arial"/>
                <w:b/>
                <w:bCs/>
                <w:lang w:val="pt-BR"/>
              </w:rPr>
              <w:t>T2.50%</w:t>
            </w:r>
          </w:p>
        </w:tc>
        <w:tc>
          <w:tcPr>
            <w:tcW w:w="1520" w:type="dxa"/>
            <w:tcBorders>
              <w:bottom w:val="single" w:sz="8" w:space="0" w:color="000000"/>
            </w:tcBorders>
            <w:tcMar>
              <w:top w:w="0" w:type="dxa"/>
              <w:left w:w="70" w:type="dxa"/>
              <w:bottom w:w="0" w:type="dxa"/>
              <w:right w:w="70" w:type="dxa"/>
            </w:tcMar>
            <w:vAlign w:val="center"/>
          </w:tcPr>
          <w:p w14:paraId="58C78A9E" w14:textId="77777777" w:rsidR="003A1DF0" w:rsidRPr="003A1DF0" w:rsidRDefault="003A1DF0" w:rsidP="003A1DF0">
            <w:pPr>
              <w:pStyle w:val="Body"/>
              <w:rPr>
                <w:rFonts w:ascii="Arial" w:hAnsi="Arial" w:cs="Arial"/>
                <w:lang w:val="pt-BR"/>
              </w:rPr>
            </w:pPr>
            <w:r w:rsidRPr="003A1DF0">
              <w:rPr>
                <w:rFonts w:ascii="Arial" w:hAnsi="Arial" w:cs="Arial"/>
                <w:b/>
                <w:bCs/>
                <w:lang w:val="pt-BR"/>
              </w:rPr>
              <w:t>T5.00%</w:t>
            </w:r>
          </w:p>
        </w:tc>
      </w:tr>
      <w:tr w:rsidR="003A1DF0" w:rsidRPr="003A1DF0" w14:paraId="28DADC0F" w14:textId="77777777" w:rsidTr="005C58C0">
        <w:trPr>
          <w:trHeight w:val="300"/>
          <w:jc w:val="center"/>
        </w:trPr>
        <w:tc>
          <w:tcPr>
            <w:tcW w:w="2244" w:type="dxa"/>
            <w:tcMar>
              <w:top w:w="0" w:type="dxa"/>
              <w:left w:w="70" w:type="dxa"/>
              <w:bottom w:w="0" w:type="dxa"/>
              <w:right w:w="70" w:type="dxa"/>
            </w:tcMar>
            <w:vAlign w:val="center"/>
          </w:tcPr>
          <w:p w14:paraId="635EE7E0" w14:textId="77777777" w:rsidR="003A1DF0" w:rsidRPr="003A1DF0" w:rsidRDefault="003A1DF0" w:rsidP="003A1DF0">
            <w:pPr>
              <w:pStyle w:val="Body"/>
              <w:rPr>
                <w:rFonts w:ascii="Arial" w:hAnsi="Arial" w:cs="Arial"/>
                <w:lang w:val="pt-BR"/>
              </w:rPr>
            </w:pPr>
            <w:r w:rsidRPr="003A1DF0">
              <w:rPr>
                <w:rFonts w:ascii="Arial" w:hAnsi="Arial" w:cs="Arial"/>
                <w:lang w:val="pt-BR"/>
              </w:rPr>
              <w:t>General Lesions</w:t>
            </w:r>
          </w:p>
        </w:tc>
        <w:tc>
          <w:tcPr>
            <w:tcW w:w="1520" w:type="dxa"/>
            <w:tcMar>
              <w:top w:w="0" w:type="dxa"/>
              <w:left w:w="70" w:type="dxa"/>
              <w:bottom w:w="0" w:type="dxa"/>
              <w:right w:w="70" w:type="dxa"/>
            </w:tcMar>
            <w:vAlign w:val="center"/>
          </w:tcPr>
          <w:p w14:paraId="4AF26FB0" w14:textId="77777777" w:rsidR="003A1DF0" w:rsidRPr="003A1DF0" w:rsidRDefault="003A1DF0" w:rsidP="003A1DF0">
            <w:pPr>
              <w:pStyle w:val="Body"/>
              <w:rPr>
                <w:rFonts w:ascii="Arial" w:hAnsi="Arial" w:cs="Arial"/>
                <w:lang w:val="pt-BR"/>
              </w:rPr>
            </w:pPr>
            <w:r w:rsidRPr="003A1DF0">
              <w:rPr>
                <w:rFonts w:ascii="Arial" w:hAnsi="Arial" w:cs="Arial"/>
                <w:lang w:val="pt-BR"/>
              </w:rPr>
              <w:t>4.06 ± 2.54</w:t>
            </w:r>
          </w:p>
        </w:tc>
        <w:tc>
          <w:tcPr>
            <w:tcW w:w="1520" w:type="dxa"/>
            <w:tcMar>
              <w:top w:w="0" w:type="dxa"/>
              <w:left w:w="70" w:type="dxa"/>
              <w:bottom w:w="0" w:type="dxa"/>
              <w:right w:w="70" w:type="dxa"/>
            </w:tcMar>
            <w:vAlign w:val="center"/>
          </w:tcPr>
          <w:p w14:paraId="51B3A1AE" w14:textId="77777777" w:rsidR="003A1DF0" w:rsidRPr="003A1DF0" w:rsidRDefault="003A1DF0" w:rsidP="003A1DF0">
            <w:pPr>
              <w:pStyle w:val="Body"/>
              <w:rPr>
                <w:rFonts w:ascii="Arial" w:hAnsi="Arial" w:cs="Arial"/>
                <w:lang w:val="pt-BR"/>
              </w:rPr>
            </w:pPr>
            <w:r w:rsidRPr="003A1DF0">
              <w:rPr>
                <w:rFonts w:ascii="Arial" w:hAnsi="Arial" w:cs="Arial"/>
                <w:lang w:val="pt-BR"/>
              </w:rPr>
              <w:t>3.00 ± 2.45</w:t>
            </w:r>
          </w:p>
        </w:tc>
        <w:tc>
          <w:tcPr>
            <w:tcW w:w="1520" w:type="dxa"/>
            <w:tcMar>
              <w:top w:w="0" w:type="dxa"/>
              <w:left w:w="70" w:type="dxa"/>
              <w:bottom w:w="0" w:type="dxa"/>
              <w:right w:w="70" w:type="dxa"/>
            </w:tcMar>
            <w:vAlign w:val="center"/>
          </w:tcPr>
          <w:p w14:paraId="734E7BE1" w14:textId="77777777" w:rsidR="003A1DF0" w:rsidRPr="003A1DF0" w:rsidRDefault="003A1DF0" w:rsidP="003A1DF0">
            <w:pPr>
              <w:pStyle w:val="Body"/>
              <w:rPr>
                <w:rFonts w:ascii="Arial" w:hAnsi="Arial" w:cs="Arial"/>
                <w:lang w:val="pt-BR"/>
              </w:rPr>
            </w:pPr>
            <w:r w:rsidRPr="003A1DF0">
              <w:rPr>
                <w:rFonts w:ascii="Arial" w:hAnsi="Arial" w:cs="Arial"/>
                <w:lang w:val="pt-BR"/>
              </w:rPr>
              <w:t>2.25 ± 1.98</w:t>
            </w:r>
          </w:p>
        </w:tc>
        <w:tc>
          <w:tcPr>
            <w:tcW w:w="1520" w:type="dxa"/>
            <w:tcMar>
              <w:top w:w="0" w:type="dxa"/>
              <w:left w:w="70" w:type="dxa"/>
              <w:bottom w:w="0" w:type="dxa"/>
              <w:right w:w="70" w:type="dxa"/>
            </w:tcMar>
            <w:vAlign w:val="center"/>
          </w:tcPr>
          <w:p w14:paraId="24F3679E" w14:textId="77777777" w:rsidR="003A1DF0" w:rsidRPr="003A1DF0" w:rsidRDefault="003A1DF0" w:rsidP="003A1DF0">
            <w:pPr>
              <w:pStyle w:val="Body"/>
              <w:rPr>
                <w:rFonts w:ascii="Arial" w:hAnsi="Arial" w:cs="Arial"/>
                <w:lang w:val="pt-BR"/>
              </w:rPr>
            </w:pPr>
            <w:r w:rsidRPr="003A1DF0">
              <w:rPr>
                <w:rFonts w:ascii="Arial" w:hAnsi="Arial" w:cs="Arial"/>
                <w:lang w:val="pt-BR"/>
              </w:rPr>
              <w:t>2.94 ± 3.04</w:t>
            </w:r>
          </w:p>
        </w:tc>
      </w:tr>
      <w:tr w:rsidR="003A1DF0" w:rsidRPr="003A1DF0" w14:paraId="254BCC94" w14:textId="77777777" w:rsidTr="005C58C0">
        <w:trPr>
          <w:trHeight w:val="300"/>
          <w:jc w:val="center"/>
        </w:trPr>
        <w:tc>
          <w:tcPr>
            <w:tcW w:w="2244" w:type="dxa"/>
            <w:tcMar>
              <w:top w:w="0" w:type="dxa"/>
              <w:left w:w="70" w:type="dxa"/>
              <w:bottom w:w="0" w:type="dxa"/>
              <w:right w:w="70" w:type="dxa"/>
            </w:tcMar>
            <w:vAlign w:val="center"/>
          </w:tcPr>
          <w:p w14:paraId="6F39061C" w14:textId="77777777" w:rsidR="003A1DF0" w:rsidRPr="003A1DF0" w:rsidRDefault="003A1DF0" w:rsidP="003A1DF0">
            <w:pPr>
              <w:pStyle w:val="Body"/>
              <w:rPr>
                <w:rFonts w:ascii="Arial" w:hAnsi="Arial" w:cs="Arial"/>
                <w:lang w:val="pt-BR"/>
              </w:rPr>
            </w:pPr>
            <w:r w:rsidRPr="003A1DF0">
              <w:rPr>
                <w:rFonts w:ascii="Arial" w:hAnsi="Arial" w:cs="Arial"/>
                <w:lang w:val="pt-BR"/>
              </w:rPr>
              <w:t>Ear Lesions</w:t>
            </w:r>
          </w:p>
        </w:tc>
        <w:tc>
          <w:tcPr>
            <w:tcW w:w="1520" w:type="dxa"/>
            <w:tcMar>
              <w:top w:w="0" w:type="dxa"/>
              <w:left w:w="70" w:type="dxa"/>
              <w:bottom w:w="0" w:type="dxa"/>
              <w:right w:w="70" w:type="dxa"/>
            </w:tcMar>
            <w:vAlign w:val="center"/>
          </w:tcPr>
          <w:p w14:paraId="79AC5821" w14:textId="77777777" w:rsidR="003A1DF0" w:rsidRPr="003A1DF0" w:rsidRDefault="003A1DF0" w:rsidP="003A1DF0">
            <w:pPr>
              <w:pStyle w:val="Body"/>
              <w:rPr>
                <w:rFonts w:ascii="Arial" w:hAnsi="Arial" w:cs="Arial"/>
                <w:lang w:val="pt-BR"/>
              </w:rPr>
            </w:pPr>
            <w:r w:rsidRPr="003A1DF0">
              <w:rPr>
                <w:rFonts w:ascii="Arial" w:hAnsi="Arial" w:cs="Arial"/>
                <w:lang w:val="pt-BR"/>
              </w:rPr>
              <w:t>6.00 ± 1.41</w:t>
            </w:r>
          </w:p>
        </w:tc>
        <w:tc>
          <w:tcPr>
            <w:tcW w:w="1520" w:type="dxa"/>
            <w:tcMar>
              <w:top w:w="0" w:type="dxa"/>
              <w:left w:w="70" w:type="dxa"/>
              <w:bottom w:w="0" w:type="dxa"/>
              <w:right w:w="70" w:type="dxa"/>
            </w:tcMar>
            <w:vAlign w:val="center"/>
          </w:tcPr>
          <w:p w14:paraId="63BDE2D9" w14:textId="77777777" w:rsidR="003A1DF0" w:rsidRPr="003A1DF0" w:rsidRDefault="003A1DF0" w:rsidP="003A1DF0">
            <w:pPr>
              <w:pStyle w:val="Body"/>
              <w:rPr>
                <w:rFonts w:ascii="Arial" w:hAnsi="Arial" w:cs="Arial"/>
                <w:lang w:val="pt-BR"/>
              </w:rPr>
            </w:pPr>
            <w:r w:rsidRPr="003A1DF0">
              <w:rPr>
                <w:rFonts w:ascii="Arial" w:hAnsi="Arial" w:cs="Arial"/>
                <w:lang w:val="pt-BR"/>
              </w:rPr>
              <w:t>5.00 ± 2.16</w:t>
            </w:r>
          </w:p>
        </w:tc>
        <w:tc>
          <w:tcPr>
            <w:tcW w:w="1520" w:type="dxa"/>
            <w:tcMar>
              <w:top w:w="0" w:type="dxa"/>
              <w:left w:w="70" w:type="dxa"/>
              <w:bottom w:w="0" w:type="dxa"/>
              <w:right w:w="70" w:type="dxa"/>
            </w:tcMar>
            <w:vAlign w:val="center"/>
          </w:tcPr>
          <w:p w14:paraId="06B4783A" w14:textId="77777777" w:rsidR="003A1DF0" w:rsidRPr="003A1DF0" w:rsidRDefault="003A1DF0" w:rsidP="003A1DF0">
            <w:pPr>
              <w:pStyle w:val="Body"/>
              <w:rPr>
                <w:rFonts w:ascii="Arial" w:hAnsi="Arial" w:cs="Arial"/>
                <w:lang w:val="pt-BR"/>
              </w:rPr>
            </w:pPr>
            <w:r w:rsidRPr="003A1DF0">
              <w:rPr>
                <w:rFonts w:ascii="Arial" w:hAnsi="Arial" w:cs="Arial"/>
                <w:lang w:val="pt-BR"/>
              </w:rPr>
              <w:t>4.25 ± 1.89</w:t>
            </w:r>
          </w:p>
        </w:tc>
        <w:tc>
          <w:tcPr>
            <w:tcW w:w="1520" w:type="dxa"/>
            <w:tcMar>
              <w:top w:w="0" w:type="dxa"/>
              <w:left w:w="70" w:type="dxa"/>
              <w:bottom w:w="0" w:type="dxa"/>
              <w:right w:w="70" w:type="dxa"/>
            </w:tcMar>
            <w:vAlign w:val="center"/>
          </w:tcPr>
          <w:p w14:paraId="5474F0EE" w14:textId="77777777" w:rsidR="003A1DF0" w:rsidRPr="003A1DF0" w:rsidRDefault="003A1DF0" w:rsidP="003A1DF0">
            <w:pPr>
              <w:pStyle w:val="Body"/>
              <w:rPr>
                <w:rFonts w:ascii="Arial" w:hAnsi="Arial" w:cs="Arial"/>
                <w:lang w:val="pt-BR"/>
              </w:rPr>
            </w:pPr>
            <w:r w:rsidRPr="003A1DF0">
              <w:rPr>
                <w:rFonts w:ascii="Arial" w:hAnsi="Arial" w:cs="Arial"/>
                <w:lang w:val="pt-BR"/>
              </w:rPr>
              <w:t>5.75 ± 3.30</w:t>
            </w:r>
          </w:p>
        </w:tc>
      </w:tr>
      <w:tr w:rsidR="003A1DF0" w:rsidRPr="003A1DF0" w14:paraId="20FA65D0" w14:textId="77777777" w:rsidTr="005C58C0">
        <w:trPr>
          <w:trHeight w:val="300"/>
          <w:jc w:val="center"/>
        </w:trPr>
        <w:tc>
          <w:tcPr>
            <w:tcW w:w="2244" w:type="dxa"/>
            <w:tcMar>
              <w:top w:w="0" w:type="dxa"/>
              <w:left w:w="70" w:type="dxa"/>
              <w:bottom w:w="0" w:type="dxa"/>
              <w:right w:w="70" w:type="dxa"/>
            </w:tcMar>
            <w:vAlign w:val="center"/>
          </w:tcPr>
          <w:p w14:paraId="67F415BE" w14:textId="77777777" w:rsidR="003A1DF0" w:rsidRPr="003A1DF0" w:rsidRDefault="003A1DF0" w:rsidP="003A1DF0">
            <w:pPr>
              <w:pStyle w:val="Body"/>
              <w:rPr>
                <w:rFonts w:ascii="Arial" w:hAnsi="Arial" w:cs="Arial"/>
                <w:lang w:val="pt-BR"/>
              </w:rPr>
            </w:pPr>
            <w:r w:rsidRPr="003A1DF0">
              <w:rPr>
                <w:rFonts w:ascii="Arial" w:hAnsi="Arial" w:cs="Arial"/>
                <w:lang w:val="pt-BR"/>
              </w:rPr>
              <w:t>Tail Lesions</w:t>
            </w:r>
          </w:p>
        </w:tc>
        <w:tc>
          <w:tcPr>
            <w:tcW w:w="1520" w:type="dxa"/>
            <w:tcMar>
              <w:top w:w="0" w:type="dxa"/>
              <w:left w:w="70" w:type="dxa"/>
              <w:bottom w:w="0" w:type="dxa"/>
              <w:right w:w="70" w:type="dxa"/>
            </w:tcMar>
            <w:vAlign w:val="center"/>
          </w:tcPr>
          <w:p w14:paraId="19F2FAE9" w14:textId="77777777" w:rsidR="003A1DF0" w:rsidRPr="003A1DF0" w:rsidRDefault="003A1DF0" w:rsidP="003A1DF0">
            <w:pPr>
              <w:pStyle w:val="Body"/>
              <w:rPr>
                <w:rFonts w:ascii="Arial" w:hAnsi="Arial" w:cs="Arial"/>
                <w:lang w:val="pt-BR"/>
              </w:rPr>
            </w:pPr>
            <w:r w:rsidRPr="003A1DF0">
              <w:rPr>
                <w:rFonts w:ascii="Arial" w:hAnsi="Arial" w:cs="Arial"/>
                <w:lang w:val="pt-BR"/>
              </w:rPr>
              <w:t>1.00 ± 1.15</w:t>
            </w:r>
          </w:p>
        </w:tc>
        <w:tc>
          <w:tcPr>
            <w:tcW w:w="1520" w:type="dxa"/>
            <w:tcMar>
              <w:top w:w="0" w:type="dxa"/>
              <w:left w:w="70" w:type="dxa"/>
              <w:bottom w:w="0" w:type="dxa"/>
              <w:right w:w="70" w:type="dxa"/>
            </w:tcMar>
            <w:vAlign w:val="center"/>
          </w:tcPr>
          <w:p w14:paraId="19906ACE" w14:textId="77777777" w:rsidR="003A1DF0" w:rsidRPr="003A1DF0" w:rsidRDefault="003A1DF0" w:rsidP="003A1DF0">
            <w:pPr>
              <w:pStyle w:val="Body"/>
              <w:rPr>
                <w:rFonts w:ascii="Arial" w:hAnsi="Arial" w:cs="Arial"/>
                <w:lang w:val="pt-BR"/>
              </w:rPr>
            </w:pPr>
            <w:r w:rsidRPr="003A1DF0">
              <w:rPr>
                <w:rFonts w:ascii="Arial" w:hAnsi="Arial" w:cs="Arial"/>
                <w:lang w:val="pt-BR"/>
              </w:rPr>
              <w:t>0.50 ± 0.58</w:t>
            </w:r>
          </w:p>
        </w:tc>
        <w:tc>
          <w:tcPr>
            <w:tcW w:w="1520" w:type="dxa"/>
            <w:tcMar>
              <w:top w:w="0" w:type="dxa"/>
              <w:left w:w="70" w:type="dxa"/>
              <w:bottom w:w="0" w:type="dxa"/>
              <w:right w:w="70" w:type="dxa"/>
            </w:tcMar>
            <w:vAlign w:val="center"/>
          </w:tcPr>
          <w:p w14:paraId="545E101D" w14:textId="77777777" w:rsidR="003A1DF0" w:rsidRPr="003A1DF0" w:rsidRDefault="003A1DF0" w:rsidP="003A1DF0">
            <w:pPr>
              <w:pStyle w:val="Body"/>
              <w:rPr>
                <w:rFonts w:ascii="Arial" w:hAnsi="Arial" w:cs="Arial"/>
                <w:lang w:val="pt-BR"/>
              </w:rPr>
            </w:pPr>
            <w:r w:rsidRPr="003A1DF0">
              <w:rPr>
                <w:rFonts w:ascii="Arial" w:hAnsi="Arial" w:cs="Arial"/>
                <w:lang w:val="pt-BR"/>
              </w:rPr>
              <w:t>0.00 ± 0.00</w:t>
            </w:r>
          </w:p>
        </w:tc>
        <w:tc>
          <w:tcPr>
            <w:tcW w:w="1520" w:type="dxa"/>
            <w:tcMar>
              <w:top w:w="0" w:type="dxa"/>
              <w:left w:w="70" w:type="dxa"/>
              <w:bottom w:w="0" w:type="dxa"/>
              <w:right w:w="70" w:type="dxa"/>
            </w:tcMar>
            <w:vAlign w:val="center"/>
          </w:tcPr>
          <w:p w14:paraId="379D19FA" w14:textId="77777777" w:rsidR="003A1DF0" w:rsidRPr="003A1DF0" w:rsidRDefault="003A1DF0" w:rsidP="003A1DF0">
            <w:pPr>
              <w:pStyle w:val="Body"/>
              <w:rPr>
                <w:rFonts w:ascii="Arial" w:hAnsi="Arial" w:cs="Arial"/>
                <w:lang w:val="pt-BR"/>
              </w:rPr>
            </w:pPr>
            <w:r w:rsidRPr="003A1DF0">
              <w:rPr>
                <w:rFonts w:ascii="Arial" w:hAnsi="Arial" w:cs="Arial"/>
                <w:lang w:val="pt-BR"/>
              </w:rPr>
              <w:t>0.00 ± 0.00</w:t>
            </w:r>
          </w:p>
        </w:tc>
      </w:tr>
      <w:tr w:rsidR="003A1DF0" w:rsidRPr="003A1DF0" w14:paraId="49D6C60F" w14:textId="77777777" w:rsidTr="005C58C0">
        <w:trPr>
          <w:trHeight w:val="300"/>
          <w:jc w:val="center"/>
        </w:trPr>
        <w:tc>
          <w:tcPr>
            <w:tcW w:w="2244" w:type="dxa"/>
            <w:tcMar>
              <w:top w:w="0" w:type="dxa"/>
              <w:left w:w="70" w:type="dxa"/>
              <w:bottom w:w="0" w:type="dxa"/>
              <w:right w:w="70" w:type="dxa"/>
            </w:tcMar>
            <w:vAlign w:val="center"/>
          </w:tcPr>
          <w:p w14:paraId="412095CF" w14:textId="77777777" w:rsidR="003A1DF0" w:rsidRPr="003A1DF0" w:rsidRDefault="003A1DF0" w:rsidP="003A1DF0">
            <w:pPr>
              <w:pStyle w:val="Body"/>
              <w:rPr>
                <w:rFonts w:ascii="Arial" w:hAnsi="Arial" w:cs="Arial"/>
                <w:lang w:val="pt-BR"/>
              </w:rPr>
            </w:pPr>
            <w:r w:rsidRPr="003A1DF0">
              <w:rPr>
                <w:rFonts w:ascii="Arial" w:hAnsi="Arial" w:cs="Arial"/>
                <w:lang w:val="pt-BR"/>
              </w:rPr>
              <w:t>Anterior Lesions</w:t>
            </w:r>
          </w:p>
        </w:tc>
        <w:tc>
          <w:tcPr>
            <w:tcW w:w="1520" w:type="dxa"/>
            <w:tcMar>
              <w:top w:w="0" w:type="dxa"/>
              <w:left w:w="70" w:type="dxa"/>
              <w:bottom w:w="0" w:type="dxa"/>
              <w:right w:w="70" w:type="dxa"/>
            </w:tcMar>
            <w:vAlign w:val="center"/>
          </w:tcPr>
          <w:p w14:paraId="1A1FF759" w14:textId="77777777" w:rsidR="003A1DF0" w:rsidRPr="003A1DF0" w:rsidRDefault="003A1DF0" w:rsidP="003A1DF0">
            <w:pPr>
              <w:pStyle w:val="Body"/>
              <w:rPr>
                <w:rFonts w:ascii="Arial" w:hAnsi="Arial" w:cs="Arial"/>
                <w:lang w:val="pt-BR"/>
              </w:rPr>
            </w:pPr>
            <w:r w:rsidRPr="003A1DF0">
              <w:rPr>
                <w:rFonts w:ascii="Arial" w:hAnsi="Arial" w:cs="Arial"/>
                <w:lang w:val="pt-BR"/>
              </w:rPr>
              <w:t>5.50 ± 2.08</w:t>
            </w:r>
          </w:p>
        </w:tc>
        <w:tc>
          <w:tcPr>
            <w:tcW w:w="1520" w:type="dxa"/>
            <w:tcMar>
              <w:top w:w="0" w:type="dxa"/>
              <w:left w:w="70" w:type="dxa"/>
              <w:bottom w:w="0" w:type="dxa"/>
              <w:right w:w="70" w:type="dxa"/>
            </w:tcMar>
            <w:vAlign w:val="center"/>
          </w:tcPr>
          <w:p w14:paraId="5760E04E" w14:textId="77777777" w:rsidR="003A1DF0" w:rsidRPr="003A1DF0" w:rsidRDefault="003A1DF0" w:rsidP="003A1DF0">
            <w:pPr>
              <w:pStyle w:val="Body"/>
              <w:rPr>
                <w:rFonts w:ascii="Arial" w:hAnsi="Arial" w:cs="Arial"/>
                <w:lang w:val="pt-BR"/>
              </w:rPr>
            </w:pPr>
            <w:r w:rsidRPr="003A1DF0">
              <w:rPr>
                <w:rFonts w:ascii="Arial" w:hAnsi="Arial" w:cs="Arial"/>
                <w:lang w:val="pt-BR"/>
              </w:rPr>
              <w:t>4.25 ± 2.63</w:t>
            </w:r>
          </w:p>
        </w:tc>
        <w:tc>
          <w:tcPr>
            <w:tcW w:w="1520" w:type="dxa"/>
            <w:tcMar>
              <w:top w:w="0" w:type="dxa"/>
              <w:left w:w="70" w:type="dxa"/>
              <w:bottom w:w="0" w:type="dxa"/>
              <w:right w:w="70" w:type="dxa"/>
            </w:tcMar>
            <w:vAlign w:val="center"/>
          </w:tcPr>
          <w:p w14:paraId="3A89FB69" w14:textId="77777777" w:rsidR="003A1DF0" w:rsidRPr="003A1DF0" w:rsidRDefault="003A1DF0" w:rsidP="003A1DF0">
            <w:pPr>
              <w:pStyle w:val="Body"/>
              <w:rPr>
                <w:rFonts w:ascii="Arial" w:hAnsi="Arial" w:cs="Arial"/>
                <w:lang w:val="pt-BR"/>
              </w:rPr>
            </w:pPr>
            <w:r w:rsidRPr="003A1DF0">
              <w:rPr>
                <w:rFonts w:ascii="Arial" w:hAnsi="Arial" w:cs="Arial"/>
                <w:lang w:val="pt-BR"/>
              </w:rPr>
              <w:t>3.25 ± 0.96</w:t>
            </w:r>
          </w:p>
        </w:tc>
        <w:tc>
          <w:tcPr>
            <w:tcW w:w="1520" w:type="dxa"/>
            <w:tcMar>
              <w:top w:w="0" w:type="dxa"/>
              <w:left w:w="70" w:type="dxa"/>
              <w:bottom w:w="0" w:type="dxa"/>
              <w:right w:w="70" w:type="dxa"/>
            </w:tcMar>
            <w:vAlign w:val="center"/>
          </w:tcPr>
          <w:p w14:paraId="5A7EB446" w14:textId="77777777" w:rsidR="003A1DF0" w:rsidRPr="003A1DF0" w:rsidRDefault="003A1DF0" w:rsidP="003A1DF0">
            <w:pPr>
              <w:pStyle w:val="Body"/>
              <w:rPr>
                <w:rFonts w:ascii="Arial" w:hAnsi="Arial" w:cs="Arial"/>
                <w:lang w:val="pt-BR"/>
              </w:rPr>
            </w:pPr>
            <w:r w:rsidRPr="003A1DF0">
              <w:rPr>
                <w:rFonts w:ascii="Arial" w:hAnsi="Arial" w:cs="Arial"/>
                <w:lang w:val="pt-BR"/>
              </w:rPr>
              <w:t>4.25 ± 2.50</w:t>
            </w:r>
          </w:p>
        </w:tc>
      </w:tr>
      <w:tr w:rsidR="003A1DF0" w:rsidRPr="003A1DF0" w14:paraId="5C7B5818" w14:textId="77777777" w:rsidTr="005C58C0">
        <w:trPr>
          <w:trHeight w:val="315"/>
          <w:jc w:val="center"/>
        </w:trPr>
        <w:tc>
          <w:tcPr>
            <w:tcW w:w="2244" w:type="dxa"/>
            <w:tcBorders>
              <w:bottom w:val="single" w:sz="8" w:space="0" w:color="000000"/>
            </w:tcBorders>
            <w:tcMar>
              <w:top w:w="0" w:type="dxa"/>
              <w:left w:w="70" w:type="dxa"/>
              <w:bottom w:w="0" w:type="dxa"/>
              <w:right w:w="70" w:type="dxa"/>
            </w:tcMar>
            <w:vAlign w:val="center"/>
          </w:tcPr>
          <w:p w14:paraId="4F79051D" w14:textId="77777777" w:rsidR="003A1DF0" w:rsidRPr="003A1DF0" w:rsidRDefault="003A1DF0" w:rsidP="003A1DF0">
            <w:pPr>
              <w:pStyle w:val="Body"/>
              <w:rPr>
                <w:rFonts w:ascii="Arial" w:hAnsi="Arial" w:cs="Arial"/>
                <w:lang w:val="pt-BR"/>
              </w:rPr>
            </w:pPr>
            <w:r w:rsidRPr="003A1DF0">
              <w:rPr>
                <w:rFonts w:ascii="Arial" w:hAnsi="Arial" w:cs="Arial"/>
                <w:lang w:val="pt-BR"/>
              </w:rPr>
              <w:t>Posterior Lesions</w:t>
            </w:r>
          </w:p>
        </w:tc>
        <w:tc>
          <w:tcPr>
            <w:tcW w:w="1520" w:type="dxa"/>
            <w:tcBorders>
              <w:bottom w:val="single" w:sz="8" w:space="0" w:color="000000"/>
            </w:tcBorders>
            <w:tcMar>
              <w:top w:w="0" w:type="dxa"/>
              <w:left w:w="70" w:type="dxa"/>
              <w:bottom w:w="0" w:type="dxa"/>
              <w:right w:w="70" w:type="dxa"/>
            </w:tcMar>
            <w:vAlign w:val="center"/>
          </w:tcPr>
          <w:p w14:paraId="70C6174D" w14:textId="77777777" w:rsidR="003A1DF0" w:rsidRPr="003A1DF0" w:rsidRDefault="003A1DF0" w:rsidP="003A1DF0">
            <w:pPr>
              <w:pStyle w:val="Body"/>
              <w:rPr>
                <w:rFonts w:ascii="Arial" w:hAnsi="Arial" w:cs="Arial"/>
                <w:lang w:val="pt-BR"/>
              </w:rPr>
            </w:pPr>
            <w:r w:rsidRPr="003A1DF0">
              <w:rPr>
                <w:rFonts w:ascii="Arial" w:hAnsi="Arial" w:cs="Arial"/>
                <w:lang w:val="pt-BR"/>
              </w:rPr>
              <w:t>3.75 ± 2.06</w:t>
            </w:r>
          </w:p>
        </w:tc>
        <w:tc>
          <w:tcPr>
            <w:tcW w:w="1520" w:type="dxa"/>
            <w:tcBorders>
              <w:bottom w:val="single" w:sz="8" w:space="0" w:color="000000"/>
            </w:tcBorders>
            <w:tcMar>
              <w:top w:w="0" w:type="dxa"/>
              <w:left w:w="70" w:type="dxa"/>
              <w:bottom w:w="0" w:type="dxa"/>
              <w:right w:w="70" w:type="dxa"/>
            </w:tcMar>
            <w:vAlign w:val="center"/>
          </w:tcPr>
          <w:p w14:paraId="7A78E925" w14:textId="77777777" w:rsidR="003A1DF0" w:rsidRPr="003A1DF0" w:rsidRDefault="003A1DF0" w:rsidP="003A1DF0">
            <w:pPr>
              <w:pStyle w:val="Body"/>
              <w:rPr>
                <w:rFonts w:ascii="Arial" w:hAnsi="Arial" w:cs="Arial"/>
                <w:lang w:val="pt-BR"/>
              </w:rPr>
            </w:pPr>
            <w:r w:rsidRPr="003A1DF0">
              <w:rPr>
                <w:rFonts w:ascii="Arial" w:hAnsi="Arial" w:cs="Arial"/>
                <w:lang w:val="pt-BR"/>
              </w:rPr>
              <w:t>2.25 ± 1.26</w:t>
            </w:r>
          </w:p>
        </w:tc>
        <w:tc>
          <w:tcPr>
            <w:tcW w:w="1520" w:type="dxa"/>
            <w:tcBorders>
              <w:bottom w:val="single" w:sz="8" w:space="0" w:color="000000"/>
            </w:tcBorders>
            <w:tcMar>
              <w:top w:w="0" w:type="dxa"/>
              <w:left w:w="70" w:type="dxa"/>
              <w:bottom w:w="0" w:type="dxa"/>
              <w:right w:w="70" w:type="dxa"/>
            </w:tcMar>
            <w:vAlign w:val="center"/>
          </w:tcPr>
          <w:p w14:paraId="0B951A2B" w14:textId="77777777" w:rsidR="003A1DF0" w:rsidRPr="003A1DF0" w:rsidRDefault="003A1DF0" w:rsidP="003A1DF0">
            <w:pPr>
              <w:pStyle w:val="Body"/>
              <w:rPr>
                <w:rFonts w:ascii="Arial" w:hAnsi="Arial" w:cs="Arial"/>
                <w:lang w:val="pt-BR"/>
              </w:rPr>
            </w:pPr>
            <w:r w:rsidRPr="003A1DF0">
              <w:rPr>
                <w:rFonts w:ascii="Arial" w:hAnsi="Arial" w:cs="Arial"/>
                <w:lang w:val="pt-BR"/>
              </w:rPr>
              <w:t>1.50 ± 1.00</w:t>
            </w:r>
          </w:p>
        </w:tc>
        <w:tc>
          <w:tcPr>
            <w:tcW w:w="1520" w:type="dxa"/>
            <w:tcBorders>
              <w:bottom w:val="single" w:sz="8" w:space="0" w:color="000000"/>
            </w:tcBorders>
            <w:tcMar>
              <w:top w:w="0" w:type="dxa"/>
              <w:left w:w="70" w:type="dxa"/>
              <w:bottom w:w="0" w:type="dxa"/>
              <w:right w:w="70" w:type="dxa"/>
            </w:tcMar>
            <w:vAlign w:val="center"/>
          </w:tcPr>
          <w:p w14:paraId="7219A27C" w14:textId="77777777" w:rsidR="003A1DF0" w:rsidRPr="003A1DF0" w:rsidRDefault="003A1DF0" w:rsidP="003A1DF0">
            <w:pPr>
              <w:pStyle w:val="Body"/>
              <w:rPr>
                <w:rFonts w:ascii="Arial" w:hAnsi="Arial" w:cs="Arial"/>
                <w:lang w:val="pt-BR"/>
              </w:rPr>
            </w:pPr>
            <w:r w:rsidRPr="003A1DF0">
              <w:rPr>
                <w:rFonts w:ascii="Arial" w:hAnsi="Arial" w:cs="Arial"/>
                <w:lang w:val="pt-BR"/>
              </w:rPr>
              <w:t>1.75 ± 1.71</w:t>
            </w:r>
          </w:p>
        </w:tc>
      </w:tr>
    </w:tbl>
    <w:p w14:paraId="02EF840A" w14:textId="77777777" w:rsidR="003A1DF0" w:rsidRPr="003A1DF0" w:rsidRDefault="003A1DF0" w:rsidP="003A1DF0">
      <w:pPr>
        <w:pStyle w:val="Body"/>
        <w:spacing w:after="0"/>
        <w:rPr>
          <w:rFonts w:ascii="Arial" w:hAnsi="Arial" w:cs="Arial"/>
          <w:sz w:val="18"/>
          <w:szCs w:val="18"/>
        </w:rPr>
      </w:pPr>
      <w:r w:rsidRPr="003A1DF0">
        <w:rPr>
          <w:rFonts w:ascii="Arial" w:hAnsi="Arial" w:cs="Arial"/>
          <w:sz w:val="18"/>
          <w:szCs w:val="18"/>
        </w:rPr>
        <w:t>General Lesions: Average number of piglets presenting any lesion; Ear Lesions: Average number of piglets presenting at least one lesion in at least one ear; Tail Lesions: Average number of piglets presenting at least one lesion on the tail; Anterior Lesions: Average number of piglets presenting at least one lesion in the anterior part of the body; Posterior Lesions: Average number of piglets presenting at least one lesion in the posterior part of the body; Significance level: 95%.</w:t>
      </w:r>
    </w:p>
    <w:p w14:paraId="6D036046" w14:textId="77777777" w:rsidR="003A1DF0" w:rsidRDefault="003A1DF0" w:rsidP="00981F2D">
      <w:pPr>
        <w:pStyle w:val="Body"/>
        <w:spacing w:after="0"/>
        <w:rPr>
          <w:rFonts w:ascii="Arial" w:hAnsi="Arial" w:cs="Arial"/>
        </w:rPr>
      </w:pPr>
    </w:p>
    <w:p w14:paraId="396D7C2E" w14:textId="77777777" w:rsidR="0099158C" w:rsidRPr="0099158C" w:rsidRDefault="0099158C" w:rsidP="0099158C">
      <w:pPr>
        <w:pStyle w:val="Body"/>
        <w:spacing w:after="0"/>
        <w:rPr>
          <w:rFonts w:ascii="Arial" w:hAnsi="Arial" w:cs="Arial"/>
          <w:lang w:val="pt-BR"/>
        </w:rPr>
      </w:pPr>
      <w:r w:rsidRPr="0099158C">
        <w:rPr>
          <w:rFonts w:ascii="Arial" w:hAnsi="Arial" w:cs="Arial"/>
          <w:noProof/>
          <w:lang w:val="pt-BR"/>
        </w:rPr>
        <w:drawing>
          <wp:inline distT="0" distB="0" distL="0" distR="0" wp14:anchorId="4F888EF2" wp14:editId="44E0B58D">
            <wp:extent cx="5399998" cy="5399998"/>
            <wp:effectExtent l="0" t="0" r="0" b="0"/>
            <wp:docPr id="1367475904" name="Imagem 1" descr="C:\Users\User\OneDrive\Desmame Leitão\Applied Animal Behavior Science\C. citratus\Lesão de Orelh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399998" cy="5399998"/>
                    </a:xfrm>
                    <a:prstGeom prst="rect">
                      <a:avLst/>
                    </a:prstGeom>
                    <a:noFill/>
                    <a:ln>
                      <a:noFill/>
                      <a:prstDash/>
                    </a:ln>
                  </pic:spPr>
                </pic:pic>
              </a:graphicData>
            </a:graphic>
          </wp:inline>
        </w:drawing>
      </w:r>
    </w:p>
    <w:p w14:paraId="3841CDFF" w14:textId="77777777" w:rsidR="0099158C" w:rsidRPr="0099158C" w:rsidRDefault="0099158C" w:rsidP="0099158C">
      <w:pPr>
        <w:pStyle w:val="Body"/>
        <w:spacing w:after="0"/>
        <w:rPr>
          <w:rFonts w:ascii="Arial" w:hAnsi="Arial" w:cs="Arial"/>
          <w:lang w:val="pt-BR"/>
        </w:rPr>
      </w:pPr>
      <w:r w:rsidRPr="0099158C">
        <w:rPr>
          <w:rFonts w:ascii="Arial" w:hAnsi="Arial" w:cs="Arial"/>
          <w:b/>
          <w:bCs/>
        </w:rPr>
        <w:t xml:space="preserve">Fig. 2. Ear lesions in newly weaned piglets after treatment with </w:t>
      </w:r>
      <w:r w:rsidRPr="0099158C">
        <w:rPr>
          <w:rFonts w:ascii="Arial" w:hAnsi="Arial" w:cs="Arial"/>
          <w:b/>
          <w:bCs/>
          <w:i/>
          <w:iCs/>
        </w:rPr>
        <w:t xml:space="preserve">Cymbopogon </w:t>
      </w:r>
      <w:proofErr w:type="spellStart"/>
      <w:r w:rsidRPr="0099158C">
        <w:rPr>
          <w:rFonts w:ascii="Arial" w:hAnsi="Arial" w:cs="Arial"/>
          <w:b/>
          <w:bCs/>
          <w:i/>
          <w:iCs/>
        </w:rPr>
        <w:t>citratus</w:t>
      </w:r>
      <w:proofErr w:type="spellEnd"/>
      <w:r w:rsidRPr="0099158C">
        <w:rPr>
          <w:rFonts w:ascii="Arial" w:hAnsi="Arial" w:cs="Arial"/>
          <w:b/>
          <w:bCs/>
        </w:rPr>
        <w:t xml:space="preserve"> essential oil (CCEO).</w:t>
      </w:r>
      <w:r w:rsidRPr="0099158C">
        <w:rPr>
          <w:rFonts w:ascii="Arial" w:hAnsi="Arial" w:cs="Arial"/>
        </w:rPr>
        <w:t xml:space="preserve"> </w:t>
      </w:r>
      <w:r w:rsidRPr="0099158C">
        <w:rPr>
          <w:rFonts w:ascii="Arial" w:hAnsi="Arial" w:cs="Arial"/>
          <w:sz w:val="18"/>
          <w:szCs w:val="18"/>
        </w:rPr>
        <w:t xml:space="preserve">A) Control group – Animals treated only with the diluent (50% 92% alcohol and 50% distilled water). Note the severe bite lesions. B) Animals treated with 1.25% CCEO solution. Note that there are still lesions resulting from agonistic behaviors. C and D) Animals treated with 2.50% and 5.00% CCEO solution, respectively. </w:t>
      </w:r>
      <w:r w:rsidRPr="0099158C">
        <w:rPr>
          <w:rFonts w:ascii="Arial" w:hAnsi="Arial" w:cs="Arial"/>
          <w:sz w:val="18"/>
          <w:szCs w:val="18"/>
          <w:lang w:val="pt-BR"/>
        </w:rPr>
        <w:t>Observe the few superficial lesions.</w:t>
      </w:r>
    </w:p>
    <w:p w14:paraId="01BA9CE1" w14:textId="77777777" w:rsidR="0099158C" w:rsidRDefault="0099158C" w:rsidP="00981F2D">
      <w:pPr>
        <w:pStyle w:val="Body"/>
        <w:spacing w:after="0"/>
        <w:rPr>
          <w:rFonts w:ascii="Arial" w:hAnsi="Arial" w:cs="Arial"/>
        </w:rPr>
      </w:pPr>
    </w:p>
    <w:p w14:paraId="0675D3DE" w14:textId="77777777" w:rsidR="0062688F" w:rsidRPr="0062688F" w:rsidRDefault="0062688F" w:rsidP="0062688F">
      <w:pPr>
        <w:pStyle w:val="Body"/>
        <w:spacing w:after="0"/>
        <w:rPr>
          <w:rFonts w:ascii="Arial" w:hAnsi="Arial" w:cs="Arial"/>
          <w:lang w:val="pt-BR"/>
        </w:rPr>
      </w:pPr>
      <w:r w:rsidRPr="0062688F">
        <w:rPr>
          <w:rFonts w:ascii="Arial" w:hAnsi="Arial" w:cs="Arial"/>
          <w:noProof/>
          <w:lang w:val="pt-BR"/>
        </w:rPr>
        <w:drawing>
          <wp:inline distT="0" distB="0" distL="0" distR="0" wp14:anchorId="4A2BFCCE" wp14:editId="148E4820">
            <wp:extent cx="5399998" cy="7170477"/>
            <wp:effectExtent l="0" t="0" r="0" b="0"/>
            <wp:docPr id="2081693159" name="Imagem 1" descr="C:\Users\User\OneDrive\Desmame Leitão\Applied Animal Behavior Science\C. citratus\Lesões Gerai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399998" cy="7170477"/>
                    </a:xfrm>
                    <a:prstGeom prst="rect">
                      <a:avLst/>
                    </a:prstGeom>
                    <a:noFill/>
                    <a:ln>
                      <a:noFill/>
                      <a:prstDash/>
                    </a:ln>
                  </pic:spPr>
                </pic:pic>
              </a:graphicData>
            </a:graphic>
          </wp:inline>
        </w:drawing>
      </w:r>
    </w:p>
    <w:p w14:paraId="349F268E" w14:textId="1EF1BB0D" w:rsidR="0062688F" w:rsidRPr="0062688F" w:rsidRDefault="0062688F" w:rsidP="00981F2D">
      <w:pPr>
        <w:pStyle w:val="Body"/>
        <w:spacing w:after="0"/>
        <w:rPr>
          <w:rFonts w:ascii="Arial" w:hAnsi="Arial" w:cs="Arial"/>
          <w:sz w:val="18"/>
          <w:szCs w:val="18"/>
        </w:rPr>
      </w:pPr>
      <w:r w:rsidRPr="0062688F">
        <w:rPr>
          <w:rFonts w:ascii="Arial" w:hAnsi="Arial" w:cs="Arial"/>
          <w:b/>
          <w:bCs/>
        </w:rPr>
        <w:t xml:space="preserve">Fig. 3. Overall lesions in newly weaned piglets after treatment with </w:t>
      </w:r>
      <w:r w:rsidRPr="0062688F">
        <w:rPr>
          <w:rFonts w:ascii="Arial" w:hAnsi="Arial" w:cs="Arial"/>
          <w:b/>
          <w:bCs/>
          <w:i/>
          <w:iCs/>
        </w:rPr>
        <w:t xml:space="preserve">Cymbopogon </w:t>
      </w:r>
      <w:proofErr w:type="spellStart"/>
      <w:r w:rsidRPr="0062688F">
        <w:rPr>
          <w:rFonts w:ascii="Arial" w:hAnsi="Arial" w:cs="Arial"/>
          <w:b/>
          <w:bCs/>
          <w:i/>
          <w:iCs/>
        </w:rPr>
        <w:t>citratus</w:t>
      </w:r>
      <w:proofErr w:type="spellEnd"/>
      <w:r w:rsidRPr="0062688F">
        <w:rPr>
          <w:rFonts w:ascii="Arial" w:hAnsi="Arial" w:cs="Arial"/>
          <w:b/>
          <w:bCs/>
        </w:rPr>
        <w:t xml:space="preserve"> essential oil (CCEO). </w:t>
      </w:r>
      <w:r w:rsidRPr="0062688F">
        <w:rPr>
          <w:rFonts w:ascii="Arial" w:hAnsi="Arial" w:cs="Arial"/>
          <w:sz w:val="18"/>
          <w:szCs w:val="18"/>
        </w:rPr>
        <w:t>A) Control group – Animals treated only with the diluent (50% 92% alcohol and 50% distilled water). Note the severe bite lesions across all body regions. B) Animals treated with 1.25% CCEO solution. Note that there are still lesions resulting from agonistic behaviors. C and D) Animals treated with 2.50% and 5.00% CCEO solution, respectively. Observe few superficial lesions, with animals showing more intact and uniform skin.</w:t>
      </w:r>
    </w:p>
    <w:p w14:paraId="15200FC0" w14:textId="77777777" w:rsidR="0062688F" w:rsidRPr="00981F2D" w:rsidRDefault="0062688F" w:rsidP="00981F2D">
      <w:pPr>
        <w:pStyle w:val="Body"/>
        <w:spacing w:after="0"/>
        <w:rPr>
          <w:rFonts w:ascii="Arial" w:hAnsi="Arial" w:cs="Arial"/>
        </w:rPr>
      </w:pPr>
    </w:p>
    <w:p w14:paraId="5BA12CFC" w14:textId="552F93A8" w:rsidR="00981F2D" w:rsidRPr="0057347A" w:rsidRDefault="0057347A" w:rsidP="00981F2D">
      <w:pPr>
        <w:pStyle w:val="Body"/>
        <w:spacing w:after="0"/>
        <w:rPr>
          <w:rFonts w:ascii="Arial" w:hAnsi="Arial" w:cs="Arial"/>
          <w:b/>
          <w:bCs/>
          <w:u w:val="single"/>
        </w:rPr>
      </w:pPr>
      <w:r w:rsidRPr="0057347A">
        <w:rPr>
          <w:rFonts w:ascii="Arial" w:hAnsi="Arial" w:cs="Arial"/>
          <w:b/>
          <w:bCs/>
          <w:u w:val="single"/>
        </w:rPr>
        <w:t xml:space="preserve">3.1.4 </w:t>
      </w:r>
      <w:r w:rsidR="00981F2D" w:rsidRPr="0057347A">
        <w:rPr>
          <w:rFonts w:ascii="Arial" w:hAnsi="Arial" w:cs="Arial"/>
          <w:b/>
          <w:bCs/>
          <w:u w:val="single"/>
        </w:rPr>
        <w:t>Zootechnical indexes</w:t>
      </w:r>
    </w:p>
    <w:p w14:paraId="514793EA" w14:textId="77777777" w:rsidR="00981F2D" w:rsidRPr="00981F2D" w:rsidRDefault="00981F2D" w:rsidP="00981F2D">
      <w:pPr>
        <w:pStyle w:val="Body"/>
        <w:spacing w:after="0"/>
        <w:rPr>
          <w:rFonts w:ascii="Arial" w:hAnsi="Arial" w:cs="Arial"/>
        </w:rPr>
      </w:pPr>
    </w:p>
    <w:p w14:paraId="5BAEFE52" w14:textId="42026614" w:rsidR="00E053D0" w:rsidRDefault="00981F2D" w:rsidP="00981F2D">
      <w:pPr>
        <w:pStyle w:val="Body"/>
        <w:spacing w:after="0"/>
        <w:rPr>
          <w:rFonts w:ascii="Arial" w:hAnsi="Arial" w:cs="Arial"/>
        </w:rPr>
      </w:pPr>
      <w:r w:rsidRPr="00981F2D">
        <w:rPr>
          <w:rFonts w:ascii="Arial" w:hAnsi="Arial" w:cs="Arial"/>
        </w:rPr>
        <w:t>Average litter weight at nursery exit (ABW) was not significantly affected by CCEO application (P &gt; 0.05) (Table 4). Average daily gain (ADG) also did not differ significantly (P &gt; 0.05) among groups (Table 4). However, piglets treated with 2.50% and 5.00% CCEO showed numerically higher ABW and ADG.</w:t>
      </w:r>
    </w:p>
    <w:p w14:paraId="4D50E0B2" w14:textId="77777777" w:rsidR="00650619" w:rsidRDefault="00650619" w:rsidP="00981F2D">
      <w:pPr>
        <w:pStyle w:val="Body"/>
        <w:spacing w:after="0"/>
        <w:rPr>
          <w:rFonts w:ascii="Arial" w:hAnsi="Arial" w:cs="Arial"/>
        </w:rPr>
      </w:pPr>
    </w:p>
    <w:p w14:paraId="170BDA06" w14:textId="77777777" w:rsidR="00650619" w:rsidRDefault="00650619" w:rsidP="00650619">
      <w:pPr>
        <w:pStyle w:val="Body"/>
        <w:spacing w:after="0"/>
        <w:rPr>
          <w:rFonts w:ascii="Arial" w:hAnsi="Arial" w:cs="Arial"/>
          <w:b/>
          <w:bCs/>
          <w:lang w:val="pt-BR"/>
        </w:rPr>
      </w:pPr>
      <w:r w:rsidRPr="00650619">
        <w:rPr>
          <w:rFonts w:ascii="Arial" w:hAnsi="Arial" w:cs="Arial"/>
          <w:b/>
          <w:bCs/>
        </w:rPr>
        <w:t xml:space="preserve">Table 4. Zootechnical indices of piglets at weaning off at 63 days of age, after being treated at weaning with different concentrations of </w:t>
      </w:r>
      <w:r w:rsidRPr="00650619">
        <w:rPr>
          <w:rFonts w:ascii="Arial" w:hAnsi="Arial" w:cs="Arial"/>
          <w:b/>
          <w:bCs/>
          <w:i/>
          <w:iCs/>
        </w:rPr>
        <w:t xml:space="preserve">Cymbopogon </w:t>
      </w:r>
      <w:proofErr w:type="spellStart"/>
      <w:r w:rsidRPr="00650619">
        <w:rPr>
          <w:rFonts w:ascii="Arial" w:hAnsi="Arial" w:cs="Arial"/>
          <w:b/>
          <w:bCs/>
          <w:i/>
          <w:iCs/>
        </w:rPr>
        <w:t>citratus</w:t>
      </w:r>
      <w:proofErr w:type="spellEnd"/>
      <w:r w:rsidRPr="00650619">
        <w:rPr>
          <w:rFonts w:ascii="Arial" w:hAnsi="Arial" w:cs="Arial"/>
          <w:b/>
          <w:bCs/>
        </w:rPr>
        <w:t xml:space="preserve"> essential oil. </w:t>
      </w:r>
      <w:r w:rsidRPr="00650619">
        <w:rPr>
          <w:rFonts w:ascii="Arial" w:hAnsi="Arial" w:cs="Arial"/>
          <w:b/>
          <w:bCs/>
          <w:lang w:val="pt-BR"/>
        </w:rPr>
        <w:t>Values are presented as mean ± standard deviation.</w:t>
      </w:r>
    </w:p>
    <w:p w14:paraId="3EBCFDA4" w14:textId="77777777" w:rsidR="0023042B" w:rsidRPr="00650619" w:rsidRDefault="0023042B" w:rsidP="00650619">
      <w:pPr>
        <w:pStyle w:val="Body"/>
        <w:spacing w:after="0"/>
        <w:rPr>
          <w:rFonts w:ascii="Arial" w:hAnsi="Arial" w:cs="Arial"/>
          <w:b/>
          <w:bCs/>
          <w:lang w:val="pt-BR"/>
        </w:rPr>
      </w:pPr>
    </w:p>
    <w:tbl>
      <w:tblPr>
        <w:tblW w:w="8389" w:type="dxa"/>
        <w:jc w:val="center"/>
        <w:tblLayout w:type="fixed"/>
        <w:tblCellMar>
          <w:left w:w="10" w:type="dxa"/>
          <w:right w:w="10" w:type="dxa"/>
        </w:tblCellMar>
        <w:tblLook w:val="04A0" w:firstRow="1" w:lastRow="0" w:firstColumn="1" w:lastColumn="0" w:noHBand="0" w:noVBand="1"/>
      </w:tblPr>
      <w:tblGrid>
        <w:gridCol w:w="2369"/>
        <w:gridCol w:w="1520"/>
        <w:gridCol w:w="1420"/>
        <w:gridCol w:w="1600"/>
        <w:gridCol w:w="1480"/>
      </w:tblGrid>
      <w:tr w:rsidR="00650619" w:rsidRPr="00650619" w14:paraId="4D8C04CB" w14:textId="77777777" w:rsidTr="005C58C0">
        <w:trPr>
          <w:trHeight w:val="315"/>
          <w:jc w:val="center"/>
        </w:trPr>
        <w:tc>
          <w:tcPr>
            <w:tcW w:w="2369" w:type="dxa"/>
            <w:tcBorders>
              <w:bottom w:val="single" w:sz="8" w:space="0" w:color="000000"/>
            </w:tcBorders>
            <w:tcMar>
              <w:top w:w="0" w:type="dxa"/>
              <w:left w:w="70" w:type="dxa"/>
              <w:bottom w:w="0" w:type="dxa"/>
              <w:right w:w="70" w:type="dxa"/>
            </w:tcMar>
            <w:vAlign w:val="center"/>
          </w:tcPr>
          <w:p w14:paraId="3CB7DB77" w14:textId="77777777" w:rsidR="00650619" w:rsidRPr="00650619" w:rsidRDefault="00650619" w:rsidP="00650619">
            <w:pPr>
              <w:pStyle w:val="Body"/>
              <w:spacing w:after="0"/>
              <w:rPr>
                <w:rFonts w:ascii="Arial" w:hAnsi="Arial" w:cs="Arial"/>
                <w:lang w:val="pt-BR"/>
              </w:rPr>
            </w:pPr>
            <w:r w:rsidRPr="00650619">
              <w:rPr>
                <w:rFonts w:ascii="Arial" w:hAnsi="Arial" w:cs="Arial"/>
                <w:b/>
                <w:bCs/>
                <w:lang w:val="pt-BR"/>
              </w:rPr>
              <w:t>Parameter</w:t>
            </w:r>
          </w:p>
        </w:tc>
        <w:tc>
          <w:tcPr>
            <w:tcW w:w="1520" w:type="dxa"/>
            <w:tcBorders>
              <w:bottom w:val="single" w:sz="8" w:space="0" w:color="000000"/>
            </w:tcBorders>
            <w:tcMar>
              <w:top w:w="0" w:type="dxa"/>
              <w:left w:w="70" w:type="dxa"/>
              <w:bottom w:w="0" w:type="dxa"/>
              <w:right w:w="70" w:type="dxa"/>
            </w:tcMar>
            <w:vAlign w:val="center"/>
          </w:tcPr>
          <w:p w14:paraId="746B426A" w14:textId="77777777" w:rsidR="00650619" w:rsidRPr="00650619" w:rsidRDefault="00650619" w:rsidP="00650619">
            <w:pPr>
              <w:pStyle w:val="Body"/>
              <w:rPr>
                <w:rFonts w:ascii="Arial" w:hAnsi="Arial" w:cs="Arial"/>
                <w:lang w:val="pt-BR"/>
              </w:rPr>
            </w:pPr>
            <w:r w:rsidRPr="00650619">
              <w:rPr>
                <w:rFonts w:ascii="Arial" w:hAnsi="Arial" w:cs="Arial"/>
                <w:b/>
                <w:bCs/>
                <w:lang w:val="pt-BR"/>
              </w:rPr>
              <w:t>Control</w:t>
            </w:r>
          </w:p>
        </w:tc>
        <w:tc>
          <w:tcPr>
            <w:tcW w:w="1420" w:type="dxa"/>
            <w:tcBorders>
              <w:bottom w:val="single" w:sz="8" w:space="0" w:color="000000"/>
            </w:tcBorders>
            <w:tcMar>
              <w:top w:w="0" w:type="dxa"/>
              <w:left w:w="70" w:type="dxa"/>
              <w:bottom w:w="0" w:type="dxa"/>
              <w:right w:w="70" w:type="dxa"/>
            </w:tcMar>
            <w:vAlign w:val="center"/>
          </w:tcPr>
          <w:p w14:paraId="51DFC2B6" w14:textId="77777777" w:rsidR="00650619" w:rsidRPr="00650619" w:rsidRDefault="00650619" w:rsidP="00650619">
            <w:pPr>
              <w:pStyle w:val="Body"/>
              <w:rPr>
                <w:rFonts w:ascii="Arial" w:hAnsi="Arial" w:cs="Arial"/>
                <w:lang w:val="pt-BR"/>
              </w:rPr>
            </w:pPr>
            <w:r w:rsidRPr="00650619">
              <w:rPr>
                <w:rFonts w:ascii="Arial" w:hAnsi="Arial" w:cs="Arial"/>
                <w:b/>
                <w:bCs/>
                <w:lang w:val="pt-BR"/>
              </w:rPr>
              <w:t>T1.25%</w:t>
            </w:r>
          </w:p>
        </w:tc>
        <w:tc>
          <w:tcPr>
            <w:tcW w:w="1600" w:type="dxa"/>
            <w:tcBorders>
              <w:bottom w:val="single" w:sz="8" w:space="0" w:color="000000"/>
            </w:tcBorders>
            <w:tcMar>
              <w:top w:w="0" w:type="dxa"/>
              <w:left w:w="70" w:type="dxa"/>
              <w:bottom w:w="0" w:type="dxa"/>
              <w:right w:w="70" w:type="dxa"/>
            </w:tcMar>
            <w:vAlign w:val="center"/>
          </w:tcPr>
          <w:p w14:paraId="103D90AB" w14:textId="77777777" w:rsidR="00650619" w:rsidRPr="00650619" w:rsidRDefault="00650619" w:rsidP="00650619">
            <w:pPr>
              <w:pStyle w:val="Body"/>
              <w:rPr>
                <w:rFonts w:ascii="Arial" w:hAnsi="Arial" w:cs="Arial"/>
                <w:lang w:val="pt-BR"/>
              </w:rPr>
            </w:pPr>
            <w:r w:rsidRPr="00650619">
              <w:rPr>
                <w:rFonts w:ascii="Arial" w:hAnsi="Arial" w:cs="Arial"/>
                <w:b/>
                <w:bCs/>
                <w:lang w:val="pt-BR"/>
              </w:rPr>
              <w:t>T2.50%</w:t>
            </w:r>
          </w:p>
        </w:tc>
        <w:tc>
          <w:tcPr>
            <w:tcW w:w="1480" w:type="dxa"/>
            <w:tcBorders>
              <w:bottom w:val="single" w:sz="8" w:space="0" w:color="000000"/>
            </w:tcBorders>
            <w:tcMar>
              <w:top w:w="0" w:type="dxa"/>
              <w:left w:w="70" w:type="dxa"/>
              <w:bottom w:w="0" w:type="dxa"/>
              <w:right w:w="70" w:type="dxa"/>
            </w:tcMar>
            <w:vAlign w:val="center"/>
          </w:tcPr>
          <w:p w14:paraId="24E3ADB7" w14:textId="77777777" w:rsidR="00650619" w:rsidRPr="00650619" w:rsidRDefault="00650619" w:rsidP="00650619">
            <w:pPr>
              <w:pStyle w:val="Body"/>
              <w:rPr>
                <w:rFonts w:ascii="Arial" w:hAnsi="Arial" w:cs="Arial"/>
                <w:lang w:val="pt-BR"/>
              </w:rPr>
            </w:pPr>
            <w:r w:rsidRPr="00650619">
              <w:rPr>
                <w:rFonts w:ascii="Arial" w:hAnsi="Arial" w:cs="Arial"/>
                <w:b/>
                <w:bCs/>
                <w:lang w:val="pt-BR"/>
              </w:rPr>
              <w:t>T5.00%</w:t>
            </w:r>
          </w:p>
        </w:tc>
      </w:tr>
      <w:tr w:rsidR="00650619" w:rsidRPr="00650619" w14:paraId="02DFE073" w14:textId="77777777" w:rsidTr="005C58C0">
        <w:trPr>
          <w:trHeight w:val="315"/>
          <w:jc w:val="center"/>
        </w:trPr>
        <w:tc>
          <w:tcPr>
            <w:tcW w:w="2369" w:type="dxa"/>
            <w:tcMar>
              <w:top w:w="0" w:type="dxa"/>
              <w:left w:w="70" w:type="dxa"/>
              <w:bottom w:w="0" w:type="dxa"/>
              <w:right w:w="70" w:type="dxa"/>
            </w:tcMar>
            <w:vAlign w:val="center"/>
          </w:tcPr>
          <w:p w14:paraId="0FA0CC3F" w14:textId="77777777" w:rsidR="00650619" w:rsidRPr="00650619" w:rsidRDefault="00650619" w:rsidP="00650619">
            <w:pPr>
              <w:pStyle w:val="Body"/>
              <w:rPr>
                <w:rFonts w:ascii="Arial" w:hAnsi="Arial" w:cs="Arial"/>
                <w:lang w:val="pt-BR"/>
              </w:rPr>
            </w:pPr>
            <w:r w:rsidRPr="00650619">
              <w:rPr>
                <w:rFonts w:ascii="Arial" w:hAnsi="Arial" w:cs="Arial"/>
                <w:lang w:val="pt-BR"/>
              </w:rPr>
              <w:t>ADG (Kg day</w:t>
            </w:r>
            <w:r w:rsidRPr="00650619">
              <w:rPr>
                <w:rFonts w:ascii="Cambria Math" w:hAnsi="Cambria Math" w:cs="Cambria Math"/>
                <w:lang w:val="pt-BR"/>
              </w:rPr>
              <w:t>⁻</w:t>
            </w:r>
            <w:r w:rsidRPr="00650619">
              <w:rPr>
                <w:rFonts w:ascii="Arial" w:hAnsi="Arial" w:cs="Arial"/>
                <w:lang w:val="pt-BR"/>
              </w:rPr>
              <w:t>¹)</w:t>
            </w:r>
          </w:p>
        </w:tc>
        <w:tc>
          <w:tcPr>
            <w:tcW w:w="1520" w:type="dxa"/>
            <w:tcMar>
              <w:top w:w="0" w:type="dxa"/>
              <w:left w:w="70" w:type="dxa"/>
              <w:bottom w:w="0" w:type="dxa"/>
              <w:right w:w="70" w:type="dxa"/>
            </w:tcMar>
            <w:vAlign w:val="center"/>
          </w:tcPr>
          <w:p w14:paraId="26C840F7" w14:textId="77777777" w:rsidR="00650619" w:rsidRPr="00650619" w:rsidRDefault="00650619" w:rsidP="00650619">
            <w:pPr>
              <w:pStyle w:val="Body"/>
              <w:rPr>
                <w:rFonts w:ascii="Arial" w:hAnsi="Arial" w:cs="Arial"/>
                <w:lang w:val="pt-BR"/>
              </w:rPr>
            </w:pPr>
            <w:r w:rsidRPr="00650619">
              <w:rPr>
                <w:rFonts w:ascii="Arial" w:hAnsi="Arial" w:cs="Arial"/>
                <w:lang w:val="pt-BR"/>
              </w:rPr>
              <w:t>0.41 ± 0.00</w:t>
            </w:r>
          </w:p>
        </w:tc>
        <w:tc>
          <w:tcPr>
            <w:tcW w:w="1420" w:type="dxa"/>
            <w:tcMar>
              <w:top w:w="0" w:type="dxa"/>
              <w:left w:w="70" w:type="dxa"/>
              <w:bottom w:w="0" w:type="dxa"/>
              <w:right w:w="70" w:type="dxa"/>
            </w:tcMar>
            <w:vAlign w:val="center"/>
          </w:tcPr>
          <w:p w14:paraId="6B71006C" w14:textId="77777777" w:rsidR="00650619" w:rsidRPr="00650619" w:rsidRDefault="00650619" w:rsidP="00650619">
            <w:pPr>
              <w:pStyle w:val="Body"/>
              <w:rPr>
                <w:rFonts w:ascii="Arial" w:hAnsi="Arial" w:cs="Arial"/>
                <w:lang w:val="pt-BR"/>
              </w:rPr>
            </w:pPr>
            <w:r w:rsidRPr="00650619">
              <w:rPr>
                <w:rFonts w:ascii="Arial" w:hAnsi="Arial" w:cs="Arial"/>
                <w:lang w:val="pt-BR"/>
              </w:rPr>
              <w:t>0.34 ± 0.12</w:t>
            </w:r>
          </w:p>
        </w:tc>
        <w:tc>
          <w:tcPr>
            <w:tcW w:w="1600" w:type="dxa"/>
            <w:tcMar>
              <w:top w:w="0" w:type="dxa"/>
              <w:left w:w="70" w:type="dxa"/>
              <w:bottom w:w="0" w:type="dxa"/>
              <w:right w:w="70" w:type="dxa"/>
            </w:tcMar>
            <w:vAlign w:val="center"/>
          </w:tcPr>
          <w:p w14:paraId="692A0E04" w14:textId="77777777" w:rsidR="00650619" w:rsidRPr="00650619" w:rsidRDefault="00650619" w:rsidP="00650619">
            <w:pPr>
              <w:pStyle w:val="Body"/>
              <w:rPr>
                <w:rFonts w:ascii="Arial" w:hAnsi="Arial" w:cs="Arial"/>
                <w:lang w:val="pt-BR"/>
              </w:rPr>
            </w:pPr>
            <w:r w:rsidRPr="00650619">
              <w:rPr>
                <w:rFonts w:ascii="Arial" w:hAnsi="Arial" w:cs="Arial"/>
                <w:lang w:val="pt-BR"/>
              </w:rPr>
              <w:t>0.42 ± 0.01</w:t>
            </w:r>
          </w:p>
        </w:tc>
        <w:tc>
          <w:tcPr>
            <w:tcW w:w="1480" w:type="dxa"/>
            <w:tcMar>
              <w:top w:w="0" w:type="dxa"/>
              <w:left w:w="70" w:type="dxa"/>
              <w:bottom w:w="0" w:type="dxa"/>
              <w:right w:w="70" w:type="dxa"/>
            </w:tcMar>
            <w:vAlign w:val="center"/>
          </w:tcPr>
          <w:p w14:paraId="0D68A71E" w14:textId="77777777" w:rsidR="00650619" w:rsidRPr="00650619" w:rsidRDefault="00650619" w:rsidP="00650619">
            <w:pPr>
              <w:pStyle w:val="Body"/>
              <w:rPr>
                <w:rFonts w:ascii="Arial" w:hAnsi="Arial" w:cs="Arial"/>
                <w:lang w:val="pt-BR"/>
              </w:rPr>
            </w:pPr>
            <w:r w:rsidRPr="00650619">
              <w:rPr>
                <w:rFonts w:ascii="Arial" w:hAnsi="Arial" w:cs="Arial"/>
                <w:lang w:val="pt-BR"/>
              </w:rPr>
              <w:t>0.48 ± 0.07</w:t>
            </w:r>
          </w:p>
        </w:tc>
      </w:tr>
      <w:tr w:rsidR="00650619" w:rsidRPr="00650619" w14:paraId="05449B5B" w14:textId="77777777" w:rsidTr="005C58C0">
        <w:trPr>
          <w:trHeight w:val="315"/>
          <w:jc w:val="center"/>
        </w:trPr>
        <w:tc>
          <w:tcPr>
            <w:tcW w:w="2369" w:type="dxa"/>
            <w:tcBorders>
              <w:bottom w:val="single" w:sz="8" w:space="0" w:color="000000"/>
            </w:tcBorders>
            <w:tcMar>
              <w:top w:w="0" w:type="dxa"/>
              <w:left w:w="70" w:type="dxa"/>
              <w:bottom w:w="0" w:type="dxa"/>
              <w:right w:w="70" w:type="dxa"/>
            </w:tcMar>
            <w:vAlign w:val="center"/>
          </w:tcPr>
          <w:p w14:paraId="61B2583E" w14:textId="77777777" w:rsidR="00650619" w:rsidRPr="00650619" w:rsidRDefault="00650619" w:rsidP="00650619">
            <w:pPr>
              <w:pStyle w:val="Body"/>
              <w:rPr>
                <w:rFonts w:ascii="Arial" w:hAnsi="Arial" w:cs="Arial"/>
                <w:lang w:val="pt-BR"/>
              </w:rPr>
            </w:pPr>
            <w:r w:rsidRPr="00650619">
              <w:rPr>
                <w:rFonts w:ascii="Arial" w:hAnsi="Arial" w:cs="Arial"/>
                <w:lang w:val="pt-BR"/>
              </w:rPr>
              <w:t>AW (Kg)</w:t>
            </w:r>
          </w:p>
        </w:tc>
        <w:tc>
          <w:tcPr>
            <w:tcW w:w="1520" w:type="dxa"/>
            <w:tcBorders>
              <w:bottom w:val="single" w:sz="8" w:space="0" w:color="000000"/>
            </w:tcBorders>
            <w:tcMar>
              <w:top w:w="0" w:type="dxa"/>
              <w:left w:w="70" w:type="dxa"/>
              <w:bottom w:w="0" w:type="dxa"/>
              <w:right w:w="70" w:type="dxa"/>
            </w:tcMar>
            <w:vAlign w:val="center"/>
          </w:tcPr>
          <w:p w14:paraId="11F032C6" w14:textId="77777777" w:rsidR="00650619" w:rsidRPr="00650619" w:rsidRDefault="00650619" w:rsidP="00650619">
            <w:pPr>
              <w:pStyle w:val="Body"/>
              <w:rPr>
                <w:rFonts w:ascii="Arial" w:hAnsi="Arial" w:cs="Arial"/>
                <w:lang w:val="pt-BR"/>
              </w:rPr>
            </w:pPr>
            <w:r w:rsidRPr="00650619">
              <w:rPr>
                <w:rFonts w:ascii="Arial" w:hAnsi="Arial" w:cs="Arial"/>
                <w:lang w:val="pt-BR"/>
              </w:rPr>
              <w:t>22.69 ± 0.27</w:t>
            </w:r>
          </w:p>
        </w:tc>
        <w:tc>
          <w:tcPr>
            <w:tcW w:w="1420" w:type="dxa"/>
            <w:tcBorders>
              <w:bottom w:val="single" w:sz="8" w:space="0" w:color="000000"/>
            </w:tcBorders>
            <w:tcMar>
              <w:top w:w="0" w:type="dxa"/>
              <w:left w:w="70" w:type="dxa"/>
              <w:bottom w:w="0" w:type="dxa"/>
              <w:right w:w="70" w:type="dxa"/>
            </w:tcMar>
            <w:vAlign w:val="center"/>
          </w:tcPr>
          <w:p w14:paraId="46D87DCB" w14:textId="77777777" w:rsidR="00650619" w:rsidRPr="00650619" w:rsidRDefault="00650619" w:rsidP="00650619">
            <w:pPr>
              <w:pStyle w:val="Body"/>
              <w:rPr>
                <w:rFonts w:ascii="Arial" w:hAnsi="Arial" w:cs="Arial"/>
                <w:lang w:val="pt-BR"/>
              </w:rPr>
            </w:pPr>
            <w:r w:rsidRPr="00650619">
              <w:rPr>
                <w:rFonts w:ascii="Arial" w:hAnsi="Arial" w:cs="Arial"/>
                <w:lang w:val="pt-BR"/>
              </w:rPr>
              <w:t>19.83 ± 2.93</w:t>
            </w:r>
          </w:p>
        </w:tc>
        <w:tc>
          <w:tcPr>
            <w:tcW w:w="1600" w:type="dxa"/>
            <w:tcBorders>
              <w:bottom w:val="single" w:sz="8" w:space="0" w:color="000000"/>
            </w:tcBorders>
            <w:tcMar>
              <w:top w:w="0" w:type="dxa"/>
              <w:left w:w="70" w:type="dxa"/>
              <w:bottom w:w="0" w:type="dxa"/>
              <w:right w:w="70" w:type="dxa"/>
            </w:tcMar>
            <w:vAlign w:val="center"/>
          </w:tcPr>
          <w:p w14:paraId="7A5EA07F" w14:textId="77777777" w:rsidR="00650619" w:rsidRPr="00650619" w:rsidRDefault="00650619" w:rsidP="00650619">
            <w:pPr>
              <w:pStyle w:val="Body"/>
              <w:rPr>
                <w:rFonts w:ascii="Arial" w:hAnsi="Arial" w:cs="Arial"/>
                <w:lang w:val="pt-BR"/>
              </w:rPr>
            </w:pPr>
            <w:r w:rsidRPr="00650619">
              <w:rPr>
                <w:rFonts w:ascii="Arial" w:hAnsi="Arial" w:cs="Arial"/>
                <w:lang w:val="pt-BR"/>
              </w:rPr>
              <w:t>22.16 ± 0.63</w:t>
            </w:r>
          </w:p>
        </w:tc>
        <w:tc>
          <w:tcPr>
            <w:tcW w:w="1480" w:type="dxa"/>
            <w:tcBorders>
              <w:bottom w:val="single" w:sz="8" w:space="0" w:color="000000"/>
            </w:tcBorders>
            <w:tcMar>
              <w:top w:w="0" w:type="dxa"/>
              <w:left w:w="70" w:type="dxa"/>
              <w:bottom w:w="0" w:type="dxa"/>
              <w:right w:w="70" w:type="dxa"/>
            </w:tcMar>
            <w:vAlign w:val="center"/>
          </w:tcPr>
          <w:p w14:paraId="1B401A7B" w14:textId="77777777" w:rsidR="00650619" w:rsidRPr="00650619" w:rsidRDefault="00650619" w:rsidP="00650619">
            <w:pPr>
              <w:pStyle w:val="Body"/>
              <w:rPr>
                <w:rFonts w:ascii="Arial" w:hAnsi="Arial" w:cs="Arial"/>
                <w:lang w:val="pt-BR"/>
              </w:rPr>
            </w:pPr>
            <w:r w:rsidRPr="00650619">
              <w:rPr>
                <w:rFonts w:ascii="Arial" w:hAnsi="Arial" w:cs="Arial"/>
                <w:lang w:val="pt-BR"/>
              </w:rPr>
              <w:t>23.81 ± 1.50</w:t>
            </w:r>
          </w:p>
        </w:tc>
      </w:tr>
    </w:tbl>
    <w:p w14:paraId="3408AE27" w14:textId="77777777" w:rsidR="00650619" w:rsidRPr="00650619" w:rsidRDefault="00650619" w:rsidP="00650619">
      <w:pPr>
        <w:pStyle w:val="Body"/>
        <w:spacing w:after="0"/>
        <w:rPr>
          <w:rFonts w:ascii="Arial" w:hAnsi="Arial" w:cs="Arial"/>
          <w:sz w:val="18"/>
          <w:szCs w:val="18"/>
        </w:rPr>
      </w:pPr>
      <w:r w:rsidRPr="00650619">
        <w:rPr>
          <w:rFonts w:ascii="Arial" w:hAnsi="Arial" w:cs="Arial"/>
          <w:sz w:val="18"/>
          <w:szCs w:val="18"/>
        </w:rPr>
        <w:t>ADG: Average daily gain; AW: Average weight at weaning off at 63 days; Significance level: 95%</w:t>
      </w:r>
    </w:p>
    <w:p w14:paraId="635F72EB" w14:textId="77777777" w:rsidR="00790ADA" w:rsidRDefault="00790ADA" w:rsidP="00441B6F">
      <w:pPr>
        <w:pStyle w:val="Body"/>
        <w:spacing w:after="0"/>
        <w:rPr>
          <w:rFonts w:ascii="Arial" w:hAnsi="Arial" w:cs="Arial"/>
        </w:rPr>
      </w:pPr>
    </w:p>
    <w:p w14:paraId="02BDDF27" w14:textId="13CBF0C6" w:rsidR="0023042B" w:rsidRPr="0047045A" w:rsidRDefault="0023042B" w:rsidP="00441B6F">
      <w:pPr>
        <w:pStyle w:val="Body"/>
        <w:spacing w:after="0"/>
        <w:rPr>
          <w:rFonts w:ascii="Arial" w:hAnsi="Arial" w:cs="Arial"/>
          <w:b/>
          <w:bCs/>
          <w:sz w:val="22"/>
          <w:szCs w:val="22"/>
        </w:rPr>
      </w:pPr>
      <w:r w:rsidRPr="0047045A">
        <w:rPr>
          <w:rFonts w:ascii="Arial" w:hAnsi="Arial" w:cs="Arial"/>
          <w:b/>
          <w:bCs/>
          <w:sz w:val="22"/>
          <w:szCs w:val="22"/>
        </w:rPr>
        <w:t xml:space="preserve">3.2 </w:t>
      </w:r>
      <w:r w:rsidR="0047045A" w:rsidRPr="0047045A">
        <w:rPr>
          <w:rFonts w:ascii="Arial" w:hAnsi="Arial" w:cs="Arial"/>
          <w:b/>
          <w:bCs/>
          <w:sz w:val="22"/>
          <w:szCs w:val="22"/>
        </w:rPr>
        <w:t>Discussion</w:t>
      </w:r>
    </w:p>
    <w:p w14:paraId="11144259" w14:textId="77777777" w:rsidR="0047045A" w:rsidRDefault="0047045A" w:rsidP="00007A23">
      <w:pPr>
        <w:pStyle w:val="Body"/>
        <w:spacing w:after="0"/>
        <w:rPr>
          <w:rFonts w:ascii="Arial" w:hAnsi="Arial" w:cs="Arial"/>
        </w:rPr>
      </w:pPr>
    </w:p>
    <w:p w14:paraId="5BE61DAF" w14:textId="6D9F35FE" w:rsidR="00007A23" w:rsidRPr="00007A23" w:rsidRDefault="00007A23" w:rsidP="00007A23">
      <w:pPr>
        <w:pStyle w:val="Body"/>
        <w:spacing w:after="0"/>
        <w:rPr>
          <w:rFonts w:ascii="Arial" w:hAnsi="Arial" w:cs="Arial"/>
          <w:b/>
          <w:u w:val="single"/>
        </w:rPr>
      </w:pPr>
      <w:r w:rsidRPr="00007A23">
        <w:rPr>
          <w:rFonts w:ascii="Arial" w:hAnsi="Arial" w:cs="Arial"/>
          <w:b/>
          <w:u w:val="single"/>
        </w:rPr>
        <w:t xml:space="preserve">3.2.1 Chemical composition of </w:t>
      </w:r>
      <w:r w:rsidRPr="00007A23">
        <w:rPr>
          <w:rFonts w:ascii="Arial" w:hAnsi="Arial" w:cs="Arial"/>
          <w:b/>
          <w:i/>
          <w:iCs/>
          <w:u w:val="single"/>
        </w:rPr>
        <w:t xml:space="preserve">Cymbopogon </w:t>
      </w:r>
      <w:proofErr w:type="spellStart"/>
      <w:r w:rsidRPr="00007A23">
        <w:rPr>
          <w:rFonts w:ascii="Arial" w:hAnsi="Arial" w:cs="Arial"/>
          <w:b/>
          <w:i/>
          <w:iCs/>
          <w:u w:val="single"/>
        </w:rPr>
        <w:t>citratus</w:t>
      </w:r>
      <w:proofErr w:type="spellEnd"/>
      <w:r w:rsidRPr="00007A23">
        <w:rPr>
          <w:rFonts w:ascii="Arial" w:hAnsi="Arial" w:cs="Arial"/>
          <w:b/>
          <w:u w:val="single"/>
        </w:rPr>
        <w:t xml:space="preserve"> essential oil</w:t>
      </w:r>
    </w:p>
    <w:p w14:paraId="260DA75B" w14:textId="77777777" w:rsidR="00007A23" w:rsidRPr="00007A23" w:rsidRDefault="00007A23" w:rsidP="00007A23">
      <w:pPr>
        <w:pStyle w:val="Body"/>
        <w:spacing w:after="0"/>
        <w:rPr>
          <w:rFonts w:ascii="Arial" w:hAnsi="Arial" w:cs="Arial"/>
          <w:b/>
        </w:rPr>
      </w:pPr>
    </w:p>
    <w:p w14:paraId="74DA0D4C" w14:textId="77777777" w:rsidR="00007A23" w:rsidRPr="00007A23" w:rsidRDefault="00007A23" w:rsidP="00007A23">
      <w:pPr>
        <w:pStyle w:val="Body"/>
        <w:spacing w:after="0"/>
        <w:rPr>
          <w:rFonts w:ascii="Arial" w:hAnsi="Arial" w:cs="Arial"/>
        </w:rPr>
      </w:pPr>
      <w:r w:rsidRPr="00007A23">
        <w:rPr>
          <w:rFonts w:ascii="Arial" w:hAnsi="Arial" w:cs="Arial"/>
        </w:rPr>
        <w:t xml:space="preserve">Neral and Geranial have frequently been reported as the major compounds in CCEO, ranging from 26.03 to 37.42% and 31.43 to 48.10%, respectively (Blanco et al., 2009; </w:t>
      </w:r>
      <w:proofErr w:type="spellStart"/>
      <w:r w:rsidRPr="00007A23">
        <w:rPr>
          <w:rFonts w:ascii="Arial" w:hAnsi="Arial" w:cs="Arial"/>
        </w:rPr>
        <w:t>Katsukawa</w:t>
      </w:r>
      <w:proofErr w:type="spellEnd"/>
      <w:r w:rsidRPr="00007A23">
        <w:rPr>
          <w:rFonts w:ascii="Arial" w:hAnsi="Arial" w:cs="Arial"/>
        </w:rPr>
        <w:t xml:space="preserve"> et al., 2010; Silva et al., 2010; Bassole et al., 2011; Ajayi et al., 2016). These components, when combined, form Citral (Iijima et al., 2006; </w:t>
      </w:r>
      <w:proofErr w:type="spellStart"/>
      <w:r w:rsidRPr="00007A23">
        <w:rPr>
          <w:rFonts w:ascii="Arial" w:hAnsi="Arial" w:cs="Arial"/>
        </w:rPr>
        <w:t>Katsukawa</w:t>
      </w:r>
      <w:proofErr w:type="spellEnd"/>
      <w:r w:rsidRPr="00007A23">
        <w:rPr>
          <w:rFonts w:ascii="Arial" w:hAnsi="Arial" w:cs="Arial"/>
        </w:rPr>
        <w:t xml:space="preserve"> et al., 2010; Ajayi et al., 2016). Citral has been associated with sedative and anxiolytic properties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Hacke et al., 2020) and, in fish, with anesthetic effects (de Freitas Souza et al., 2018). According to Hacke et al. (2020), Citral is responsible for the anxiolytic effects of CCEO through gamma-aminobutyric acid type A (GABA</w:t>
      </w:r>
      <w:r w:rsidRPr="00007A23">
        <w:rPr>
          <w:rFonts w:ascii="Arial" w:hAnsi="Arial" w:cs="Arial"/>
          <w:vertAlign w:val="subscript"/>
        </w:rPr>
        <w:t>A</w:t>
      </w:r>
      <w:r w:rsidRPr="00007A23">
        <w:rPr>
          <w:rFonts w:ascii="Arial" w:hAnsi="Arial" w:cs="Arial"/>
        </w:rPr>
        <w:t>) receptors.</w:t>
      </w:r>
    </w:p>
    <w:p w14:paraId="6C3D0223" w14:textId="77777777" w:rsidR="00007A23" w:rsidRPr="00007A23" w:rsidRDefault="00007A23" w:rsidP="00007A23">
      <w:pPr>
        <w:pStyle w:val="Body"/>
        <w:spacing w:after="0"/>
        <w:rPr>
          <w:rFonts w:ascii="Arial" w:hAnsi="Arial" w:cs="Arial"/>
          <w:b/>
        </w:rPr>
      </w:pPr>
    </w:p>
    <w:p w14:paraId="7B87D759" w14:textId="1771545A" w:rsidR="00007A23" w:rsidRPr="00007A23" w:rsidRDefault="00F11465" w:rsidP="00007A23">
      <w:pPr>
        <w:pStyle w:val="Body"/>
        <w:spacing w:after="0"/>
        <w:rPr>
          <w:rFonts w:ascii="Arial" w:hAnsi="Arial" w:cs="Arial"/>
          <w:b/>
          <w:u w:val="single"/>
        </w:rPr>
      </w:pPr>
      <w:r w:rsidRPr="00F11465">
        <w:rPr>
          <w:rFonts w:ascii="Arial" w:hAnsi="Arial" w:cs="Arial"/>
          <w:b/>
          <w:u w:val="single"/>
        </w:rPr>
        <w:t xml:space="preserve">3.2.2 </w:t>
      </w:r>
      <w:r w:rsidR="00007A23" w:rsidRPr="00007A23">
        <w:rPr>
          <w:rFonts w:ascii="Arial" w:hAnsi="Arial" w:cs="Arial"/>
          <w:b/>
          <w:u w:val="single"/>
        </w:rPr>
        <w:t>Behavior</w:t>
      </w:r>
    </w:p>
    <w:p w14:paraId="255D5B0F" w14:textId="77777777" w:rsidR="00007A23" w:rsidRPr="00007A23" w:rsidRDefault="00007A23" w:rsidP="00007A23">
      <w:pPr>
        <w:pStyle w:val="Body"/>
        <w:spacing w:after="0"/>
        <w:rPr>
          <w:rFonts w:ascii="Arial" w:hAnsi="Arial" w:cs="Arial"/>
          <w:b/>
        </w:rPr>
      </w:pPr>
    </w:p>
    <w:p w14:paraId="097B0D51" w14:textId="77777777" w:rsidR="00007A23" w:rsidRPr="00007A23" w:rsidRDefault="00007A23" w:rsidP="00007A23">
      <w:pPr>
        <w:pStyle w:val="Body"/>
        <w:spacing w:after="0"/>
        <w:rPr>
          <w:rFonts w:ascii="Arial" w:hAnsi="Arial" w:cs="Arial"/>
        </w:rPr>
      </w:pPr>
      <w:r w:rsidRPr="00007A23">
        <w:rPr>
          <w:rFonts w:ascii="Arial" w:hAnsi="Arial" w:cs="Arial"/>
        </w:rPr>
        <w:t>In swine production, weaning is considered one of the most stressful management practices in a piglet’s life, as they must assume nutritional independence through solid feed, face social challenges due to maternal and littermate separation, and cope with forced contact with piglets from other litters (Gardner et al., 2001; da Silva et al., 2014). Commercial weaning has multiple impacts because it occurs abruptly and earlier than the natural period (Gardner et al., 2001). Unlike semi-natural systems, this weaning does not occur playfully or with environmental enrichment, resulting in skin lesions due to agonistic interactions, as well as diarrhea and respiratory problems caused by stress-induced immunosuppression (Wattanakul et al., 1997). The duration and severity of agonistic interactions vary between litters, being most intense in the first 48 hours but can extend up to 10 days (Souza et al., 2006).</w:t>
      </w:r>
    </w:p>
    <w:p w14:paraId="50BA9F1C" w14:textId="77777777" w:rsidR="00007A23" w:rsidRPr="00007A23" w:rsidRDefault="00007A23" w:rsidP="00007A23">
      <w:pPr>
        <w:pStyle w:val="Body"/>
        <w:spacing w:after="0"/>
        <w:rPr>
          <w:rFonts w:ascii="Arial" w:hAnsi="Arial" w:cs="Arial"/>
        </w:rPr>
      </w:pPr>
      <w:r w:rsidRPr="00007A23">
        <w:rPr>
          <w:rFonts w:ascii="Arial" w:hAnsi="Arial" w:cs="Arial"/>
        </w:rPr>
        <w:t>In our experiment, piglets treated with CCEO, especially the T2.50% group, showed a higher frequency of sitting and lying behaviors and, along with the T5.00% group, exhibited more frequent feeding and drinking. Additionally, these groups numerically showed the highest ABW and ADG. This increased frequency of calm behaviors may be related to the sedative and anxiolytic properties of Citral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These results are similar to those reported by Morgan et al. (2014), who observed that piglets socialized during lactation were more relaxed than the control group.</w:t>
      </w:r>
    </w:p>
    <w:p w14:paraId="2276E857" w14:textId="77777777" w:rsidR="00007A23" w:rsidRPr="00007A23" w:rsidRDefault="00007A23" w:rsidP="00007A23">
      <w:pPr>
        <w:pStyle w:val="Body"/>
        <w:spacing w:after="0"/>
        <w:rPr>
          <w:rFonts w:ascii="Arial" w:hAnsi="Arial" w:cs="Arial"/>
        </w:rPr>
      </w:pPr>
      <w:r w:rsidRPr="00007A23">
        <w:rPr>
          <w:rFonts w:ascii="Arial" w:hAnsi="Arial" w:cs="Arial"/>
        </w:rPr>
        <w:t>On the other hand, non-agonistic interactions were more frequent in CCEO-treated groups, such as investigation, which increased in the T1.25% and T5.00% groups. Previous pre-weaning socialization, as reported by Morgan et al. (2014), showed similar outcomes, particularly in females, who predominated in investigative behaviors. However, the highest CCEO concentrations (T2.50% and T5.00%) were associated with increased vocalization. Nevertheless, vocalizations alone are not fully sufficient to assess welfare, as not all stressful situations provoke vocalization, and not all vocalizations indicate poor welfare (Manteuffel et al., 2004).</w:t>
      </w:r>
    </w:p>
    <w:p w14:paraId="46BC0C0D" w14:textId="77777777" w:rsidR="00007A23" w:rsidRPr="00007A23" w:rsidRDefault="00007A23" w:rsidP="00007A23">
      <w:pPr>
        <w:pStyle w:val="Body"/>
        <w:spacing w:after="0"/>
        <w:rPr>
          <w:rFonts w:ascii="Arial" w:hAnsi="Arial" w:cs="Arial"/>
        </w:rPr>
      </w:pPr>
      <w:r w:rsidRPr="00007A23">
        <w:rPr>
          <w:rFonts w:ascii="Arial" w:hAnsi="Arial" w:cs="Arial"/>
        </w:rPr>
        <w:t>In this study, no significant reduction in aggression/fighting was observed between treatments (P &gt; 0.05). Morgan et al. (2014) also reported no reduction in agonistic interactions in piglets socialized during lactation compared to controls, despite positive behavioral effects, as observed in our study. This aligns with Arey &amp; Edwards (1998) and Marchant-Forde (2009), who state that this is a critical period due to the formation of social hierarchy.</w:t>
      </w:r>
    </w:p>
    <w:p w14:paraId="37271C46" w14:textId="77777777" w:rsidR="00007A23" w:rsidRPr="00007A23" w:rsidRDefault="00007A23" w:rsidP="00007A23">
      <w:pPr>
        <w:pStyle w:val="Body"/>
        <w:spacing w:after="0"/>
        <w:rPr>
          <w:rFonts w:ascii="Arial" w:hAnsi="Arial" w:cs="Arial"/>
        </w:rPr>
      </w:pPr>
      <w:r w:rsidRPr="00007A23">
        <w:rPr>
          <w:rFonts w:ascii="Arial" w:hAnsi="Arial" w:cs="Arial"/>
        </w:rPr>
        <w:t>The increase in non-agonistic interactions observed in our experiment reinforces the anxiolytic effects of Citral, the major compound of CCEO, observed in other studies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Hacke et al., 2020; Chaaban et al., 2022). This effect may be related to high affinity for the benzodiazepine binding sites of GABA</w:t>
      </w:r>
      <w:r w:rsidRPr="00007A23">
        <w:rPr>
          <w:rFonts w:ascii="Arial" w:hAnsi="Arial" w:cs="Arial"/>
          <w:vertAlign w:val="subscript"/>
        </w:rPr>
        <w:t>A</w:t>
      </w:r>
      <w:r w:rsidRPr="00007A23">
        <w:rPr>
          <w:rFonts w:ascii="Arial" w:hAnsi="Arial" w:cs="Arial"/>
        </w:rPr>
        <w:t xml:space="preserve"> receptors (Fedotova et al., 2017). Hacke et al. (2020), when testing the anxiolytic effects of CCEO in zebrafish, observed that anxiolytic activity was attributed to its compounds: Citral (18.57%), Geraniol (22.02%), and Linalool (20.59%). The observed behaviors suggested involvement of GABA</w:t>
      </w:r>
      <w:r w:rsidRPr="00007A23">
        <w:rPr>
          <w:rFonts w:ascii="Arial" w:hAnsi="Arial" w:cs="Arial"/>
          <w:vertAlign w:val="subscript"/>
        </w:rPr>
        <w:t>A</w:t>
      </w:r>
      <w:r w:rsidRPr="00007A23">
        <w:rPr>
          <w:rFonts w:ascii="Arial" w:hAnsi="Arial" w:cs="Arial"/>
        </w:rPr>
        <w:t xml:space="preserve"> receptors in the anxiolytic effects, which may underlie the behavioral outcomes in our experiment (Video 1).</w:t>
      </w:r>
    </w:p>
    <w:p w14:paraId="72748331" w14:textId="77777777" w:rsidR="00007A23" w:rsidRPr="00007A23" w:rsidRDefault="00007A23" w:rsidP="00007A23">
      <w:pPr>
        <w:pStyle w:val="Body"/>
        <w:spacing w:after="0"/>
        <w:rPr>
          <w:rFonts w:ascii="Arial" w:hAnsi="Arial" w:cs="Arial"/>
          <w:b/>
        </w:rPr>
      </w:pPr>
    </w:p>
    <w:p w14:paraId="7AD9DFDD" w14:textId="6EA9F9C3" w:rsidR="00007A23" w:rsidRPr="00007A23" w:rsidRDefault="00F11465" w:rsidP="00007A23">
      <w:pPr>
        <w:pStyle w:val="Body"/>
        <w:spacing w:after="0"/>
        <w:rPr>
          <w:rFonts w:ascii="Arial" w:hAnsi="Arial" w:cs="Arial"/>
          <w:b/>
          <w:u w:val="single"/>
        </w:rPr>
      </w:pPr>
      <w:r w:rsidRPr="00F11465">
        <w:rPr>
          <w:rFonts w:ascii="Arial" w:hAnsi="Arial" w:cs="Arial"/>
          <w:b/>
          <w:u w:val="single"/>
        </w:rPr>
        <w:t xml:space="preserve">3.2.3 </w:t>
      </w:r>
      <w:r w:rsidR="00007A23" w:rsidRPr="00007A23">
        <w:rPr>
          <w:rFonts w:ascii="Arial" w:hAnsi="Arial" w:cs="Arial"/>
          <w:b/>
          <w:u w:val="single"/>
        </w:rPr>
        <w:t>Lesions</w:t>
      </w:r>
    </w:p>
    <w:p w14:paraId="136E253D" w14:textId="77777777" w:rsidR="00007A23" w:rsidRPr="00007A23" w:rsidRDefault="00007A23" w:rsidP="00007A23">
      <w:pPr>
        <w:pStyle w:val="Body"/>
        <w:spacing w:after="0"/>
        <w:rPr>
          <w:rFonts w:ascii="Arial" w:hAnsi="Arial" w:cs="Arial"/>
          <w:b/>
        </w:rPr>
      </w:pPr>
    </w:p>
    <w:p w14:paraId="039743B2" w14:textId="77777777" w:rsidR="00007A23" w:rsidRPr="00007A23" w:rsidRDefault="00007A23" w:rsidP="00007A23">
      <w:pPr>
        <w:pStyle w:val="Body"/>
        <w:spacing w:after="0"/>
        <w:rPr>
          <w:rFonts w:ascii="Arial" w:hAnsi="Arial" w:cs="Arial"/>
        </w:rPr>
      </w:pPr>
      <w:r w:rsidRPr="00007A23">
        <w:rPr>
          <w:rFonts w:ascii="Arial" w:hAnsi="Arial" w:cs="Arial"/>
        </w:rPr>
        <w:t>Biting lesions generally result from redirected stress due to unmet welfare needs and typically occur on tails and ears but can extend to other body parts (</w:t>
      </w:r>
      <w:proofErr w:type="spellStart"/>
      <w:r w:rsidRPr="00007A23">
        <w:rPr>
          <w:rFonts w:ascii="Arial" w:hAnsi="Arial" w:cs="Arial"/>
        </w:rPr>
        <w:t>Nannoni</w:t>
      </w:r>
      <w:proofErr w:type="spellEnd"/>
      <w:r w:rsidRPr="00007A23">
        <w:rPr>
          <w:rFonts w:ascii="Arial" w:hAnsi="Arial" w:cs="Arial"/>
        </w:rPr>
        <w:t xml:space="preserve"> et al., 2014). The results of our study (Table 3, Figures 2 and 3) align with literature reporting various lesions caused by agonistic interactions during the establishment of new social hierarchies (Campos et al., 2010). However, piglets treated with CCEO showed numerically fewer lesions. This may be related to the observed behaviors, resulting from the sedative, hypnotic, and anxiolytic effects of CCEO (Blanco et al., 2009). According to </w:t>
      </w:r>
      <w:proofErr w:type="spellStart"/>
      <w:r w:rsidRPr="00007A23">
        <w:rPr>
          <w:rFonts w:ascii="Arial" w:hAnsi="Arial" w:cs="Arial"/>
        </w:rPr>
        <w:t>Sriraksa</w:t>
      </w:r>
      <w:proofErr w:type="spellEnd"/>
      <w:r w:rsidRPr="00007A23">
        <w:rPr>
          <w:rFonts w:ascii="Arial" w:hAnsi="Arial" w:cs="Arial"/>
        </w:rPr>
        <w:t xml:space="preserve"> et al. (2018), individuals under the influence of CCEO are alert yet calm, corroborating our findings (Video 1).</w:t>
      </w:r>
    </w:p>
    <w:p w14:paraId="5D0CAF6C" w14:textId="77777777" w:rsidR="00007A23" w:rsidRPr="00007A23" w:rsidRDefault="00007A23" w:rsidP="00007A23">
      <w:pPr>
        <w:pStyle w:val="Body"/>
        <w:spacing w:after="0"/>
        <w:rPr>
          <w:rFonts w:ascii="Arial" w:hAnsi="Arial" w:cs="Arial"/>
        </w:rPr>
      </w:pPr>
      <w:r w:rsidRPr="00007A23">
        <w:rPr>
          <w:rFonts w:ascii="Arial" w:hAnsi="Arial" w:cs="Arial"/>
        </w:rPr>
        <w:t>According to Smulders et al. (2008), ear-biting lesions are common in swine production and negatively affect welfare and economic returns. These lesions have multifactorial origins, with temperature and the number of feeding points per pig in the nursery being important risk factors (Smulders et al., 2008).</w:t>
      </w:r>
    </w:p>
    <w:p w14:paraId="4AB29F12" w14:textId="77777777" w:rsidR="00007A23" w:rsidRPr="00007A23" w:rsidRDefault="00007A23" w:rsidP="00007A23">
      <w:pPr>
        <w:pStyle w:val="Body"/>
        <w:spacing w:after="0"/>
        <w:rPr>
          <w:rFonts w:ascii="Arial" w:hAnsi="Arial" w:cs="Arial"/>
          <w:b/>
        </w:rPr>
      </w:pPr>
    </w:p>
    <w:p w14:paraId="418D5167" w14:textId="350E6AC7" w:rsidR="00007A23" w:rsidRPr="00007A23" w:rsidRDefault="00F11465" w:rsidP="00007A23">
      <w:pPr>
        <w:pStyle w:val="Body"/>
        <w:spacing w:after="0"/>
        <w:rPr>
          <w:rFonts w:ascii="Arial" w:hAnsi="Arial" w:cs="Arial"/>
          <w:b/>
          <w:u w:val="single"/>
        </w:rPr>
      </w:pPr>
      <w:r>
        <w:rPr>
          <w:rFonts w:ascii="Arial" w:hAnsi="Arial" w:cs="Arial"/>
          <w:b/>
          <w:u w:val="single"/>
        </w:rPr>
        <w:t xml:space="preserve">3.2.4 </w:t>
      </w:r>
      <w:r w:rsidR="00007A23" w:rsidRPr="00007A23">
        <w:rPr>
          <w:rFonts w:ascii="Arial" w:hAnsi="Arial" w:cs="Arial"/>
          <w:b/>
          <w:u w:val="single"/>
        </w:rPr>
        <w:t>Zootechnical indexes</w:t>
      </w:r>
    </w:p>
    <w:p w14:paraId="6578AA6B" w14:textId="77777777" w:rsidR="00007A23" w:rsidRPr="00007A23" w:rsidRDefault="00007A23" w:rsidP="00007A23">
      <w:pPr>
        <w:pStyle w:val="Body"/>
        <w:spacing w:after="0"/>
        <w:rPr>
          <w:rFonts w:ascii="Arial" w:hAnsi="Arial" w:cs="Arial"/>
        </w:rPr>
      </w:pPr>
    </w:p>
    <w:p w14:paraId="612EA815" w14:textId="77777777" w:rsidR="00007A23" w:rsidRPr="00007A23" w:rsidRDefault="00007A23" w:rsidP="00007A23">
      <w:pPr>
        <w:pStyle w:val="Body"/>
        <w:spacing w:after="0"/>
        <w:rPr>
          <w:rFonts w:ascii="Arial" w:hAnsi="Arial" w:cs="Arial"/>
        </w:rPr>
      </w:pPr>
      <w:r w:rsidRPr="00007A23">
        <w:rPr>
          <w:rFonts w:ascii="Arial" w:hAnsi="Arial" w:cs="Arial"/>
        </w:rPr>
        <w:t>ADG is an important indicator of swine growth and has been evaluated in various experiments, including those related to animal welfare (Brumm et al., 2001; Gomes et al., 2018; Ji et al., 2021). Strategies such as lower stocking density and pre-weaning socialization can increase ADG (Brumm et al., 2001; Ji et al., 2021). However, differences between tested groups are sometimes not observed in controlled environments (Gomes et al., 2018). In our experiment, all groups were housed at a low density (until 0.75 m²/piglet), which, according to Brumm et al. (2001), offers fewer challenges to the animals.</w:t>
      </w:r>
    </w:p>
    <w:p w14:paraId="55F305F8" w14:textId="77777777" w:rsidR="00007A23" w:rsidRPr="00007A23" w:rsidRDefault="00007A23" w:rsidP="00007A23">
      <w:pPr>
        <w:pStyle w:val="Body"/>
        <w:spacing w:after="0"/>
        <w:rPr>
          <w:rFonts w:ascii="Arial" w:hAnsi="Arial" w:cs="Arial"/>
        </w:rPr>
      </w:pPr>
      <w:r w:rsidRPr="00007A23">
        <w:rPr>
          <w:rFonts w:ascii="Arial" w:hAnsi="Arial" w:cs="Arial"/>
        </w:rPr>
        <w:t>In Brazil, it is worth noting that Normative Instruction 113/2020, which establishes good management practices for commercial pig farms, recommends that stocking density on the farm should be adjusted according to environmental conditions, management, and animal behavior, with maximum densities being permitted. For nursery piglets weighing up to thirty kilograms, for example, the usable area allocated to each animal must be equal to or greater than 0.27 (zero point twenty-seven) square meters (Brazil, 2020). However, under these conditions, agonistic interactions between unfamiliar piglets are frequent and intense. In our experiments, although we worked with lower densities and greater animal comfort and welfare, several negative behaviors were still observed.</w:t>
      </w:r>
    </w:p>
    <w:p w14:paraId="20971BFD" w14:textId="77777777" w:rsidR="0047045A" w:rsidRPr="0047045A" w:rsidRDefault="0047045A" w:rsidP="00007A23">
      <w:pPr>
        <w:pStyle w:val="Body"/>
        <w:spacing w:after="0"/>
        <w:rPr>
          <w:rFonts w:ascii="Arial" w:hAnsi="Arial" w:cs="Arial"/>
        </w:rPr>
      </w:pPr>
    </w:p>
    <w:p w14:paraId="5FC8871F" w14:textId="77777777" w:rsidR="00B01FCD" w:rsidRDefault="00000F8F" w:rsidP="00007A23">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F4A3BA" w14:textId="77777777" w:rsidR="00790ADA" w:rsidRPr="00FB3A86" w:rsidRDefault="00790ADA" w:rsidP="00441B6F">
      <w:pPr>
        <w:pStyle w:val="ConcHead"/>
        <w:spacing w:after="0"/>
        <w:jc w:val="both"/>
        <w:rPr>
          <w:rFonts w:ascii="Arial" w:hAnsi="Arial" w:cs="Arial"/>
        </w:rPr>
      </w:pPr>
    </w:p>
    <w:p w14:paraId="1E92E3C7" w14:textId="5BC69422" w:rsidR="00315186" w:rsidRDefault="00070248" w:rsidP="00E74C42">
      <w:pPr>
        <w:pStyle w:val="Body"/>
        <w:spacing w:after="0"/>
        <w:rPr>
          <w:rFonts w:ascii="Arial" w:hAnsi="Arial" w:cs="Arial"/>
        </w:rPr>
      </w:pPr>
      <w:r w:rsidRPr="00070248">
        <w:rPr>
          <w:rFonts w:ascii="Arial" w:hAnsi="Arial" w:cs="Arial"/>
        </w:rPr>
        <w:t xml:space="preserve">The topical application of </w:t>
      </w:r>
      <w:r w:rsidRPr="00070248">
        <w:rPr>
          <w:rFonts w:ascii="Arial" w:hAnsi="Arial" w:cs="Arial"/>
          <w:i/>
          <w:iCs/>
        </w:rPr>
        <w:t xml:space="preserve">C. </w:t>
      </w:r>
      <w:proofErr w:type="spellStart"/>
      <w:r w:rsidRPr="00070248">
        <w:rPr>
          <w:rFonts w:ascii="Arial" w:hAnsi="Arial" w:cs="Arial"/>
          <w:i/>
          <w:iCs/>
        </w:rPr>
        <w:t>citratus</w:t>
      </w:r>
      <w:proofErr w:type="spellEnd"/>
      <w:r w:rsidRPr="00070248">
        <w:rPr>
          <w:rFonts w:ascii="Arial" w:hAnsi="Arial" w:cs="Arial"/>
        </w:rPr>
        <w:t xml:space="preserve"> essential oil (CCEO), particularly at concentrations of 2.50% and 5.00%, in weaned piglets increased non-agonistic interactions and promoted animal welfare. The procedure for applying the product is simple and does not negatively affect zootechnical performance. Both agonistic behaviors and lesions were apparently milder in the groups treated with 2.50% and 5.00% CCEO. Further studies with larger numbers of animals and under commercial production conditions are needed to better assess zootechnical gains. Additionally, it is necessary to investigate the underlying physiology and validate the mechanisms of action involved.</w:t>
      </w:r>
    </w:p>
    <w:p w14:paraId="2340BE76" w14:textId="77777777" w:rsidR="00E74C42" w:rsidRPr="00070248" w:rsidRDefault="00E74C42" w:rsidP="00E74C42">
      <w:pPr>
        <w:pStyle w:val="Body"/>
        <w:spacing w:after="0"/>
        <w:rPr>
          <w:rFonts w:ascii="Arial" w:hAnsi="Arial" w:cs="Arial"/>
        </w:rPr>
      </w:pPr>
    </w:p>
    <w:p w14:paraId="1002C826" w14:textId="77777777" w:rsidR="005C784C" w:rsidRDefault="005C784C" w:rsidP="00441B6F">
      <w:pPr>
        <w:pStyle w:val="ReferHead"/>
        <w:spacing w:after="0"/>
        <w:jc w:val="both"/>
        <w:rPr>
          <w:rFonts w:ascii="Arial" w:hAnsi="Arial" w:cs="Arial"/>
          <w:b w:val="0"/>
          <w:caps w:val="0"/>
          <w:sz w:val="20"/>
        </w:rPr>
      </w:pPr>
    </w:p>
    <w:p w14:paraId="55C510F3"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4282E7F" w14:textId="77777777" w:rsidR="005C784C" w:rsidRPr="002B685A" w:rsidRDefault="005C784C" w:rsidP="00441B6F">
      <w:pPr>
        <w:pStyle w:val="ReferHead"/>
        <w:spacing w:after="0"/>
        <w:jc w:val="both"/>
        <w:rPr>
          <w:rFonts w:ascii="Arial" w:hAnsi="Arial" w:cs="Arial"/>
          <w:bCs/>
        </w:rPr>
      </w:pPr>
    </w:p>
    <w:p w14:paraId="29F63BC7" w14:textId="77777777" w:rsidR="00D74F9D" w:rsidRPr="00A84A97" w:rsidRDefault="00D74F9D" w:rsidP="00D74F9D">
      <w:pPr>
        <w:pStyle w:val="ReferHead"/>
        <w:spacing w:after="0"/>
        <w:jc w:val="both"/>
        <w:rPr>
          <w:rFonts w:ascii="Arial" w:hAnsi="Arial" w:cs="Arial"/>
          <w:b w:val="0"/>
          <w:caps w:val="0"/>
          <w:sz w:val="20"/>
          <w:u w:val="single"/>
          <w:lang w:val="pt-BR"/>
        </w:rPr>
      </w:pPr>
      <w:r w:rsidRPr="00A84A97">
        <w:rPr>
          <w:rFonts w:ascii="Arial" w:hAnsi="Arial" w:cs="Arial"/>
          <w:b w:val="0"/>
          <w:caps w:val="0"/>
          <w:sz w:val="20"/>
        </w:rPr>
        <w:t xml:space="preserve">All authors hereby declare that "Principles of laboratory animal care" (NIH publication No. 85-23, revised 1985) were followed, as well as specific national laws where applicable. All experiments have been examined and approved by the appropriate ethics committee. </w:t>
      </w:r>
      <w:r w:rsidRPr="00A84A97">
        <w:rPr>
          <w:rFonts w:ascii="Arial" w:hAnsi="Arial" w:cs="Arial"/>
          <w:b w:val="0"/>
          <w:caps w:val="0"/>
          <w:sz w:val="20"/>
          <w:lang w:val="pt-BR"/>
        </w:rPr>
        <w:t>O projeto foi</w:t>
      </w:r>
      <w:r w:rsidRPr="00D83A54">
        <w:rPr>
          <w:rFonts w:ascii="Arial" w:hAnsi="Arial" w:cs="Arial"/>
          <w:b w:val="0"/>
          <w:caps w:val="0"/>
          <w:sz w:val="20"/>
          <w:lang w:val="pt-BR"/>
        </w:rPr>
        <w:t xml:space="preserve"> aprovado pelo Comitê de Ética de Uso Animal, sob protocolo de número 291/2019</w:t>
      </w:r>
      <w:r>
        <w:rPr>
          <w:rFonts w:ascii="Arial" w:hAnsi="Arial" w:cs="Arial"/>
          <w:b w:val="0"/>
          <w:caps w:val="0"/>
          <w:sz w:val="20"/>
          <w:lang w:val="pt-BR"/>
        </w:rPr>
        <w:t xml:space="preserve">. </w:t>
      </w:r>
    </w:p>
    <w:p w14:paraId="69E2B794" w14:textId="77777777" w:rsidR="00860000" w:rsidRPr="00D74F9D" w:rsidRDefault="00860000" w:rsidP="00441B6F">
      <w:pPr>
        <w:pStyle w:val="ReferHead"/>
        <w:spacing w:after="0"/>
        <w:jc w:val="both"/>
        <w:rPr>
          <w:rFonts w:ascii="Arial" w:hAnsi="Arial" w:cs="Arial"/>
          <w:lang w:val="pt-BR"/>
        </w:rPr>
      </w:pPr>
    </w:p>
    <w:p w14:paraId="39A99C9B" w14:textId="77777777" w:rsidR="00B01FCD" w:rsidRDefault="00B01FCD" w:rsidP="00441B6F">
      <w:pPr>
        <w:pStyle w:val="ReferHead"/>
        <w:spacing w:after="0"/>
        <w:jc w:val="both"/>
        <w:rPr>
          <w:rFonts w:ascii="Arial" w:hAnsi="Arial" w:cs="Arial"/>
        </w:rPr>
      </w:pPr>
      <w:commentRangeStart w:id="1"/>
      <w:r w:rsidRPr="00FB3A86">
        <w:rPr>
          <w:rFonts w:ascii="Arial" w:hAnsi="Arial" w:cs="Arial"/>
        </w:rPr>
        <w:t>References</w:t>
      </w:r>
      <w:commentRangeEnd w:id="1"/>
      <w:r w:rsidR="004D70C0">
        <w:rPr>
          <w:rStyle w:val="CommentReference"/>
          <w:rFonts w:ascii="Times New Roman" w:hAnsi="Times New Roman"/>
          <w:b w:val="0"/>
          <w:caps w:val="0"/>
          <w:lang w:val="nb-NO" w:eastAsia="nb-NO"/>
        </w:rPr>
        <w:commentReference w:id="1"/>
      </w:r>
    </w:p>
    <w:p w14:paraId="3AE9B91B" w14:textId="77777777" w:rsidR="00790ADA" w:rsidRPr="00FB3A86" w:rsidRDefault="00790ADA" w:rsidP="00441B6F">
      <w:pPr>
        <w:pStyle w:val="ReferHead"/>
        <w:spacing w:after="0"/>
        <w:jc w:val="both"/>
        <w:rPr>
          <w:rFonts w:ascii="Arial" w:hAnsi="Arial" w:cs="Arial"/>
        </w:rPr>
      </w:pPr>
    </w:p>
    <w:p w14:paraId="23584D19" w14:textId="77777777" w:rsidR="00917725" w:rsidRDefault="00917725" w:rsidP="00917725">
      <w:pPr>
        <w:pStyle w:val="Body"/>
        <w:spacing w:after="0"/>
      </w:pPr>
      <w:r w:rsidRPr="00B463B5">
        <w:rPr>
          <w:lang w:val="pt-BR"/>
        </w:rPr>
        <w:t xml:space="preserve">Ajayi, E. O., Sadimenko, A. P., &amp; Afolayan, A. J. (2016). </w:t>
      </w:r>
      <w:r>
        <w:t xml:space="preserve">GC–MS evaluation of </w:t>
      </w:r>
      <w:r w:rsidRPr="004C19A4">
        <w:rPr>
          <w:i/>
          <w:iCs/>
        </w:rPr>
        <w:t xml:space="preserve">Cymbopogon </w:t>
      </w:r>
      <w:proofErr w:type="spellStart"/>
      <w:r w:rsidRPr="004C19A4">
        <w:rPr>
          <w:i/>
          <w:iCs/>
        </w:rPr>
        <w:t>citratus</w:t>
      </w:r>
      <w:proofErr w:type="spellEnd"/>
      <w:r>
        <w:t xml:space="preserve"> (DC) Stapf oil obtained using modified </w:t>
      </w:r>
      <w:proofErr w:type="spellStart"/>
      <w:r>
        <w:t>hydrodistillation</w:t>
      </w:r>
      <w:proofErr w:type="spellEnd"/>
      <w:r>
        <w:t xml:space="preserve"> and microwave extraction methods. Food chemistry, 209, 262-266.</w:t>
      </w:r>
    </w:p>
    <w:p w14:paraId="0D926E69" w14:textId="77777777" w:rsidR="00917725" w:rsidRDefault="00917725" w:rsidP="00917725">
      <w:pPr>
        <w:pStyle w:val="Body"/>
        <w:spacing w:after="0"/>
      </w:pPr>
    </w:p>
    <w:p w14:paraId="45A259B5" w14:textId="77777777" w:rsidR="00917725" w:rsidRDefault="00917725" w:rsidP="00917725">
      <w:pPr>
        <w:pStyle w:val="Body"/>
        <w:spacing w:after="0"/>
      </w:pPr>
      <w:r>
        <w:t xml:space="preserve">Akhila, A. (2009). Essential oil-bearing grasses: the genus </w:t>
      </w:r>
      <w:r w:rsidRPr="004C19A4">
        <w:rPr>
          <w:i/>
          <w:iCs/>
        </w:rPr>
        <w:t>Cymbopogon</w:t>
      </w:r>
      <w:r>
        <w:t>. CRC press.</w:t>
      </w:r>
    </w:p>
    <w:p w14:paraId="00584B00" w14:textId="77777777" w:rsidR="00917725" w:rsidRDefault="00917725" w:rsidP="00917725">
      <w:pPr>
        <w:pStyle w:val="Body"/>
        <w:spacing w:after="0"/>
      </w:pPr>
    </w:p>
    <w:p w14:paraId="5641F519" w14:textId="77777777" w:rsidR="00917725" w:rsidRDefault="00917725" w:rsidP="00917725">
      <w:pPr>
        <w:pStyle w:val="Body"/>
        <w:spacing w:after="0"/>
      </w:pPr>
      <w:r>
        <w:t>Amos, N., &amp; Sullivan, R. (2017). The business benchmark on farm animal welfare 2016 report. Available at SSRN 2933184.</w:t>
      </w:r>
    </w:p>
    <w:p w14:paraId="3B649F78" w14:textId="77777777" w:rsidR="00917725" w:rsidRDefault="00917725" w:rsidP="00917725">
      <w:pPr>
        <w:pStyle w:val="Body"/>
        <w:spacing w:after="0"/>
      </w:pPr>
    </w:p>
    <w:p w14:paraId="1E46893A" w14:textId="77777777" w:rsidR="00917725" w:rsidRDefault="00917725" w:rsidP="00917725">
      <w:pPr>
        <w:pStyle w:val="Body"/>
        <w:spacing w:after="0"/>
      </w:pPr>
      <w:r>
        <w:t xml:space="preserve">Andersen, I. L., Andenæs, H., Bøe, K. E., Jensen, P., &amp; Bakken, M. (2000). The effects of weight asymmetry and resource distribution on aggression in groups of unacquainted pigs. Applied Animal </w:t>
      </w:r>
      <w:proofErr w:type="spellStart"/>
      <w:r>
        <w:t>Behaviour</w:t>
      </w:r>
      <w:proofErr w:type="spellEnd"/>
      <w:r>
        <w:t xml:space="preserve"> Science, 68(2), 107-120.</w:t>
      </w:r>
    </w:p>
    <w:p w14:paraId="130B2641" w14:textId="77777777" w:rsidR="00917725" w:rsidRDefault="00917725" w:rsidP="00917725">
      <w:pPr>
        <w:pStyle w:val="Body"/>
        <w:spacing w:after="0"/>
      </w:pPr>
    </w:p>
    <w:p w14:paraId="2DC73739" w14:textId="77777777" w:rsidR="00917725" w:rsidRPr="00B463B5" w:rsidRDefault="00917725" w:rsidP="00917725">
      <w:pPr>
        <w:pStyle w:val="Body"/>
        <w:spacing w:after="0"/>
        <w:rPr>
          <w:lang w:val="pt-BR"/>
        </w:rPr>
      </w:pPr>
      <w:r>
        <w:t xml:space="preserve">Arey, D. S., &amp; Edwards, S. A. (1998). Factors influencing aggression between sows after mixing and the consequences for welfare and production. </w:t>
      </w:r>
      <w:r w:rsidRPr="00B463B5">
        <w:rPr>
          <w:lang w:val="pt-BR"/>
        </w:rPr>
        <w:t>Livestock Production Science, 56(1), 61-70.</w:t>
      </w:r>
    </w:p>
    <w:p w14:paraId="4E9E549B" w14:textId="77777777" w:rsidR="00917725" w:rsidRPr="00B463B5" w:rsidRDefault="00917725" w:rsidP="00917725">
      <w:pPr>
        <w:pStyle w:val="Body"/>
        <w:spacing w:after="0"/>
        <w:rPr>
          <w:lang w:val="pt-BR"/>
        </w:rPr>
      </w:pPr>
    </w:p>
    <w:p w14:paraId="2B20A26A" w14:textId="77777777" w:rsidR="00917725" w:rsidRPr="00B463B5" w:rsidRDefault="00917725" w:rsidP="00917725">
      <w:pPr>
        <w:pStyle w:val="Body"/>
        <w:spacing w:after="0"/>
        <w:rPr>
          <w:lang w:val="pt-BR"/>
        </w:rPr>
      </w:pPr>
      <w:r>
        <w:rPr>
          <w:lang w:val="pt-BR"/>
        </w:rPr>
        <w:t xml:space="preserve">ABPA - </w:t>
      </w:r>
      <w:r w:rsidRPr="00B463B5">
        <w:rPr>
          <w:lang w:val="pt-BR"/>
        </w:rPr>
        <w:t>Associação Brasileira de Proteína Animal. Relatório Anual 202</w:t>
      </w:r>
      <w:r>
        <w:rPr>
          <w:lang w:val="pt-BR"/>
        </w:rPr>
        <w:t>5</w:t>
      </w:r>
      <w:r w:rsidRPr="00B463B5">
        <w:rPr>
          <w:lang w:val="pt-BR"/>
        </w:rPr>
        <w:t>. (202</w:t>
      </w:r>
      <w:r>
        <w:rPr>
          <w:lang w:val="pt-BR"/>
        </w:rPr>
        <w:t>5</w:t>
      </w:r>
      <w:r w:rsidRPr="00B463B5">
        <w:rPr>
          <w:lang w:val="pt-BR"/>
        </w:rPr>
        <w:t xml:space="preserve">). São Paulo: ABPA - Associação Brasileira de Proteína Animal; 2018. Disponível em: &lt;http://abpa-br.org/mercados/#relatorios&gt;. Acesso em </w:t>
      </w:r>
      <w:r>
        <w:rPr>
          <w:lang w:val="pt-BR"/>
        </w:rPr>
        <w:t>17</w:t>
      </w:r>
      <w:r w:rsidRPr="00B463B5">
        <w:rPr>
          <w:lang w:val="pt-BR"/>
        </w:rPr>
        <w:t xml:space="preserve"> aug 202</w:t>
      </w:r>
      <w:r>
        <w:rPr>
          <w:lang w:val="pt-BR"/>
        </w:rPr>
        <w:t>5</w:t>
      </w:r>
      <w:r w:rsidRPr="00B463B5">
        <w:rPr>
          <w:lang w:val="pt-BR"/>
        </w:rPr>
        <w:t>.</w:t>
      </w:r>
    </w:p>
    <w:p w14:paraId="1E0389C3" w14:textId="77777777" w:rsidR="00917725" w:rsidRPr="00B463B5" w:rsidRDefault="00917725" w:rsidP="00917725">
      <w:pPr>
        <w:pStyle w:val="Body"/>
        <w:spacing w:after="0"/>
        <w:rPr>
          <w:lang w:val="pt-BR"/>
        </w:rPr>
      </w:pPr>
    </w:p>
    <w:p w14:paraId="08C8BBBC" w14:textId="77777777" w:rsidR="00917725" w:rsidRPr="00B463B5" w:rsidRDefault="00917725" w:rsidP="00917725">
      <w:pPr>
        <w:pStyle w:val="Body"/>
        <w:spacing w:after="0"/>
        <w:rPr>
          <w:lang w:val="pt-BR"/>
        </w:rPr>
      </w:pPr>
      <w:r w:rsidRPr="00B463B5">
        <w:rPr>
          <w:lang w:val="pt-BR"/>
        </w:rPr>
        <w:t xml:space="preserve">Bassolé, I. H. N., Lamien-Meda, A., Bayala, B. O. L. C., Obame, L. C., Ilboudo, A. J., Franz, C., Novak, J., Nebié, R. C., &amp; Dicko, M. H. (2011). </w:t>
      </w:r>
      <w:r>
        <w:t xml:space="preserve">Chemical composition and antimicrobial activity of </w:t>
      </w:r>
      <w:r w:rsidRPr="008073DE">
        <w:rPr>
          <w:i/>
          <w:iCs/>
        </w:rPr>
        <w:t xml:space="preserve">Cymbopogon </w:t>
      </w:r>
      <w:proofErr w:type="spellStart"/>
      <w:r w:rsidRPr="008073DE">
        <w:rPr>
          <w:i/>
          <w:iCs/>
        </w:rPr>
        <w:t>citratus</w:t>
      </w:r>
      <w:proofErr w:type="spellEnd"/>
      <w:r>
        <w:t xml:space="preserve"> and </w:t>
      </w:r>
      <w:r w:rsidRPr="008073DE">
        <w:rPr>
          <w:i/>
          <w:iCs/>
        </w:rPr>
        <w:t>Cymbopogon giganteus</w:t>
      </w:r>
      <w:r>
        <w:t xml:space="preserve"> essential oils alone and in combination. </w:t>
      </w:r>
      <w:r w:rsidRPr="00B463B5">
        <w:rPr>
          <w:lang w:val="pt-BR"/>
        </w:rPr>
        <w:t>Phytomedicine, 18(12), 1070-1074.</w:t>
      </w:r>
    </w:p>
    <w:p w14:paraId="17D6D020" w14:textId="77777777" w:rsidR="00917725" w:rsidRPr="00B463B5" w:rsidRDefault="00917725" w:rsidP="00917725">
      <w:pPr>
        <w:pStyle w:val="Body"/>
        <w:spacing w:after="0"/>
        <w:rPr>
          <w:lang w:val="pt-BR"/>
        </w:rPr>
      </w:pPr>
    </w:p>
    <w:p w14:paraId="26FB1147" w14:textId="77777777" w:rsidR="00917725" w:rsidRDefault="00917725" w:rsidP="00917725">
      <w:pPr>
        <w:pStyle w:val="Body"/>
        <w:spacing w:after="0"/>
      </w:pPr>
      <w:r w:rsidRPr="00B463B5">
        <w:rPr>
          <w:lang w:val="pt-BR"/>
        </w:rPr>
        <w:t xml:space="preserve">Blanco, M. M., Costa, C. A. R. A., Freire, A. O., Santos Jr, J. G., &amp; Costa, M. (2009). </w:t>
      </w:r>
      <w:r>
        <w:t xml:space="preserve">Neurobehavioral effect of essential oil of </w:t>
      </w:r>
      <w:r w:rsidRPr="00801356">
        <w:rPr>
          <w:i/>
          <w:iCs/>
        </w:rPr>
        <w:t xml:space="preserve">Cymbopogon </w:t>
      </w:r>
      <w:proofErr w:type="spellStart"/>
      <w:r w:rsidRPr="00801356">
        <w:rPr>
          <w:i/>
          <w:iCs/>
        </w:rPr>
        <w:t>citratus</w:t>
      </w:r>
      <w:proofErr w:type="spellEnd"/>
      <w:r>
        <w:t xml:space="preserve"> in mice. Phytomedicine, 16(2-3), 265-270.</w:t>
      </w:r>
    </w:p>
    <w:p w14:paraId="08D2865F" w14:textId="77777777" w:rsidR="00917725" w:rsidRDefault="00917725" w:rsidP="00917725">
      <w:pPr>
        <w:pStyle w:val="Body"/>
        <w:spacing w:after="0"/>
      </w:pPr>
    </w:p>
    <w:p w14:paraId="3B2A1113" w14:textId="10CB96AB" w:rsidR="008034CA" w:rsidRPr="008034CA" w:rsidRDefault="008034CA" w:rsidP="00917725">
      <w:pPr>
        <w:pStyle w:val="Body"/>
        <w:spacing w:after="0"/>
        <w:rPr>
          <w:lang w:val="pt-BR"/>
        </w:rPr>
      </w:pPr>
      <w:r w:rsidRPr="008034CA">
        <w:rPr>
          <w:lang w:val="pt-BR"/>
        </w:rPr>
        <w:t xml:space="preserve">BRASIL. </w:t>
      </w:r>
      <w:r w:rsidR="00F60A8C">
        <w:rPr>
          <w:lang w:val="pt-BR"/>
        </w:rPr>
        <w:t>(</w:t>
      </w:r>
      <w:r w:rsidRPr="008034CA">
        <w:rPr>
          <w:lang w:val="pt-BR"/>
        </w:rPr>
        <w:t>2020</w:t>
      </w:r>
      <w:r w:rsidR="00F60A8C">
        <w:rPr>
          <w:lang w:val="pt-BR"/>
        </w:rPr>
        <w:t>)</w:t>
      </w:r>
      <w:r w:rsidRPr="008034CA">
        <w:rPr>
          <w:lang w:val="pt-BR"/>
        </w:rPr>
        <w:t>. Ministério da Agricultura, Pecuária e Abastecimento. Instrução Normatíva n° 113 de 16 de dezembro de 2020. Estabelece as boas práticas de manejo e bem-estar animal nas granjas de suínos de criação comercial. Diário Oficial da União, publicado em: 18/12/2020 Edição:242,Seção:1,Página:5</w:t>
      </w:r>
    </w:p>
    <w:p w14:paraId="2455F363" w14:textId="77777777" w:rsidR="008034CA" w:rsidRDefault="008034CA" w:rsidP="00917725">
      <w:pPr>
        <w:pStyle w:val="Body"/>
        <w:spacing w:after="0"/>
      </w:pPr>
    </w:p>
    <w:p w14:paraId="0F79991F" w14:textId="77777777" w:rsidR="00917725" w:rsidRDefault="00917725" w:rsidP="00917725">
      <w:pPr>
        <w:pStyle w:val="Body"/>
        <w:spacing w:after="0"/>
      </w:pPr>
      <w:r>
        <w:t xml:space="preserve">Broom, D. M. (1988). The scientific assessment of animal welfare. Applied Animal </w:t>
      </w:r>
      <w:proofErr w:type="spellStart"/>
      <w:r>
        <w:t>Behaviour</w:t>
      </w:r>
      <w:proofErr w:type="spellEnd"/>
      <w:r>
        <w:t xml:space="preserve"> Science, 20(1-2), 5-19.</w:t>
      </w:r>
    </w:p>
    <w:p w14:paraId="46F3ECFD" w14:textId="77777777" w:rsidR="00917725" w:rsidRDefault="00917725" w:rsidP="00917725">
      <w:pPr>
        <w:pStyle w:val="Body"/>
        <w:spacing w:after="0"/>
      </w:pPr>
    </w:p>
    <w:p w14:paraId="16D77EA1" w14:textId="77777777" w:rsidR="00917725" w:rsidRDefault="00917725" w:rsidP="00917725">
      <w:pPr>
        <w:pStyle w:val="Body"/>
        <w:spacing w:after="0"/>
      </w:pPr>
      <w:r>
        <w:t>Broom, D. M. (1991a). Animal welfare: concepts and measurement. Journal of animal science, 69(10), 4167-4175.</w:t>
      </w:r>
    </w:p>
    <w:p w14:paraId="64219C5C" w14:textId="77777777" w:rsidR="00917725" w:rsidRDefault="00917725" w:rsidP="00917725">
      <w:pPr>
        <w:pStyle w:val="Body"/>
        <w:spacing w:after="0"/>
      </w:pPr>
    </w:p>
    <w:p w14:paraId="78786643" w14:textId="77777777" w:rsidR="00917725" w:rsidRDefault="00917725" w:rsidP="00917725">
      <w:pPr>
        <w:pStyle w:val="Body"/>
        <w:spacing w:after="0"/>
      </w:pPr>
      <w:r>
        <w:t xml:space="preserve">Broom, D. M. (1991b). Assessing welfare and suffering. </w:t>
      </w:r>
      <w:proofErr w:type="spellStart"/>
      <w:r>
        <w:t>Behavioural</w:t>
      </w:r>
      <w:proofErr w:type="spellEnd"/>
      <w:r>
        <w:t xml:space="preserve"> processes, 25(2-3), 117-123.</w:t>
      </w:r>
    </w:p>
    <w:p w14:paraId="3DF8074F" w14:textId="77777777" w:rsidR="00917725" w:rsidRDefault="00917725" w:rsidP="00917725">
      <w:pPr>
        <w:pStyle w:val="Body"/>
        <w:spacing w:after="0"/>
      </w:pPr>
    </w:p>
    <w:p w14:paraId="6F3D3BFC" w14:textId="77777777" w:rsidR="00917725" w:rsidRDefault="00917725" w:rsidP="00917725">
      <w:pPr>
        <w:pStyle w:val="Body"/>
        <w:spacing w:after="0"/>
      </w:pPr>
      <w:r>
        <w:t>Broom, D. M. (1998). Welfare, stress, and the evolution of feelings. In Advances in the Study of Behavior (Vol. 27, pp. 371-403). Academic Press.</w:t>
      </w:r>
    </w:p>
    <w:p w14:paraId="1B332E08" w14:textId="77777777" w:rsidR="00917725" w:rsidRDefault="00917725" w:rsidP="00917725">
      <w:pPr>
        <w:pStyle w:val="Body"/>
        <w:spacing w:after="0"/>
      </w:pPr>
    </w:p>
    <w:p w14:paraId="1579A993" w14:textId="77777777" w:rsidR="00917725" w:rsidRPr="00B463B5" w:rsidRDefault="00917725" w:rsidP="00917725">
      <w:pPr>
        <w:pStyle w:val="Body"/>
        <w:spacing w:after="0"/>
        <w:rPr>
          <w:lang w:val="pt-BR"/>
        </w:rPr>
      </w:pPr>
      <w:r>
        <w:t xml:space="preserve">Brumm, M. C., Ellis, M., Johnston, L. J., Rozeboom, D. W., Zimmerman, D. R., &amp; NCR-89 Committee on Swine Management. (2001). Interaction of swine nursery and grow-finish space allocations on performance. </w:t>
      </w:r>
      <w:r w:rsidRPr="00B463B5">
        <w:rPr>
          <w:lang w:val="pt-BR"/>
        </w:rPr>
        <w:t>Journal of animal science, 79(8), 1967-1972.</w:t>
      </w:r>
    </w:p>
    <w:p w14:paraId="776B1682" w14:textId="77777777" w:rsidR="00917725" w:rsidRPr="00B463B5" w:rsidRDefault="00917725" w:rsidP="00917725">
      <w:pPr>
        <w:pStyle w:val="Body"/>
        <w:spacing w:after="0"/>
        <w:rPr>
          <w:lang w:val="pt-BR"/>
        </w:rPr>
      </w:pPr>
    </w:p>
    <w:p w14:paraId="624B7C93" w14:textId="77777777" w:rsidR="00917725" w:rsidRPr="00B463B5" w:rsidRDefault="00917725" w:rsidP="00917725">
      <w:pPr>
        <w:pStyle w:val="Body"/>
        <w:spacing w:after="0"/>
        <w:rPr>
          <w:lang w:val="pt-BR"/>
        </w:rPr>
      </w:pPr>
      <w:r w:rsidRPr="00B463B5">
        <w:rPr>
          <w:lang w:val="pt-BR"/>
        </w:rPr>
        <w:t>Campos, J. A., de FF Tinôco, I., Fabyano, F., Pupa, J. M., &amp; da Silva, I. J. (2010). Enriquecimento ambiental para leitões na fase de creche advindos de desmame aos 21 e 28 dias. Revista Brasileira de Ciências Agrárias, 5(2), 272-278.</w:t>
      </w:r>
    </w:p>
    <w:p w14:paraId="04F6FD48" w14:textId="77777777" w:rsidR="00917725" w:rsidRPr="00B463B5" w:rsidRDefault="00917725" w:rsidP="00917725">
      <w:pPr>
        <w:pStyle w:val="Body"/>
        <w:spacing w:after="0"/>
        <w:rPr>
          <w:lang w:val="pt-BR"/>
        </w:rPr>
      </w:pPr>
    </w:p>
    <w:p w14:paraId="125F5986" w14:textId="77777777" w:rsidR="00917725" w:rsidRPr="00B463B5" w:rsidRDefault="00917725" w:rsidP="00917725">
      <w:pPr>
        <w:pStyle w:val="Body"/>
        <w:spacing w:after="0"/>
        <w:rPr>
          <w:lang w:val="pt-BR"/>
        </w:rPr>
      </w:pPr>
      <w:r w:rsidRPr="00B463B5">
        <w:rPr>
          <w:lang w:val="pt-BR"/>
        </w:rPr>
        <w:t xml:space="preserve">Chaaban, A., Santos, V. M. C. S., Martins, C. E. N., Brum, J. S., Bertoldi, F. C., &amp; Molento, M. B. (2019). </w:t>
      </w:r>
      <w:r>
        <w:t xml:space="preserve">Tissue damage and cytotoxic effects of </w:t>
      </w:r>
      <w:r w:rsidRPr="00801356">
        <w:rPr>
          <w:i/>
          <w:iCs/>
        </w:rPr>
        <w:t xml:space="preserve">Tagetes </w:t>
      </w:r>
      <w:proofErr w:type="spellStart"/>
      <w:r w:rsidRPr="00801356">
        <w:rPr>
          <w:i/>
          <w:iCs/>
        </w:rPr>
        <w:t>minuta</w:t>
      </w:r>
      <w:proofErr w:type="spellEnd"/>
      <w:r>
        <w:t xml:space="preserve"> essential oil against </w:t>
      </w:r>
      <w:r w:rsidRPr="00801356">
        <w:rPr>
          <w:i/>
          <w:iCs/>
        </w:rPr>
        <w:t xml:space="preserve">Lucilia </w:t>
      </w:r>
      <w:proofErr w:type="spellStart"/>
      <w:r w:rsidRPr="00801356">
        <w:rPr>
          <w:i/>
          <w:iCs/>
        </w:rPr>
        <w:t>cuprina</w:t>
      </w:r>
      <w:proofErr w:type="spellEnd"/>
      <w:r>
        <w:t xml:space="preserve">. </w:t>
      </w:r>
      <w:r w:rsidRPr="00B463B5">
        <w:rPr>
          <w:lang w:val="pt-BR"/>
        </w:rPr>
        <w:t>Experimental parasitology, 198, 46-52.</w:t>
      </w:r>
    </w:p>
    <w:p w14:paraId="6EFA1D27" w14:textId="77777777" w:rsidR="00917725" w:rsidRPr="00B463B5" w:rsidRDefault="00917725" w:rsidP="00917725">
      <w:pPr>
        <w:pStyle w:val="Body"/>
        <w:spacing w:after="0"/>
        <w:rPr>
          <w:lang w:val="pt-BR"/>
        </w:rPr>
      </w:pPr>
    </w:p>
    <w:p w14:paraId="0C3D5935" w14:textId="77777777" w:rsidR="00917725" w:rsidRDefault="00917725" w:rsidP="00917725">
      <w:pPr>
        <w:pStyle w:val="Body"/>
        <w:spacing w:after="0"/>
        <w:rPr>
          <w:lang w:val="pt-BR"/>
        </w:rPr>
      </w:pPr>
      <w:r w:rsidRPr="00B463B5">
        <w:rPr>
          <w:lang w:val="pt-BR"/>
        </w:rPr>
        <w:t xml:space="preserve">Chaaban, A; Bertoldi, F.C.; Martins, C.E.N.; Bako, E.P.M; da Silva, E.; Martins, P.R.P.; Gazaniga, D. V. (2022). Uso do óleo essencial de </w:t>
      </w:r>
      <w:r w:rsidRPr="00801356">
        <w:rPr>
          <w:i/>
          <w:iCs/>
          <w:lang w:val="pt-BR"/>
        </w:rPr>
        <w:t>Cymbopogon citratus</w:t>
      </w:r>
      <w:r w:rsidRPr="00B463B5">
        <w:rPr>
          <w:lang w:val="pt-BR"/>
        </w:rPr>
        <w:t xml:space="preserve"> (capim limão) para minimizar interações agonísticas de leitões recém-desmamados e método de uso. BR 10 2022 005672 2, Março 24, 2022.</w:t>
      </w:r>
    </w:p>
    <w:p w14:paraId="0DB2517C" w14:textId="77777777" w:rsidR="006C3C30" w:rsidRPr="00B463B5" w:rsidRDefault="006C3C30" w:rsidP="00917725">
      <w:pPr>
        <w:pStyle w:val="Body"/>
        <w:spacing w:after="0"/>
        <w:rPr>
          <w:lang w:val="pt-BR"/>
        </w:rPr>
      </w:pPr>
    </w:p>
    <w:p w14:paraId="2893F96F" w14:textId="14940EFB" w:rsidR="00917725" w:rsidRPr="00B463B5" w:rsidRDefault="006C3C30" w:rsidP="006C3C30">
      <w:pPr>
        <w:pStyle w:val="Body"/>
        <w:spacing w:after="0"/>
        <w:rPr>
          <w:lang w:val="pt-BR"/>
        </w:rPr>
      </w:pPr>
      <w:r w:rsidRPr="006C3C30">
        <w:t>Cornish, A.</w:t>
      </w:r>
      <w:r>
        <w:t xml:space="preserve"> </w:t>
      </w:r>
      <w:r w:rsidRPr="006C3C30">
        <w:t xml:space="preserve">R., Ashton, B., </w:t>
      </w:r>
      <w:proofErr w:type="spellStart"/>
      <w:r w:rsidRPr="006C3C30">
        <w:t>Raubenheimer</w:t>
      </w:r>
      <w:proofErr w:type="spellEnd"/>
      <w:r w:rsidRPr="006C3C30">
        <w:t xml:space="preserve">, D., </w:t>
      </w:r>
      <w:r w:rsidR="00F92628">
        <w:t xml:space="preserve">&amp; </w:t>
      </w:r>
      <w:r w:rsidRPr="006C3C30">
        <w:t>McGreevy, P.</w:t>
      </w:r>
      <w:r>
        <w:t xml:space="preserve"> </w:t>
      </w:r>
      <w:r w:rsidRPr="006C3C30">
        <w:t xml:space="preserve">D., </w:t>
      </w:r>
      <w:r w:rsidR="00F92628">
        <w:t>(</w:t>
      </w:r>
      <w:r w:rsidRPr="006C3C30">
        <w:t>2019</w:t>
      </w:r>
      <w:r w:rsidR="00F92628">
        <w:t>)</w:t>
      </w:r>
      <w:r w:rsidRPr="006C3C30">
        <w:t>. Australian consumers’ knowledge and concern for animal welfare in food production: Influences on purchasing intentions. </w:t>
      </w:r>
      <w:r w:rsidRPr="006C3C30">
        <w:rPr>
          <w:lang w:val="pt-BR"/>
        </w:rPr>
        <w:t>Soc. Anim., 30(1), 23-50. 10.1163/15685306-12341601</w:t>
      </w:r>
      <w:r w:rsidRPr="006C3C30">
        <w:rPr>
          <w:lang w:val="pt-BR"/>
        </w:rPr>
        <w:br/>
      </w:r>
    </w:p>
    <w:p w14:paraId="4FD4CD1F" w14:textId="77777777" w:rsidR="00917725" w:rsidRPr="00B463B5" w:rsidRDefault="00917725" w:rsidP="00917725">
      <w:pPr>
        <w:pStyle w:val="Body"/>
        <w:spacing w:after="0"/>
        <w:rPr>
          <w:lang w:val="pt-BR"/>
        </w:rPr>
      </w:pPr>
      <w:r w:rsidRPr="00B463B5">
        <w:rPr>
          <w:lang w:val="pt-BR"/>
        </w:rPr>
        <w:t>da Silva, G. A., Rorig, A., Schmidt, J. M., &amp; do Prado Guirro, E. C. B. (2014). Impacto do desmame no comportamento e bem-estar de leitões: revisão de literatura. Revista Veterinária Em Foco, 12(1).</w:t>
      </w:r>
    </w:p>
    <w:p w14:paraId="31CE0823" w14:textId="77777777" w:rsidR="00917725" w:rsidRPr="00B463B5" w:rsidRDefault="00917725" w:rsidP="00917725">
      <w:pPr>
        <w:pStyle w:val="Body"/>
        <w:spacing w:after="0"/>
        <w:rPr>
          <w:lang w:val="pt-BR"/>
        </w:rPr>
      </w:pPr>
    </w:p>
    <w:p w14:paraId="481AF371" w14:textId="77777777" w:rsidR="00917725" w:rsidRDefault="00917725" w:rsidP="00917725">
      <w:pPr>
        <w:pStyle w:val="Body"/>
        <w:spacing w:after="0"/>
      </w:pPr>
      <w:r w:rsidRPr="00B463B5">
        <w:rPr>
          <w:lang w:val="pt-BR"/>
        </w:rPr>
        <w:t xml:space="preserve">de Freitas Souza, C., Baldissera, MD, Bianchini, AE, da Silva, EG, Mourão, RHV, da Silva, LVF, Schmidt, D., Heinzmann, B. M., &amp; Baldisserotto, B. (2018). </w:t>
      </w:r>
      <w:r w:rsidRPr="00DC7801">
        <w:t xml:space="preserve">Citral and linalool chemotypes of </w:t>
      </w:r>
      <w:proofErr w:type="spellStart"/>
      <w:r w:rsidRPr="00DC7801">
        <w:rPr>
          <w:i/>
          <w:iCs/>
        </w:rPr>
        <w:t>Lippia</w:t>
      </w:r>
      <w:proofErr w:type="spellEnd"/>
      <w:r w:rsidRPr="00DC7801">
        <w:rPr>
          <w:i/>
          <w:iCs/>
        </w:rPr>
        <w:t xml:space="preserve"> alba</w:t>
      </w:r>
      <w:r w:rsidRPr="00DC7801">
        <w:t xml:space="preserve"> essential oil as anesthetics for fish: a detailed physiological analysis of side effects during anesthetic recovery in silver catfish (</w:t>
      </w:r>
      <w:r w:rsidRPr="00DC7801">
        <w:rPr>
          <w:i/>
          <w:iCs/>
        </w:rPr>
        <w:t xml:space="preserve">Rhamdia </w:t>
      </w:r>
      <w:proofErr w:type="spellStart"/>
      <w:r w:rsidRPr="00DC7801">
        <w:rPr>
          <w:i/>
          <w:iCs/>
        </w:rPr>
        <w:t>quelen</w:t>
      </w:r>
      <w:proofErr w:type="spellEnd"/>
      <w:r w:rsidRPr="00DC7801">
        <w:t>)</w:t>
      </w:r>
      <w:r>
        <w:t>. Fish Physiology and Biochemistry, 44 (1), 21-34.</w:t>
      </w:r>
    </w:p>
    <w:p w14:paraId="4CFA0FE4" w14:textId="77777777" w:rsidR="00917725" w:rsidRDefault="00917725" w:rsidP="00917725">
      <w:pPr>
        <w:pStyle w:val="Body"/>
        <w:spacing w:after="0"/>
      </w:pPr>
    </w:p>
    <w:p w14:paraId="30406F80" w14:textId="77777777" w:rsidR="00917725" w:rsidRDefault="00917725" w:rsidP="00917725">
      <w:pPr>
        <w:pStyle w:val="Body"/>
        <w:spacing w:after="0"/>
      </w:pPr>
      <w:r>
        <w:t xml:space="preserve">Ekpenyong, C. E., Akpan, E., &amp; </w:t>
      </w:r>
      <w:proofErr w:type="spellStart"/>
      <w:r>
        <w:t>Nyoh</w:t>
      </w:r>
      <w:proofErr w:type="spellEnd"/>
      <w:r>
        <w:t xml:space="preserve">, A. (2015). Ethnopharmacology, phytochemistry, and biological activities of </w:t>
      </w:r>
      <w:r w:rsidRPr="00DC7801">
        <w:rPr>
          <w:i/>
          <w:iCs/>
        </w:rPr>
        <w:t xml:space="preserve">Cymbopogon </w:t>
      </w:r>
      <w:proofErr w:type="spellStart"/>
      <w:r w:rsidRPr="00DC7801">
        <w:rPr>
          <w:i/>
          <w:iCs/>
        </w:rPr>
        <w:t>citratus</w:t>
      </w:r>
      <w:proofErr w:type="spellEnd"/>
      <w:r>
        <w:t xml:space="preserve"> (DC.) Stapf extracts. Chinese journal of natural medicines, 13(5), 321-337.</w:t>
      </w:r>
    </w:p>
    <w:p w14:paraId="33025AE4" w14:textId="77777777" w:rsidR="00917725" w:rsidRDefault="00917725" w:rsidP="00917725">
      <w:pPr>
        <w:pStyle w:val="Body"/>
        <w:spacing w:after="0"/>
      </w:pPr>
    </w:p>
    <w:p w14:paraId="7C65AB0D" w14:textId="77777777" w:rsidR="00917725" w:rsidRDefault="00917725" w:rsidP="00917725">
      <w:pPr>
        <w:pStyle w:val="Body"/>
        <w:spacing w:after="0"/>
      </w:pPr>
      <w:r>
        <w:t xml:space="preserve">Fedotova, J., </w:t>
      </w:r>
      <w:proofErr w:type="spellStart"/>
      <w:r>
        <w:t>Kubatka</w:t>
      </w:r>
      <w:proofErr w:type="spellEnd"/>
      <w:r>
        <w:t xml:space="preserve">, P., </w:t>
      </w:r>
      <w:proofErr w:type="spellStart"/>
      <w:r>
        <w:t>Büsselberg</w:t>
      </w:r>
      <w:proofErr w:type="spellEnd"/>
      <w:r>
        <w:t xml:space="preserve">, D., Shleikin, A. G., </w:t>
      </w:r>
      <w:proofErr w:type="spellStart"/>
      <w:r>
        <w:t>Caprnda</w:t>
      </w:r>
      <w:proofErr w:type="spellEnd"/>
      <w:r>
        <w:t xml:space="preserve">, M., Dragasek, J., Rodrigo, L., Pohanka, M., Gasparova, I., Nosal, V., Opatrilova, R., </w:t>
      </w:r>
      <w:proofErr w:type="spellStart"/>
      <w:r>
        <w:t>Qaradakhi</w:t>
      </w:r>
      <w:proofErr w:type="spellEnd"/>
      <w:r>
        <w:t xml:space="preserve">, T., Zulli, A., &amp; </w:t>
      </w:r>
      <w:proofErr w:type="spellStart"/>
      <w:r>
        <w:t>Kruzliak</w:t>
      </w:r>
      <w:proofErr w:type="spellEnd"/>
      <w:r>
        <w:t xml:space="preserve">, P. (2017). Therapeutical strategies for anxiety and anxiety-like disorders using plant-derived natural compounds and plant extracts. Biomed. </w:t>
      </w:r>
      <w:proofErr w:type="spellStart"/>
      <w:r>
        <w:t>Pharmacother</w:t>
      </w:r>
      <w:proofErr w:type="spellEnd"/>
      <w:r>
        <w:t>., 95, pp. 437-446, 10.1016/j.biopha.2017.08.107.</w:t>
      </w:r>
    </w:p>
    <w:p w14:paraId="636003D6" w14:textId="77777777" w:rsidR="00917725" w:rsidRDefault="00917725" w:rsidP="00917725">
      <w:pPr>
        <w:pStyle w:val="Body"/>
        <w:spacing w:after="0"/>
      </w:pPr>
    </w:p>
    <w:p w14:paraId="75801B28" w14:textId="77777777" w:rsidR="00917725" w:rsidRDefault="00917725" w:rsidP="00917725">
      <w:pPr>
        <w:pStyle w:val="Body"/>
        <w:spacing w:after="0"/>
      </w:pPr>
      <w:r>
        <w:t xml:space="preserve">Gardner, J. M., Duncan, I. J. H., &amp; Widowski, T. M. (2001). Effects of social “stressors” on belly-nosing </w:t>
      </w:r>
      <w:proofErr w:type="spellStart"/>
      <w:r>
        <w:t>behaviour</w:t>
      </w:r>
      <w:proofErr w:type="spellEnd"/>
      <w:r>
        <w:t xml:space="preserve"> in early-weaned piglets: is belly-nosing an indicator of </w:t>
      </w:r>
      <w:proofErr w:type="gramStart"/>
      <w:r>
        <w:t>stress?.</w:t>
      </w:r>
      <w:proofErr w:type="gramEnd"/>
      <w:r>
        <w:t xml:space="preserve"> Applied Animal </w:t>
      </w:r>
      <w:proofErr w:type="spellStart"/>
      <w:r>
        <w:t>Behaviour</w:t>
      </w:r>
      <w:proofErr w:type="spellEnd"/>
      <w:r>
        <w:t xml:space="preserve"> Science, 74(2), 135-152.</w:t>
      </w:r>
    </w:p>
    <w:p w14:paraId="4E9EB562" w14:textId="77777777" w:rsidR="00917725" w:rsidRDefault="00917725" w:rsidP="00917725">
      <w:pPr>
        <w:pStyle w:val="Body"/>
        <w:spacing w:after="0"/>
      </w:pPr>
    </w:p>
    <w:p w14:paraId="39A14126" w14:textId="77777777" w:rsidR="00917725" w:rsidRDefault="00917725" w:rsidP="00917725">
      <w:pPr>
        <w:pStyle w:val="Body"/>
        <w:spacing w:after="0"/>
      </w:pPr>
      <w:r>
        <w:t>Gomes, L. M., de Mello Miassi, G., dos Santos, L. S., Saleh, M. A. D., Sartori, J. R., Tse, M. L. P., &amp; Berto, D. A. (2018). Impact of two light programs and two levels of dietary tryptophan for weanling piglets. Livestock Science, 216, 191-196.</w:t>
      </w:r>
    </w:p>
    <w:p w14:paraId="7A4D32C1" w14:textId="77777777" w:rsidR="00917725" w:rsidRDefault="00917725" w:rsidP="00917725">
      <w:pPr>
        <w:pStyle w:val="Body"/>
        <w:spacing w:after="0"/>
      </w:pPr>
    </w:p>
    <w:p w14:paraId="7EA12227" w14:textId="77777777" w:rsidR="00917725" w:rsidRDefault="00917725" w:rsidP="00917725">
      <w:pPr>
        <w:pStyle w:val="Body"/>
        <w:spacing w:after="0"/>
      </w:pPr>
      <w:r>
        <w:t xml:space="preserve">Hacke, A. C. M., Miyoshi, E., Marques, J. A., &amp; Pereira, R. P. (2020). Anxiolytic properties of </w:t>
      </w:r>
      <w:r w:rsidRPr="00702A5A">
        <w:rPr>
          <w:i/>
          <w:iCs/>
        </w:rPr>
        <w:t xml:space="preserve">Cymbopogon </w:t>
      </w:r>
      <w:proofErr w:type="spellStart"/>
      <w:r w:rsidRPr="00702A5A">
        <w:rPr>
          <w:i/>
          <w:iCs/>
        </w:rPr>
        <w:t>citratus</w:t>
      </w:r>
      <w:proofErr w:type="spellEnd"/>
      <w:r>
        <w:t xml:space="preserve"> (DC.) </w:t>
      </w:r>
      <w:proofErr w:type="spellStart"/>
      <w:r>
        <w:t>stapf</w:t>
      </w:r>
      <w:proofErr w:type="spellEnd"/>
      <w:r>
        <w:t xml:space="preserve"> extract, essential oil and its constituents in zebrafish (Danio rerio). Journal of Ethnopharmacology, 260, 113036.</w:t>
      </w:r>
    </w:p>
    <w:p w14:paraId="06A81EBE" w14:textId="77777777" w:rsidR="00917725" w:rsidRDefault="00917725" w:rsidP="00917725">
      <w:pPr>
        <w:pStyle w:val="Body"/>
        <w:spacing w:after="0"/>
      </w:pPr>
    </w:p>
    <w:p w14:paraId="7AB01A23" w14:textId="77777777" w:rsidR="00917725" w:rsidRDefault="00917725" w:rsidP="00917725">
      <w:pPr>
        <w:pStyle w:val="Body"/>
        <w:spacing w:after="0"/>
      </w:pPr>
      <w:r>
        <w:t>Iijima, Y., Wang, G., Fridman, E., &amp; Pichersky, E. (2006). Analysis of the enzymatic formation of citral in the glands of sweet basil. Archives of Biochemistry and Biophysics, 448(1-2), 141-149.</w:t>
      </w:r>
    </w:p>
    <w:p w14:paraId="50E7BCFB" w14:textId="77777777" w:rsidR="00917725" w:rsidRDefault="00917725" w:rsidP="00917725">
      <w:pPr>
        <w:pStyle w:val="Body"/>
        <w:spacing w:after="0"/>
      </w:pPr>
    </w:p>
    <w:p w14:paraId="6549C438" w14:textId="77777777" w:rsidR="00917725" w:rsidRDefault="00917725" w:rsidP="00917725">
      <w:pPr>
        <w:pStyle w:val="Body"/>
        <w:spacing w:after="0"/>
      </w:pPr>
      <w:r>
        <w:t xml:space="preserve">Ji, W., Bi, Y., Cheng, Z., Liu, R., Zhang, X., Shu, Y., Li, X., Bao, J., &amp; Liu, H. (2021). </w:t>
      </w:r>
      <w:r w:rsidRPr="00567D37">
        <w:t xml:space="preserve">Impact of early socialization environment on social behavior, physiology and growth performance of weaned piglets. </w:t>
      </w:r>
      <w:r>
        <w:t>Applied Animal Behavior Science, 238, 105314.</w:t>
      </w:r>
    </w:p>
    <w:p w14:paraId="59F98CC8" w14:textId="77777777" w:rsidR="00917725" w:rsidRDefault="00917725" w:rsidP="00917725">
      <w:pPr>
        <w:pStyle w:val="Body"/>
        <w:spacing w:after="0"/>
      </w:pPr>
    </w:p>
    <w:p w14:paraId="559AB8D6" w14:textId="77777777" w:rsidR="00917725" w:rsidRDefault="00917725" w:rsidP="00917725">
      <w:pPr>
        <w:pStyle w:val="Body"/>
        <w:spacing w:after="0"/>
      </w:pPr>
      <w:proofErr w:type="spellStart"/>
      <w:r>
        <w:t>Katsukawa</w:t>
      </w:r>
      <w:proofErr w:type="spellEnd"/>
      <w:r>
        <w:t xml:space="preserve">, M., Nakata, R., Takizawa, Y., Hori, K., Takahashi, S., &amp; Inoue, H. (2010). Citral, a component of lemongrass oil, activates PPARα and γ and suppresses COX-2 expression. </w:t>
      </w:r>
      <w:proofErr w:type="spellStart"/>
      <w:r>
        <w:t>Biochimica</w:t>
      </w:r>
      <w:proofErr w:type="spellEnd"/>
      <w:r>
        <w:t xml:space="preserve"> et </w:t>
      </w:r>
      <w:proofErr w:type="spellStart"/>
      <w:r>
        <w:t>Biophysica</w:t>
      </w:r>
      <w:proofErr w:type="spellEnd"/>
      <w:r>
        <w:t xml:space="preserve"> Acta (BBA)-Molecular and Cell Biology of Lipids, 1801(11), 1214-1220.</w:t>
      </w:r>
    </w:p>
    <w:p w14:paraId="2BB1BDF7" w14:textId="77777777" w:rsidR="00917725" w:rsidRDefault="00917725" w:rsidP="00917725">
      <w:pPr>
        <w:pStyle w:val="Body"/>
        <w:spacing w:after="0"/>
      </w:pPr>
    </w:p>
    <w:p w14:paraId="5CD16680" w14:textId="77777777" w:rsidR="00917725" w:rsidRDefault="00917725" w:rsidP="00917725">
      <w:pPr>
        <w:pStyle w:val="Body"/>
        <w:spacing w:after="0"/>
      </w:pPr>
      <w:r>
        <w:t xml:space="preserve">Manteuffel, G., Puppe, B., &amp; Schön, P. C. (2004). Vocalization of farm animals as a measure of welfare. Applied Animal </w:t>
      </w:r>
      <w:proofErr w:type="spellStart"/>
      <w:r>
        <w:t>Behaviour</w:t>
      </w:r>
      <w:proofErr w:type="spellEnd"/>
      <w:r>
        <w:t xml:space="preserve"> Science, 88(1-2), 163-182.</w:t>
      </w:r>
    </w:p>
    <w:p w14:paraId="6856180F" w14:textId="77777777" w:rsidR="00917725" w:rsidRDefault="00917725" w:rsidP="00917725">
      <w:pPr>
        <w:pStyle w:val="Body"/>
        <w:spacing w:after="0"/>
      </w:pPr>
    </w:p>
    <w:p w14:paraId="49E5F64D" w14:textId="77777777" w:rsidR="00917725" w:rsidRPr="00B463B5" w:rsidRDefault="00917725" w:rsidP="00917725">
      <w:pPr>
        <w:pStyle w:val="Body"/>
        <w:spacing w:after="0"/>
        <w:rPr>
          <w:lang w:val="pt-BR"/>
        </w:rPr>
      </w:pPr>
      <w:r>
        <w:t xml:space="preserve">Marchant-Forde, J. N. (2009). Welfare of dry sows. In The welfare of pigs (pp. 95-139). </w:t>
      </w:r>
      <w:r w:rsidRPr="00B463B5">
        <w:rPr>
          <w:lang w:val="pt-BR"/>
        </w:rPr>
        <w:t>Springer, Dordrecht.</w:t>
      </w:r>
    </w:p>
    <w:p w14:paraId="1626D5AC" w14:textId="77777777" w:rsidR="00917725" w:rsidRPr="00B463B5" w:rsidRDefault="00917725" w:rsidP="00917725">
      <w:pPr>
        <w:pStyle w:val="Body"/>
        <w:spacing w:after="0"/>
        <w:rPr>
          <w:lang w:val="pt-BR"/>
        </w:rPr>
      </w:pPr>
    </w:p>
    <w:p w14:paraId="6ADFD7F6" w14:textId="77777777" w:rsidR="00917725" w:rsidRPr="00B463B5" w:rsidRDefault="00917725" w:rsidP="00917725">
      <w:pPr>
        <w:pStyle w:val="Body"/>
        <w:spacing w:after="0"/>
        <w:rPr>
          <w:lang w:val="pt-BR"/>
        </w:rPr>
      </w:pPr>
      <w:r w:rsidRPr="00B463B5">
        <w:rPr>
          <w:lang w:val="pt-BR"/>
        </w:rPr>
        <w:t xml:space="preserve">Miranda-de la Lama, G. C., Estévez-Moreno, L. X., Sepulveda, W. S., Estrada-Chavero, M. C., Rayas-Amor, A. A., Villarroel, M., &amp; María, G. A. (2017). </w:t>
      </w:r>
      <w:r>
        <w:t xml:space="preserve">Mexican consumers' perceptions and attitudes towards farm animal welfare and willingness to pay for welfare friendly meat products. </w:t>
      </w:r>
      <w:r w:rsidRPr="00B463B5">
        <w:rPr>
          <w:lang w:val="pt-BR"/>
        </w:rPr>
        <w:t>Meat science, 125, 106-113.</w:t>
      </w:r>
    </w:p>
    <w:p w14:paraId="286CE637" w14:textId="77777777" w:rsidR="00917725" w:rsidRPr="00B463B5" w:rsidRDefault="00917725" w:rsidP="00917725">
      <w:pPr>
        <w:pStyle w:val="Body"/>
        <w:spacing w:after="0"/>
        <w:rPr>
          <w:lang w:val="pt-BR"/>
        </w:rPr>
      </w:pPr>
    </w:p>
    <w:p w14:paraId="74C88A8B" w14:textId="77777777" w:rsidR="00917725" w:rsidRPr="00EC73B6" w:rsidRDefault="00917725" w:rsidP="00917725">
      <w:pPr>
        <w:pStyle w:val="Body"/>
        <w:spacing w:after="0"/>
        <w:rPr>
          <w:lang w:val="pt-BR"/>
        </w:rPr>
      </w:pPr>
      <w:r w:rsidRPr="00B463B5">
        <w:rPr>
          <w:lang w:val="pt-BR"/>
        </w:rPr>
        <w:t xml:space="preserve">Morés, N., &amp; Amaral, A. D. (2001). Patologias associadas ao desmame. </w:t>
      </w:r>
      <w:r w:rsidRPr="00EC73B6">
        <w:rPr>
          <w:lang w:val="pt-BR"/>
        </w:rPr>
        <w:t>In CONGRESSO DA ABRAVES (Vol. 10, pp. 215-224).</w:t>
      </w:r>
    </w:p>
    <w:p w14:paraId="4C77EA09" w14:textId="77777777" w:rsidR="00917725" w:rsidRDefault="00917725" w:rsidP="00917725">
      <w:pPr>
        <w:pStyle w:val="Body"/>
        <w:spacing w:after="0"/>
        <w:rPr>
          <w:lang w:val="pt-BR"/>
        </w:rPr>
      </w:pPr>
    </w:p>
    <w:p w14:paraId="0E8D5D6D" w14:textId="4DBE31F6" w:rsidR="00F84EDF" w:rsidRDefault="00F84EDF" w:rsidP="00917725">
      <w:pPr>
        <w:pStyle w:val="Body"/>
        <w:spacing w:after="0"/>
      </w:pPr>
      <w:r w:rsidRPr="00F84EDF">
        <w:t xml:space="preserve">Morgan, T., </w:t>
      </w:r>
      <w:proofErr w:type="spellStart"/>
      <w:r w:rsidRPr="00F84EDF">
        <w:t>Pluske</w:t>
      </w:r>
      <w:proofErr w:type="spellEnd"/>
      <w:r w:rsidRPr="00F84EDF">
        <w:t xml:space="preserve">, J., Miller, D., Collins, T., Barnes, A.L., </w:t>
      </w:r>
      <w:proofErr w:type="spellStart"/>
      <w:r w:rsidRPr="00F84EDF">
        <w:t>Wemelsfelder</w:t>
      </w:r>
      <w:proofErr w:type="spellEnd"/>
      <w:r w:rsidRPr="00F84EDF">
        <w:t xml:space="preserve">, F., </w:t>
      </w:r>
      <w:r>
        <w:t xml:space="preserve">&amp; </w:t>
      </w:r>
      <w:r w:rsidRPr="00F84EDF">
        <w:t>Fleming, P.</w:t>
      </w:r>
      <w:r>
        <w:t xml:space="preserve"> </w:t>
      </w:r>
      <w:r w:rsidRPr="00F84EDF">
        <w:t xml:space="preserve">A. </w:t>
      </w:r>
      <w:r>
        <w:t>(</w:t>
      </w:r>
      <w:r w:rsidRPr="00F84EDF">
        <w:t>2014</w:t>
      </w:r>
      <w:r>
        <w:t>)</w:t>
      </w:r>
      <w:r w:rsidRPr="00F84EDF">
        <w:t xml:space="preserve">. </w:t>
      </w:r>
      <w:proofErr w:type="spellStart"/>
      <w:r w:rsidRPr="00F84EDF">
        <w:t>Socialising</w:t>
      </w:r>
      <w:proofErr w:type="spellEnd"/>
      <w:r w:rsidRPr="00F84EDF">
        <w:t xml:space="preserve"> piglets in lactation positively affects their post-weaning </w:t>
      </w:r>
      <w:proofErr w:type="spellStart"/>
      <w:r w:rsidRPr="00F84EDF">
        <w:t>behaviour</w:t>
      </w:r>
      <w:proofErr w:type="spellEnd"/>
      <w:r w:rsidRPr="00F84EDF">
        <w:t>. Appl. Anim. Behav. Sci., 158, 23-33. https://doi.org/10.1016/j.applanim.2014.06.001</w:t>
      </w:r>
    </w:p>
    <w:p w14:paraId="702F3833" w14:textId="77777777" w:rsidR="00F84EDF" w:rsidRPr="00EC73B6" w:rsidRDefault="00F84EDF" w:rsidP="00917725">
      <w:pPr>
        <w:pStyle w:val="Body"/>
        <w:spacing w:after="0"/>
        <w:rPr>
          <w:lang w:val="pt-BR"/>
        </w:rPr>
      </w:pPr>
    </w:p>
    <w:p w14:paraId="2F5A38B5" w14:textId="77777777" w:rsidR="00917725" w:rsidRDefault="00917725" w:rsidP="00917725">
      <w:pPr>
        <w:pStyle w:val="Body"/>
        <w:spacing w:after="0"/>
      </w:pPr>
      <w:r w:rsidRPr="00EC73B6">
        <w:rPr>
          <w:lang w:val="pt-BR"/>
        </w:rPr>
        <w:t xml:space="preserve">Nannoni, E., Valsami, T., Sardi, L., &amp; Martelli, G. (2014). </w:t>
      </w:r>
      <w:r>
        <w:t>Tail docking in pigs: a review on its short-and long-term consequences and effectiveness in preventing tail biting. Italian Journal of Animal Science, 13(1), 3095.</w:t>
      </w:r>
    </w:p>
    <w:p w14:paraId="70D12EE1" w14:textId="77777777" w:rsidR="00917725" w:rsidRPr="00B463B5" w:rsidRDefault="00917725" w:rsidP="00917725">
      <w:pPr>
        <w:pStyle w:val="Body"/>
        <w:spacing w:after="0"/>
        <w:rPr>
          <w:lang w:val="pt-BR"/>
        </w:rPr>
      </w:pPr>
    </w:p>
    <w:p w14:paraId="24005045" w14:textId="77777777" w:rsidR="00917725" w:rsidRPr="00B463B5" w:rsidRDefault="00917725" w:rsidP="00917725">
      <w:pPr>
        <w:pStyle w:val="Body"/>
        <w:spacing w:after="0"/>
        <w:rPr>
          <w:lang w:val="pt-BR"/>
        </w:rPr>
      </w:pPr>
      <w:r w:rsidRPr="00B463B5">
        <w:rPr>
          <w:lang w:val="pt-BR"/>
        </w:rPr>
        <w:t xml:space="preserve">Negrelle, R. R. B., &amp; Gomes, E. C. (2007). </w:t>
      </w:r>
      <w:r w:rsidRPr="00567D37">
        <w:rPr>
          <w:i/>
          <w:iCs/>
        </w:rPr>
        <w:t xml:space="preserve">Cymbopogon </w:t>
      </w:r>
      <w:proofErr w:type="spellStart"/>
      <w:r w:rsidRPr="00567D37">
        <w:rPr>
          <w:i/>
          <w:iCs/>
        </w:rPr>
        <w:t>citratus</w:t>
      </w:r>
      <w:proofErr w:type="spellEnd"/>
      <w:r>
        <w:t xml:space="preserve"> (DC.) Stapf: chemical composition and biological activities. </w:t>
      </w:r>
      <w:r w:rsidRPr="00B463B5">
        <w:rPr>
          <w:lang w:val="pt-BR"/>
        </w:rPr>
        <w:t>Revista Brasileira de Plantas Medicinais, 9(1), 80-92.</w:t>
      </w:r>
    </w:p>
    <w:p w14:paraId="3B143B83" w14:textId="77777777" w:rsidR="00917725" w:rsidRPr="00B463B5" w:rsidRDefault="00917725" w:rsidP="00917725">
      <w:pPr>
        <w:pStyle w:val="Body"/>
        <w:spacing w:after="0"/>
        <w:rPr>
          <w:lang w:val="pt-BR"/>
        </w:rPr>
      </w:pPr>
    </w:p>
    <w:p w14:paraId="123BDF45" w14:textId="77777777" w:rsidR="00917725" w:rsidRPr="00917725" w:rsidRDefault="00917725" w:rsidP="00917725">
      <w:pPr>
        <w:pStyle w:val="Body"/>
        <w:spacing w:after="0"/>
        <w:rPr>
          <w:lang w:val="pt-BR"/>
        </w:rPr>
      </w:pPr>
      <w:r>
        <w:rPr>
          <w:lang w:val="pt-BR"/>
        </w:rPr>
        <w:t xml:space="preserve">OIE - </w:t>
      </w:r>
      <w:r w:rsidRPr="00B463B5">
        <w:rPr>
          <w:lang w:val="pt-BR"/>
        </w:rPr>
        <w:t xml:space="preserve">Organização Mundial de Saúde Animal - OIE. Código Sanitario para los Animales Terrestres. 2017. Disponível em: https://tinyurl.com/y8vu84lt. </w:t>
      </w:r>
      <w:r w:rsidRPr="00917725">
        <w:rPr>
          <w:lang w:val="pt-BR"/>
        </w:rPr>
        <w:t>Acesso em 04 dez 2018.</w:t>
      </w:r>
    </w:p>
    <w:p w14:paraId="1DF102E8" w14:textId="77777777" w:rsidR="00917725" w:rsidRDefault="00917725" w:rsidP="00917725">
      <w:pPr>
        <w:pStyle w:val="Body"/>
        <w:spacing w:after="0"/>
        <w:rPr>
          <w:lang w:val="pt-BR"/>
        </w:rPr>
      </w:pPr>
    </w:p>
    <w:p w14:paraId="3C00A823" w14:textId="0B0404F8" w:rsidR="0081385E" w:rsidRPr="0081385E" w:rsidRDefault="0081385E" w:rsidP="0081385E">
      <w:pPr>
        <w:pStyle w:val="Body"/>
        <w:spacing w:after="0"/>
      </w:pPr>
      <w:r w:rsidRPr="0081385E">
        <w:t>Peden, R.</w:t>
      </w:r>
      <w:r>
        <w:t xml:space="preserve"> </w:t>
      </w:r>
      <w:r w:rsidRPr="0081385E">
        <w:t>S., Turner, S.</w:t>
      </w:r>
      <w:r>
        <w:t xml:space="preserve"> </w:t>
      </w:r>
      <w:r w:rsidRPr="0081385E">
        <w:t>P., Boyle, L.</w:t>
      </w:r>
      <w:r>
        <w:t xml:space="preserve"> </w:t>
      </w:r>
      <w:r w:rsidRPr="0081385E">
        <w:t>A.,</w:t>
      </w:r>
      <w:r>
        <w:t xml:space="preserve"> &amp;</w:t>
      </w:r>
      <w:r w:rsidRPr="0081385E">
        <w:t xml:space="preserve"> </w:t>
      </w:r>
      <w:proofErr w:type="spellStart"/>
      <w:r w:rsidRPr="0081385E">
        <w:t>Camerlink</w:t>
      </w:r>
      <w:proofErr w:type="spellEnd"/>
      <w:r w:rsidRPr="0081385E">
        <w:t xml:space="preserve">, I. </w:t>
      </w:r>
      <w:r>
        <w:t>(</w:t>
      </w:r>
      <w:r w:rsidRPr="0081385E">
        <w:t>2018</w:t>
      </w:r>
      <w:r>
        <w:t>)</w:t>
      </w:r>
      <w:r w:rsidRPr="0081385E">
        <w:t>. The translation of animal welfare research into practice: The case of mixing aggression between pigs. Appl. Anim. Behav. Sci., 204, 1-9. https://doi.org/10.1016/j.applanim.2018.03.003</w:t>
      </w:r>
    </w:p>
    <w:p w14:paraId="3B59B8A6" w14:textId="77777777" w:rsidR="0081385E" w:rsidRPr="00524775" w:rsidRDefault="0081385E" w:rsidP="0081385E">
      <w:pPr>
        <w:pStyle w:val="Body"/>
        <w:spacing w:after="0"/>
      </w:pPr>
    </w:p>
    <w:p w14:paraId="30DDB395" w14:textId="3852AACF" w:rsidR="0081385E" w:rsidRDefault="00524775" w:rsidP="00917725">
      <w:pPr>
        <w:pStyle w:val="Body"/>
        <w:spacing w:after="0"/>
      </w:pPr>
      <w:r w:rsidRPr="00524775">
        <w:t>Poletto, R., Kretzer, F.</w:t>
      </w:r>
      <w:r>
        <w:t xml:space="preserve"> </w:t>
      </w:r>
      <w:r w:rsidRPr="00524775">
        <w:t xml:space="preserve">C., </w:t>
      </w:r>
      <w:r>
        <w:t xml:space="preserve">&amp; </w:t>
      </w:r>
      <w:proofErr w:type="spellStart"/>
      <w:r w:rsidRPr="00524775">
        <w:t>Hötzel</w:t>
      </w:r>
      <w:proofErr w:type="spellEnd"/>
      <w:r w:rsidRPr="00524775">
        <w:t>, M.</w:t>
      </w:r>
      <w:r>
        <w:t xml:space="preserve"> </w:t>
      </w:r>
      <w:r w:rsidRPr="00524775">
        <w:t xml:space="preserve">J., </w:t>
      </w:r>
      <w:r>
        <w:t>(</w:t>
      </w:r>
      <w:r w:rsidRPr="00524775">
        <w:t>2014</w:t>
      </w:r>
      <w:r>
        <w:t>)</w:t>
      </w:r>
      <w:r w:rsidRPr="00524775">
        <w:t>. Minimizing aggression during mixing of gestating sows with supplementation of a tryptophan-enriched diet. Physiol. Behav., 132, 36-43. https://doi.org/10.1016/j.physbeh.2014.04.043</w:t>
      </w:r>
    </w:p>
    <w:p w14:paraId="0D2AE498" w14:textId="77777777" w:rsidR="00524775" w:rsidRPr="00917725" w:rsidRDefault="00524775" w:rsidP="00917725">
      <w:pPr>
        <w:pStyle w:val="Body"/>
        <w:spacing w:after="0"/>
        <w:rPr>
          <w:lang w:val="pt-BR"/>
        </w:rPr>
      </w:pPr>
    </w:p>
    <w:p w14:paraId="42093188" w14:textId="77777777" w:rsidR="00917725" w:rsidRDefault="00917725" w:rsidP="00917725">
      <w:pPr>
        <w:pStyle w:val="Body"/>
        <w:spacing w:after="0"/>
      </w:pPr>
      <w:r w:rsidRPr="00917725">
        <w:rPr>
          <w:lang w:val="pt-BR"/>
        </w:rPr>
        <w:t xml:space="preserve">R Core Team (2020). </w:t>
      </w:r>
      <w:r>
        <w:t>R: A Language and environment for statistical computing. (Version 4.0) [Computer software]. Retrieved from https://cran.r-project.org.</w:t>
      </w:r>
    </w:p>
    <w:p w14:paraId="75BE1189" w14:textId="77777777" w:rsidR="00917725" w:rsidRDefault="00917725" w:rsidP="00917725">
      <w:pPr>
        <w:pStyle w:val="Body"/>
        <w:spacing w:after="0"/>
      </w:pPr>
    </w:p>
    <w:p w14:paraId="17B39A86" w14:textId="77777777" w:rsidR="00917725" w:rsidRDefault="00917725" w:rsidP="00917725">
      <w:pPr>
        <w:pStyle w:val="Body"/>
        <w:spacing w:after="0"/>
      </w:pPr>
      <w:r w:rsidRPr="00B463B5">
        <w:rPr>
          <w:lang w:val="pt-BR"/>
        </w:rPr>
        <w:t xml:space="preserve">Silva, M. R., Ximenes, R. M., da Costa, J. G. M., Leal, L. K. A., de Lopes, A. A., &amp; de Barros Viana, G. S. (2010). </w:t>
      </w:r>
      <w:r>
        <w:t xml:space="preserve">Comparative anticonvulsant activities of the essential oils (EOs) from </w:t>
      </w:r>
      <w:r w:rsidRPr="00711E80">
        <w:rPr>
          <w:i/>
          <w:iCs/>
        </w:rPr>
        <w:t xml:space="preserve">Cymbopogon </w:t>
      </w:r>
      <w:proofErr w:type="spellStart"/>
      <w:r w:rsidRPr="00711E80">
        <w:rPr>
          <w:i/>
          <w:iCs/>
        </w:rPr>
        <w:t>winterianus</w:t>
      </w:r>
      <w:proofErr w:type="spellEnd"/>
      <w:r>
        <w:t xml:space="preserve"> Jowitt and </w:t>
      </w:r>
      <w:r w:rsidRPr="00711E80">
        <w:rPr>
          <w:i/>
          <w:iCs/>
        </w:rPr>
        <w:t xml:space="preserve">Cymbopogon </w:t>
      </w:r>
      <w:proofErr w:type="spellStart"/>
      <w:r w:rsidRPr="00711E80">
        <w:rPr>
          <w:i/>
          <w:iCs/>
        </w:rPr>
        <w:t>citratus</w:t>
      </w:r>
      <w:proofErr w:type="spellEnd"/>
      <w:r>
        <w:t xml:space="preserve"> (DC) Stapf. in mice. Naunyn-Schmiedeberg's archives of pharmacology, 381(5), 415-426.</w:t>
      </w:r>
    </w:p>
    <w:p w14:paraId="603BD3EE" w14:textId="77777777" w:rsidR="00917725" w:rsidRDefault="00917725" w:rsidP="00917725">
      <w:pPr>
        <w:pStyle w:val="Body"/>
        <w:spacing w:after="0"/>
      </w:pPr>
    </w:p>
    <w:p w14:paraId="3286C647" w14:textId="235AF05A" w:rsidR="00780B16" w:rsidRDefault="00D51C23" w:rsidP="00917725">
      <w:pPr>
        <w:pStyle w:val="Body"/>
        <w:spacing w:after="0"/>
      </w:pPr>
      <w:r w:rsidRPr="00D51C23">
        <w:t xml:space="preserve">Smulders, D., </w:t>
      </w:r>
      <w:proofErr w:type="spellStart"/>
      <w:r w:rsidRPr="00D51C23">
        <w:t>Hautekiet</w:t>
      </w:r>
      <w:proofErr w:type="spellEnd"/>
      <w:r w:rsidRPr="00D51C23">
        <w:t>, V., Verbeke, G., Geers, R., 2008. Tail and ear biting lesions in pigs: an epidemiological study. Anim. Welf., 17(1), 61-69. https://doi.org/10.1017/S0962728600031997</w:t>
      </w:r>
    </w:p>
    <w:p w14:paraId="21E9B79F" w14:textId="77777777" w:rsidR="00780B16" w:rsidRDefault="00780B16" w:rsidP="00917725">
      <w:pPr>
        <w:pStyle w:val="Body"/>
        <w:spacing w:after="0"/>
      </w:pPr>
    </w:p>
    <w:p w14:paraId="723E35B6" w14:textId="77777777" w:rsidR="00917725" w:rsidRDefault="00917725" w:rsidP="00917725">
      <w:pPr>
        <w:pStyle w:val="Body"/>
        <w:spacing w:after="0"/>
      </w:pPr>
      <w:r>
        <w:t xml:space="preserve">Souza, A. S., Jansen, J., </w:t>
      </w:r>
      <w:proofErr w:type="spellStart"/>
      <w:r>
        <w:t>Tempelman</w:t>
      </w:r>
      <w:proofErr w:type="spellEnd"/>
      <w:r>
        <w:t xml:space="preserve">, R. J., Mendl, M., &amp; Zanella, A. J. (2006). A novel method for testing social recognition in young pigs and the modulating effects of relocation. Applied Animal </w:t>
      </w:r>
      <w:proofErr w:type="spellStart"/>
      <w:r>
        <w:t>Behaviour</w:t>
      </w:r>
      <w:proofErr w:type="spellEnd"/>
      <w:r>
        <w:t xml:space="preserve"> Science, 99(1-2), 77-87.</w:t>
      </w:r>
    </w:p>
    <w:p w14:paraId="579F88AB" w14:textId="77777777" w:rsidR="00917725" w:rsidRDefault="00917725" w:rsidP="00917725">
      <w:pPr>
        <w:pStyle w:val="Body"/>
        <w:spacing w:after="0"/>
      </w:pPr>
    </w:p>
    <w:p w14:paraId="1E4AE436" w14:textId="77777777" w:rsidR="00917725" w:rsidRDefault="00917725" w:rsidP="00917725">
      <w:pPr>
        <w:pStyle w:val="Body"/>
        <w:spacing w:after="0"/>
      </w:pPr>
      <w:proofErr w:type="spellStart"/>
      <w:r>
        <w:t>Sriraksa</w:t>
      </w:r>
      <w:proofErr w:type="spellEnd"/>
      <w:r>
        <w:t xml:space="preserve">, N., </w:t>
      </w:r>
      <w:proofErr w:type="spellStart"/>
      <w:r>
        <w:t>Kaewwongse</w:t>
      </w:r>
      <w:proofErr w:type="spellEnd"/>
      <w:r>
        <w:t xml:space="preserve">, M., </w:t>
      </w:r>
      <w:proofErr w:type="spellStart"/>
      <w:r>
        <w:t>Phachonpai</w:t>
      </w:r>
      <w:proofErr w:type="spellEnd"/>
      <w:r>
        <w:t xml:space="preserve">, W., &amp; </w:t>
      </w:r>
      <w:proofErr w:type="spellStart"/>
      <w:r>
        <w:t>Hawiset</w:t>
      </w:r>
      <w:proofErr w:type="spellEnd"/>
      <w:r>
        <w:t>, T. (2018). Effects of Lemongrass (</w:t>
      </w:r>
      <w:r w:rsidRPr="00711E80">
        <w:rPr>
          <w:i/>
          <w:iCs/>
        </w:rPr>
        <w:t xml:space="preserve">Cymbopogon </w:t>
      </w:r>
      <w:proofErr w:type="spellStart"/>
      <w:r w:rsidRPr="00711E80">
        <w:rPr>
          <w:i/>
          <w:iCs/>
        </w:rPr>
        <w:t>citratus</w:t>
      </w:r>
      <w:proofErr w:type="spellEnd"/>
      <w:r>
        <w:t>) essential oil inhalation on cognitive performance and mood in healthy women. Thai Pharmaceutical and Health Science Journal, 13(2), 80-88.</w:t>
      </w:r>
    </w:p>
    <w:p w14:paraId="3A21A829" w14:textId="77777777" w:rsidR="00917725" w:rsidRDefault="00917725" w:rsidP="00917725">
      <w:pPr>
        <w:pStyle w:val="Body"/>
        <w:spacing w:after="0"/>
      </w:pPr>
    </w:p>
    <w:p w14:paraId="383CFDBE" w14:textId="77777777" w:rsidR="00917725" w:rsidRDefault="00917725" w:rsidP="00917725">
      <w:pPr>
        <w:pStyle w:val="Body"/>
        <w:spacing w:after="0"/>
      </w:pPr>
      <w:r>
        <w:t xml:space="preserve">Suzuki, O. H., Flemming, J. S., &amp; Silva, M. E. T. (2008). </w:t>
      </w:r>
      <w:r w:rsidRPr="00B463B5">
        <w:rPr>
          <w:lang w:val="pt-BR"/>
        </w:rPr>
        <w:t xml:space="preserve">USO DE ÓLEOS ESSENCIAIS® 1 NA ALIMENTAÇÃO DE LEITÕES. </w:t>
      </w:r>
      <w:proofErr w:type="spellStart"/>
      <w:r>
        <w:t>Revista</w:t>
      </w:r>
      <w:proofErr w:type="spellEnd"/>
      <w:r>
        <w:t xml:space="preserve"> </w:t>
      </w:r>
      <w:proofErr w:type="spellStart"/>
      <w:r>
        <w:t>Acadêmica</w:t>
      </w:r>
      <w:proofErr w:type="spellEnd"/>
      <w:r>
        <w:t xml:space="preserve"> </w:t>
      </w:r>
      <w:proofErr w:type="spellStart"/>
      <w:r>
        <w:t>Ciência</w:t>
      </w:r>
      <w:proofErr w:type="spellEnd"/>
      <w:r>
        <w:t xml:space="preserve"> Animal, 6(4), 519-526.</w:t>
      </w:r>
    </w:p>
    <w:p w14:paraId="16DF3B7E" w14:textId="77777777" w:rsidR="00917725" w:rsidRDefault="00917725" w:rsidP="00917725">
      <w:pPr>
        <w:pStyle w:val="Body"/>
        <w:spacing w:after="0"/>
      </w:pPr>
    </w:p>
    <w:p w14:paraId="0CF9FF9B" w14:textId="77777777" w:rsidR="00917725" w:rsidRDefault="00917725" w:rsidP="00917725">
      <w:pPr>
        <w:pStyle w:val="Body"/>
        <w:spacing w:after="0"/>
      </w:pPr>
      <w:proofErr w:type="spellStart"/>
      <w:r>
        <w:t>Tarkang</w:t>
      </w:r>
      <w:proofErr w:type="spellEnd"/>
      <w:r>
        <w:t xml:space="preserve">, P. A. et al. 2012. Effect of long-term oral administration of the aqueous and ethanol leaf extracts of </w:t>
      </w:r>
      <w:r w:rsidRPr="00711E80">
        <w:rPr>
          <w:i/>
          <w:iCs/>
        </w:rPr>
        <w:t xml:space="preserve">Cymbopogon </w:t>
      </w:r>
      <w:proofErr w:type="spellStart"/>
      <w:r w:rsidRPr="00711E80">
        <w:rPr>
          <w:i/>
          <w:iCs/>
        </w:rPr>
        <w:t>citratus</w:t>
      </w:r>
      <w:proofErr w:type="spellEnd"/>
      <w:r>
        <w:t xml:space="preserve"> (DC. ex Nees) </w:t>
      </w:r>
      <w:proofErr w:type="spellStart"/>
      <w:r>
        <w:t>stapf</w:t>
      </w:r>
      <w:proofErr w:type="spellEnd"/>
      <w:r>
        <w:t>. Annals of Biological Research, v. 3, n. 12, p. 5561-55570.</w:t>
      </w:r>
    </w:p>
    <w:p w14:paraId="6DCFA4F0" w14:textId="77777777" w:rsidR="00917725" w:rsidRDefault="00917725" w:rsidP="00917725">
      <w:pPr>
        <w:pStyle w:val="Body"/>
        <w:spacing w:after="0"/>
      </w:pPr>
    </w:p>
    <w:p w14:paraId="51F77DE7" w14:textId="77777777" w:rsidR="00917725" w:rsidRDefault="00917725" w:rsidP="00917725">
      <w:pPr>
        <w:pStyle w:val="Body"/>
        <w:spacing w:after="0"/>
      </w:pPr>
      <w:r>
        <w:t xml:space="preserve">The </w:t>
      </w:r>
      <w:proofErr w:type="spellStart"/>
      <w:r>
        <w:t>Jamovi</w:t>
      </w:r>
      <w:proofErr w:type="spellEnd"/>
      <w:r>
        <w:t xml:space="preserve"> Project (2021). </w:t>
      </w:r>
      <w:proofErr w:type="spellStart"/>
      <w:r>
        <w:t>jamovi</w:t>
      </w:r>
      <w:proofErr w:type="spellEnd"/>
      <w:r>
        <w:t>. (Version 1.6) [Computer Software]. Retrieved from https://www.jamovi.org.</w:t>
      </w:r>
    </w:p>
    <w:p w14:paraId="1EA5E45B" w14:textId="77777777" w:rsidR="00917725" w:rsidRDefault="00917725" w:rsidP="00917725">
      <w:pPr>
        <w:pStyle w:val="Body"/>
        <w:spacing w:after="0"/>
      </w:pPr>
    </w:p>
    <w:p w14:paraId="5D363DF0" w14:textId="77777777" w:rsidR="00917725" w:rsidRDefault="00917725" w:rsidP="00917725">
      <w:pPr>
        <w:pStyle w:val="Body"/>
        <w:spacing w:after="0"/>
      </w:pPr>
      <w:r>
        <w:t xml:space="preserve">USDA – UNITED STATES DEPARTMENT OF AGRICULTURE. </w:t>
      </w:r>
      <w:r w:rsidRPr="00B463B5">
        <w:rPr>
          <w:lang w:val="pt-BR"/>
        </w:rPr>
        <w:t xml:space="preserve">(2021). Disponível em: &lt;http://www.usda.gov&gt;. </w:t>
      </w:r>
      <w:proofErr w:type="spellStart"/>
      <w:r>
        <w:t>Acesso</w:t>
      </w:r>
      <w:proofErr w:type="spellEnd"/>
      <w:r>
        <w:t xml:space="preserve"> </w:t>
      </w:r>
      <w:proofErr w:type="spellStart"/>
      <w:r>
        <w:t>em</w:t>
      </w:r>
      <w:proofErr w:type="spellEnd"/>
      <w:r>
        <w:t xml:space="preserve">: 17 </w:t>
      </w:r>
      <w:proofErr w:type="spellStart"/>
      <w:r>
        <w:t>aug</w:t>
      </w:r>
      <w:proofErr w:type="spellEnd"/>
      <w:r>
        <w:t xml:space="preserve"> 2025.</w:t>
      </w:r>
    </w:p>
    <w:p w14:paraId="04F319F3" w14:textId="77777777" w:rsidR="00917725" w:rsidRDefault="00917725" w:rsidP="00917725">
      <w:pPr>
        <w:pStyle w:val="Body"/>
        <w:spacing w:after="0"/>
      </w:pPr>
    </w:p>
    <w:p w14:paraId="4A72041E" w14:textId="7D37391E" w:rsidR="00441B6F" w:rsidRDefault="00917725" w:rsidP="00917725">
      <w:pPr>
        <w:pStyle w:val="Body"/>
        <w:spacing w:after="0"/>
        <w:jc w:val="left"/>
      </w:pPr>
      <w:r>
        <w:t xml:space="preserve">Wattanakul, W., Sinclair, A. G., Stewart, A. H., Edwards, S. A., &amp; English, P. R. (1997). Performance and </w:t>
      </w:r>
      <w:proofErr w:type="spellStart"/>
      <w:r>
        <w:t>behaviour</w:t>
      </w:r>
      <w:proofErr w:type="spellEnd"/>
      <w:r>
        <w:t xml:space="preserve"> of lactating sows and piglets in crate and </w:t>
      </w:r>
      <w:proofErr w:type="spellStart"/>
      <w:r>
        <w:t>multisuckling</w:t>
      </w:r>
      <w:proofErr w:type="spellEnd"/>
      <w:r>
        <w:t xml:space="preserve"> systems: a study involving European White and Manor Meishan genotypes. Animal Science, 64(2), 339-349.</w:t>
      </w:r>
    </w:p>
    <w:p w14:paraId="3FD8B7B1" w14:textId="77777777" w:rsidR="00790ADA" w:rsidRPr="00FB3A86" w:rsidRDefault="00790ADA" w:rsidP="00441B6F">
      <w:pPr>
        <w:pStyle w:val="Body"/>
        <w:spacing w:after="0"/>
        <w:rPr>
          <w:rFonts w:ascii="Arial" w:hAnsi="Arial" w:cs="Arial"/>
        </w:rPr>
      </w:pPr>
    </w:p>
    <w:p w14:paraId="1FE4A486" w14:textId="77777777" w:rsidR="00B01FCD" w:rsidRPr="00FB3A86" w:rsidRDefault="00B01FCD" w:rsidP="00441B6F">
      <w:pPr>
        <w:pStyle w:val="Appendix"/>
        <w:spacing w:after="0"/>
        <w:jc w:val="both"/>
        <w:rPr>
          <w:rFonts w:ascii="Arial" w:hAnsi="Arial" w:cs="Arial"/>
          <w:b w:val="0"/>
        </w:rPr>
      </w:pPr>
    </w:p>
    <w:sectPr w:rsidR="00B01FCD" w:rsidRPr="00FB3A86" w:rsidSect="009675A6">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anvi Gusain" w:date="2025-11-17T15:34:00Z" w:initials="TG">
    <w:p w14:paraId="7E971D1D" w14:textId="74ED236F" w:rsidR="00D3406C" w:rsidRDefault="00D3406C">
      <w:pPr>
        <w:pStyle w:val="CommentText"/>
      </w:pPr>
      <w:r>
        <w:rPr>
          <w:rStyle w:val="CommentReference"/>
        </w:rPr>
        <w:annotationRef/>
      </w:r>
      <w:r w:rsidR="004D70C0">
        <w:t>It will be much clear if put in table form</w:t>
      </w:r>
    </w:p>
  </w:comment>
  <w:comment w:id="1" w:author="Tanvi Gusain" w:date="2025-11-17T15:43:00Z" w:initials="TG">
    <w:p w14:paraId="1482985D" w14:textId="06E33B10" w:rsidR="004D70C0" w:rsidRDefault="004D70C0">
      <w:pPr>
        <w:pStyle w:val="CommentText"/>
      </w:pPr>
      <w:r>
        <w:rPr>
          <w:rStyle w:val="CommentReference"/>
        </w:rPr>
        <w:annotationRef/>
      </w:r>
      <w:r>
        <w:t xml:space="preserve">Refrences should be </w:t>
      </w:r>
      <w:r w:rsidR="00F27530">
        <w:t xml:space="preserve">in </w:t>
      </w:r>
      <w:r>
        <w:t>serial and no</w:t>
      </w:r>
      <w:r w:rsidR="00F27530">
        <w:t>t numbered in the above article neither in refrences below. There is no clear distinction between which refrence is used where?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971D1D" w15:done="0"/>
  <w15:commentEx w15:paraId="148298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8F5809" w16cex:dateUtc="2025-11-17T10:04:00Z"/>
  <w16cex:commentExtensible w16cex:durableId="65AACBC5" w16cex:dateUtc="2025-11-17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971D1D" w16cid:durableId="408F5809"/>
  <w16cid:commentId w16cid:paraId="1482985D" w16cid:durableId="65AACB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8A471" w14:textId="77777777" w:rsidR="00A20D11" w:rsidRDefault="00A20D11" w:rsidP="00C37E61">
      <w:r>
        <w:separator/>
      </w:r>
    </w:p>
  </w:endnote>
  <w:endnote w:type="continuationSeparator" w:id="0">
    <w:p w14:paraId="54599A46" w14:textId="77777777" w:rsidR="00A20D11" w:rsidRDefault="00A20D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28FE" w14:textId="77777777" w:rsidR="009675A6" w:rsidRDefault="00967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15A5" w14:textId="77777777" w:rsidR="009675A6" w:rsidRDefault="00967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54C7" w14:textId="408D07AC" w:rsidR="00754C9A" w:rsidRPr="00806D8E" w:rsidRDefault="00754C9A" w:rsidP="00806D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CC09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46EFC" w14:textId="77777777" w:rsidR="00A20D11" w:rsidRDefault="00A20D11" w:rsidP="00C37E61">
      <w:r>
        <w:separator/>
      </w:r>
    </w:p>
  </w:footnote>
  <w:footnote w:type="continuationSeparator" w:id="0">
    <w:p w14:paraId="344CB177" w14:textId="77777777" w:rsidR="00A20D11" w:rsidRDefault="00A20D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D407" w14:textId="60F0E435" w:rsidR="009675A6" w:rsidRDefault="00000000">
    <w:pPr>
      <w:pStyle w:val="Header"/>
    </w:pPr>
    <w:r>
      <w:rPr>
        <w:noProof/>
      </w:rPr>
      <w:pict w14:anchorId="28124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3"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27D11" w14:textId="700C7C39" w:rsidR="009675A6" w:rsidRDefault="00000000">
    <w:pPr>
      <w:pStyle w:val="Header"/>
    </w:pPr>
    <w:r>
      <w:rPr>
        <w:noProof/>
      </w:rPr>
      <w:pict w14:anchorId="1A7AB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4"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E51F" w14:textId="097E1C48" w:rsidR="00296529" w:rsidRPr="00296529" w:rsidRDefault="00000000" w:rsidP="00296529">
    <w:pPr>
      <w:ind w:left="2160"/>
      <w:jc w:val="center"/>
      <w:rPr>
        <w:rFonts w:ascii="Times New Roman" w:eastAsia="Calibri" w:hAnsi="Times New Roman"/>
        <w:i/>
        <w:sz w:val="18"/>
        <w:szCs w:val="22"/>
      </w:rPr>
    </w:pPr>
    <w:r>
      <w:rPr>
        <w:noProof/>
      </w:rPr>
      <w:pict w14:anchorId="21B3C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2"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59A4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025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7A12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22CC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374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AC0CC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3BCB" w14:textId="0D0E071A" w:rsidR="009675A6" w:rsidRDefault="00000000">
    <w:pPr>
      <w:pStyle w:val="Header"/>
    </w:pPr>
    <w:r>
      <w:rPr>
        <w:noProof/>
      </w:rPr>
      <w:pict w14:anchorId="78DB3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6"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8613" w14:textId="557B17A7" w:rsidR="009675A6" w:rsidRDefault="00000000">
    <w:pPr>
      <w:pStyle w:val="Header"/>
    </w:pPr>
    <w:r>
      <w:rPr>
        <w:noProof/>
      </w:rPr>
      <w:pict w14:anchorId="3E4AC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7"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FF4E" w14:textId="36D62B29" w:rsidR="009675A6" w:rsidRDefault="00000000">
    <w:pPr>
      <w:pStyle w:val="Header"/>
    </w:pPr>
    <w:r>
      <w:rPr>
        <w:noProof/>
      </w:rPr>
      <w:pict w14:anchorId="4D6BA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5"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0869496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243116">
    <w:abstractNumId w:val="15"/>
  </w:num>
  <w:num w:numId="3" w16cid:durableId="1718161354">
    <w:abstractNumId w:val="23"/>
  </w:num>
  <w:num w:numId="4" w16cid:durableId="162446269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11763207">
    <w:abstractNumId w:val="7"/>
  </w:num>
  <w:num w:numId="6" w16cid:durableId="1115103061">
    <w:abstractNumId w:val="6"/>
  </w:num>
  <w:num w:numId="7" w16cid:durableId="1428188954">
    <w:abstractNumId w:val="1"/>
  </w:num>
  <w:num w:numId="8" w16cid:durableId="550388023">
    <w:abstractNumId w:val="12"/>
  </w:num>
  <w:num w:numId="9" w16cid:durableId="1420784381">
    <w:abstractNumId w:val="25"/>
  </w:num>
  <w:num w:numId="10" w16cid:durableId="1883907662">
    <w:abstractNumId w:val="2"/>
  </w:num>
  <w:num w:numId="11" w16cid:durableId="202525946">
    <w:abstractNumId w:val="18"/>
  </w:num>
  <w:num w:numId="12" w16cid:durableId="288318602">
    <w:abstractNumId w:val="3"/>
  </w:num>
  <w:num w:numId="13" w16cid:durableId="1118990185">
    <w:abstractNumId w:val="17"/>
  </w:num>
  <w:num w:numId="14" w16cid:durableId="505292670">
    <w:abstractNumId w:val="8"/>
  </w:num>
  <w:num w:numId="15" w16cid:durableId="238713448">
    <w:abstractNumId w:val="21"/>
  </w:num>
  <w:num w:numId="16" w16cid:durableId="752891698">
    <w:abstractNumId w:val="5"/>
  </w:num>
  <w:num w:numId="17" w16cid:durableId="186992336">
    <w:abstractNumId w:val="22"/>
  </w:num>
  <w:num w:numId="18" w16cid:durableId="351802251">
    <w:abstractNumId w:val="14"/>
  </w:num>
  <w:num w:numId="19" w16cid:durableId="771897750">
    <w:abstractNumId w:val="28"/>
  </w:num>
  <w:num w:numId="20" w16cid:durableId="397291438">
    <w:abstractNumId w:val="11"/>
  </w:num>
  <w:num w:numId="21" w16cid:durableId="1475366543">
    <w:abstractNumId w:val="9"/>
  </w:num>
  <w:num w:numId="22" w16cid:durableId="1772703524">
    <w:abstractNumId w:val="13"/>
  </w:num>
  <w:num w:numId="23" w16cid:durableId="1052071522">
    <w:abstractNumId w:val="19"/>
  </w:num>
  <w:num w:numId="24" w16cid:durableId="485319269">
    <w:abstractNumId w:val="26"/>
  </w:num>
  <w:num w:numId="25" w16cid:durableId="1441949108">
    <w:abstractNumId w:val="4"/>
  </w:num>
  <w:num w:numId="26" w16cid:durableId="41640536">
    <w:abstractNumId w:val="16"/>
  </w:num>
  <w:num w:numId="27" w16cid:durableId="1689791420">
    <w:abstractNumId w:val="20"/>
  </w:num>
  <w:num w:numId="28" w16cid:durableId="1699966635">
    <w:abstractNumId w:val="27"/>
  </w:num>
  <w:num w:numId="29" w16cid:durableId="1768840543">
    <w:abstractNumId w:val="24"/>
  </w:num>
  <w:num w:numId="30" w16cid:durableId="67365315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nvi Gusain">
    <w15:presenceInfo w15:providerId="Windows Live" w15:userId="b90ece605bd255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AC0"/>
    <w:rsid w:val="00000F8F"/>
    <w:rsid w:val="00007A23"/>
    <w:rsid w:val="00030174"/>
    <w:rsid w:val="0004579C"/>
    <w:rsid w:val="00070248"/>
    <w:rsid w:val="000A47FA"/>
    <w:rsid w:val="000A65D3"/>
    <w:rsid w:val="000B1E33"/>
    <w:rsid w:val="000D689F"/>
    <w:rsid w:val="000E7B7B"/>
    <w:rsid w:val="000E7D62"/>
    <w:rsid w:val="00101485"/>
    <w:rsid w:val="00103357"/>
    <w:rsid w:val="00123C9F"/>
    <w:rsid w:val="00124C77"/>
    <w:rsid w:val="00126190"/>
    <w:rsid w:val="00130F17"/>
    <w:rsid w:val="001320BF"/>
    <w:rsid w:val="00156182"/>
    <w:rsid w:val="00163BC4"/>
    <w:rsid w:val="00191062"/>
    <w:rsid w:val="00192B72"/>
    <w:rsid w:val="001A29D8"/>
    <w:rsid w:val="001A5CAA"/>
    <w:rsid w:val="001B0427"/>
    <w:rsid w:val="001B21E4"/>
    <w:rsid w:val="001D0E67"/>
    <w:rsid w:val="001D3A51"/>
    <w:rsid w:val="001E10D2"/>
    <w:rsid w:val="001E25B4"/>
    <w:rsid w:val="001E44FE"/>
    <w:rsid w:val="00200595"/>
    <w:rsid w:val="00204835"/>
    <w:rsid w:val="00227E6E"/>
    <w:rsid w:val="0023042B"/>
    <w:rsid w:val="00231920"/>
    <w:rsid w:val="0023195C"/>
    <w:rsid w:val="00233A8D"/>
    <w:rsid w:val="0024282C"/>
    <w:rsid w:val="002460DC"/>
    <w:rsid w:val="00250985"/>
    <w:rsid w:val="002556F6"/>
    <w:rsid w:val="00283105"/>
    <w:rsid w:val="00284C4C"/>
    <w:rsid w:val="00287E68"/>
    <w:rsid w:val="00296529"/>
    <w:rsid w:val="00297FE2"/>
    <w:rsid w:val="002A01E9"/>
    <w:rsid w:val="002B27FB"/>
    <w:rsid w:val="002B3E73"/>
    <w:rsid w:val="002B685A"/>
    <w:rsid w:val="002C57D2"/>
    <w:rsid w:val="002D4923"/>
    <w:rsid w:val="002E0D56"/>
    <w:rsid w:val="002E45DC"/>
    <w:rsid w:val="00315186"/>
    <w:rsid w:val="0033343E"/>
    <w:rsid w:val="003512C2"/>
    <w:rsid w:val="0036031C"/>
    <w:rsid w:val="003677CC"/>
    <w:rsid w:val="00371FB6"/>
    <w:rsid w:val="003763C1"/>
    <w:rsid w:val="00376BBE"/>
    <w:rsid w:val="0039224F"/>
    <w:rsid w:val="003A1DF0"/>
    <w:rsid w:val="003A43A4"/>
    <w:rsid w:val="003A7E18"/>
    <w:rsid w:val="003C1AF6"/>
    <w:rsid w:val="003C4C86"/>
    <w:rsid w:val="003C6258"/>
    <w:rsid w:val="003E2904"/>
    <w:rsid w:val="003F41FC"/>
    <w:rsid w:val="00401927"/>
    <w:rsid w:val="0041027F"/>
    <w:rsid w:val="00412475"/>
    <w:rsid w:val="00423789"/>
    <w:rsid w:val="004352C0"/>
    <w:rsid w:val="00440F43"/>
    <w:rsid w:val="00441B6F"/>
    <w:rsid w:val="00446221"/>
    <w:rsid w:val="00450E62"/>
    <w:rsid w:val="004539DB"/>
    <w:rsid w:val="0047045A"/>
    <w:rsid w:val="00471A80"/>
    <w:rsid w:val="004A346A"/>
    <w:rsid w:val="004D305E"/>
    <w:rsid w:val="004D4277"/>
    <w:rsid w:val="004D70C0"/>
    <w:rsid w:val="00502516"/>
    <w:rsid w:val="00505F06"/>
    <w:rsid w:val="00506828"/>
    <w:rsid w:val="00515D87"/>
    <w:rsid w:val="00523252"/>
    <w:rsid w:val="00524775"/>
    <w:rsid w:val="0053056E"/>
    <w:rsid w:val="00547A42"/>
    <w:rsid w:val="00554FDA"/>
    <w:rsid w:val="0057347A"/>
    <w:rsid w:val="005B2AE1"/>
    <w:rsid w:val="005C784C"/>
    <w:rsid w:val="005D0D26"/>
    <w:rsid w:val="005D17F6"/>
    <w:rsid w:val="005E5539"/>
    <w:rsid w:val="005E5833"/>
    <w:rsid w:val="005F6E11"/>
    <w:rsid w:val="00602BF5"/>
    <w:rsid w:val="00615EC3"/>
    <w:rsid w:val="00617FDD"/>
    <w:rsid w:val="0062688F"/>
    <w:rsid w:val="00633614"/>
    <w:rsid w:val="00633F68"/>
    <w:rsid w:val="00636EB2"/>
    <w:rsid w:val="006375B8"/>
    <w:rsid w:val="00650619"/>
    <w:rsid w:val="0066510A"/>
    <w:rsid w:val="00673F9F"/>
    <w:rsid w:val="00686953"/>
    <w:rsid w:val="00687DEA"/>
    <w:rsid w:val="00687E67"/>
    <w:rsid w:val="006967F7"/>
    <w:rsid w:val="006A250C"/>
    <w:rsid w:val="006B21D3"/>
    <w:rsid w:val="006B57D0"/>
    <w:rsid w:val="006C3C30"/>
    <w:rsid w:val="006D30FF"/>
    <w:rsid w:val="006D6940"/>
    <w:rsid w:val="006F11EC"/>
    <w:rsid w:val="0070082C"/>
    <w:rsid w:val="00702A5A"/>
    <w:rsid w:val="00713AF7"/>
    <w:rsid w:val="00733948"/>
    <w:rsid w:val="007369E6"/>
    <w:rsid w:val="00746E59"/>
    <w:rsid w:val="00754C9A"/>
    <w:rsid w:val="0075599A"/>
    <w:rsid w:val="00761D52"/>
    <w:rsid w:val="007714EF"/>
    <w:rsid w:val="0077749E"/>
    <w:rsid w:val="00780B16"/>
    <w:rsid w:val="00790ADA"/>
    <w:rsid w:val="007B3592"/>
    <w:rsid w:val="007C354A"/>
    <w:rsid w:val="007D2288"/>
    <w:rsid w:val="007D3721"/>
    <w:rsid w:val="007D785E"/>
    <w:rsid w:val="007E088F"/>
    <w:rsid w:val="007F4978"/>
    <w:rsid w:val="007F7B32"/>
    <w:rsid w:val="00800983"/>
    <w:rsid w:val="008034CA"/>
    <w:rsid w:val="00804BC2"/>
    <w:rsid w:val="00806D8E"/>
    <w:rsid w:val="008118BB"/>
    <w:rsid w:val="0081385E"/>
    <w:rsid w:val="0081431A"/>
    <w:rsid w:val="00817CE9"/>
    <w:rsid w:val="0083216F"/>
    <w:rsid w:val="00841143"/>
    <w:rsid w:val="00860000"/>
    <w:rsid w:val="00863BD3"/>
    <w:rsid w:val="008641ED"/>
    <w:rsid w:val="00866D66"/>
    <w:rsid w:val="008671C6"/>
    <w:rsid w:val="00875803"/>
    <w:rsid w:val="008800C7"/>
    <w:rsid w:val="00890FFC"/>
    <w:rsid w:val="008B459E"/>
    <w:rsid w:val="008E13AE"/>
    <w:rsid w:val="008E1506"/>
    <w:rsid w:val="008E710C"/>
    <w:rsid w:val="008E798D"/>
    <w:rsid w:val="008F69D6"/>
    <w:rsid w:val="00902823"/>
    <w:rsid w:val="00915CA6"/>
    <w:rsid w:val="00917725"/>
    <w:rsid w:val="00927834"/>
    <w:rsid w:val="009500A6"/>
    <w:rsid w:val="009531BA"/>
    <w:rsid w:val="00957C18"/>
    <w:rsid w:val="009659BA"/>
    <w:rsid w:val="009675A6"/>
    <w:rsid w:val="00981F2D"/>
    <w:rsid w:val="00983040"/>
    <w:rsid w:val="0099158C"/>
    <w:rsid w:val="00992A8A"/>
    <w:rsid w:val="009B3FB9"/>
    <w:rsid w:val="009C2465"/>
    <w:rsid w:val="009C5ABA"/>
    <w:rsid w:val="009D35A0"/>
    <w:rsid w:val="009D54CE"/>
    <w:rsid w:val="009D7EB7"/>
    <w:rsid w:val="009E048A"/>
    <w:rsid w:val="009E08E9"/>
    <w:rsid w:val="009E3DB9"/>
    <w:rsid w:val="009E6E35"/>
    <w:rsid w:val="009F0EDA"/>
    <w:rsid w:val="00A03B96"/>
    <w:rsid w:val="00A05B19"/>
    <w:rsid w:val="00A1134E"/>
    <w:rsid w:val="00A20D11"/>
    <w:rsid w:val="00A24E7E"/>
    <w:rsid w:val="00A258C3"/>
    <w:rsid w:val="00A347C0"/>
    <w:rsid w:val="00A51431"/>
    <w:rsid w:val="00A539AD"/>
    <w:rsid w:val="00A6214C"/>
    <w:rsid w:val="00A94063"/>
    <w:rsid w:val="00AA6219"/>
    <w:rsid w:val="00AA74E0"/>
    <w:rsid w:val="00AB703F"/>
    <w:rsid w:val="00AC6BB8"/>
    <w:rsid w:val="00AE008F"/>
    <w:rsid w:val="00B01FCD"/>
    <w:rsid w:val="00B120FC"/>
    <w:rsid w:val="00B1776C"/>
    <w:rsid w:val="00B437F9"/>
    <w:rsid w:val="00B52583"/>
    <w:rsid w:val="00B52896"/>
    <w:rsid w:val="00B95236"/>
    <w:rsid w:val="00B96BD9"/>
    <w:rsid w:val="00B9711E"/>
    <w:rsid w:val="00B9769D"/>
    <w:rsid w:val="00BA1B01"/>
    <w:rsid w:val="00BA2641"/>
    <w:rsid w:val="00BB37AA"/>
    <w:rsid w:val="00BC53A0"/>
    <w:rsid w:val="00BE62AD"/>
    <w:rsid w:val="00BF121F"/>
    <w:rsid w:val="00BF1F80"/>
    <w:rsid w:val="00BF2E84"/>
    <w:rsid w:val="00BF6410"/>
    <w:rsid w:val="00C166EF"/>
    <w:rsid w:val="00C17EB0"/>
    <w:rsid w:val="00C27F5F"/>
    <w:rsid w:val="00C30A0F"/>
    <w:rsid w:val="00C37E61"/>
    <w:rsid w:val="00C70F1B"/>
    <w:rsid w:val="00C71A47"/>
    <w:rsid w:val="00C7464C"/>
    <w:rsid w:val="00C85588"/>
    <w:rsid w:val="00CA01DC"/>
    <w:rsid w:val="00CD6755"/>
    <w:rsid w:val="00CD6856"/>
    <w:rsid w:val="00CE0089"/>
    <w:rsid w:val="00CE7069"/>
    <w:rsid w:val="00CE793C"/>
    <w:rsid w:val="00CF193C"/>
    <w:rsid w:val="00D173F1"/>
    <w:rsid w:val="00D31129"/>
    <w:rsid w:val="00D3406C"/>
    <w:rsid w:val="00D51C23"/>
    <w:rsid w:val="00D74CB0"/>
    <w:rsid w:val="00D74F9D"/>
    <w:rsid w:val="00D8295D"/>
    <w:rsid w:val="00DC2A65"/>
    <w:rsid w:val="00DD7B1B"/>
    <w:rsid w:val="00DE15F0"/>
    <w:rsid w:val="00DE5663"/>
    <w:rsid w:val="00DE78AA"/>
    <w:rsid w:val="00E053D0"/>
    <w:rsid w:val="00E15994"/>
    <w:rsid w:val="00E236AF"/>
    <w:rsid w:val="00E3114E"/>
    <w:rsid w:val="00E31A70"/>
    <w:rsid w:val="00E35B02"/>
    <w:rsid w:val="00E56CE1"/>
    <w:rsid w:val="00E66496"/>
    <w:rsid w:val="00E66B35"/>
    <w:rsid w:val="00E66E10"/>
    <w:rsid w:val="00E74C42"/>
    <w:rsid w:val="00E769F6"/>
    <w:rsid w:val="00E8407C"/>
    <w:rsid w:val="00E84F3C"/>
    <w:rsid w:val="00EA012C"/>
    <w:rsid w:val="00EC6A55"/>
    <w:rsid w:val="00ED0288"/>
    <w:rsid w:val="00EE52CB"/>
    <w:rsid w:val="00EF581D"/>
    <w:rsid w:val="00EF7FD8"/>
    <w:rsid w:val="00F06F59"/>
    <w:rsid w:val="00F11465"/>
    <w:rsid w:val="00F17988"/>
    <w:rsid w:val="00F2070C"/>
    <w:rsid w:val="00F27530"/>
    <w:rsid w:val="00F469F0"/>
    <w:rsid w:val="00F53273"/>
    <w:rsid w:val="00F60A8C"/>
    <w:rsid w:val="00F755E4"/>
    <w:rsid w:val="00F77D02"/>
    <w:rsid w:val="00F84EDF"/>
    <w:rsid w:val="00F9262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andard">
    <w:name w:val="Standard"/>
    <w:rsid w:val="00124C77"/>
    <w:pPr>
      <w:suppressAutoHyphens/>
      <w:autoSpaceDN w:val="0"/>
      <w:spacing w:after="160" w:line="254" w:lineRule="auto"/>
      <w:textAlignment w:val="baseline"/>
    </w:pPr>
    <w:rPr>
      <w:rFonts w:ascii="Calibri" w:eastAsia="Calibri" w:hAnsi="Calibri" w:cs="Tahoma"/>
      <w:sz w:val="22"/>
      <w:szCs w:val="22"/>
      <w:lang w:val="pt-BR"/>
    </w:rPr>
  </w:style>
  <w:style w:type="paragraph" w:styleId="CommentSubject">
    <w:name w:val="annotation subject"/>
    <w:basedOn w:val="CommentText"/>
    <w:next w:val="CommentText"/>
    <w:link w:val="CommentSubjectChar"/>
    <w:semiHidden/>
    <w:unhideWhenUsed/>
    <w:rsid w:val="00D3406C"/>
    <w:rPr>
      <w:rFonts w:ascii="Helvetica" w:hAnsi="Helvetica"/>
      <w:b/>
      <w:bCs/>
      <w:lang w:val="en-US" w:eastAsia="en-US"/>
    </w:rPr>
  </w:style>
  <w:style w:type="character" w:customStyle="1" w:styleId="CommentSubjectChar">
    <w:name w:val="Comment Subject Char"/>
    <w:basedOn w:val="CommentTextChar"/>
    <w:link w:val="CommentSubject"/>
    <w:semiHidden/>
    <w:rsid w:val="00D3406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oter" Target="footer4.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Control</c:v>
          </c:tx>
          <c:spPr>
            <a:solidFill>
              <a:srgbClr val="4F81BD"/>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23.91</c:v>
              </c:pt>
              <c:pt idx="1">
                <c:v>0</c:v>
              </c:pt>
              <c:pt idx="2">
                <c:v>18.18</c:v>
              </c:pt>
              <c:pt idx="3">
                <c:v>18.100000000000001</c:v>
              </c:pt>
              <c:pt idx="4">
                <c:v>14.29</c:v>
              </c:pt>
              <c:pt idx="5">
                <c:v>10.17</c:v>
              </c:pt>
              <c:pt idx="6">
                <c:v>30.77</c:v>
              </c:pt>
              <c:pt idx="7">
                <c:v>13.97</c:v>
              </c:pt>
              <c:pt idx="8">
                <c:v>21.28</c:v>
              </c:pt>
              <c:pt idx="9">
                <c:v>15.19</c:v>
              </c:pt>
              <c:pt idx="10">
                <c:v>19.739999999999998</c:v>
              </c:pt>
              <c:pt idx="11">
                <c:v>36.700000000000003</c:v>
              </c:pt>
            </c:numLit>
          </c:val>
          <c:extLst>
            <c:ext xmlns:c16="http://schemas.microsoft.com/office/drawing/2014/chart" uri="{C3380CC4-5D6E-409C-BE32-E72D297353CC}">
              <c16:uniqueId val="{00000000-2661-422F-BB81-1C9149E42702}"/>
            </c:ext>
          </c:extLst>
        </c:ser>
        <c:ser>
          <c:idx val="1"/>
          <c:order val="1"/>
          <c:tx>
            <c:v>T 1.25 %</c:v>
          </c:tx>
          <c:spPr>
            <a:solidFill>
              <a:srgbClr val="C00000"/>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23.91</c:v>
              </c:pt>
              <c:pt idx="1">
                <c:v>0</c:v>
              </c:pt>
              <c:pt idx="2">
                <c:v>15.66</c:v>
              </c:pt>
              <c:pt idx="3">
                <c:v>17.79</c:v>
              </c:pt>
              <c:pt idx="4">
                <c:v>42.86</c:v>
              </c:pt>
              <c:pt idx="5">
                <c:v>13.56</c:v>
              </c:pt>
              <c:pt idx="6">
                <c:v>16.920000000000002</c:v>
              </c:pt>
              <c:pt idx="7">
                <c:v>31.67</c:v>
              </c:pt>
              <c:pt idx="8">
                <c:v>12.77</c:v>
              </c:pt>
              <c:pt idx="9">
                <c:v>20.89</c:v>
              </c:pt>
              <c:pt idx="10">
                <c:v>33.549999999999997</c:v>
              </c:pt>
              <c:pt idx="11">
                <c:v>10.11</c:v>
              </c:pt>
            </c:numLit>
          </c:val>
          <c:extLst>
            <c:ext xmlns:c16="http://schemas.microsoft.com/office/drawing/2014/chart" uri="{C3380CC4-5D6E-409C-BE32-E72D297353CC}">
              <c16:uniqueId val="{00000001-2661-422F-BB81-1C9149E42702}"/>
            </c:ext>
          </c:extLst>
        </c:ser>
        <c:ser>
          <c:idx val="2"/>
          <c:order val="2"/>
          <c:tx>
            <c:v>T 2.50 %</c:v>
          </c:tx>
          <c:spPr>
            <a:solidFill>
              <a:srgbClr val="9BBB59"/>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34.78</c:v>
              </c:pt>
              <c:pt idx="1">
                <c:v>0</c:v>
              </c:pt>
              <c:pt idx="2">
                <c:v>33.840000000000003</c:v>
              </c:pt>
              <c:pt idx="3">
                <c:v>31.6</c:v>
              </c:pt>
              <c:pt idx="4">
                <c:v>28.57</c:v>
              </c:pt>
              <c:pt idx="5">
                <c:v>40.68</c:v>
              </c:pt>
              <c:pt idx="6">
                <c:v>33.85</c:v>
              </c:pt>
              <c:pt idx="7">
                <c:v>19.7</c:v>
              </c:pt>
              <c:pt idx="8">
                <c:v>55.32</c:v>
              </c:pt>
              <c:pt idx="9">
                <c:v>43.04</c:v>
              </c:pt>
              <c:pt idx="10">
                <c:v>34.869999999999997</c:v>
              </c:pt>
              <c:pt idx="11">
                <c:v>35.64</c:v>
              </c:pt>
            </c:numLit>
          </c:val>
          <c:extLst>
            <c:ext xmlns:c16="http://schemas.microsoft.com/office/drawing/2014/chart" uri="{C3380CC4-5D6E-409C-BE32-E72D297353CC}">
              <c16:uniqueId val="{00000002-2661-422F-BB81-1C9149E42702}"/>
            </c:ext>
          </c:extLst>
        </c:ser>
        <c:ser>
          <c:idx val="3"/>
          <c:order val="3"/>
          <c:tx>
            <c:v>T 5.00 %</c:v>
          </c:tx>
          <c:spPr>
            <a:solidFill>
              <a:srgbClr val="F79646"/>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17.39</c:v>
              </c:pt>
              <c:pt idx="1">
                <c:v>100</c:v>
              </c:pt>
              <c:pt idx="2">
                <c:v>32.32</c:v>
              </c:pt>
              <c:pt idx="3">
                <c:v>32.520000000000003</c:v>
              </c:pt>
              <c:pt idx="4">
                <c:v>14.29</c:v>
              </c:pt>
              <c:pt idx="5">
                <c:v>35.590000000000003</c:v>
              </c:pt>
              <c:pt idx="6">
                <c:v>18.46</c:v>
              </c:pt>
              <c:pt idx="7">
                <c:v>34.659999999999997</c:v>
              </c:pt>
              <c:pt idx="8">
                <c:v>10.64</c:v>
              </c:pt>
              <c:pt idx="9">
                <c:v>20.89</c:v>
              </c:pt>
              <c:pt idx="10">
                <c:v>11.84</c:v>
              </c:pt>
              <c:pt idx="11">
                <c:v>17.55</c:v>
              </c:pt>
            </c:numLit>
          </c:val>
          <c:extLst>
            <c:ext xmlns:c16="http://schemas.microsoft.com/office/drawing/2014/chart" uri="{C3380CC4-5D6E-409C-BE32-E72D297353CC}">
              <c16:uniqueId val="{00000003-2661-422F-BB81-1C9149E42702}"/>
            </c:ext>
          </c:extLst>
        </c:ser>
        <c:dLbls>
          <c:showLegendKey val="0"/>
          <c:showVal val="0"/>
          <c:showCatName val="0"/>
          <c:showSerName val="0"/>
          <c:showPercent val="0"/>
          <c:showBubbleSize val="0"/>
        </c:dLbls>
        <c:gapWidth val="150"/>
        <c:overlap val="100"/>
        <c:axId val="280246079"/>
        <c:axId val="280244639"/>
      </c:barChart>
      <c:valAx>
        <c:axId val="280244639"/>
        <c:scaling>
          <c:orientation val="minMax"/>
        </c:scaling>
        <c:delete val="0"/>
        <c:axPos val="b"/>
        <c:majorGridlines>
          <c:spPr>
            <a:ln w="12701" cap="flat">
              <a:solidFill>
                <a:srgbClr val="B7B7B7"/>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pt-BR" sz="1200" b="1" i="0" u="none" strike="noStrike" kern="1200" baseline="0">
                    <a:solidFill>
                      <a:srgbClr val="000000"/>
                    </a:solidFill>
                    <a:latin typeface="Times New Roman" pitchFamily="18"/>
                    <a:cs typeface="Times New Roman" pitchFamily="18"/>
                  </a:defRPr>
                </a:pPr>
                <a:endParaRPr lang="pt-BR" sz="1200" b="1" i="0" u="none" strike="noStrike" kern="1200" cap="none" spc="0" baseline="0">
                  <a:solidFill>
                    <a:srgbClr val="000000"/>
                  </a:solidFill>
                  <a:uFillTx/>
                  <a:latin typeface="Times New Roman" pitchFamily="18"/>
                  <a:cs typeface="Times New Roman" pitchFamily="18"/>
                </a:endParaRPr>
              </a:p>
            </c:rich>
          </c:tx>
          <c:overlay val="0"/>
          <c:spPr>
            <a:noFill/>
            <a:ln>
              <a:noFill/>
            </a:ln>
          </c:spPr>
        </c:title>
        <c:numFmt formatCode="0%" sourceLinked="0"/>
        <c:majorTickMark val="none"/>
        <c:minorTickMark val="none"/>
        <c:tickLblPos val="nextTo"/>
        <c:spPr>
          <a:no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crossAx val="280246079"/>
        <c:crosses val="max"/>
        <c:crossBetween val="between"/>
      </c:valAx>
      <c:catAx>
        <c:axId val="280246079"/>
        <c:scaling>
          <c:orientation val="maxMin"/>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pt-BR" sz="1200" b="1" i="0" u="none" strike="noStrike" kern="1200" baseline="0">
                    <a:solidFill>
                      <a:srgbClr val="000000"/>
                    </a:solidFill>
                    <a:latin typeface="Times New Roman" pitchFamily="18"/>
                    <a:cs typeface="Times New Roman" pitchFamily="18"/>
                  </a:defRPr>
                </a:pPr>
                <a:endParaRPr lang="pt-BR" sz="1200" b="1" i="0" u="none" strike="noStrike" kern="1200" cap="none" spc="0" baseline="0">
                  <a:solidFill>
                    <a:srgbClr val="000000"/>
                  </a:solidFill>
                  <a:uFillTx/>
                  <a:latin typeface="Times New Roman" pitchFamily="18"/>
                  <a:cs typeface="Times New Roman" pitchFamily="18"/>
                </a:endParaRPr>
              </a:p>
            </c:rich>
          </c:tx>
          <c:overlay val="0"/>
          <c:spPr>
            <a:noFill/>
            <a:ln>
              <a:noFill/>
            </a:ln>
          </c:spPr>
        </c:title>
        <c:numFmt formatCode="General" sourceLinked="0"/>
        <c:majorTickMark val="none"/>
        <c:minorTickMark val="none"/>
        <c:tickLblPos val="nextTo"/>
        <c:spPr>
          <a:no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crossAx val="280244639"/>
        <c:crosses val="autoZero"/>
        <c:auto val="1"/>
        <c:lblAlgn val="ctr"/>
        <c:lblOffset val="100"/>
        <c:noMultiLvlLbl val="0"/>
      </c:catAx>
      <c:spPr>
        <a:solidFill>
          <a:srgbClr val="FFFFFF"/>
        </a:solid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legend>
    <c:plotVisOnly val="1"/>
    <c:dispBlanksAs val="zero"/>
    <c:showDLblsOverMax val="0"/>
  </c:chart>
  <c:spPr>
    <a:solidFill>
      <a:srgbClr val="FFFFFF"/>
    </a:solid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520D0-E9B7-40A2-8DC8-F35AB0CD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182</TotalTime>
  <Pages>12</Pages>
  <Words>5810</Words>
  <Characters>33121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38854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Tanvi Gusain</cp:lastModifiedBy>
  <cp:revision>82</cp:revision>
  <cp:lastPrinted>1999-07-06T11:00:00Z</cp:lastPrinted>
  <dcterms:created xsi:type="dcterms:W3CDTF">2014-10-25T14:34:00Z</dcterms:created>
  <dcterms:modified xsi:type="dcterms:W3CDTF">2025-11-17T10:21:00Z</dcterms:modified>
</cp:coreProperties>
</file>