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CB8" w:rsidRPr="00B02CF9" w:rsidRDefault="00706C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706CB8" w:rsidRPr="00B02CF9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706CB8" w:rsidRPr="00B02CF9" w:rsidRDefault="00706CB8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706CB8" w:rsidRPr="00B02CF9">
        <w:trPr>
          <w:trHeight w:val="290"/>
        </w:trPr>
        <w:tc>
          <w:tcPr>
            <w:tcW w:w="5167" w:type="dxa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6CB8" w:rsidRPr="00B02CF9" w:rsidRDefault="00381F5C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2F73B2" w:rsidRPr="00B02CF9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Current Journal of Applied Science and Technology</w:t>
              </w:r>
            </w:hyperlink>
          </w:p>
        </w:tc>
      </w:tr>
      <w:tr w:rsidR="00706CB8" w:rsidRPr="00B02CF9">
        <w:trPr>
          <w:trHeight w:val="290"/>
        </w:trPr>
        <w:tc>
          <w:tcPr>
            <w:tcW w:w="5167" w:type="dxa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Ms_CJAST_148972</w:t>
            </w:r>
          </w:p>
        </w:tc>
      </w:tr>
      <w:tr w:rsidR="00706CB8" w:rsidRPr="00B02CF9">
        <w:trPr>
          <w:trHeight w:val="650"/>
        </w:trPr>
        <w:tc>
          <w:tcPr>
            <w:tcW w:w="5167" w:type="dxa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Machine Learning and Deep Learning in Wafer Defect Detection: Current State and Future Directions</w:t>
            </w:r>
          </w:p>
        </w:tc>
      </w:tr>
      <w:tr w:rsidR="00706CB8" w:rsidRPr="00B02CF9">
        <w:trPr>
          <w:trHeight w:val="332"/>
        </w:trPr>
        <w:tc>
          <w:tcPr>
            <w:tcW w:w="5167" w:type="dxa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706CB8" w:rsidRPr="00B02CF9" w:rsidRDefault="00706C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706CB8" w:rsidRPr="00B02CF9" w:rsidRDefault="00706C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706CB8" w:rsidRPr="00B02CF9" w:rsidRDefault="00706CB8">
      <w:pPr>
        <w:rPr>
          <w:rFonts w:ascii="Arial" w:hAnsi="Arial" w:cs="Arial"/>
          <w:sz w:val="20"/>
          <w:szCs w:val="20"/>
        </w:rPr>
      </w:pPr>
      <w:bookmarkStart w:id="0" w:name="_4qshwdqqpthb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706CB8" w:rsidRPr="00B02CF9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706CB8" w:rsidRPr="00B02CF9" w:rsidRDefault="002F73B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02CF9">
              <w:rPr>
                <w:rFonts w:ascii="Arial" w:eastAsia="Times New Roman" w:hAnsi="Arial" w:cs="Arial"/>
                <w:highlight w:val="yellow"/>
              </w:rPr>
              <w:t>PART  1:</w:t>
            </w:r>
            <w:r w:rsidRPr="00B02CF9">
              <w:rPr>
                <w:rFonts w:ascii="Arial" w:eastAsia="Times New Roman" w:hAnsi="Arial" w:cs="Arial"/>
              </w:rPr>
              <w:t xml:space="preserve"> Comments</w:t>
            </w:r>
          </w:p>
          <w:p w:rsidR="00706CB8" w:rsidRPr="00B02CF9" w:rsidRDefault="00706C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6CB8" w:rsidRPr="00B02CF9">
        <w:tc>
          <w:tcPr>
            <w:tcW w:w="5351" w:type="dxa"/>
          </w:tcPr>
          <w:p w:rsidR="00706CB8" w:rsidRPr="00B02CF9" w:rsidRDefault="00706CB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706CB8" w:rsidRPr="00B02CF9" w:rsidRDefault="002F73B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02CF9">
              <w:rPr>
                <w:rFonts w:ascii="Arial" w:eastAsia="Times New Roman" w:hAnsi="Arial" w:cs="Arial"/>
              </w:rPr>
              <w:t>Reviewer’s comment</w:t>
            </w:r>
          </w:p>
          <w:p w:rsidR="00706CB8" w:rsidRPr="00B02CF9" w:rsidRDefault="002F73B2">
            <w:pPr>
              <w:rPr>
                <w:rFonts w:ascii="Arial" w:hAnsi="Arial" w:cs="Arial"/>
                <w:sz w:val="20"/>
                <w:szCs w:val="20"/>
              </w:rPr>
            </w:pPr>
            <w:r w:rsidRPr="00B02CF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706CB8" w:rsidRPr="00B02CF9" w:rsidRDefault="00706C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706CB8" w:rsidRPr="00B02CF9" w:rsidRDefault="002F73B2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B02CF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B02CF9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706CB8" w:rsidRPr="00B02CF9" w:rsidRDefault="00706C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06CB8" w:rsidRPr="00B02CF9">
        <w:trPr>
          <w:trHeight w:val="1264"/>
        </w:trPr>
        <w:tc>
          <w:tcPr>
            <w:tcW w:w="5351" w:type="dxa"/>
          </w:tcPr>
          <w:p w:rsidR="00706CB8" w:rsidRPr="00B02CF9" w:rsidRDefault="002F73B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02CF9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706CB8" w:rsidRPr="00B02CF9" w:rsidRDefault="00706CB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hAnsi="Arial" w:cs="Arial"/>
                <w:sz w:val="20"/>
                <w:szCs w:val="20"/>
              </w:rPr>
              <w:t>This manuscript provides a highly relevant and timely review of the semiconductor industry's shift from optical/rule-based inspection to AI driven methods. It offers significant value by systematically comparing diverse architectures and highlighting the trade-offs between accuracy and computational cost. Furthermore, the discussion on emerging challenges such as sub-5nm detection and real-time processing provides a clear roadmap for future research. This consolidation of knowledge is crucial for researchers aiming to develop production ready systems.</w:t>
            </w:r>
          </w:p>
        </w:tc>
        <w:tc>
          <w:tcPr>
            <w:tcW w:w="6442" w:type="dxa"/>
          </w:tcPr>
          <w:p w:rsidR="00706CB8" w:rsidRPr="00B02CF9" w:rsidRDefault="00706C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06CB8" w:rsidRPr="00B02CF9">
        <w:trPr>
          <w:trHeight w:val="1262"/>
        </w:trPr>
        <w:tc>
          <w:tcPr>
            <w:tcW w:w="5351" w:type="dxa"/>
          </w:tcPr>
          <w:p w:rsidR="00706CB8" w:rsidRPr="00B02CF9" w:rsidRDefault="002F73B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02CF9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706CB8" w:rsidRPr="00B02CF9" w:rsidRDefault="002F73B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02CF9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706CB8" w:rsidRPr="00B02CF9" w:rsidRDefault="00706CB8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06CB8" w:rsidRPr="00B02CF9" w:rsidRDefault="002F73B2">
            <w:pPr>
              <w:rPr>
                <w:rFonts w:ascii="Arial" w:hAnsi="Arial" w:cs="Arial"/>
                <w:sz w:val="20"/>
                <w:szCs w:val="20"/>
              </w:rPr>
            </w:pPr>
            <w:r w:rsidRPr="00B02CF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706CB8" w:rsidRPr="00B02CF9" w:rsidRDefault="00706C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06CB8" w:rsidRPr="00B02CF9">
        <w:trPr>
          <w:trHeight w:val="1262"/>
        </w:trPr>
        <w:tc>
          <w:tcPr>
            <w:tcW w:w="5351" w:type="dxa"/>
          </w:tcPr>
          <w:p w:rsidR="00706CB8" w:rsidRPr="00B02CF9" w:rsidRDefault="002F73B2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B02CF9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706CB8" w:rsidRPr="00B02CF9" w:rsidRDefault="00706CB8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706CB8" w:rsidRPr="00B02CF9" w:rsidRDefault="002F73B2">
            <w:pPr>
              <w:rPr>
                <w:rFonts w:ascii="Arial" w:hAnsi="Arial" w:cs="Arial"/>
                <w:sz w:val="20"/>
                <w:szCs w:val="20"/>
              </w:rPr>
            </w:pPr>
            <w:r w:rsidRPr="00B02CF9">
              <w:rPr>
                <w:rFonts w:ascii="Arial" w:hAnsi="Arial" w:cs="Arial"/>
                <w:sz w:val="20"/>
                <w:szCs w:val="20"/>
              </w:rPr>
              <w:t>Yes. The abstract successfully summarizes the evolution of the field, the transition to deep learning, performance metrics, and critical challenges. It also appropriately mentions the identification of future research directions</w:t>
            </w:r>
          </w:p>
        </w:tc>
        <w:tc>
          <w:tcPr>
            <w:tcW w:w="6442" w:type="dxa"/>
          </w:tcPr>
          <w:p w:rsidR="00706CB8" w:rsidRPr="00B02CF9" w:rsidRDefault="00706C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06CB8" w:rsidRPr="00B02CF9">
        <w:trPr>
          <w:trHeight w:val="704"/>
        </w:trPr>
        <w:tc>
          <w:tcPr>
            <w:tcW w:w="5351" w:type="dxa"/>
          </w:tcPr>
          <w:p w:rsidR="00706CB8" w:rsidRPr="00B02CF9" w:rsidRDefault="002F73B2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B02CF9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hAnsi="Arial" w:cs="Arial"/>
                <w:sz w:val="20"/>
                <w:szCs w:val="20"/>
              </w:rPr>
              <w:t>Yes. The technical analysis of deep learning architectures is accurate and consistent with current literature.</w:t>
            </w:r>
          </w:p>
        </w:tc>
        <w:tc>
          <w:tcPr>
            <w:tcW w:w="6442" w:type="dxa"/>
          </w:tcPr>
          <w:p w:rsidR="00706CB8" w:rsidRPr="00B02CF9" w:rsidRDefault="00706C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06CB8" w:rsidRPr="00B02CF9">
        <w:trPr>
          <w:trHeight w:val="703"/>
        </w:trPr>
        <w:tc>
          <w:tcPr>
            <w:tcW w:w="5351" w:type="dxa"/>
          </w:tcPr>
          <w:p w:rsidR="00706CB8" w:rsidRPr="00B02CF9" w:rsidRDefault="002F73B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02CF9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hAnsi="Arial" w:cs="Arial"/>
                <w:sz w:val="20"/>
                <w:szCs w:val="20"/>
              </w:rPr>
              <w:t>Yes. The manuscript includes a comprehensive bibliography with references spanning from foundational works to very recent publications</w:t>
            </w:r>
          </w:p>
        </w:tc>
        <w:tc>
          <w:tcPr>
            <w:tcW w:w="6442" w:type="dxa"/>
          </w:tcPr>
          <w:p w:rsidR="00706CB8" w:rsidRPr="00B02CF9" w:rsidRDefault="00706C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06CB8" w:rsidRPr="00B02CF9">
        <w:trPr>
          <w:trHeight w:val="386"/>
        </w:trPr>
        <w:tc>
          <w:tcPr>
            <w:tcW w:w="5351" w:type="dxa"/>
          </w:tcPr>
          <w:p w:rsidR="00706CB8" w:rsidRPr="00B02CF9" w:rsidRDefault="002F73B2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B02CF9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706CB8" w:rsidRPr="00B02CF9" w:rsidRDefault="00706C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706CB8" w:rsidRPr="00B02CF9" w:rsidRDefault="002F73B2">
            <w:pPr>
              <w:rPr>
                <w:rFonts w:ascii="Arial" w:hAnsi="Arial" w:cs="Arial"/>
                <w:sz w:val="20"/>
                <w:szCs w:val="20"/>
              </w:rPr>
            </w:pPr>
            <w:r w:rsidRPr="00B02CF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706CB8" w:rsidRPr="00B02CF9" w:rsidRDefault="00706C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6CB8" w:rsidRPr="00B02CF9">
        <w:trPr>
          <w:trHeight w:val="1178"/>
        </w:trPr>
        <w:tc>
          <w:tcPr>
            <w:tcW w:w="5351" w:type="dxa"/>
          </w:tcPr>
          <w:p w:rsidR="00706CB8" w:rsidRPr="00B02CF9" w:rsidRDefault="002F73B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B02CF9">
              <w:rPr>
                <w:rFonts w:ascii="Arial" w:eastAsia="Times New Roman" w:hAnsi="Arial" w:cs="Arial"/>
                <w:u w:val="single"/>
              </w:rPr>
              <w:t>Optional/General</w:t>
            </w:r>
            <w:r w:rsidRPr="00B02CF9">
              <w:rPr>
                <w:rFonts w:ascii="Arial" w:eastAsia="Times New Roman" w:hAnsi="Arial" w:cs="Arial"/>
              </w:rPr>
              <w:t xml:space="preserve"> </w:t>
            </w:r>
            <w:r w:rsidRPr="00B02CF9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706CB8" w:rsidRPr="00B02CF9" w:rsidRDefault="00706C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hAnsi="Arial" w:cs="Arial"/>
                <w:sz w:val="20"/>
                <w:szCs w:val="20"/>
              </w:rPr>
              <w:t>The manuscript is comprehensive, technically sound, well-referenced, and addresses a critical area of technology. It synthesizes a large amount of data into clear tables and actionable insights. The inclusion of implementation guidelines adds practical value beyond a standard literature review.</w:t>
            </w:r>
          </w:p>
        </w:tc>
        <w:tc>
          <w:tcPr>
            <w:tcW w:w="6442" w:type="dxa"/>
          </w:tcPr>
          <w:p w:rsidR="00706CB8" w:rsidRPr="00B02CF9" w:rsidRDefault="00706C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06CB8" w:rsidRPr="00B02CF9" w:rsidRDefault="00706C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06CB8" w:rsidRPr="00B02CF9" w:rsidRDefault="00706C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06CB8" w:rsidRPr="00B02CF9" w:rsidRDefault="00706C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882827" w:rsidRPr="00B02CF9" w:rsidRDefault="00882827" w:rsidP="00882827">
      <w:pPr>
        <w:rPr>
          <w:rFonts w:ascii="Arial" w:eastAsiaTheme="minorHAnsi" w:hAnsi="Arial" w:cs="Arial"/>
          <w:kern w:val="2"/>
          <w:sz w:val="20"/>
          <w:szCs w:val="20"/>
          <w:lang w:val="en-IN"/>
          <w14:ligatures w14:val="standardContextual"/>
        </w:rPr>
      </w:pPr>
    </w:p>
    <w:p w:rsidR="00882827" w:rsidRPr="00B02CF9" w:rsidRDefault="00882827" w:rsidP="00882827">
      <w:pPr>
        <w:rPr>
          <w:rFonts w:ascii="Arial" w:hAnsi="Arial" w:cs="Arial"/>
          <w:sz w:val="20"/>
          <w:szCs w:val="20"/>
        </w:rPr>
      </w:pPr>
    </w:p>
    <w:p w:rsidR="00882827" w:rsidRPr="00B02CF9" w:rsidRDefault="00882827" w:rsidP="00882827">
      <w:pPr>
        <w:rPr>
          <w:rFonts w:ascii="Arial" w:hAnsi="Arial" w:cs="Arial"/>
          <w:sz w:val="20"/>
          <w:szCs w:val="20"/>
        </w:rPr>
      </w:pPr>
    </w:p>
    <w:p w:rsidR="00882827" w:rsidRPr="00B02CF9" w:rsidRDefault="00882827" w:rsidP="00882827">
      <w:pPr>
        <w:rPr>
          <w:rFonts w:ascii="Arial" w:hAnsi="Arial" w:cs="Arial"/>
          <w:sz w:val="20"/>
          <w:szCs w:val="20"/>
        </w:rPr>
      </w:pPr>
    </w:p>
    <w:p w:rsidR="00882827" w:rsidRPr="00B02CF9" w:rsidRDefault="00882827" w:rsidP="00882827">
      <w:pPr>
        <w:rPr>
          <w:rFonts w:ascii="Arial" w:hAnsi="Arial" w:cs="Arial"/>
          <w:sz w:val="20"/>
          <w:szCs w:val="20"/>
        </w:rPr>
      </w:pPr>
    </w:p>
    <w:p w:rsidR="00882827" w:rsidRPr="00B02CF9" w:rsidRDefault="00882827" w:rsidP="00882827">
      <w:pPr>
        <w:rPr>
          <w:rFonts w:ascii="Arial" w:hAnsi="Arial" w:cs="Arial"/>
          <w:sz w:val="20"/>
          <w:szCs w:val="20"/>
        </w:rPr>
      </w:pPr>
    </w:p>
    <w:p w:rsidR="00706CB8" w:rsidRPr="00B02CF9" w:rsidRDefault="00706C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06CB8" w:rsidRPr="00B02CF9" w:rsidRDefault="00706C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706CB8" w:rsidRPr="00B02CF9" w:rsidRDefault="00706C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706CB8" w:rsidRPr="00B02CF9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B02CF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B02CF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706CB8" w:rsidRPr="00B02CF9" w:rsidRDefault="0070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706CB8" w:rsidRPr="00B02CF9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6CB8" w:rsidRPr="00B02CF9" w:rsidRDefault="0070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6CB8" w:rsidRPr="00B02CF9" w:rsidRDefault="002F73B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02CF9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706CB8" w:rsidRPr="00B02CF9" w:rsidRDefault="002F73B2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B02CF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B02CF9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706CB8" w:rsidRPr="00B02CF9" w:rsidRDefault="00706CB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706CB8" w:rsidRPr="00B02CF9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706CB8" w:rsidRPr="00B02CF9" w:rsidRDefault="0070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B02CF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B02CF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B02CF9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706CB8" w:rsidRPr="00B02CF9" w:rsidRDefault="002F73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2CF9">
              <w:rPr>
                <w:rFonts w:ascii="Arial" w:hAnsi="Arial" w:cs="Arial"/>
                <w:sz w:val="20"/>
                <w:szCs w:val="20"/>
              </w:rPr>
              <w:t>No</w:t>
            </w:r>
          </w:p>
          <w:p w:rsidR="00706CB8" w:rsidRPr="00B02CF9" w:rsidRDefault="0070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706CB8" w:rsidRPr="00B02CF9" w:rsidRDefault="00706CB8">
            <w:pPr>
              <w:rPr>
                <w:rFonts w:ascii="Arial" w:hAnsi="Arial" w:cs="Arial"/>
                <w:sz w:val="20"/>
                <w:szCs w:val="20"/>
              </w:rPr>
            </w:pPr>
          </w:p>
          <w:p w:rsidR="00706CB8" w:rsidRPr="00B02CF9" w:rsidRDefault="00706CB8">
            <w:pPr>
              <w:rPr>
                <w:rFonts w:ascii="Arial" w:hAnsi="Arial" w:cs="Arial"/>
                <w:sz w:val="20"/>
                <w:szCs w:val="20"/>
              </w:rPr>
            </w:pPr>
          </w:p>
          <w:p w:rsidR="00706CB8" w:rsidRPr="00B02CF9" w:rsidRDefault="00706CB8">
            <w:pPr>
              <w:rPr>
                <w:rFonts w:ascii="Arial" w:hAnsi="Arial" w:cs="Arial"/>
                <w:sz w:val="20"/>
                <w:szCs w:val="20"/>
              </w:rPr>
            </w:pPr>
          </w:p>
          <w:p w:rsidR="00706CB8" w:rsidRPr="00B02CF9" w:rsidRDefault="00706C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706CB8" w:rsidRPr="00B02CF9" w:rsidRDefault="00706C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B02CF9" w:rsidRPr="00B02CF9" w:rsidRDefault="00B02C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B02CF9" w:rsidRPr="00B02CF9" w:rsidRDefault="00B02CF9" w:rsidP="00B02CF9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bookmarkStart w:id="1" w:name="_Hlk215058814"/>
      <w:r w:rsidRPr="00B02CF9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bookmarkEnd w:id="1"/>
    <w:p w:rsidR="00B02CF9" w:rsidRPr="00B02CF9" w:rsidRDefault="00B02C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B02CF9" w:rsidRPr="00B02CF9" w:rsidRDefault="00B02CF9" w:rsidP="00B02C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2" w:name="_Hlk215058874"/>
      <w:r w:rsidRPr="00B02CF9">
        <w:rPr>
          <w:rFonts w:ascii="Arial" w:eastAsia="Arial" w:hAnsi="Arial" w:cs="Arial"/>
          <w:b/>
          <w:color w:val="000000"/>
          <w:sz w:val="20"/>
          <w:szCs w:val="20"/>
        </w:rPr>
        <w:t>Rahul Goel</w:t>
      </w:r>
      <w:r w:rsidRPr="00B02CF9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B02CF9">
        <w:rPr>
          <w:rFonts w:ascii="Arial" w:eastAsia="Arial" w:hAnsi="Arial" w:cs="Arial"/>
          <w:b/>
          <w:color w:val="000000"/>
          <w:sz w:val="20"/>
          <w:szCs w:val="20"/>
        </w:rPr>
        <w:t>USA</w:t>
      </w:r>
    </w:p>
    <w:bookmarkEnd w:id="2"/>
    <w:p w:rsidR="00B02CF9" w:rsidRPr="00B02CF9" w:rsidRDefault="00B02C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B02CF9" w:rsidRPr="00B02CF9" w:rsidRDefault="00B02C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3" w:name="_GoBack"/>
      <w:bookmarkEnd w:id="3"/>
    </w:p>
    <w:sectPr w:rsidR="00B02CF9" w:rsidRPr="00B02CF9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F5C" w:rsidRDefault="00381F5C">
      <w:r>
        <w:separator/>
      </w:r>
    </w:p>
  </w:endnote>
  <w:endnote w:type="continuationSeparator" w:id="0">
    <w:p w:rsidR="00381F5C" w:rsidRDefault="00381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F6F9CAB7-47AC-4CD4-AF9E-094772F32E53}"/>
    <w:embedBold r:id="rId2" w:fontKey="{ACC612A5-F07D-48E1-B8D4-D99D5712D65C}"/>
  </w:font>
  <w:font w:name="Arimo">
    <w:charset w:val="00"/>
    <w:family w:val="auto"/>
    <w:pitch w:val="default"/>
    <w:embedBold r:id="rId3" w:fontKey="{93C3A635-099B-4785-9EDA-89DD41B170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7B95A5F-E432-444B-AC1A-C5AF029DBC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C42C82-2264-4F6D-BF27-0F20498605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C3CA048-6E73-4C18-93A1-64C1484C07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CB8" w:rsidRDefault="002F73B2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F5C" w:rsidRDefault="00381F5C">
      <w:r>
        <w:separator/>
      </w:r>
    </w:p>
  </w:footnote>
  <w:footnote w:type="continuationSeparator" w:id="0">
    <w:p w:rsidR="00381F5C" w:rsidRDefault="00381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CB8" w:rsidRDefault="00706CB8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706CB8" w:rsidRDefault="002F73B2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CB8"/>
    <w:rsid w:val="002F73B2"/>
    <w:rsid w:val="00381F5C"/>
    <w:rsid w:val="003B6C99"/>
    <w:rsid w:val="00706CB8"/>
    <w:rsid w:val="00882827"/>
    <w:rsid w:val="00893988"/>
    <w:rsid w:val="00B02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B18C0"/>
  <w15:docId w15:val="{DC85F736-6085-4A63-AFF4-EC377C53D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39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3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63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cjast.com/index.php/CJAS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437</Words>
  <Characters>2496</Characters>
  <Application>Microsoft Office Word</Application>
  <DocSecurity>0</DocSecurity>
  <Lines>20</Lines>
  <Paragraphs>5</Paragraphs>
  <ScaleCrop>false</ScaleCrop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4</cp:revision>
  <dcterms:created xsi:type="dcterms:W3CDTF">2025-11-25T12:02:00Z</dcterms:created>
  <dcterms:modified xsi:type="dcterms:W3CDTF">2025-11-26T08:44:00Z</dcterms:modified>
</cp:coreProperties>
</file>