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5AD" w:rsidRDefault="00896AC3">
      <w:pPr>
        <w:spacing w:after="0" w:line="240" w:lineRule="auto"/>
        <w:jc w:val="center"/>
        <w:rPr>
          <w:rFonts w:ascii="Times New Roman" w:hAnsi="Times New Roman" w:cs="Times New Roman"/>
          <w:b/>
          <w:bCs/>
        </w:rPr>
      </w:pPr>
      <w:r>
        <w:rPr>
          <w:rFonts w:ascii="Times New Roman" w:hAnsi="Times New Roman" w:cs="Times New Roman"/>
          <w:b/>
          <w:bCs/>
        </w:rPr>
        <w:t>EFFECTS OF PRIMING TECHNIQUE WITH GROWTH ENHANCERS ON THE GERMINATION AND SEEDLING VIGOR OF SWEET CORN</w:t>
      </w:r>
    </w:p>
    <w:p w:rsidR="007445AD" w:rsidRDefault="00896AC3">
      <w:pPr>
        <w:spacing w:after="0" w:line="240" w:lineRule="auto"/>
        <w:jc w:val="center"/>
        <w:rPr>
          <w:rFonts w:ascii="Times New Roman" w:hAnsi="Times New Roman" w:cs="Times New Roman"/>
          <w:b/>
          <w:bCs/>
        </w:rPr>
      </w:pPr>
      <w:r>
        <w:rPr>
          <w:rFonts w:ascii="Times New Roman" w:hAnsi="Times New Roman" w:cs="Times New Roman"/>
          <w:b/>
          <w:bCs/>
        </w:rPr>
        <w:t>(Zea mays L. Var. Saccharata)</w:t>
      </w:r>
    </w:p>
    <w:p w:rsidR="007445AD" w:rsidRDefault="007445AD">
      <w:pPr>
        <w:spacing w:after="0" w:line="240" w:lineRule="auto"/>
        <w:jc w:val="center"/>
        <w:rPr>
          <w:rFonts w:ascii="Times New Roman" w:hAnsi="Times New Roman" w:cs="Times New Roman"/>
          <w:b/>
          <w:bCs/>
        </w:rPr>
      </w:pPr>
    </w:p>
    <w:p w:rsidR="007445AD" w:rsidRDefault="00896AC3">
      <w:pPr>
        <w:spacing w:after="100" w:afterAutospacing="1" w:line="240" w:lineRule="auto"/>
        <w:contextualSpacing/>
        <w:rPr>
          <w:rFonts w:ascii="Times New Roman" w:eastAsia="Aptos" w:hAnsi="Times New Roman" w:cs="Times New Roman"/>
          <w:b/>
          <w:bCs/>
          <w:kern w:val="2"/>
        </w:rPr>
      </w:pPr>
      <w:r>
        <w:rPr>
          <w:rFonts w:ascii="Times New Roman" w:eastAsia="Aptos" w:hAnsi="Times New Roman" w:cs="Times New Roman"/>
          <w:b/>
          <w:bCs/>
          <w:kern w:val="2"/>
        </w:rPr>
        <w:t>ABSTRACT</w:t>
      </w:r>
    </w:p>
    <w:p w:rsidR="007445AD" w:rsidRDefault="00896AC3">
      <w:pPr>
        <w:spacing w:after="100" w:afterAutospacing="1" w:line="240" w:lineRule="auto"/>
        <w:ind w:firstLine="720"/>
        <w:contextualSpacing/>
        <w:jc w:val="both"/>
        <w:rPr>
          <w:rFonts w:ascii="Times New Roman" w:hAnsi="Times New Roman" w:cs="Times New Roman"/>
          <w:bCs/>
        </w:rPr>
      </w:pPr>
      <w:commentRangeStart w:id="0"/>
      <w:r>
        <w:rPr>
          <w:rFonts w:ascii="Times New Roman" w:hAnsi="Times New Roman" w:cs="Times New Roman"/>
          <w:bCs/>
        </w:rPr>
        <w:t>This study examined the effects of different growth enhancers—Moringa oleifera, wood vinegar, lactic acid bacteria, and coconut water—on the germination and seedling vigor of sweet corn (</w:t>
      </w:r>
      <w:commentRangeStart w:id="1"/>
      <w:r>
        <w:rPr>
          <w:rFonts w:ascii="Times New Roman" w:hAnsi="Times New Roman" w:cs="Times New Roman"/>
          <w:bCs/>
        </w:rPr>
        <w:t>Zea mays var. saccharata</w:t>
      </w:r>
      <w:commentRangeEnd w:id="1"/>
      <w:r w:rsidR="007429B0">
        <w:rPr>
          <w:rStyle w:val="CommentReference"/>
        </w:rPr>
        <w:commentReference w:id="1"/>
      </w:r>
      <w:r>
        <w:rPr>
          <w:rFonts w:ascii="Times New Roman" w:hAnsi="Times New Roman" w:cs="Times New Roman"/>
          <w:bCs/>
        </w:rPr>
        <w:t>). The experiment used a randomized complete block design with four blocks and six plots per block. Soil sampling, germination, seedling vigor, and nutrient absorption tests were conducted, with germination assessed after 12 days and seedling vigor measured by root and shoot lengths 20 days after germination. Nutrient absorption of phosphorus and potassium was analyzed using Inductively Coupled Plasma Optical Emission Spectroscopy (ICP-OES). Data were statistically analyzed using Analysis of Variance (ANOVA) with a significance level set at p &lt; 0.05. Results revealed that wood vinegar had the highest mean germination count, followed by the control group, while lactic acid bacteria showed the least germination. In terms of seedling vigor, Moringa oleifera exhibited the greatest root length, while wood vinegar resulted in the shortest root length. Coconut water was found to have the longest shoot length. However, statistical analysis showed no significant differences in root or shoot lengths across treatments, suggesting that the priming treatments had similar effects on seedling vigor.</w:t>
      </w:r>
      <w:commentRangeEnd w:id="0"/>
      <w:r w:rsidR="00B263A6">
        <w:rPr>
          <w:rStyle w:val="CommentReference"/>
        </w:rPr>
        <w:commentReference w:id="0"/>
      </w:r>
    </w:p>
    <w:p w:rsidR="007445AD" w:rsidRDefault="00896AC3">
      <w:pPr>
        <w:spacing w:after="100" w:afterAutospacing="1" w:line="240" w:lineRule="auto"/>
        <w:contextualSpacing/>
        <w:jc w:val="both"/>
        <w:rPr>
          <w:rFonts w:ascii="Times New Roman" w:hAnsi="Times New Roman" w:cs="Times New Roman"/>
          <w:bCs/>
          <w:lang w:val="en-US"/>
        </w:rPr>
      </w:pPr>
      <w:r>
        <w:rPr>
          <w:rFonts w:ascii="Times New Roman" w:hAnsi="Times New Roman" w:cs="Times New Roman"/>
          <w:bCs/>
          <w:lang w:val="en-US"/>
        </w:rPr>
        <w:t>_____________________________</w:t>
      </w:r>
    </w:p>
    <w:p w:rsidR="007445AD" w:rsidRDefault="00896AC3">
      <w:pPr>
        <w:spacing w:after="100" w:afterAutospacing="1" w:line="240" w:lineRule="auto"/>
        <w:contextualSpacing/>
        <w:jc w:val="both"/>
        <w:rPr>
          <w:rFonts w:ascii="Times New Roman" w:hAnsi="Times New Roman" w:cs="Times New Roman"/>
          <w:bCs/>
          <w:lang w:val="en-US"/>
        </w:rPr>
      </w:pPr>
      <w:r>
        <w:rPr>
          <w:rFonts w:ascii="Times New Roman" w:hAnsi="Times New Roman" w:cs="Times New Roman"/>
          <w:bCs/>
          <w:lang w:val="en-US"/>
        </w:rPr>
        <w:t>Keywords: Priming technique, sweetcorn, growth enhancers, germination</w:t>
      </w:r>
    </w:p>
    <w:p w:rsidR="007445AD" w:rsidRDefault="007445AD">
      <w:pPr>
        <w:spacing w:after="100" w:afterAutospacing="1" w:line="240" w:lineRule="auto"/>
        <w:contextualSpacing/>
        <w:jc w:val="both"/>
        <w:rPr>
          <w:rFonts w:ascii="Times New Roman" w:hAnsi="Times New Roman" w:cs="Times New Roman"/>
          <w:bCs/>
          <w:lang w:val="en-US"/>
        </w:rPr>
      </w:pPr>
    </w:p>
    <w:p w:rsidR="007445AD" w:rsidRDefault="007445AD">
      <w:pPr>
        <w:spacing w:after="100" w:afterAutospacing="1" w:line="240" w:lineRule="auto"/>
        <w:ind w:firstLine="720"/>
        <w:contextualSpacing/>
        <w:jc w:val="both"/>
        <w:rPr>
          <w:rFonts w:ascii="Times New Roman" w:hAnsi="Times New Roman" w:cs="Times New Roman"/>
          <w:bCs/>
        </w:rPr>
      </w:pPr>
    </w:p>
    <w:p w:rsidR="007445AD" w:rsidRDefault="00896AC3">
      <w:pPr>
        <w:spacing w:after="0" w:line="240" w:lineRule="auto"/>
        <w:contextualSpacing/>
        <w:rPr>
          <w:rFonts w:ascii="Times New Roman" w:eastAsia="Aptos" w:hAnsi="Times New Roman" w:cs="Times New Roman"/>
          <w:b/>
          <w:kern w:val="2"/>
        </w:rPr>
      </w:pPr>
      <w:r>
        <w:rPr>
          <w:rFonts w:ascii="Times New Roman" w:eastAsia="Aptos" w:hAnsi="Times New Roman" w:cs="Times New Roman"/>
          <w:b/>
          <w:kern w:val="2"/>
        </w:rPr>
        <w:t>INTRODUCTION</w:t>
      </w:r>
    </w:p>
    <w:p w:rsidR="007445AD" w:rsidRDefault="00896AC3">
      <w:pPr>
        <w:pStyle w:val="NoSpacing"/>
        <w:ind w:firstLine="720"/>
        <w:jc w:val="both"/>
        <w:rPr>
          <w:rFonts w:ascii="Times New Roman" w:eastAsia="Aptos" w:hAnsi="Times New Roman" w:cs="Times New Roman"/>
          <w:bCs/>
          <w:kern w:val="2"/>
        </w:rPr>
      </w:pPr>
      <w:commentRangeStart w:id="2"/>
      <w:commentRangeStart w:id="3"/>
      <w:r>
        <w:rPr>
          <w:rFonts w:ascii="Times New Roman" w:eastAsia="Aptos" w:hAnsi="Times New Roman" w:cs="Times New Roman"/>
          <w:bCs/>
          <w:kern w:val="2"/>
        </w:rPr>
        <w:t>Optimum seed germination is a prime condition in good stand establishment, as seed is a fundamental factor in crop production. Currently, various environmental and abiotic stresses have negatively impacted the rate of seed germination, emergence, and seedling vigor, leading to diminished crop yields. To improve the seed germination process and counteract environmental challenges, a range of physiological and non-physiological methods are utilized to boost seed performance. This context sets the stage for exploring specific strategies to enhance seed viability and productivity (Baskin &amp; Baskin, 2014</w:t>
      </w:r>
      <w:commentRangeEnd w:id="3"/>
      <w:r w:rsidR="007429B0">
        <w:rPr>
          <w:rStyle w:val="CommentReference"/>
        </w:rPr>
        <w:commentReference w:id="3"/>
      </w:r>
      <w:r>
        <w:rPr>
          <w:rFonts w:ascii="Times New Roman" w:eastAsia="Aptos" w:hAnsi="Times New Roman" w:cs="Times New Roman"/>
          <w:bCs/>
          <w:kern w:val="2"/>
        </w:rPr>
        <w:t xml:space="preserve">). </w:t>
      </w:r>
    </w:p>
    <w:p w:rsidR="007445AD" w:rsidRDefault="00896AC3">
      <w:pPr>
        <w:pStyle w:val="NoSpacing"/>
        <w:ind w:firstLine="720"/>
        <w:jc w:val="both"/>
        <w:rPr>
          <w:rFonts w:ascii="Times New Roman" w:eastAsia="Aptos" w:hAnsi="Times New Roman" w:cs="Times New Roman"/>
          <w:bCs/>
          <w:kern w:val="2"/>
        </w:rPr>
      </w:pPr>
      <w:r>
        <w:rPr>
          <w:rFonts w:ascii="Times New Roman" w:eastAsia="Aptos" w:hAnsi="Times New Roman" w:cs="Times New Roman"/>
          <w:bCs/>
          <w:kern w:val="2"/>
        </w:rPr>
        <w:t xml:space="preserve">Focusing on a particular scenario, in the Philippines, a significant issue arises as corn (Zea mays) seeds often reach the farmers with a reduced germination percentage, attributed to inadequate storage methods. The low germination rate of corn seeds results from a combination of factors: aging stock, delays in planting due to climatic changes, and damage caused by pests and diseases in storage facilities. This situation exemplifies the need for targeted interventions to improve seed germination rates in specific agricultural contexts (Rocha &amp;Digma, 2022). </w:t>
      </w:r>
    </w:p>
    <w:p w:rsidR="007445AD" w:rsidRDefault="00896AC3">
      <w:pPr>
        <w:pStyle w:val="NoSpacing"/>
        <w:ind w:firstLine="720"/>
        <w:jc w:val="both"/>
        <w:rPr>
          <w:rFonts w:ascii="Times New Roman" w:eastAsia="Aptos" w:hAnsi="Times New Roman" w:cs="Times New Roman"/>
          <w:bCs/>
          <w:kern w:val="2"/>
        </w:rPr>
      </w:pPr>
      <w:r>
        <w:rPr>
          <w:rFonts w:ascii="Times New Roman" w:eastAsia="Aptos" w:hAnsi="Times New Roman" w:cs="Times New Roman"/>
          <w:bCs/>
          <w:kern w:val="2"/>
        </w:rPr>
        <w:t>Addressing this challenge, seed priming emerges as a promising solution. It is a pre-sowing treatment that exposes seeds to a certain solution that allows partial hydration but not germination (Heydecker, Higgins, &amp; Gulliver, 1973) and redried to original moisture content. Although the germination is not completed, metabolic activities that prepare seeds for radicle protrusion may be initiated during priming (Passam&amp;Kakouriotis, 1994). Many evidences have shown seed priming could improve germination and early seedling growth under stress conditions compared to plants grown from untreated seed (Chen, Fessehaie, &amp; Arora, 2012), highlighting its potential in enhancing seed performance.</w:t>
      </w:r>
    </w:p>
    <w:p w:rsidR="007445AD" w:rsidRDefault="00896AC3">
      <w:pPr>
        <w:pStyle w:val="NoSpacing"/>
        <w:ind w:firstLine="720"/>
        <w:jc w:val="both"/>
        <w:rPr>
          <w:rFonts w:ascii="Times New Roman" w:eastAsia="Aptos" w:hAnsi="Times New Roman" w:cs="Times New Roman"/>
          <w:bCs/>
          <w:kern w:val="2"/>
        </w:rPr>
      </w:pPr>
      <w:r>
        <w:rPr>
          <w:rFonts w:ascii="Times New Roman" w:eastAsia="Aptos" w:hAnsi="Times New Roman" w:cs="Times New Roman"/>
          <w:bCs/>
          <w:kern w:val="2"/>
        </w:rPr>
        <w:t xml:space="preserve">To further enhance the effectiveness of seed priming, the use of growth enhancers such as oriental herbal nutrient, wood vinegar, lactic acid bacteria, and coconut water has been identified. These well-known growth promoters increase the germination percentage of corn seeds. Given that growth promoters have shown effectiveness in enhancing germination performance and seedling growth, it becomes essential to evaluate the impact of various growth enhancers on both the percentage of germination and the overall growth of the plants. This assessment is vital to understand which growth </w:t>
      </w:r>
      <w:r>
        <w:rPr>
          <w:rFonts w:ascii="Times New Roman" w:eastAsia="Aptos" w:hAnsi="Times New Roman" w:cs="Times New Roman"/>
          <w:bCs/>
          <w:kern w:val="2"/>
        </w:rPr>
        <w:lastRenderedPageBreak/>
        <w:t>enhancers are most effective and how they influence the early stages of corn development, ultimately leading to improved agricultural practices and yields. The integration of these enhancers with the priming process could be a key to addressing the germination issues seen in the country (De La Pena, Reglos, &amp; De Guzman, 2002).</w:t>
      </w:r>
    </w:p>
    <w:p w:rsidR="007445AD" w:rsidRDefault="00896AC3">
      <w:pPr>
        <w:pStyle w:val="NoSpacing"/>
        <w:ind w:firstLine="720"/>
        <w:jc w:val="both"/>
        <w:rPr>
          <w:rFonts w:ascii="Times New Roman" w:eastAsia="Aptos" w:hAnsi="Times New Roman" w:cs="Times New Roman"/>
          <w:bCs/>
          <w:kern w:val="2"/>
        </w:rPr>
      </w:pPr>
      <w:r>
        <w:rPr>
          <w:rFonts w:ascii="Times New Roman" w:eastAsia="Aptos" w:hAnsi="Times New Roman" w:cs="Times New Roman"/>
          <w:bCs/>
          <w:kern w:val="2"/>
        </w:rPr>
        <w:t>However, while there is a growing body of evidence supporting seed priming and growth enhancer applications, few studies have comprehensively evaluated the synergistic effects of multiple enhancers combined with priming treatments under varying environmental stresses. This gap in research highlights the need for detailed field studies to optimize and tailor seed priming protocols, incorporating diverse growth promoters for specific crops and regional conditions (Barba-Espín et al., 2021).</w:t>
      </w:r>
    </w:p>
    <w:p w:rsidR="007445AD" w:rsidRDefault="00896AC3">
      <w:pPr>
        <w:pStyle w:val="NoSpacing"/>
        <w:ind w:firstLine="720"/>
        <w:jc w:val="both"/>
        <w:rPr>
          <w:rFonts w:ascii="Times New Roman" w:eastAsia="Aptos" w:hAnsi="Times New Roman" w:cs="Times New Roman"/>
          <w:bCs/>
          <w:kern w:val="2"/>
        </w:rPr>
      </w:pPr>
      <w:r>
        <w:rPr>
          <w:rFonts w:ascii="Times New Roman" w:eastAsia="Aptos" w:hAnsi="Times New Roman" w:cs="Times New Roman"/>
          <w:bCs/>
          <w:kern w:val="2"/>
        </w:rPr>
        <w:t>Hence, this study aimed to provide empirical evidence to support these practices. As noted in a recent research gap that there is a lack of large-scale field trials evaluating the combined effects of various seed priming techniques and growth enhancers, particularly in tropical environments where environmental stressors like humidity and temperature fluctuations are prevalent.</w:t>
      </w:r>
    </w:p>
    <w:p w:rsidR="007445AD" w:rsidRDefault="00896AC3">
      <w:pPr>
        <w:pStyle w:val="NoSpacing"/>
        <w:ind w:firstLine="720"/>
        <w:jc w:val="both"/>
        <w:rPr>
          <w:rFonts w:ascii="Times New Roman" w:eastAsia="Aptos" w:hAnsi="Times New Roman" w:cs="Times New Roman"/>
          <w:bCs/>
          <w:kern w:val="2"/>
        </w:rPr>
      </w:pPr>
      <w:r>
        <w:rPr>
          <w:rFonts w:ascii="Times New Roman" w:eastAsia="Aptos" w:hAnsi="Times New Roman" w:cs="Times New Roman"/>
          <w:bCs/>
          <w:kern w:val="2"/>
        </w:rPr>
        <w:t>Finally, this research has the potential to positively impact the agricultural community by providing innovative, accessible, and sustainable techniques to improve seed germination and enhance overall crop productivity, ultimately fostering economic growth and food security in the region.</w:t>
      </w:r>
    </w:p>
    <w:commentRangeEnd w:id="2"/>
    <w:p w:rsidR="007445AD" w:rsidRDefault="00B263A6">
      <w:pPr>
        <w:spacing w:after="0" w:line="240" w:lineRule="auto"/>
        <w:contextualSpacing/>
        <w:jc w:val="both"/>
        <w:rPr>
          <w:rFonts w:ascii="Times New Roman" w:hAnsi="Times New Roman" w:cs="Times New Roman"/>
        </w:rPr>
      </w:pPr>
      <w:r>
        <w:rPr>
          <w:rStyle w:val="CommentReference"/>
        </w:rPr>
        <w:commentReference w:id="2"/>
      </w:r>
    </w:p>
    <w:p w:rsidR="007445AD" w:rsidRDefault="00896AC3">
      <w:pPr>
        <w:spacing w:after="0" w:line="240" w:lineRule="auto"/>
        <w:contextualSpacing/>
        <w:rPr>
          <w:rFonts w:ascii="Times New Roman" w:hAnsi="Times New Roman" w:cs="Times New Roman"/>
          <w:b/>
          <w:bCs/>
        </w:rPr>
      </w:pPr>
      <w:r>
        <w:rPr>
          <w:rFonts w:ascii="Times New Roman" w:hAnsi="Times New Roman" w:cs="Times New Roman"/>
          <w:b/>
          <w:bCs/>
        </w:rPr>
        <w:t>Objectives of the Study</w:t>
      </w:r>
    </w:p>
    <w:p w:rsidR="007445AD" w:rsidRDefault="00896AC3">
      <w:pPr>
        <w:pStyle w:val="ListParagraph"/>
        <w:numPr>
          <w:ilvl w:val="0"/>
          <w:numId w:val="1"/>
        </w:numPr>
        <w:spacing w:after="0" w:line="240" w:lineRule="auto"/>
        <w:ind w:left="709"/>
        <w:jc w:val="both"/>
        <w:rPr>
          <w:rFonts w:ascii="Times New Roman" w:hAnsi="Times New Roman" w:cs="Times New Roman"/>
        </w:rPr>
      </w:pPr>
      <w:commentRangeStart w:id="4"/>
      <w:r>
        <w:rPr>
          <w:rFonts w:ascii="Times New Roman" w:hAnsi="Times New Roman" w:cs="Times New Roman"/>
        </w:rPr>
        <w:t>determine the significant difference in germination count among sweet corn seeds treated with different growth enhancers.</w:t>
      </w:r>
    </w:p>
    <w:p w:rsidR="007445AD" w:rsidRDefault="00896AC3">
      <w:pPr>
        <w:pStyle w:val="ListParagraph"/>
        <w:numPr>
          <w:ilvl w:val="0"/>
          <w:numId w:val="1"/>
        </w:numPr>
        <w:spacing w:after="0" w:line="240" w:lineRule="auto"/>
        <w:ind w:left="709"/>
        <w:jc w:val="both"/>
        <w:rPr>
          <w:rFonts w:ascii="Times New Roman" w:hAnsi="Times New Roman" w:cs="Times New Roman"/>
        </w:rPr>
      </w:pPr>
      <w:r>
        <w:rPr>
          <w:rFonts w:ascii="Times New Roman" w:hAnsi="Times New Roman" w:cs="Times New Roman"/>
        </w:rPr>
        <w:t>ascertain the significant difference in sweet corn seedling vigor in terms of root length and shoot length.</w:t>
      </w:r>
    </w:p>
    <w:commentRangeEnd w:id="4"/>
    <w:p w:rsidR="007445AD" w:rsidRDefault="00B263A6">
      <w:pPr>
        <w:pStyle w:val="ListParagraph"/>
        <w:spacing w:after="0" w:line="240" w:lineRule="auto"/>
        <w:ind w:left="709"/>
        <w:jc w:val="both"/>
        <w:rPr>
          <w:rFonts w:ascii="Times New Roman" w:hAnsi="Times New Roman" w:cs="Times New Roman"/>
        </w:rPr>
      </w:pPr>
      <w:r>
        <w:rPr>
          <w:rStyle w:val="CommentReference"/>
        </w:rPr>
        <w:commentReference w:id="4"/>
      </w:r>
    </w:p>
    <w:p w:rsidR="007445AD" w:rsidRDefault="00896AC3">
      <w:pPr>
        <w:spacing w:after="0" w:line="240" w:lineRule="auto"/>
        <w:rPr>
          <w:rFonts w:ascii="Times New Roman" w:eastAsia="Calibri" w:hAnsi="Times New Roman" w:cs="Times New Roman"/>
          <w:b/>
          <w:bCs/>
          <w:lang w:val="en-US"/>
        </w:rPr>
      </w:pPr>
      <w:r>
        <w:rPr>
          <w:rFonts w:ascii="Times New Roman" w:eastAsia="Calibri" w:hAnsi="Times New Roman" w:cs="Times New Roman"/>
          <w:b/>
          <w:bCs/>
          <w:lang w:val="en-US"/>
        </w:rPr>
        <w:t>Research Design</w:t>
      </w:r>
    </w:p>
    <w:p w:rsidR="007445AD" w:rsidRDefault="007445AD">
      <w:pPr>
        <w:spacing w:after="0" w:line="240" w:lineRule="auto"/>
        <w:jc w:val="center"/>
        <w:rPr>
          <w:rFonts w:ascii="Times New Roman" w:eastAsia="Calibri" w:hAnsi="Times New Roman" w:cs="Times New Roman"/>
          <w:b/>
          <w:bCs/>
          <w:lang w:val="en-US"/>
        </w:rPr>
      </w:pPr>
    </w:p>
    <w:p w:rsidR="007445AD" w:rsidRDefault="00896AC3">
      <w:pPr>
        <w:pStyle w:val="NoSpacing"/>
        <w:jc w:val="both"/>
        <w:rPr>
          <w:rFonts w:ascii="Times New Roman" w:eastAsia="Times New Roman" w:hAnsi="Times New Roman" w:cs="Times New Roman"/>
          <w:lang w:eastAsia="en-PH"/>
        </w:rPr>
      </w:pPr>
      <w:r>
        <w:rPr>
          <w:rFonts w:ascii="Times New Roman" w:hAnsi="Times New Roman" w:cs="Times New Roman"/>
        </w:rPr>
        <w:t xml:space="preserve">The researcher used four (4) growth enhancers as treatments during the seed priming, namely: herbal nutrient specifically moringa oleifera, wood vinegar, lactic acid bacteria, and coconut water. This study was laid out in a Randomized Complete Blocked Design (RCBD)with 5 treatments replicated 4 times. </w:t>
      </w:r>
    </w:p>
    <w:p w:rsidR="007445AD" w:rsidRDefault="007445AD">
      <w:pPr>
        <w:spacing w:after="0" w:line="240" w:lineRule="auto"/>
        <w:jc w:val="both"/>
        <w:rPr>
          <w:rFonts w:ascii="Times New Roman" w:hAnsi="Times New Roman" w:cs="Times New Roman"/>
        </w:rPr>
      </w:pPr>
    </w:p>
    <w:p w:rsidR="007445AD" w:rsidRDefault="00896AC3">
      <w:pPr>
        <w:spacing w:after="0" w:line="240" w:lineRule="auto"/>
        <w:rPr>
          <w:rFonts w:ascii="Times New Roman" w:eastAsia="Calibri" w:hAnsi="Times New Roman" w:cs="Times New Roman"/>
          <w:b/>
          <w:bCs/>
          <w:lang w:val="en-US"/>
        </w:rPr>
      </w:pPr>
      <w:r>
        <w:rPr>
          <w:rFonts w:ascii="Times New Roman" w:eastAsia="Calibri" w:hAnsi="Times New Roman" w:cs="Times New Roman"/>
          <w:b/>
          <w:bCs/>
          <w:lang w:val="en-US"/>
        </w:rPr>
        <w:t>Locale of the Study</w:t>
      </w:r>
    </w:p>
    <w:p w:rsidR="007445AD" w:rsidRDefault="007445AD">
      <w:pPr>
        <w:spacing w:after="0" w:line="240" w:lineRule="auto"/>
        <w:jc w:val="center"/>
        <w:rPr>
          <w:rFonts w:ascii="Times New Roman" w:eastAsia="Calibri" w:hAnsi="Times New Roman" w:cs="Times New Roman"/>
          <w:b/>
          <w:bCs/>
          <w:lang w:val="en-US"/>
        </w:rPr>
      </w:pPr>
      <w:commentRangeStart w:id="5"/>
    </w:p>
    <w:p w:rsidR="007445AD" w:rsidRDefault="00896AC3">
      <w:pPr>
        <w:spacing w:after="0" w:line="240" w:lineRule="auto"/>
        <w:ind w:firstLine="720"/>
        <w:jc w:val="both"/>
        <w:rPr>
          <w:rFonts w:ascii="Times New Roman" w:hAnsi="Times New Roman" w:cs="Times New Roman"/>
        </w:rPr>
      </w:pPr>
      <w:commentRangeStart w:id="6"/>
      <w:r>
        <w:rPr>
          <w:rFonts w:ascii="Times New Roman" w:hAnsi="Times New Roman" w:cs="Times New Roman"/>
        </w:rPr>
        <w:t xml:space="preserve">This study was conducted at Malapag High School, Malapag, Carmen, Cotabato in the months of February to April 2025. Specifically, seeds under experimentation was put in the laboratory at Malapag High School, Malapag, Carmen, Cotabato with room temperature 14 C to 21 C and relative humidity 48% to 64% at night and during day, respectively. </w:t>
      </w:r>
      <w:commentRangeEnd w:id="6"/>
      <w:r w:rsidR="00B263A6">
        <w:rPr>
          <w:rStyle w:val="CommentReference"/>
        </w:rPr>
        <w:commentReference w:id="6"/>
      </w:r>
      <w:commentRangeStart w:id="7"/>
      <w:r>
        <w:rPr>
          <w:rFonts w:ascii="Times New Roman" w:hAnsi="Times New Roman" w:cs="Times New Roman"/>
        </w:rPr>
        <w:t>Malapag National High School, located in Carmen, North Cotabato, Philippines, is a public secondary school managed by the Department of Education (DepEd). It operates as a Junior High School with Senior High School programs. The school, with the ID number 304468, was established on January 1, 1981. It is classified as a DepEd Managed school without annexes and follows a monograde class organization. Malapag National High School is situated in Prk 1, within the Municipality of Carmen, and falls under the North Cotabato Division in Region XII. The school offers educational programs under the General Academic Strand (GAS) and Technical Vocational Livelihood (TVL) track.</w:t>
      </w:r>
      <w:commentRangeEnd w:id="7"/>
      <w:r w:rsidR="00B263A6">
        <w:rPr>
          <w:rStyle w:val="CommentReference"/>
        </w:rPr>
        <w:commentReference w:id="7"/>
      </w:r>
    </w:p>
    <w:commentRangeEnd w:id="5"/>
    <w:p w:rsidR="007445AD" w:rsidRDefault="00B263A6">
      <w:pPr>
        <w:spacing w:after="0" w:line="240" w:lineRule="auto"/>
        <w:ind w:firstLine="720"/>
        <w:jc w:val="both"/>
        <w:rPr>
          <w:rFonts w:ascii="Times New Roman" w:eastAsia="Calibri" w:hAnsi="Times New Roman" w:cs="Times New Roman"/>
          <w:b/>
          <w:bCs/>
          <w:lang w:val="en-US"/>
        </w:rPr>
      </w:pPr>
      <w:r>
        <w:rPr>
          <w:rStyle w:val="CommentReference"/>
        </w:rPr>
        <w:commentReference w:id="5"/>
      </w:r>
    </w:p>
    <w:p w:rsidR="007445AD" w:rsidRDefault="007445AD">
      <w:pPr>
        <w:spacing w:after="0" w:line="240" w:lineRule="auto"/>
        <w:jc w:val="both"/>
        <w:rPr>
          <w:rFonts w:ascii="Times New Roman" w:eastAsia="Calibri" w:hAnsi="Times New Roman" w:cs="Times New Roman"/>
          <w:b/>
          <w:bCs/>
          <w:lang w:val="en-US"/>
        </w:rPr>
      </w:pPr>
    </w:p>
    <w:p w:rsidR="007445AD" w:rsidRDefault="007445AD">
      <w:pPr>
        <w:spacing w:after="0" w:line="240" w:lineRule="auto"/>
        <w:jc w:val="center"/>
        <w:rPr>
          <w:rFonts w:ascii="Times New Roman" w:eastAsia="Calibri" w:hAnsi="Times New Roman" w:cs="Times New Roman"/>
          <w:b/>
          <w:bCs/>
          <w:lang w:val="en-US"/>
        </w:rPr>
      </w:pPr>
    </w:p>
    <w:p w:rsidR="007445AD" w:rsidRDefault="007445AD">
      <w:pPr>
        <w:spacing w:after="0" w:line="240" w:lineRule="auto"/>
        <w:jc w:val="center"/>
        <w:rPr>
          <w:rFonts w:ascii="Times New Roman" w:eastAsia="Calibri" w:hAnsi="Times New Roman" w:cs="Times New Roman"/>
          <w:b/>
          <w:bCs/>
          <w:lang w:val="en-US"/>
        </w:rPr>
      </w:pPr>
    </w:p>
    <w:p w:rsidR="007445AD" w:rsidRDefault="00896AC3">
      <w:pPr>
        <w:spacing w:after="0" w:line="240" w:lineRule="auto"/>
        <w:rPr>
          <w:rFonts w:ascii="Times New Roman" w:eastAsia="Calibri" w:hAnsi="Times New Roman" w:cs="Times New Roman"/>
          <w:b/>
          <w:bCs/>
          <w:lang w:val="en-US"/>
        </w:rPr>
      </w:pPr>
      <w:r>
        <w:rPr>
          <w:rFonts w:ascii="Times New Roman" w:eastAsia="Calibri" w:hAnsi="Times New Roman" w:cs="Times New Roman"/>
          <w:b/>
          <w:bCs/>
          <w:lang w:val="en-US"/>
        </w:rPr>
        <w:t>Materials</w:t>
      </w:r>
    </w:p>
    <w:p w:rsidR="007445AD" w:rsidRDefault="00896AC3">
      <w:pPr>
        <w:pStyle w:val="NoSpacing"/>
        <w:jc w:val="both"/>
        <w:rPr>
          <w:rStyle w:val="x193iq5w"/>
          <w:rFonts w:ascii="Times New Roman" w:hAnsi="Times New Roman" w:cs="Times New Roman"/>
        </w:rPr>
      </w:pPr>
      <w:r>
        <w:rPr>
          <w:rStyle w:val="x193iq5w"/>
          <w:rFonts w:ascii="Times New Roman" w:hAnsi="Times New Roman" w:cs="Times New Roman"/>
        </w:rPr>
        <w:t xml:space="preserve">                The researcher used the following materials in the experiment: sweet corn seedlings specifically </w:t>
      </w:r>
      <w:r>
        <w:rPr>
          <w:rFonts w:ascii="Times New Roman" w:hAnsi="Times New Roman" w:cs="Times New Roman"/>
        </w:rPr>
        <w:t>Macho Dos F1 variant</w:t>
      </w:r>
      <w:r>
        <w:rPr>
          <w:rStyle w:val="x193iq5w"/>
          <w:rFonts w:ascii="Times New Roman" w:hAnsi="Times New Roman" w:cs="Times New Roman"/>
        </w:rPr>
        <w:t>, growth enhancers which are</w:t>
      </w:r>
      <w:r>
        <w:rPr>
          <w:rFonts w:ascii="Times New Roman" w:hAnsi="Times New Roman" w:cs="Times New Roman"/>
        </w:rPr>
        <w:t xml:space="preserve"> herbal nutrient specifically malunggay, wood vinegar, lactic acid bacteria, and coconut water</w:t>
      </w:r>
      <w:r>
        <w:rPr>
          <w:rStyle w:val="x193iq5w"/>
          <w:rFonts w:ascii="Times New Roman" w:hAnsi="Times New Roman" w:cs="Times New Roman"/>
        </w:rPr>
        <w:t xml:space="preserve">; garden tools such as shovels, measuring devices, </w:t>
      </w:r>
      <w:r>
        <w:rPr>
          <w:rStyle w:val="x193iq5w"/>
          <w:rFonts w:ascii="Times New Roman" w:hAnsi="Times New Roman" w:cs="Times New Roman"/>
        </w:rPr>
        <w:lastRenderedPageBreak/>
        <w:t>weighing scales, rulers, petri dishes, filter papers, plastic pots, and record books; and other necessary materials needed in the conduct of the study.</w:t>
      </w:r>
    </w:p>
    <w:p w:rsidR="007445AD" w:rsidRDefault="007445AD">
      <w:pPr>
        <w:pStyle w:val="NoSpacing"/>
        <w:rPr>
          <w:rFonts w:ascii="Times New Roman" w:hAnsi="Times New Roman" w:cs="Times New Roman"/>
        </w:rPr>
      </w:pPr>
    </w:p>
    <w:p w:rsidR="007445AD" w:rsidRDefault="00896AC3">
      <w:pPr>
        <w:spacing w:after="0" w:line="240" w:lineRule="auto"/>
        <w:rPr>
          <w:rFonts w:ascii="Times New Roman" w:eastAsia="Calibri" w:hAnsi="Times New Roman" w:cs="Times New Roman"/>
          <w:b/>
          <w:lang w:val="en-US"/>
        </w:rPr>
      </w:pPr>
      <w:r>
        <w:rPr>
          <w:rFonts w:ascii="Times New Roman" w:eastAsia="Calibri" w:hAnsi="Times New Roman" w:cs="Times New Roman"/>
          <w:b/>
          <w:lang w:val="en-US"/>
        </w:rPr>
        <w:t>Data Analysis</w:t>
      </w:r>
    </w:p>
    <w:p w:rsidR="007445AD" w:rsidRDefault="00896AC3">
      <w:pPr>
        <w:spacing w:after="0" w:line="240" w:lineRule="auto"/>
        <w:jc w:val="both"/>
        <w:rPr>
          <w:rFonts w:ascii="Times New Roman" w:eastAsia="Calibri" w:hAnsi="Times New Roman" w:cs="Times New Roman"/>
          <w:b/>
          <w:lang w:val="en-US"/>
        </w:rPr>
      </w:pPr>
      <w:r>
        <w:rPr>
          <w:rFonts w:ascii="Times New Roman" w:eastAsia="Calibri" w:hAnsi="Times New Roman" w:cs="Times New Roman"/>
          <w:b/>
          <w:lang w:val="en-US"/>
        </w:rPr>
        <w:tab/>
      </w:r>
      <w:r>
        <w:rPr>
          <w:rFonts w:ascii="Times New Roman" w:hAnsi="Times New Roman" w:cs="Times New Roman"/>
          <w:bCs/>
        </w:rPr>
        <w:t>The statistical analysis employed in Study 1 was Analysis of Variance (ANOVA), conducted using the Statistical Tool for Agricultural Research (STAR). A Randomized Complete Block Design (RCBD) was implemented to assess the effects of different priming techniques on sweet corn (</w:t>
      </w:r>
      <w:r>
        <w:rPr>
          <w:rFonts w:ascii="Times New Roman" w:hAnsi="Times New Roman" w:cs="Times New Roman"/>
          <w:bCs/>
          <w:i/>
          <w:iCs/>
        </w:rPr>
        <w:t>Zea mays var. saccharata</w:t>
      </w:r>
      <w:r>
        <w:rPr>
          <w:rFonts w:ascii="Times New Roman" w:hAnsi="Times New Roman" w:cs="Times New Roman"/>
          <w:bCs/>
        </w:rPr>
        <w:t>) germination percentage, root length, and shoot length.</w:t>
      </w:r>
    </w:p>
    <w:p w:rsidR="007445AD" w:rsidRDefault="00896AC3">
      <w:pPr>
        <w:pStyle w:val="NoSpacing"/>
        <w:jc w:val="both"/>
        <w:rPr>
          <w:rFonts w:ascii="Times New Roman" w:eastAsiaTheme="majorEastAsia" w:hAnsi="Times New Roman" w:cs="Times New Roman"/>
          <w:bCs/>
        </w:rPr>
      </w:pPr>
      <w:r>
        <w:rPr>
          <w:rFonts w:ascii="Times New Roman" w:eastAsia="Calibri" w:hAnsi="Times New Roman" w:cs="Times New Roman"/>
          <w:b/>
          <w:lang w:val="en-US"/>
        </w:rPr>
        <w:tab/>
      </w:r>
    </w:p>
    <w:p w:rsidR="007445AD" w:rsidRDefault="00896AC3">
      <w:pPr>
        <w:spacing w:after="0" w:line="240" w:lineRule="auto"/>
        <w:rPr>
          <w:rFonts w:ascii="Times New Roman" w:eastAsia="Aptos" w:hAnsi="Times New Roman" w:cs="Times New Roman"/>
          <w:b/>
          <w:bCs/>
          <w:kern w:val="2"/>
        </w:rPr>
      </w:pPr>
      <w:r>
        <w:rPr>
          <w:rFonts w:ascii="Times New Roman" w:eastAsia="Aptos" w:hAnsi="Times New Roman" w:cs="Times New Roman"/>
          <w:b/>
          <w:bCs/>
          <w:kern w:val="2"/>
        </w:rPr>
        <w:t>RESULTS AND DISCUSSIONS</w:t>
      </w:r>
    </w:p>
    <w:p w:rsidR="007445AD" w:rsidRDefault="007445AD">
      <w:pPr>
        <w:spacing w:after="0" w:line="240" w:lineRule="auto"/>
        <w:rPr>
          <w:rFonts w:ascii="Times New Roman" w:eastAsia="Aptos" w:hAnsi="Times New Roman" w:cs="Times New Roman"/>
          <w:b/>
          <w:bCs/>
          <w:kern w:val="2"/>
        </w:rPr>
      </w:pPr>
    </w:p>
    <w:p w:rsidR="007445AD" w:rsidRDefault="00896AC3">
      <w:pPr>
        <w:spacing w:after="0" w:line="240" w:lineRule="auto"/>
        <w:jc w:val="center"/>
        <w:rPr>
          <w:rFonts w:ascii="Times New Roman" w:hAnsi="Times New Roman" w:cs="Times New Roman"/>
          <w:b/>
          <w:bCs/>
        </w:rPr>
      </w:pPr>
      <w:r>
        <w:rPr>
          <w:rFonts w:ascii="Times New Roman" w:eastAsia="Aptos" w:hAnsi="Times New Roman" w:cs="Times New Roman"/>
          <w:b/>
          <w:bCs/>
          <w:kern w:val="2"/>
        </w:rPr>
        <w:tab/>
      </w:r>
      <w:r>
        <w:rPr>
          <w:rFonts w:ascii="Times New Roman" w:hAnsi="Times New Roman" w:cs="Times New Roman"/>
          <w:b/>
          <w:bCs/>
        </w:rPr>
        <w:t>Significant difference in germination counts among sweet corn seeds treated with different growth enhancers</w:t>
      </w:r>
    </w:p>
    <w:p w:rsidR="007445AD" w:rsidRDefault="007445AD">
      <w:pPr>
        <w:spacing w:after="0" w:line="240" w:lineRule="auto"/>
        <w:jc w:val="center"/>
        <w:rPr>
          <w:rFonts w:ascii="Times New Roman" w:hAnsi="Times New Roman" w:cs="Times New Roman"/>
          <w:b/>
          <w:bCs/>
        </w:rPr>
      </w:pPr>
    </w:p>
    <w:p w:rsidR="007445AD" w:rsidRDefault="007445AD">
      <w:pPr>
        <w:spacing w:after="0" w:line="240" w:lineRule="auto"/>
        <w:rPr>
          <w:rFonts w:ascii="Times New Roman" w:hAnsi="Times New Roman" w:cs="Times New Roman"/>
          <w:b/>
          <w:bCs/>
        </w:rPr>
      </w:pPr>
    </w:p>
    <w:p w:rsidR="007445AD" w:rsidRDefault="00896AC3">
      <w:pPr>
        <w:spacing w:after="0" w:line="240" w:lineRule="auto"/>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The first research problem in Study 1 aimed to determine the significant difference in germination count among sweet corn seeds treated with different growth enhancers.</w:t>
      </w:r>
    </w:p>
    <w:p w:rsidR="007445AD" w:rsidRDefault="00896AC3">
      <w:pPr>
        <w:spacing w:after="0" w:line="240" w:lineRule="auto"/>
        <w:ind w:firstLine="720"/>
        <w:jc w:val="both"/>
        <w:rPr>
          <w:rFonts w:ascii="Times New Roman" w:hAnsi="Times New Roman" w:cs="Times New Roman"/>
        </w:rPr>
      </w:pPr>
      <w:r>
        <w:rPr>
          <w:rFonts w:ascii="Times New Roman" w:hAnsi="Times New Roman" w:cs="Times New Roman"/>
        </w:rPr>
        <w:t xml:space="preserve">Table </w:t>
      </w:r>
      <w:r w:rsidR="00A6412D">
        <w:rPr>
          <w:rFonts w:ascii="Times New Roman" w:hAnsi="Times New Roman" w:cs="Times New Roman"/>
        </w:rPr>
        <w:t>1</w:t>
      </w:r>
      <w:r>
        <w:rPr>
          <w:rFonts w:ascii="Times New Roman" w:hAnsi="Times New Roman" w:cs="Times New Roman"/>
        </w:rPr>
        <w:t xml:space="preserve"> displays the average germination counts of sweet corn seeds subjected to various treatments, including a control group (T0) and five growth enhancers: Herbal Nutrient (Moringa oleifera) (T1), Wood Vinegar (T2), Lactic Acid Bacteria (T3), and Coconut Water (T4). The average germination counts should be 30.</w:t>
      </w:r>
    </w:p>
    <w:p w:rsidR="007445AD" w:rsidRDefault="00896AC3">
      <w:pPr>
        <w:spacing w:after="0" w:line="240" w:lineRule="auto"/>
        <w:ind w:firstLine="720"/>
        <w:jc w:val="both"/>
        <w:rPr>
          <w:rFonts w:ascii="Times New Roman" w:hAnsi="Times New Roman" w:cs="Times New Roman"/>
        </w:rPr>
      </w:pPr>
      <w:r>
        <w:rPr>
          <w:rFonts w:ascii="Times New Roman" w:hAnsi="Times New Roman" w:cs="Times New Roman"/>
        </w:rPr>
        <w:t>The highest mean germination count was observed in the Wood Vinegar treatment (T2), with a mean of 25.79, while the lowest mean germination count was recorded in the Lactic Acid Bacteria treatment (T3) at 22.25. These values reflect the effectiveness of each treatment in promoting seed germination, with Wood Vinegar showing the most positive impact, while Lactic Acid Bacteria yielded the least favorable result.</w:t>
      </w:r>
    </w:p>
    <w:p w:rsidR="007445AD" w:rsidRDefault="00896AC3">
      <w:pPr>
        <w:spacing w:after="0" w:line="240" w:lineRule="auto"/>
        <w:ind w:firstLine="720"/>
        <w:jc w:val="both"/>
        <w:rPr>
          <w:rFonts w:ascii="Times New Roman" w:hAnsi="Times New Roman" w:cs="Times New Roman"/>
        </w:rPr>
      </w:pPr>
      <w:r>
        <w:rPr>
          <w:rFonts w:ascii="Times New Roman" w:hAnsi="Times New Roman" w:cs="Times New Roman"/>
        </w:rPr>
        <w:t>The finding suggests that different growth enhancers have varying degrees of effectiveness in influencing sweet corn seed germination. Wood Vinegar, with the highest mean germination count, appears to have a profound positive effect on seed viability and growth, which could be attributed to the presence of organic compounds that promote root development. On the other hand, Lactic Acid Bacteria, which had the lowest mean, indicates a less effective or possibly inhibitory effect on seed germination, suggesting that this treatment may not be suitable for enhancing sweet corn germination under the conditions of this study.</w:t>
      </w:r>
    </w:p>
    <w:p w:rsidR="007445AD" w:rsidRDefault="00896AC3">
      <w:pPr>
        <w:spacing w:after="0" w:line="240" w:lineRule="auto"/>
        <w:ind w:firstLine="720"/>
        <w:jc w:val="both"/>
        <w:rPr>
          <w:rFonts w:ascii="Times New Roman" w:hAnsi="Times New Roman" w:cs="Times New Roman"/>
        </w:rPr>
      </w:pPr>
      <w:r>
        <w:rPr>
          <w:rFonts w:ascii="Times New Roman" w:hAnsi="Times New Roman" w:cs="Times New Roman"/>
        </w:rPr>
        <w:t>Furthermore, there is a significant difference between the germination count means of the sweet corn seeds treated with different growth enhancers, as indicated by the computed F-value of 824.22 and a p-value (Pr(&gt; F)) of 0.0000. This result suggests that the hypothesis in this part of the study is rejected.</w:t>
      </w:r>
    </w:p>
    <w:p w:rsidR="007445AD" w:rsidRDefault="00896AC3">
      <w:pPr>
        <w:spacing w:after="0" w:line="240" w:lineRule="auto"/>
        <w:ind w:firstLine="720"/>
        <w:jc w:val="both"/>
        <w:rPr>
          <w:rFonts w:ascii="Times New Roman" w:hAnsi="Times New Roman" w:cs="Times New Roman"/>
        </w:rPr>
      </w:pPr>
      <w:r>
        <w:rPr>
          <w:rFonts w:ascii="Times New Roman" w:hAnsi="Times New Roman" w:cs="Times New Roman"/>
        </w:rPr>
        <w:t>The coefficient of variation (CV) of 0.4256 reflects the relative variability of the germination counts across the treatments. A lower CV value indicates less variation in the data relative to the mean, while a CV of 0.4256 suggests moderate variability, indicating that the treatments produced fairly consistent germination results across the sample, despite the observed differences in means.</w:t>
      </w:r>
    </w:p>
    <w:p w:rsidR="007445AD" w:rsidRDefault="00896AC3">
      <w:pPr>
        <w:spacing w:after="0" w:line="240" w:lineRule="auto"/>
        <w:ind w:firstLine="720"/>
        <w:jc w:val="both"/>
        <w:rPr>
          <w:rFonts w:ascii="Times New Roman" w:hAnsi="Times New Roman" w:cs="Times New Roman"/>
        </w:rPr>
      </w:pPr>
      <w:r>
        <w:rPr>
          <w:rFonts w:ascii="Times New Roman" w:hAnsi="Times New Roman" w:cs="Times New Roman"/>
        </w:rPr>
        <w:t>The result implies that germination count is varied, indicating that different growth enhancers have distinct effects on seed development. Wood Vinegar, with the highest mean germination count, has the most profound impact on the germination of sweet corn. This suggests that Wood Vinegar offers a superior growth-promoting effect, possibly due to its unique composition of organic compounds, including phenols, acids, and minerals, which have been shown to enhance seedling vigor and improve soil quality. The result further infers that Wood Vinegar could be a promising growth enhancer for sweet corn cultivation, outperforming other treatments in promoting seed germination and early plant growth.</w:t>
      </w:r>
    </w:p>
    <w:p w:rsidR="007445AD" w:rsidRDefault="00896AC3">
      <w:pPr>
        <w:spacing w:after="0" w:line="240" w:lineRule="auto"/>
        <w:ind w:firstLine="720"/>
        <w:jc w:val="both"/>
        <w:rPr>
          <w:rFonts w:ascii="Times New Roman" w:hAnsi="Times New Roman" w:cs="Times New Roman"/>
        </w:rPr>
      </w:pPr>
      <w:r>
        <w:rPr>
          <w:rFonts w:ascii="Times New Roman" w:hAnsi="Times New Roman" w:cs="Times New Roman"/>
        </w:rPr>
        <w:t xml:space="preserve">Similarly, research has shown that Wood Vinegar (WV) can positively influence seed germination and seedling growth in various plant species. Recent studies have demonstrated WV's </w:t>
      </w:r>
      <w:r>
        <w:rPr>
          <w:rFonts w:ascii="Times New Roman" w:hAnsi="Times New Roman" w:cs="Times New Roman"/>
        </w:rPr>
        <w:lastRenderedPageBreak/>
        <w:t xml:space="preserve">potential as an effective growth enhancer in crops such as mango and cucumber. The effectiveness of WV is influenced by factors like concentration and pyrolysis temperature during its production, with optimal dilutions promoting seed germination and root development. The growth-regulating properties of WV are attributed to its chemical constituents, primarily acids and phenols, which impact cellular processes through synergistic mechanisms. While some studies report increased germination rates, others observe improvements in root length and biomass despite no significant differences in germination (De Guzman &amp;Dadural, 2021; Lei </w:t>
      </w:r>
      <w:commentRangeStart w:id="8"/>
      <w:r>
        <w:rPr>
          <w:rFonts w:ascii="Times New Roman" w:hAnsi="Times New Roman" w:cs="Times New Roman"/>
        </w:rPr>
        <w:t>et al</w:t>
      </w:r>
      <w:commentRangeEnd w:id="8"/>
      <w:r w:rsidR="007429B0">
        <w:rPr>
          <w:rStyle w:val="CommentReference"/>
        </w:rPr>
        <w:commentReference w:id="8"/>
      </w:r>
      <w:r>
        <w:rPr>
          <w:rFonts w:ascii="Times New Roman" w:hAnsi="Times New Roman" w:cs="Times New Roman"/>
        </w:rPr>
        <w:t>., 2018).</w:t>
      </w:r>
    </w:p>
    <w:p w:rsidR="007445AD" w:rsidRDefault="007445AD">
      <w:pPr>
        <w:spacing w:after="0" w:line="240" w:lineRule="auto"/>
        <w:ind w:firstLine="720"/>
        <w:jc w:val="both"/>
        <w:rPr>
          <w:rFonts w:ascii="Times New Roman" w:hAnsi="Times New Roman" w:cs="Times New Roman"/>
        </w:rPr>
      </w:pPr>
    </w:p>
    <w:p w:rsidR="007445AD" w:rsidRDefault="00896AC3">
      <w:pPr>
        <w:spacing w:after="0" w:line="240" w:lineRule="auto"/>
        <w:ind w:left="1620" w:hanging="1620"/>
        <w:jc w:val="both"/>
        <w:rPr>
          <w:rFonts w:ascii="Times New Roman" w:hAnsi="Times New Roman" w:cs="Times New Roman"/>
        </w:rPr>
      </w:pPr>
      <w:r>
        <w:rPr>
          <w:rFonts w:ascii="Times New Roman" w:hAnsi="Times New Roman" w:cs="Times New Roman"/>
          <w:b/>
          <w:bCs/>
        </w:rPr>
        <w:t xml:space="preserve">Table </w:t>
      </w:r>
      <w:r w:rsidR="00A6412D">
        <w:rPr>
          <w:rFonts w:ascii="Times New Roman" w:hAnsi="Times New Roman" w:cs="Times New Roman"/>
          <w:b/>
          <w:bCs/>
        </w:rPr>
        <w:t>1</w:t>
      </w:r>
      <w:r>
        <w:rPr>
          <w:rFonts w:ascii="Times New Roman" w:hAnsi="Times New Roman" w:cs="Times New Roman"/>
          <w:b/>
          <w:bCs/>
        </w:rPr>
        <w:t>.</w:t>
      </w:r>
      <w:r>
        <w:rPr>
          <w:rFonts w:ascii="Times New Roman" w:hAnsi="Times New Roman" w:cs="Times New Roman"/>
        </w:rPr>
        <w:tab/>
        <w:t>Germination Counts of Sweet Corn Seeds treated with Growth Enhancers</w:t>
      </w:r>
    </w:p>
    <w:tbl>
      <w:tblPr>
        <w:tblStyle w:val="TableGrid"/>
        <w:tblpPr w:leftFromText="180" w:rightFromText="180" w:vertAnchor="text" w:horzAnchor="margin" w:tblpY="58"/>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50"/>
        <w:gridCol w:w="2430"/>
        <w:gridCol w:w="2808"/>
      </w:tblGrid>
      <w:tr w:rsidR="007445AD">
        <w:trPr>
          <w:trHeight w:val="290"/>
        </w:trPr>
        <w:tc>
          <w:tcPr>
            <w:tcW w:w="4050" w:type="dxa"/>
            <w:tcBorders>
              <w:top w:val="thinThickSmallGap" w:sz="24" w:space="0" w:color="auto"/>
              <w:bottom w:val="single" w:sz="4" w:space="0" w:color="auto"/>
            </w:tcBorders>
          </w:tcPr>
          <w:p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Treatments</w:t>
            </w:r>
          </w:p>
        </w:tc>
        <w:tc>
          <w:tcPr>
            <w:tcW w:w="2430" w:type="dxa"/>
            <w:tcBorders>
              <w:top w:val="thinThickSmallGap" w:sz="24" w:space="0" w:color="auto"/>
              <w:bottom w:val="single" w:sz="4" w:space="0" w:color="auto"/>
            </w:tcBorders>
          </w:tcPr>
          <w:p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Germination Index Means</w:t>
            </w:r>
          </w:p>
        </w:tc>
        <w:tc>
          <w:tcPr>
            <w:tcW w:w="2808" w:type="dxa"/>
            <w:tcBorders>
              <w:top w:val="thinThickSmallGap" w:sz="24" w:space="0" w:color="auto"/>
              <w:bottom w:val="single" w:sz="4" w:space="0" w:color="auto"/>
            </w:tcBorders>
          </w:tcPr>
          <w:p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Percentage</w:t>
            </w:r>
          </w:p>
        </w:tc>
      </w:tr>
      <w:tr w:rsidR="007445AD">
        <w:trPr>
          <w:trHeight w:val="300"/>
        </w:trPr>
        <w:tc>
          <w:tcPr>
            <w:tcW w:w="4050" w:type="dxa"/>
            <w:tcBorders>
              <w:top w:val="single" w:sz="4" w:space="0" w:color="auto"/>
            </w:tcBorders>
          </w:tcPr>
          <w:p w:rsidR="007445AD" w:rsidRDefault="00896AC3">
            <w:pPr>
              <w:spacing w:after="0" w:line="240" w:lineRule="auto"/>
              <w:jc w:val="both"/>
              <w:rPr>
                <w:rFonts w:ascii="Times New Roman" w:eastAsia="Times New Roman" w:hAnsi="Times New Roman" w:cs="Times New Roman"/>
                <w:lang w:eastAsia="en-PH"/>
              </w:rPr>
            </w:pPr>
            <w:r>
              <w:rPr>
                <w:rFonts w:ascii="Times New Roman" w:eastAsia="Times New Roman" w:hAnsi="Times New Roman" w:cs="Times New Roman"/>
                <w:lang w:eastAsia="en-PH"/>
              </w:rPr>
              <w:t>T</w:t>
            </w:r>
            <w:r>
              <w:rPr>
                <w:rFonts w:ascii="Times New Roman" w:eastAsia="Times New Roman" w:hAnsi="Times New Roman" w:cs="Times New Roman"/>
                <w:vertAlign w:val="subscript"/>
                <w:lang w:eastAsia="en-PH"/>
              </w:rPr>
              <w:t xml:space="preserve">0 </w:t>
            </w:r>
            <w:r>
              <w:rPr>
                <w:rFonts w:ascii="Times New Roman" w:eastAsia="Times New Roman" w:hAnsi="Times New Roman" w:cs="Times New Roman"/>
                <w:lang w:eastAsia="en-PH"/>
              </w:rPr>
              <w:t>– No Treatment (Control)</w:t>
            </w:r>
          </w:p>
        </w:tc>
        <w:tc>
          <w:tcPr>
            <w:tcW w:w="2430" w:type="dxa"/>
            <w:tcBorders>
              <w:top w:val="single" w:sz="4" w:space="0" w:color="auto"/>
            </w:tcBorders>
          </w:tcPr>
          <w:p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25.44</w:t>
            </w:r>
          </w:p>
        </w:tc>
        <w:tc>
          <w:tcPr>
            <w:tcW w:w="2808" w:type="dxa"/>
            <w:tcBorders>
              <w:top w:val="nil"/>
              <w:left w:val="nil"/>
              <w:bottom w:val="nil"/>
              <w:right w:val="nil"/>
            </w:tcBorders>
            <w:shd w:val="clear" w:color="auto" w:fill="auto"/>
            <w:vAlign w:val="bottom"/>
          </w:tcPr>
          <w:p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color w:val="000000"/>
              </w:rPr>
              <w:t>84.80</w:t>
            </w:r>
          </w:p>
        </w:tc>
      </w:tr>
      <w:tr w:rsidR="007445AD">
        <w:trPr>
          <w:trHeight w:val="168"/>
        </w:trPr>
        <w:tc>
          <w:tcPr>
            <w:tcW w:w="4050" w:type="dxa"/>
          </w:tcPr>
          <w:p w:rsidR="007445AD" w:rsidRDefault="00896AC3">
            <w:pPr>
              <w:spacing w:after="0" w:line="240" w:lineRule="auto"/>
              <w:jc w:val="both"/>
              <w:rPr>
                <w:rFonts w:ascii="Times New Roman" w:eastAsia="Times New Roman" w:hAnsi="Times New Roman" w:cs="Times New Roman"/>
                <w:lang w:val="pt-PT" w:eastAsia="en-PH"/>
              </w:rPr>
            </w:pPr>
            <w:r>
              <w:rPr>
                <w:rFonts w:ascii="Times New Roman" w:eastAsia="Times New Roman" w:hAnsi="Times New Roman" w:cs="Times New Roman"/>
                <w:lang w:val="pt-PT" w:eastAsia="en-PH"/>
              </w:rPr>
              <w:t>T</w:t>
            </w:r>
            <w:r>
              <w:rPr>
                <w:rFonts w:ascii="Times New Roman" w:eastAsia="Times New Roman" w:hAnsi="Times New Roman" w:cs="Times New Roman"/>
                <w:vertAlign w:val="subscript"/>
                <w:lang w:val="pt-PT" w:eastAsia="en-PH"/>
              </w:rPr>
              <w:t xml:space="preserve">1 </w:t>
            </w:r>
            <w:r>
              <w:rPr>
                <w:rFonts w:ascii="Times New Roman" w:eastAsia="Times New Roman" w:hAnsi="Times New Roman" w:cs="Times New Roman"/>
                <w:lang w:val="pt-PT" w:eastAsia="en-PH"/>
              </w:rPr>
              <w:t>– Herbal Nutrient (Moringa oleifera)</w:t>
            </w:r>
          </w:p>
        </w:tc>
        <w:tc>
          <w:tcPr>
            <w:tcW w:w="2430" w:type="dxa"/>
          </w:tcPr>
          <w:p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23.46</w:t>
            </w:r>
          </w:p>
        </w:tc>
        <w:tc>
          <w:tcPr>
            <w:tcW w:w="2808" w:type="dxa"/>
            <w:tcBorders>
              <w:top w:val="nil"/>
              <w:left w:val="nil"/>
              <w:bottom w:val="nil"/>
              <w:right w:val="nil"/>
            </w:tcBorders>
            <w:shd w:val="clear" w:color="auto" w:fill="auto"/>
            <w:vAlign w:val="bottom"/>
          </w:tcPr>
          <w:p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color w:val="000000"/>
              </w:rPr>
              <w:t>78.20</w:t>
            </w:r>
          </w:p>
        </w:tc>
      </w:tr>
      <w:tr w:rsidR="007445AD">
        <w:trPr>
          <w:trHeight w:val="290"/>
        </w:trPr>
        <w:tc>
          <w:tcPr>
            <w:tcW w:w="4050" w:type="dxa"/>
          </w:tcPr>
          <w:p w:rsidR="007445AD" w:rsidRDefault="00896AC3">
            <w:pPr>
              <w:spacing w:after="0" w:line="240" w:lineRule="auto"/>
              <w:jc w:val="both"/>
              <w:rPr>
                <w:rFonts w:ascii="Times New Roman" w:eastAsia="Times New Roman" w:hAnsi="Times New Roman" w:cs="Times New Roman"/>
                <w:vertAlign w:val="subscript"/>
                <w:lang w:eastAsia="en-PH"/>
              </w:rPr>
            </w:pPr>
            <w:r>
              <w:rPr>
                <w:rFonts w:ascii="Times New Roman" w:eastAsia="Times New Roman" w:hAnsi="Times New Roman" w:cs="Times New Roman"/>
                <w:lang w:eastAsia="en-PH"/>
              </w:rPr>
              <w:t>T</w:t>
            </w:r>
            <w:r>
              <w:rPr>
                <w:rFonts w:ascii="Times New Roman" w:eastAsia="Times New Roman" w:hAnsi="Times New Roman" w:cs="Times New Roman"/>
                <w:vertAlign w:val="subscript"/>
                <w:lang w:eastAsia="en-PH"/>
              </w:rPr>
              <w:t xml:space="preserve">2 – </w:t>
            </w:r>
            <w:r>
              <w:rPr>
                <w:rFonts w:ascii="Times New Roman" w:eastAsia="Times New Roman" w:hAnsi="Times New Roman" w:cs="Times New Roman"/>
                <w:lang w:eastAsia="en-PH"/>
              </w:rPr>
              <w:t>Wood Vinegar</w:t>
            </w:r>
          </w:p>
        </w:tc>
        <w:tc>
          <w:tcPr>
            <w:tcW w:w="2430" w:type="dxa"/>
          </w:tcPr>
          <w:p w:rsidR="007445AD" w:rsidRDefault="00896AC3">
            <w:pPr>
              <w:autoSpaceDE w:val="0"/>
              <w:autoSpaceDN w:val="0"/>
              <w:adjustRightInd w:val="0"/>
              <w:spacing w:after="0" w:line="240" w:lineRule="auto"/>
              <w:jc w:val="center"/>
              <w:rPr>
                <w:rFonts w:ascii="Times New Roman" w:hAnsi="Times New Roman" w:cs="Times New Roman"/>
                <w:b/>
                <w:bCs/>
                <w:kern w:val="0"/>
              </w:rPr>
            </w:pPr>
            <w:r>
              <w:rPr>
                <w:rFonts w:ascii="Times New Roman" w:hAnsi="Times New Roman" w:cs="Times New Roman"/>
                <w:b/>
                <w:bCs/>
                <w:kern w:val="0"/>
              </w:rPr>
              <w:t>25.79</w:t>
            </w:r>
          </w:p>
        </w:tc>
        <w:tc>
          <w:tcPr>
            <w:tcW w:w="2808" w:type="dxa"/>
            <w:tcBorders>
              <w:top w:val="nil"/>
              <w:left w:val="nil"/>
              <w:bottom w:val="nil"/>
              <w:right w:val="nil"/>
            </w:tcBorders>
            <w:shd w:val="clear" w:color="auto" w:fill="auto"/>
            <w:vAlign w:val="bottom"/>
          </w:tcPr>
          <w:p w:rsidR="007445AD" w:rsidRDefault="00896AC3">
            <w:pPr>
              <w:autoSpaceDE w:val="0"/>
              <w:autoSpaceDN w:val="0"/>
              <w:adjustRightInd w:val="0"/>
              <w:spacing w:after="0" w:line="240" w:lineRule="auto"/>
              <w:jc w:val="center"/>
              <w:rPr>
                <w:rFonts w:ascii="Times New Roman" w:hAnsi="Times New Roman" w:cs="Times New Roman"/>
                <w:b/>
                <w:bCs/>
                <w:kern w:val="0"/>
              </w:rPr>
            </w:pPr>
            <w:r>
              <w:rPr>
                <w:rFonts w:ascii="Times New Roman" w:hAnsi="Times New Roman" w:cs="Times New Roman"/>
                <w:b/>
                <w:bCs/>
                <w:color w:val="000000"/>
              </w:rPr>
              <w:t>85.97</w:t>
            </w:r>
          </w:p>
        </w:tc>
      </w:tr>
      <w:tr w:rsidR="007445AD">
        <w:trPr>
          <w:trHeight w:val="83"/>
        </w:trPr>
        <w:tc>
          <w:tcPr>
            <w:tcW w:w="4050" w:type="dxa"/>
          </w:tcPr>
          <w:p w:rsidR="007445AD" w:rsidRDefault="00896AC3">
            <w:pPr>
              <w:spacing w:after="0" w:line="240" w:lineRule="auto"/>
              <w:jc w:val="both"/>
              <w:rPr>
                <w:rFonts w:ascii="Times New Roman" w:eastAsia="Times New Roman" w:hAnsi="Times New Roman" w:cs="Times New Roman"/>
                <w:lang w:eastAsia="en-PH"/>
              </w:rPr>
            </w:pPr>
            <w:r>
              <w:rPr>
                <w:rFonts w:ascii="Times New Roman" w:eastAsia="Times New Roman" w:hAnsi="Times New Roman" w:cs="Times New Roman"/>
                <w:lang w:eastAsia="en-PH"/>
              </w:rPr>
              <w:t>T</w:t>
            </w:r>
            <w:r>
              <w:rPr>
                <w:rFonts w:ascii="Times New Roman" w:eastAsia="Times New Roman" w:hAnsi="Times New Roman" w:cs="Times New Roman"/>
                <w:vertAlign w:val="subscript"/>
                <w:lang w:eastAsia="en-PH"/>
              </w:rPr>
              <w:t xml:space="preserve">3 – </w:t>
            </w:r>
            <w:r>
              <w:rPr>
                <w:rFonts w:ascii="Times New Roman" w:eastAsia="Times New Roman" w:hAnsi="Times New Roman" w:cs="Times New Roman"/>
                <w:lang w:eastAsia="en-PH"/>
              </w:rPr>
              <w:t>Lactic Acid Bacteria</w:t>
            </w:r>
          </w:p>
        </w:tc>
        <w:tc>
          <w:tcPr>
            <w:tcW w:w="2430" w:type="dxa"/>
          </w:tcPr>
          <w:p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22.25</w:t>
            </w:r>
          </w:p>
        </w:tc>
        <w:tc>
          <w:tcPr>
            <w:tcW w:w="2808" w:type="dxa"/>
            <w:tcBorders>
              <w:top w:val="nil"/>
              <w:left w:val="nil"/>
              <w:bottom w:val="nil"/>
              <w:right w:val="nil"/>
            </w:tcBorders>
            <w:shd w:val="clear" w:color="auto" w:fill="auto"/>
            <w:vAlign w:val="bottom"/>
          </w:tcPr>
          <w:p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color w:val="000000"/>
              </w:rPr>
              <w:t>74.17</w:t>
            </w:r>
          </w:p>
        </w:tc>
      </w:tr>
      <w:tr w:rsidR="007445AD">
        <w:trPr>
          <w:trHeight w:val="83"/>
        </w:trPr>
        <w:tc>
          <w:tcPr>
            <w:tcW w:w="4050" w:type="dxa"/>
            <w:tcBorders>
              <w:bottom w:val="single" w:sz="4" w:space="0" w:color="auto"/>
            </w:tcBorders>
          </w:tcPr>
          <w:p w:rsidR="007445AD" w:rsidRDefault="00896AC3">
            <w:pPr>
              <w:spacing w:after="0" w:line="240" w:lineRule="auto"/>
              <w:jc w:val="both"/>
              <w:rPr>
                <w:rFonts w:ascii="Times New Roman" w:eastAsia="Times New Roman" w:hAnsi="Times New Roman" w:cs="Times New Roman"/>
                <w:lang w:eastAsia="en-PH"/>
              </w:rPr>
            </w:pPr>
            <w:r>
              <w:rPr>
                <w:rFonts w:ascii="Times New Roman" w:eastAsia="Times New Roman" w:hAnsi="Times New Roman" w:cs="Times New Roman"/>
                <w:lang w:eastAsia="en-PH"/>
              </w:rPr>
              <w:t>T</w:t>
            </w:r>
            <w:r>
              <w:rPr>
                <w:rFonts w:ascii="Times New Roman" w:eastAsia="Times New Roman" w:hAnsi="Times New Roman" w:cs="Times New Roman"/>
                <w:vertAlign w:val="subscript"/>
                <w:lang w:eastAsia="en-PH"/>
              </w:rPr>
              <w:t xml:space="preserve">4 – </w:t>
            </w:r>
            <w:r>
              <w:rPr>
                <w:rFonts w:ascii="Times New Roman" w:eastAsia="Times New Roman" w:hAnsi="Times New Roman" w:cs="Times New Roman"/>
                <w:lang w:eastAsia="en-PH"/>
              </w:rPr>
              <w:t>Coconut Water</w:t>
            </w:r>
          </w:p>
        </w:tc>
        <w:tc>
          <w:tcPr>
            <w:tcW w:w="2430" w:type="dxa"/>
            <w:tcBorders>
              <w:bottom w:val="single" w:sz="4" w:space="0" w:color="auto"/>
            </w:tcBorders>
          </w:tcPr>
          <w:p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22.79</w:t>
            </w:r>
          </w:p>
        </w:tc>
        <w:tc>
          <w:tcPr>
            <w:tcW w:w="2808" w:type="dxa"/>
            <w:tcBorders>
              <w:top w:val="nil"/>
              <w:left w:val="nil"/>
              <w:bottom w:val="nil"/>
              <w:right w:val="nil"/>
            </w:tcBorders>
            <w:shd w:val="clear" w:color="auto" w:fill="auto"/>
            <w:vAlign w:val="bottom"/>
          </w:tcPr>
          <w:p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color w:val="000000"/>
              </w:rPr>
              <w:t>75.97</w:t>
            </w:r>
          </w:p>
        </w:tc>
      </w:tr>
      <w:tr w:rsidR="007445AD">
        <w:trPr>
          <w:trHeight w:val="83"/>
        </w:trPr>
        <w:tc>
          <w:tcPr>
            <w:tcW w:w="4050" w:type="dxa"/>
            <w:tcBorders>
              <w:top w:val="single" w:sz="4" w:space="0" w:color="auto"/>
            </w:tcBorders>
          </w:tcPr>
          <w:p w:rsidR="007445AD" w:rsidRDefault="00896AC3">
            <w:pPr>
              <w:spacing w:after="0" w:line="240" w:lineRule="auto"/>
              <w:rPr>
                <w:rFonts w:ascii="Times New Roman" w:hAnsi="Times New Roman" w:cs="Times New Roman"/>
              </w:rPr>
            </w:pPr>
            <w:r>
              <w:rPr>
                <w:rFonts w:ascii="Times New Roman" w:hAnsi="Times New Roman" w:cs="Times New Roman"/>
              </w:rPr>
              <w:t>Computed F-value</w:t>
            </w:r>
          </w:p>
        </w:tc>
        <w:tc>
          <w:tcPr>
            <w:tcW w:w="2430" w:type="dxa"/>
            <w:tcBorders>
              <w:top w:val="single" w:sz="4" w:space="0" w:color="auto"/>
            </w:tcBorders>
          </w:tcPr>
          <w:p w:rsidR="007445AD" w:rsidRDefault="00896AC3">
            <w:pPr>
              <w:autoSpaceDE w:val="0"/>
              <w:autoSpaceDN w:val="0"/>
              <w:adjustRightInd w:val="0"/>
              <w:spacing w:after="0" w:line="240" w:lineRule="auto"/>
              <w:jc w:val="center"/>
              <w:rPr>
                <w:rFonts w:ascii="Times New Roman" w:hAnsi="Times New Roman" w:cs="Times New Roman"/>
                <w:b/>
                <w:bCs/>
                <w:kern w:val="0"/>
              </w:rPr>
            </w:pPr>
            <w:r>
              <w:rPr>
                <w:rFonts w:ascii="Times New Roman" w:hAnsi="Times New Roman" w:cs="Times New Roman"/>
                <w:b/>
                <w:bCs/>
                <w:kern w:val="0"/>
              </w:rPr>
              <w:t>824.22</w:t>
            </w:r>
            <w:r>
              <w:rPr>
                <w:rFonts w:ascii="Times New Roman" w:hAnsi="Times New Roman" w:cs="Times New Roman"/>
                <w:b/>
                <w:bCs/>
                <w:kern w:val="0"/>
                <w:vertAlign w:val="superscript"/>
              </w:rPr>
              <w:t>**</w:t>
            </w:r>
          </w:p>
        </w:tc>
        <w:tc>
          <w:tcPr>
            <w:tcW w:w="2808" w:type="dxa"/>
            <w:tcBorders>
              <w:top w:val="single" w:sz="4" w:space="0" w:color="auto"/>
            </w:tcBorders>
          </w:tcPr>
          <w:p w:rsidR="007445AD" w:rsidRDefault="007445AD">
            <w:pPr>
              <w:autoSpaceDE w:val="0"/>
              <w:autoSpaceDN w:val="0"/>
              <w:adjustRightInd w:val="0"/>
              <w:spacing w:after="0" w:line="240" w:lineRule="auto"/>
              <w:jc w:val="center"/>
              <w:rPr>
                <w:rFonts w:ascii="Times New Roman" w:hAnsi="Times New Roman" w:cs="Times New Roman"/>
                <w:b/>
                <w:bCs/>
                <w:kern w:val="0"/>
              </w:rPr>
            </w:pPr>
          </w:p>
        </w:tc>
      </w:tr>
      <w:tr w:rsidR="007445AD">
        <w:trPr>
          <w:trHeight w:val="83"/>
        </w:trPr>
        <w:tc>
          <w:tcPr>
            <w:tcW w:w="4050" w:type="dxa"/>
          </w:tcPr>
          <w:p w:rsidR="007445AD" w:rsidRDefault="00896AC3">
            <w:pPr>
              <w:spacing w:after="0" w:line="240" w:lineRule="auto"/>
              <w:rPr>
                <w:rFonts w:ascii="Times New Roman" w:hAnsi="Times New Roman" w:cs="Times New Roman"/>
              </w:rPr>
            </w:pPr>
            <w:r>
              <w:rPr>
                <w:rFonts w:ascii="Times New Roman" w:hAnsi="Times New Roman" w:cs="Times New Roman"/>
              </w:rPr>
              <w:t>Pr(&gt; F)</w:t>
            </w:r>
          </w:p>
        </w:tc>
        <w:tc>
          <w:tcPr>
            <w:tcW w:w="2430" w:type="dxa"/>
          </w:tcPr>
          <w:p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0.0000</w:t>
            </w:r>
          </w:p>
        </w:tc>
        <w:tc>
          <w:tcPr>
            <w:tcW w:w="2808" w:type="dxa"/>
          </w:tcPr>
          <w:p w:rsidR="007445AD" w:rsidRDefault="007445AD">
            <w:pPr>
              <w:autoSpaceDE w:val="0"/>
              <w:autoSpaceDN w:val="0"/>
              <w:adjustRightInd w:val="0"/>
              <w:spacing w:after="0" w:line="240" w:lineRule="auto"/>
              <w:jc w:val="center"/>
              <w:rPr>
                <w:rFonts w:ascii="Times New Roman" w:hAnsi="Times New Roman" w:cs="Times New Roman"/>
                <w:kern w:val="0"/>
              </w:rPr>
            </w:pPr>
          </w:p>
        </w:tc>
      </w:tr>
      <w:tr w:rsidR="007445AD">
        <w:trPr>
          <w:trHeight w:val="83"/>
        </w:trPr>
        <w:tc>
          <w:tcPr>
            <w:tcW w:w="4050" w:type="dxa"/>
            <w:tcBorders>
              <w:bottom w:val="thickThinSmallGap" w:sz="24" w:space="0" w:color="auto"/>
            </w:tcBorders>
          </w:tcPr>
          <w:p w:rsidR="007445AD" w:rsidRDefault="00896AC3">
            <w:pPr>
              <w:spacing w:after="0" w:line="240" w:lineRule="auto"/>
              <w:rPr>
                <w:rFonts w:ascii="Times New Roman" w:hAnsi="Times New Roman" w:cs="Times New Roman"/>
              </w:rPr>
            </w:pPr>
            <w:r>
              <w:rPr>
                <w:rFonts w:ascii="Times New Roman" w:hAnsi="Times New Roman" w:cs="Times New Roman"/>
              </w:rPr>
              <w:t>CV</w:t>
            </w:r>
          </w:p>
        </w:tc>
        <w:tc>
          <w:tcPr>
            <w:tcW w:w="2430" w:type="dxa"/>
            <w:tcBorders>
              <w:bottom w:val="thickThinSmallGap" w:sz="24" w:space="0" w:color="auto"/>
            </w:tcBorders>
          </w:tcPr>
          <w:p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0.4256</w:t>
            </w:r>
          </w:p>
        </w:tc>
        <w:tc>
          <w:tcPr>
            <w:tcW w:w="2808" w:type="dxa"/>
            <w:tcBorders>
              <w:bottom w:val="thickThinSmallGap" w:sz="24" w:space="0" w:color="auto"/>
            </w:tcBorders>
          </w:tcPr>
          <w:p w:rsidR="007445AD" w:rsidRDefault="007445AD">
            <w:pPr>
              <w:autoSpaceDE w:val="0"/>
              <w:autoSpaceDN w:val="0"/>
              <w:adjustRightInd w:val="0"/>
              <w:spacing w:after="0" w:line="240" w:lineRule="auto"/>
              <w:jc w:val="center"/>
              <w:rPr>
                <w:rFonts w:ascii="Times New Roman" w:hAnsi="Times New Roman" w:cs="Times New Roman"/>
                <w:kern w:val="0"/>
              </w:rPr>
            </w:pPr>
          </w:p>
        </w:tc>
      </w:tr>
    </w:tbl>
    <w:p w:rsidR="007445AD" w:rsidRDefault="007445AD">
      <w:pPr>
        <w:spacing w:after="0" w:line="240" w:lineRule="auto"/>
        <w:jc w:val="both"/>
        <w:rPr>
          <w:rFonts w:ascii="Times New Roman" w:hAnsi="Times New Roman" w:cs="Times New Roman"/>
        </w:rPr>
      </w:pPr>
    </w:p>
    <w:p w:rsidR="007445AD" w:rsidRDefault="00896AC3">
      <w:pPr>
        <w:spacing w:after="0" w:line="240" w:lineRule="auto"/>
        <w:jc w:val="center"/>
        <w:rPr>
          <w:rFonts w:ascii="Times New Roman" w:hAnsi="Times New Roman" w:cs="Times New Roman"/>
          <w:b/>
          <w:bCs/>
        </w:rPr>
      </w:pPr>
      <w:r>
        <w:rPr>
          <w:rFonts w:ascii="Times New Roman" w:hAnsi="Times New Roman" w:cs="Times New Roman"/>
          <w:b/>
          <w:bCs/>
        </w:rPr>
        <w:t>Significant difference in sweet corn seedling vigor in terms of root length and shoot length</w:t>
      </w:r>
    </w:p>
    <w:p w:rsidR="007445AD" w:rsidRDefault="007445AD">
      <w:pPr>
        <w:spacing w:after="0" w:line="240" w:lineRule="auto"/>
        <w:rPr>
          <w:rFonts w:ascii="Times New Roman" w:hAnsi="Times New Roman" w:cs="Times New Roman"/>
          <w:b/>
          <w:bCs/>
        </w:rPr>
      </w:pPr>
    </w:p>
    <w:p w:rsidR="007445AD" w:rsidRDefault="00896AC3">
      <w:pPr>
        <w:spacing w:after="0" w:line="240" w:lineRule="auto"/>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The second research problem in </w:t>
      </w:r>
      <w:commentRangeStart w:id="9"/>
      <w:r>
        <w:rPr>
          <w:rFonts w:ascii="Times New Roman" w:hAnsi="Times New Roman" w:cs="Times New Roman"/>
        </w:rPr>
        <w:t xml:space="preserve">Study 1 </w:t>
      </w:r>
      <w:commentRangeEnd w:id="9"/>
      <w:r w:rsidR="007429B0">
        <w:rPr>
          <w:rStyle w:val="CommentReference"/>
        </w:rPr>
        <w:commentReference w:id="9"/>
      </w:r>
      <w:r>
        <w:rPr>
          <w:rFonts w:ascii="Times New Roman" w:hAnsi="Times New Roman" w:cs="Times New Roman"/>
        </w:rPr>
        <w:t>ascertained the significant difference in sweet corn seedling vigor in terms of root length and shoot length.</w:t>
      </w:r>
    </w:p>
    <w:p w:rsidR="007445AD" w:rsidRDefault="007445AD">
      <w:pPr>
        <w:spacing w:after="0" w:line="240" w:lineRule="auto"/>
        <w:rPr>
          <w:rFonts w:ascii="Times New Roman" w:hAnsi="Times New Roman" w:cs="Times New Roman"/>
        </w:rPr>
      </w:pPr>
    </w:p>
    <w:p w:rsidR="007445AD" w:rsidRDefault="00896AC3">
      <w:pPr>
        <w:spacing w:after="0" w:line="240" w:lineRule="auto"/>
        <w:rPr>
          <w:rFonts w:ascii="Times New Roman" w:hAnsi="Times New Roman" w:cs="Times New Roman"/>
          <w:b/>
          <w:bCs/>
        </w:rPr>
      </w:pPr>
      <w:r>
        <w:rPr>
          <w:rFonts w:ascii="Times New Roman" w:hAnsi="Times New Roman" w:cs="Times New Roman"/>
          <w:b/>
          <w:bCs/>
        </w:rPr>
        <w:t>Root Length</w:t>
      </w:r>
    </w:p>
    <w:p w:rsidR="007445AD" w:rsidRDefault="007445AD">
      <w:pPr>
        <w:spacing w:after="0" w:line="240" w:lineRule="auto"/>
        <w:ind w:left="1530" w:hanging="1530"/>
        <w:jc w:val="both"/>
        <w:rPr>
          <w:rFonts w:ascii="Times New Roman" w:hAnsi="Times New Roman" w:cs="Times New Roman"/>
          <w:b/>
          <w:bCs/>
        </w:rPr>
      </w:pPr>
    </w:p>
    <w:p w:rsidR="007445AD" w:rsidRDefault="00896AC3">
      <w:pPr>
        <w:tabs>
          <w:tab w:val="left" w:pos="9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Table </w:t>
      </w:r>
      <w:r w:rsidR="00A6412D">
        <w:rPr>
          <w:rFonts w:ascii="Times New Roman" w:hAnsi="Times New Roman" w:cs="Times New Roman"/>
        </w:rPr>
        <w:t>2</w:t>
      </w:r>
      <w:r>
        <w:rPr>
          <w:rFonts w:ascii="Times New Roman" w:hAnsi="Times New Roman" w:cs="Times New Roman"/>
        </w:rPr>
        <w:t xml:space="preserve"> displays the root lengths (in cm) of sweet corn seeds treated with various growth enhancers. The highest mean root length was observed in the Herbal Nutrient (Moringa oleifera) treatment (T1) with 12.02 cm, while the lowest mean root length was found in the Wood Vinegar treatment (T2) at 8.86 cm. These values highlight the variation in root development among the treatments, with Herbal Nutrient fostering the greatest root length, while Wood Vinegar exhibited the least.</w:t>
      </w:r>
    </w:p>
    <w:p w:rsidR="007445AD" w:rsidRDefault="00896AC3">
      <w:pPr>
        <w:tabs>
          <w:tab w:val="left" w:pos="9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The highest and lowest means indicate that different growth enhancers have distinct effects on seedling root development. Although Wood Vinegar resulted in the highest mean germination count, it yielded the lowest root length, suggesting a potential trade-off between seed germination and root growth. This may imply that while Wood Vinegar promotes initial seed germination effectively, it may not support optimal root development, which could affect long-term plant growth. In contrast, the Herbal Nutrient (Moringa oleifera), with the highest root length, suggests that this treatment might promote better overall seedling vigor, particularly in terms of root development, despite having a lower germination count compared to Wood Vinegar.</w:t>
      </w:r>
    </w:p>
    <w:p w:rsidR="007445AD" w:rsidRDefault="00896AC3">
      <w:pPr>
        <w:tabs>
          <w:tab w:val="left" w:pos="9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This supports the conclusion that treatments based on </w:t>
      </w:r>
      <w:r>
        <w:rPr>
          <w:rFonts w:ascii="Times New Roman" w:hAnsi="Times New Roman" w:cs="Times New Roman"/>
          <w:i/>
          <w:iCs/>
        </w:rPr>
        <w:t>Moringa oleifera</w:t>
      </w:r>
      <w:r>
        <w:rPr>
          <w:rFonts w:ascii="Times New Roman" w:hAnsi="Times New Roman" w:cs="Times New Roman"/>
        </w:rPr>
        <w:t xml:space="preserve"> are beneficial for root development, as hydropriming for four hours has been shown to significantly enhance root length (Mutalib </w:t>
      </w:r>
      <w:commentRangeStart w:id="10"/>
      <w:r>
        <w:rPr>
          <w:rFonts w:ascii="Times New Roman" w:hAnsi="Times New Roman" w:cs="Times New Roman"/>
        </w:rPr>
        <w:t>et al</w:t>
      </w:r>
      <w:commentRangeEnd w:id="10"/>
      <w:r w:rsidR="007429B0">
        <w:rPr>
          <w:rStyle w:val="CommentReference"/>
        </w:rPr>
        <w:commentReference w:id="10"/>
      </w:r>
      <w:r>
        <w:rPr>
          <w:rFonts w:ascii="Times New Roman" w:hAnsi="Times New Roman" w:cs="Times New Roman"/>
        </w:rPr>
        <w:t>., 2023).</w:t>
      </w:r>
    </w:p>
    <w:p w:rsidR="007445AD" w:rsidRDefault="00896AC3">
      <w:pPr>
        <w:tabs>
          <w:tab w:val="left" w:pos="9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Moreover, there is no significant difference between the root lengths (in cm) of sweet corn seeds treated with different growth enhancers, as indicated by the computed F-value of 0.40 and the Pr(&gt; F) value of 0.8056. The lack of statistical significance suggests that the treatments did not vary in their effect on root length at the chosen level of significance. Additionally, the coefficient of variation </w:t>
      </w:r>
      <w:bookmarkStart w:id="11" w:name="_GoBack"/>
      <w:bookmarkEnd w:id="11"/>
      <w:r>
        <w:rPr>
          <w:rFonts w:ascii="Times New Roman" w:hAnsi="Times New Roman" w:cs="Times New Roman"/>
        </w:rPr>
        <w:t xml:space="preserve">(CV) value of 38.07 indicates a high degree of variability in the root length data across all treatments. A </w:t>
      </w:r>
      <w:r>
        <w:rPr>
          <w:rFonts w:ascii="Times New Roman" w:hAnsi="Times New Roman" w:cs="Times New Roman"/>
        </w:rPr>
        <w:lastRenderedPageBreak/>
        <w:t>CV of 38.07 suggests that the root lengths of the treated seeds exhibited considerable variation relative to their mean values, which could be indicative of inconsistent responses to the growth enhancers.</w:t>
      </w:r>
    </w:p>
    <w:p w:rsidR="007445AD" w:rsidRDefault="00896AC3">
      <w:pPr>
        <w:tabs>
          <w:tab w:val="left" w:pos="9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The result further manifests that the root length is relatively uniform, implying that the effect of the growth enhancers on root length is comparable across the different treatments. Despite the observed differences in the mean root lengths, the lack of significant difference suggests that the treatments had similar impacts on root development. This uniformity in root length suggests that the priming technique with growth enhancers did not significantly alter the root growth patterns of sweet corn seeds, indicating that root development is not highly sensitive to the types of growth enhancers used in this study. Therefore, while the germination count varied significantly among the treatments, their effect on root length was comparable, reflecting the consistency in their impact on root growth.</w:t>
      </w:r>
    </w:p>
    <w:p w:rsidR="007445AD" w:rsidRDefault="00896AC3">
      <w:pPr>
        <w:tabs>
          <w:tab w:val="left" w:pos="9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The result confirms the finding that seed priming has been investigated for its effects on sweet corn growth, with varying results regarding root length. It was found that seed priming with salicylic acid significantly improved vegetative growth characteristics, but did not report on root length specifically (Iedan&amp;Alag, 2021)</w:t>
      </w:r>
    </w:p>
    <w:p w:rsidR="007445AD" w:rsidRDefault="007445AD">
      <w:pPr>
        <w:spacing w:after="0" w:line="240" w:lineRule="auto"/>
        <w:jc w:val="both"/>
        <w:rPr>
          <w:rFonts w:ascii="Times New Roman" w:hAnsi="Times New Roman" w:cs="Times New Roman"/>
          <w:b/>
          <w:bCs/>
        </w:rPr>
      </w:pPr>
    </w:p>
    <w:p w:rsidR="007445AD" w:rsidRDefault="00896AC3">
      <w:pPr>
        <w:spacing w:after="0" w:line="240" w:lineRule="auto"/>
        <w:ind w:left="1530" w:hanging="1530"/>
        <w:jc w:val="both"/>
        <w:rPr>
          <w:rFonts w:ascii="Times New Roman" w:hAnsi="Times New Roman" w:cs="Times New Roman"/>
        </w:rPr>
      </w:pPr>
      <w:r>
        <w:rPr>
          <w:rFonts w:ascii="Times New Roman" w:hAnsi="Times New Roman" w:cs="Times New Roman"/>
          <w:b/>
          <w:bCs/>
        </w:rPr>
        <w:t xml:space="preserve">Table </w:t>
      </w:r>
      <w:r w:rsidR="00A6412D">
        <w:rPr>
          <w:rFonts w:ascii="Times New Roman" w:hAnsi="Times New Roman" w:cs="Times New Roman"/>
          <w:b/>
          <w:bCs/>
        </w:rPr>
        <w:t>2</w:t>
      </w:r>
      <w:r>
        <w:rPr>
          <w:rFonts w:ascii="Times New Roman" w:hAnsi="Times New Roman" w:cs="Times New Roman"/>
          <w:b/>
          <w:bCs/>
        </w:rPr>
        <w:t>.</w:t>
      </w:r>
      <w:r>
        <w:rPr>
          <w:rFonts w:ascii="Times New Roman" w:hAnsi="Times New Roman" w:cs="Times New Roman"/>
        </w:rPr>
        <w:tab/>
        <w:t>Root Lengths (in cm) of Sweet Corn treated with growth enhancers</w:t>
      </w:r>
    </w:p>
    <w:tbl>
      <w:tblPr>
        <w:tblStyle w:val="TableGrid"/>
        <w:tblpPr w:leftFromText="180" w:rightFromText="180" w:vertAnchor="text" w:horzAnchor="margin" w:tblpY="58"/>
        <w:tblW w:w="9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3"/>
        <w:gridCol w:w="4095"/>
      </w:tblGrid>
      <w:tr w:rsidR="007445AD">
        <w:trPr>
          <w:trHeight w:val="290"/>
        </w:trPr>
        <w:tc>
          <w:tcPr>
            <w:tcW w:w="5103" w:type="dxa"/>
            <w:tcBorders>
              <w:top w:val="thinThickSmallGap" w:sz="24" w:space="0" w:color="auto"/>
              <w:bottom w:val="single" w:sz="4" w:space="0" w:color="auto"/>
            </w:tcBorders>
          </w:tcPr>
          <w:p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Treatments</w:t>
            </w:r>
          </w:p>
        </w:tc>
        <w:tc>
          <w:tcPr>
            <w:tcW w:w="4095" w:type="dxa"/>
            <w:tcBorders>
              <w:top w:val="thinThickSmallGap" w:sz="24" w:space="0" w:color="auto"/>
              <w:bottom w:val="single" w:sz="4" w:space="0" w:color="auto"/>
            </w:tcBorders>
          </w:tcPr>
          <w:p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Root Length Means (in cm)</w:t>
            </w:r>
          </w:p>
        </w:tc>
      </w:tr>
      <w:tr w:rsidR="007445AD">
        <w:trPr>
          <w:trHeight w:val="300"/>
        </w:trPr>
        <w:tc>
          <w:tcPr>
            <w:tcW w:w="5103" w:type="dxa"/>
            <w:tcBorders>
              <w:top w:val="single" w:sz="4" w:space="0" w:color="auto"/>
            </w:tcBorders>
          </w:tcPr>
          <w:p w:rsidR="007445AD" w:rsidRDefault="00896AC3">
            <w:pPr>
              <w:spacing w:after="0" w:line="240" w:lineRule="auto"/>
              <w:jc w:val="both"/>
              <w:rPr>
                <w:rFonts w:ascii="Times New Roman" w:eastAsia="Times New Roman" w:hAnsi="Times New Roman" w:cs="Times New Roman"/>
                <w:lang w:eastAsia="en-PH"/>
              </w:rPr>
            </w:pPr>
            <w:r>
              <w:rPr>
                <w:rFonts w:ascii="Times New Roman" w:eastAsia="Times New Roman" w:hAnsi="Times New Roman" w:cs="Times New Roman"/>
                <w:lang w:eastAsia="en-PH"/>
              </w:rPr>
              <w:t>T</w:t>
            </w:r>
            <w:r>
              <w:rPr>
                <w:rFonts w:ascii="Times New Roman" w:eastAsia="Times New Roman" w:hAnsi="Times New Roman" w:cs="Times New Roman"/>
                <w:vertAlign w:val="subscript"/>
                <w:lang w:eastAsia="en-PH"/>
              </w:rPr>
              <w:t xml:space="preserve">0 </w:t>
            </w:r>
            <w:r>
              <w:rPr>
                <w:rFonts w:ascii="Times New Roman" w:eastAsia="Times New Roman" w:hAnsi="Times New Roman" w:cs="Times New Roman"/>
                <w:lang w:eastAsia="en-PH"/>
              </w:rPr>
              <w:t>– No Treatment (Control)</w:t>
            </w:r>
          </w:p>
        </w:tc>
        <w:tc>
          <w:tcPr>
            <w:tcW w:w="4095" w:type="dxa"/>
            <w:tcBorders>
              <w:top w:val="single" w:sz="4" w:space="0" w:color="auto"/>
            </w:tcBorders>
          </w:tcPr>
          <w:p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9.98</w:t>
            </w:r>
          </w:p>
        </w:tc>
      </w:tr>
      <w:tr w:rsidR="007445AD">
        <w:trPr>
          <w:trHeight w:val="168"/>
        </w:trPr>
        <w:tc>
          <w:tcPr>
            <w:tcW w:w="5103" w:type="dxa"/>
          </w:tcPr>
          <w:p w:rsidR="007445AD" w:rsidRDefault="00896AC3">
            <w:pPr>
              <w:spacing w:after="0" w:line="240" w:lineRule="auto"/>
              <w:jc w:val="both"/>
              <w:rPr>
                <w:rFonts w:ascii="Times New Roman" w:eastAsia="Times New Roman" w:hAnsi="Times New Roman" w:cs="Times New Roman"/>
                <w:lang w:val="pt-PT" w:eastAsia="en-PH"/>
              </w:rPr>
            </w:pPr>
            <w:r>
              <w:rPr>
                <w:rFonts w:ascii="Times New Roman" w:eastAsia="Times New Roman" w:hAnsi="Times New Roman" w:cs="Times New Roman"/>
                <w:lang w:val="pt-PT" w:eastAsia="en-PH"/>
              </w:rPr>
              <w:t>T</w:t>
            </w:r>
            <w:r>
              <w:rPr>
                <w:rFonts w:ascii="Times New Roman" w:eastAsia="Times New Roman" w:hAnsi="Times New Roman" w:cs="Times New Roman"/>
                <w:vertAlign w:val="subscript"/>
                <w:lang w:val="pt-PT" w:eastAsia="en-PH"/>
              </w:rPr>
              <w:t xml:space="preserve">1 </w:t>
            </w:r>
            <w:r>
              <w:rPr>
                <w:rFonts w:ascii="Times New Roman" w:eastAsia="Times New Roman" w:hAnsi="Times New Roman" w:cs="Times New Roman"/>
                <w:lang w:val="pt-PT" w:eastAsia="en-PH"/>
              </w:rPr>
              <w:t>– Herbal Nutrient (Moringa oleifera)</w:t>
            </w:r>
          </w:p>
        </w:tc>
        <w:tc>
          <w:tcPr>
            <w:tcW w:w="4095" w:type="dxa"/>
          </w:tcPr>
          <w:p w:rsidR="007445AD" w:rsidRDefault="00896AC3">
            <w:pPr>
              <w:autoSpaceDE w:val="0"/>
              <w:autoSpaceDN w:val="0"/>
              <w:adjustRightInd w:val="0"/>
              <w:spacing w:after="0" w:line="240" w:lineRule="auto"/>
              <w:jc w:val="center"/>
              <w:rPr>
                <w:rFonts w:ascii="Times New Roman" w:hAnsi="Times New Roman" w:cs="Times New Roman"/>
                <w:b/>
                <w:bCs/>
                <w:kern w:val="0"/>
              </w:rPr>
            </w:pPr>
            <w:r>
              <w:rPr>
                <w:rFonts w:ascii="Times New Roman" w:hAnsi="Times New Roman" w:cs="Times New Roman"/>
                <w:b/>
                <w:bCs/>
                <w:kern w:val="0"/>
              </w:rPr>
              <w:t>12.02</w:t>
            </w:r>
          </w:p>
        </w:tc>
      </w:tr>
      <w:tr w:rsidR="007445AD">
        <w:trPr>
          <w:trHeight w:val="290"/>
        </w:trPr>
        <w:tc>
          <w:tcPr>
            <w:tcW w:w="5103" w:type="dxa"/>
          </w:tcPr>
          <w:p w:rsidR="007445AD" w:rsidRDefault="00896AC3">
            <w:pPr>
              <w:spacing w:after="0" w:line="240" w:lineRule="auto"/>
              <w:jc w:val="both"/>
              <w:rPr>
                <w:rFonts w:ascii="Times New Roman" w:eastAsia="Times New Roman" w:hAnsi="Times New Roman" w:cs="Times New Roman"/>
                <w:vertAlign w:val="subscript"/>
                <w:lang w:eastAsia="en-PH"/>
              </w:rPr>
            </w:pPr>
            <w:r>
              <w:rPr>
                <w:rFonts w:ascii="Times New Roman" w:eastAsia="Times New Roman" w:hAnsi="Times New Roman" w:cs="Times New Roman"/>
                <w:lang w:eastAsia="en-PH"/>
              </w:rPr>
              <w:t>T</w:t>
            </w:r>
            <w:r>
              <w:rPr>
                <w:rFonts w:ascii="Times New Roman" w:eastAsia="Times New Roman" w:hAnsi="Times New Roman" w:cs="Times New Roman"/>
                <w:vertAlign w:val="subscript"/>
                <w:lang w:eastAsia="en-PH"/>
              </w:rPr>
              <w:t xml:space="preserve">2 – </w:t>
            </w:r>
            <w:r>
              <w:rPr>
                <w:rFonts w:ascii="Times New Roman" w:eastAsia="Times New Roman" w:hAnsi="Times New Roman" w:cs="Times New Roman"/>
                <w:lang w:eastAsia="en-PH"/>
              </w:rPr>
              <w:t>Wood Vinegar</w:t>
            </w:r>
          </w:p>
        </w:tc>
        <w:tc>
          <w:tcPr>
            <w:tcW w:w="4095" w:type="dxa"/>
          </w:tcPr>
          <w:p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8.86</w:t>
            </w:r>
          </w:p>
        </w:tc>
      </w:tr>
      <w:tr w:rsidR="007445AD">
        <w:trPr>
          <w:trHeight w:val="83"/>
        </w:trPr>
        <w:tc>
          <w:tcPr>
            <w:tcW w:w="5103" w:type="dxa"/>
          </w:tcPr>
          <w:p w:rsidR="007445AD" w:rsidRDefault="00896AC3">
            <w:pPr>
              <w:spacing w:after="0" w:line="240" w:lineRule="auto"/>
              <w:jc w:val="both"/>
              <w:rPr>
                <w:rFonts w:ascii="Times New Roman" w:eastAsia="Times New Roman" w:hAnsi="Times New Roman" w:cs="Times New Roman"/>
                <w:lang w:eastAsia="en-PH"/>
              </w:rPr>
            </w:pPr>
            <w:r>
              <w:rPr>
                <w:rFonts w:ascii="Times New Roman" w:eastAsia="Times New Roman" w:hAnsi="Times New Roman" w:cs="Times New Roman"/>
                <w:lang w:eastAsia="en-PH"/>
              </w:rPr>
              <w:t>T</w:t>
            </w:r>
            <w:r>
              <w:rPr>
                <w:rFonts w:ascii="Times New Roman" w:eastAsia="Times New Roman" w:hAnsi="Times New Roman" w:cs="Times New Roman"/>
                <w:vertAlign w:val="subscript"/>
                <w:lang w:eastAsia="en-PH"/>
              </w:rPr>
              <w:t xml:space="preserve">3 – </w:t>
            </w:r>
            <w:r>
              <w:rPr>
                <w:rFonts w:ascii="Times New Roman" w:eastAsia="Times New Roman" w:hAnsi="Times New Roman" w:cs="Times New Roman"/>
                <w:lang w:eastAsia="en-PH"/>
              </w:rPr>
              <w:t>Lactic Acid Bacteria</w:t>
            </w:r>
          </w:p>
        </w:tc>
        <w:tc>
          <w:tcPr>
            <w:tcW w:w="4095" w:type="dxa"/>
          </w:tcPr>
          <w:p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10.40</w:t>
            </w:r>
          </w:p>
        </w:tc>
      </w:tr>
      <w:tr w:rsidR="007445AD">
        <w:trPr>
          <w:trHeight w:val="83"/>
        </w:trPr>
        <w:tc>
          <w:tcPr>
            <w:tcW w:w="5103" w:type="dxa"/>
            <w:tcBorders>
              <w:bottom w:val="single" w:sz="4" w:space="0" w:color="auto"/>
            </w:tcBorders>
          </w:tcPr>
          <w:p w:rsidR="007445AD" w:rsidRDefault="00896AC3">
            <w:pPr>
              <w:spacing w:after="0" w:line="240" w:lineRule="auto"/>
              <w:jc w:val="both"/>
              <w:rPr>
                <w:rFonts w:ascii="Times New Roman" w:eastAsia="Times New Roman" w:hAnsi="Times New Roman" w:cs="Times New Roman"/>
                <w:lang w:eastAsia="en-PH"/>
              </w:rPr>
            </w:pPr>
            <w:r>
              <w:rPr>
                <w:rFonts w:ascii="Times New Roman" w:eastAsia="Times New Roman" w:hAnsi="Times New Roman" w:cs="Times New Roman"/>
                <w:lang w:eastAsia="en-PH"/>
              </w:rPr>
              <w:t>T</w:t>
            </w:r>
            <w:r>
              <w:rPr>
                <w:rFonts w:ascii="Times New Roman" w:eastAsia="Times New Roman" w:hAnsi="Times New Roman" w:cs="Times New Roman"/>
                <w:vertAlign w:val="subscript"/>
                <w:lang w:eastAsia="en-PH"/>
              </w:rPr>
              <w:t xml:space="preserve">4 – </w:t>
            </w:r>
            <w:r>
              <w:rPr>
                <w:rFonts w:ascii="Times New Roman" w:eastAsia="Times New Roman" w:hAnsi="Times New Roman" w:cs="Times New Roman"/>
                <w:lang w:eastAsia="en-PH"/>
              </w:rPr>
              <w:t>Coconut Water</w:t>
            </w:r>
          </w:p>
        </w:tc>
        <w:tc>
          <w:tcPr>
            <w:tcW w:w="4095" w:type="dxa"/>
            <w:tcBorders>
              <w:bottom w:val="single" w:sz="4" w:space="0" w:color="auto"/>
            </w:tcBorders>
          </w:tcPr>
          <w:p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11.60</w:t>
            </w:r>
          </w:p>
        </w:tc>
      </w:tr>
      <w:tr w:rsidR="007445AD">
        <w:trPr>
          <w:trHeight w:val="83"/>
        </w:trPr>
        <w:tc>
          <w:tcPr>
            <w:tcW w:w="5103" w:type="dxa"/>
            <w:tcBorders>
              <w:top w:val="single" w:sz="4" w:space="0" w:color="auto"/>
            </w:tcBorders>
          </w:tcPr>
          <w:p w:rsidR="007445AD" w:rsidRDefault="00896AC3">
            <w:pPr>
              <w:spacing w:after="0" w:line="240" w:lineRule="auto"/>
              <w:rPr>
                <w:rFonts w:ascii="Times New Roman" w:hAnsi="Times New Roman" w:cs="Times New Roman"/>
              </w:rPr>
            </w:pPr>
            <w:r>
              <w:rPr>
                <w:rFonts w:ascii="Times New Roman" w:hAnsi="Times New Roman" w:cs="Times New Roman"/>
              </w:rPr>
              <w:t>Computed F-value</w:t>
            </w:r>
          </w:p>
        </w:tc>
        <w:tc>
          <w:tcPr>
            <w:tcW w:w="4095" w:type="dxa"/>
            <w:tcBorders>
              <w:top w:val="single" w:sz="4" w:space="0" w:color="auto"/>
            </w:tcBorders>
          </w:tcPr>
          <w:p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0.40</w:t>
            </w:r>
            <w:r>
              <w:rPr>
                <w:rFonts w:ascii="Times New Roman" w:hAnsi="Times New Roman" w:cs="Times New Roman"/>
                <w:kern w:val="0"/>
                <w:vertAlign w:val="superscript"/>
              </w:rPr>
              <w:t>ns</w:t>
            </w:r>
          </w:p>
        </w:tc>
      </w:tr>
      <w:tr w:rsidR="007445AD">
        <w:trPr>
          <w:trHeight w:val="83"/>
        </w:trPr>
        <w:tc>
          <w:tcPr>
            <w:tcW w:w="5103" w:type="dxa"/>
          </w:tcPr>
          <w:p w:rsidR="007445AD" w:rsidRDefault="00896AC3">
            <w:pPr>
              <w:spacing w:after="0" w:line="240" w:lineRule="auto"/>
              <w:rPr>
                <w:rFonts w:ascii="Times New Roman" w:hAnsi="Times New Roman" w:cs="Times New Roman"/>
              </w:rPr>
            </w:pPr>
            <w:r>
              <w:rPr>
                <w:rFonts w:ascii="Times New Roman" w:hAnsi="Times New Roman" w:cs="Times New Roman"/>
              </w:rPr>
              <w:t>Pr(&gt; F)</w:t>
            </w:r>
          </w:p>
        </w:tc>
        <w:tc>
          <w:tcPr>
            <w:tcW w:w="4095" w:type="dxa"/>
          </w:tcPr>
          <w:p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0.8056</w:t>
            </w:r>
          </w:p>
        </w:tc>
      </w:tr>
      <w:tr w:rsidR="007445AD">
        <w:trPr>
          <w:trHeight w:val="83"/>
        </w:trPr>
        <w:tc>
          <w:tcPr>
            <w:tcW w:w="5103" w:type="dxa"/>
            <w:tcBorders>
              <w:bottom w:val="thickThinSmallGap" w:sz="24" w:space="0" w:color="auto"/>
            </w:tcBorders>
          </w:tcPr>
          <w:p w:rsidR="007445AD" w:rsidRDefault="00896AC3">
            <w:pPr>
              <w:spacing w:after="0" w:line="240" w:lineRule="auto"/>
              <w:rPr>
                <w:rFonts w:ascii="Times New Roman" w:hAnsi="Times New Roman" w:cs="Times New Roman"/>
              </w:rPr>
            </w:pPr>
            <w:r>
              <w:rPr>
                <w:rFonts w:ascii="Times New Roman" w:hAnsi="Times New Roman" w:cs="Times New Roman"/>
              </w:rPr>
              <w:t>CV</w:t>
            </w:r>
          </w:p>
        </w:tc>
        <w:tc>
          <w:tcPr>
            <w:tcW w:w="4095" w:type="dxa"/>
            <w:tcBorders>
              <w:bottom w:val="thickThinSmallGap" w:sz="24" w:space="0" w:color="auto"/>
            </w:tcBorders>
          </w:tcPr>
          <w:p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38.07</w:t>
            </w:r>
          </w:p>
        </w:tc>
      </w:tr>
    </w:tbl>
    <w:p w:rsidR="007445AD" w:rsidRDefault="007445AD">
      <w:pPr>
        <w:spacing w:after="0" w:line="240" w:lineRule="auto"/>
        <w:jc w:val="both"/>
        <w:rPr>
          <w:rFonts w:ascii="Times New Roman" w:hAnsi="Times New Roman" w:cs="Times New Roman"/>
        </w:rPr>
      </w:pPr>
    </w:p>
    <w:p w:rsidR="007445AD" w:rsidRDefault="00896AC3">
      <w:pPr>
        <w:spacing w:after="0" w:line="240" w:lineRule="auto"/>
        <w:jc w:val="both"/>
        <w:rPr>
          <w:rFonts w:ascii="Times New Roman" w:hAnsi="Times New Roman" w:cs="Times New Roman"/>
          <w:b/>
          <w:bCs/>
        </w:rPr>
      </w:pPr>
      <w:r>
        <w:rPr>
          <w:rFonts w:ascii="Times New Roman" w:hAnsi="Times New Roman" w:cs="Times New Roman"/>
          <w:b/>
          <w:bCs/>
        </w:rPr>
        <w:t>Shoot Length</w:t>
      </w:r>
    </w:p>
    <w:p w:rsidR="007445AD" w:rsidRDefault="007445AD">
      <w:pPr>
        <w:spacing w:after="0" w:line="240" w:lineRule="auto"/>
        <w:jc w:val="both"/>
        <w:rPr>
          <w:rFonts w:ascii="Times New Roman" w:hAnsi="Times New Roman" w:cs="Times New Roman"/>
        </w:rPr>
      </w:pPr>
    </w:p>
    <w:p w:rsidR="007445AD" w:rsidRDefault="00896AC3">
      <w:pPr>
        <w:spacing w:after="0" w:line="240" w:lineRule="auto"/>
        <w:jc w:val="both"/>
        <w:rPr>
          <w:rFonts w:ascii="Times New Roman" w:hAnsi="Times New Roman" w:cs="Times New Roman"/>
        </w:rPr>
      </w:pPr>
      <w:r>
        <w:rPr>
          <w:rFonts w:ascii="Times New Roman" w:hAnsi="Times New Roman" w:cs="Times New Roman"/>
        </w:rPr>
        <w:tab/>
        <w:t xml:space="preserve">Table </w:t>
      </w:r>
      <w:r w:rsidR="00A6412D">
        <w:rPr>
          <w:rFonts w:ascii="Times New Roman" w:hAnsi="Times New Roman" w:cs="Times New Roman"/>
        </w:rPr>
        <w:t>3</w:t>
      </w:r>
      <w:r>
        <w:rPr>
          <w:rFonts w:ascii="Times New Roman" w:hAnsi="Times New Roman" w:cs="Times New Roman"/>
        </w:rPr>
        <w:t xml:space="preserve"> presents the shoot length means of sweet corn plants subjected to different growth enhancers, highlighting variations in their shoot development. Among the treatments, coconut water (T4) exhibited the highest mean shoot length at 40.23 cm, whereas herbal nutrient (T1) recorded the lowest mean shoot length at 32.17 cm. The control group (T0), which received no treatment, had a mean shoot length of 38.88 cm, suggesting that certain priming treatments influenced shoot elongation differently.</w:t>
      </w:r>
    </w:p>
    <w:p w:rsidR="007445AD" w:rsidRDefault="00896AC3">
      <w:pPr>
        <w:spacing w:after="0" w:line="240" w:lineRule="auto"/>
        <w:ind w:firstLine="720"/>
        <w:jc w:val="both"/>
        <w:rPr>
          <w:rFonts w:ascii="Times New Roman" w:hAnsi="Times New Roman" w:cs="Times New Roman"/>
        </w:rPr>
      </w:pPr>
      <w:r>
        <w:rPr>
          <w:rFonts w:ascii="Times New Roman" w:hAnsi="Times New Roman" w:cs="Times New Roman"/>
        </w:rPr>
        <w:t>The finding implies that herbal nutrient, while effective in promoting root length, may not be as beneficial for shoot elongation, potentially due to its specific composition and its effect on early seedling growth. The contrasting results indicate that although the herbal nutrient priming may enhance underground growth, it might not significantly contribute to above-ground development. Meanwhile, coconut water, which resulted in the longest shoot length, may contain plant growth regulators such as cytokinins and auxins that promote shoot elongation, contributing to enhanced aerial development.</w:t>
      </w:r>
    </w:p>
    <w:p w:rsidR="007445AD" w:rsidRDefault="00896AC3">
      <w:pPr>
        <w:spacing w:after="0" w:line="240" w:lineRule="auto"/>
        <w:ind w:firstLine="720"/>
        <w:jc w:val="both"/>
        <w:rPr>
          <w:rFonts w:ascii="Times New Roman" w:hAnsi="Times New Roman" w:cs="Times New Roman"/>
        </w:rPr>
      </w:pPr>
      <w:r>
        <w:rPr>
          <w:rFonts w:ascii="Times New Roman" w:hAnsi="Times New Roman" w:cs="Times New Roman"/>
        </w:rPr>
        <w:t>Moreover, statistical analysis indicates no significant difference in shoot length among the sweet corn plants treated with different growth enhancers, as demonstrated by the computed F-value of 0.94 (not significant) and Pr(&gt; F) = 0.4748. The coefficient of variation (CV = 17.04%) suggests moderate variability in the shoot length data, indicating that while some treatments resulted in slight differences in shoot elongation, the variability is within an acceptable range, signifying general consistency among the treatments.</w:t>
      </w:r>
    </w:p>
    <w:p w:rsidR="007445AD" w:rsidRDefault="00896AC3">
      <w:pPr>
        <w:spacing w:after="0" w:line="240" w:lineRule="auto"/>
        <w:ind w:firstLine="720"/>
        <w:jc w:val="both"/>
        <w:rPr>
          <w:rFonts w:ascii="Times New Roman" w:hAnsi="Times New Roman" w:cs="Times New Roman"/>
        </w:rPr>
      </w:pPr>
      <w:r>
        <w:rPr>
          <w:rFonts w:ascii="Times New Roman" w:hAnsi="Times New Roman" w:cs="Times New Roman"/>
        </w:rPr>
        <w:t xml:space="preserve">The uniformity in shoot length across treatments implies that the applied growth enhancers have comparable effects on shoot development, resulting in consistent shoot elongation regardless of the priming technique used. This consistency suggests that while growth enhancers may play a role in </w:t>
      </w:r>
      <w:r>
        <w:rPr>
          <w:rFonts w:ascii="Times New Roman" w:hAnsi="Times New Roman" w:cs="Times New Roman"/>
        </w:rPr>
        <w:lastRenderedPageBreak/>
        <w:t>influencing other aspects of plant development, their direct effect on shoot elongation may not be significantly distinct from untreated plants. This insight highlights the need for further investigation into the interaction between specific growth enhancers and the physiological mechanisms governing shoot development in sweet corn.</w:t>
      </w:r>
    </w:p>
    <w:p w:rsidR="007445AD" w:rsidRDefault="00896AC3">
      <w:pPr>
        <w:spacing w:after="0" w:line="240" w:lineRule="auto"/>
        <w:ind w:firstLine="720"/>
        <w:jc w:val="both"/>
        <w:rPr>
          <w:rFonts w:ascii="Times New Roman" w:hAnsi="Times New Roman" w:cs="Times New Roman"/>
        </w:rPr>
      </w:pPr>
      <w:r>
        <w:rPr>
          <w:rFonts w:ascii="Times New Roman" w:hAnsi="Times New Roman" w:cs="Times New Roman"/>
        </w:rPr>
        <w:t>In a similar vein, Rocha and Digma (2022) found that growth enhancers did not significantly influence the shoot length of corn plants. Their study reported that, at 10 days after planting, the average shoot length varied between 18.63 cm and 21.51 cm. By 20 days, shoot length ranged from 25.61 cm to 29.50 cm, reinforcing the conclusion that the applied growth enhancers had no substantial effect on shoot elongation.</w:t>
      </w:r>
    </w:p>
    <w:p w:rsidR="007445AD" w:rsidRDefault="007445AD">
      <w:pPr>
        <w:spacing w:after="0" w:line="240" w:lineRule="auto"/>
        <w:jc w:val="both"/>
        <w:rPr>
          <w:rFonts w:ascii="Times New Roman" w:hAnsi="Times New Roman" w:cs="Times New Roman"/>
        </w:rPr>
      </w:pPr>
    </w:p>
    <w:p w:rsidR="007445AD" w:rsidRDefault="00896AC3">
      <w:pPr>
        <w:spacing w:after="0" w:line="240" w:lineRule="auto"/>
        <w:ind w:left="1620" w:hanging="1620"/>
        <w:jc w:val="both"/>
        <w:rPr>
          <w:rFonts w:ascii="Times New Roman" w:hAnsi="Times New Roman" w:cs="Times New Roman"/>
        </w:rPr>
      </w:pPr>
      <w:r>
        <w:rPr>
          <w:rFonts w:ascii="Times New Roman" w:hAnsi="Times New Roman" w:cs="Times New Roman"/>
        </w:rPr>
        <w:t xml:space="preserve">Table </w:t>
      </w:r>
      <w:r w:rsidR="00A6412D">
        <w:rPr>
          <w:rFonts w:ascii="Times New Roman" w:hAnsi="Times New Roman" w:cs="Times New Roman"/>
        </w:rPr>
        <w:t>3</w:t>
      </w:r>
      <w:r>
        <w:rPr>
          <w:rFonts w:ascii="Times New Roman" w:hAnsi="Times New Roman" w:cs="Times New Roman"/>
        </w:rPr>
        <w:t>.</w:t>
      </w:r>
      <w:r>
        <w:rPr>
          <w:rFonts w:ascii="Times New Roman" w:hAnsi="Times New Roman" w:cs="Times New Roman"/>
        </w:rPr>
        <w:tab/>
        <w:t>Shoot Lengths (in cm) of Sweet Corn treated with growth enhancers</w:t>
      </w:r>
    </w:p>
    <w:tbl>
      <w:tblPr>
        <w:tblStyle w:val="TableGrid"/>
        <w:tblpPr w:leftFromText="180" w:rightFromText="180" w:vertAnchor="text" w:horzAnchor="margin" w:tblpY="58"/>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3"/>
        <w:gridCol w:w="4185"/>
      </w:tblGrid>
      <w:tr w:rsidR="007445AD">
        <w:trPr>
          <w:trHeight w:val="290"/>
        </w:trPr>
        <w:tc>
          <w:tcPr>
            <w:tcW w:w="5103" w:type="dxa"/>
            <w:tcBorders>
              <w:top w:val="thinThickSmallGap" w:sz="24" w:space="0" w:color="auto"/>
              <w:bottom w:val="single" w:sz="4" w:space="0" w:color="auto"/>
            </w:tcBorders>
          </w:tcPr>
          <w:p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Treatments</w:t>
            </w:r>
          </w:p>
        </w:tc>
        <w:tc>
          <w:tcPr>
            <w:tcW w:w="4185" w:type="dxa"/>
            <w:tcBorders>
              <w:top w:val="thinThickSmallGap" w:sz="24" w:space="0" w:color="auto"/>
              <w:bottom w:val="single" w:sz="4" w:space="0" w:color="auto"/>
            </w:tcBorders>
          </w:tcPr>
          <w:p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Shoot Length Means (in cm)</w:t>
            </w:r>
          </w:p>
        </w:tc>
      </w:tr>
      <w:tr w:rsidR="007445AD">
        <w:trPr>
          <w:trHeight w:val="300"/>
        </w:trPr>
        <w:tc>
          <w:tcPr>
            <w:tcW w:w="5103" w:type="dxa"/>
            <w:tcBorders>
              <w:top w:val="single" w:sz="4" w:space="0" w:color="auto"/>
            </w:tcBorders>
          </w:tcPr>
          <w:p w:rsidR="007445AD" w:rsidRDefault="00896AC3">
            <w:pPr>
              <w:spacing w:after="0" w:line="240" w:lineRule="auto"/>
              <w:jc w:val="both"/>
              <w:rPr>
                <w:rFonts w:ascii="Times New Roman" w:eastAsia="Times New Roman" w:hAnsi="Times New Roman" w:cs="Times New Roman"/>
                <w:lang w:eastAsia="en-PH"/>
              </w:rPr>
            </w:pPr>
            <w:r>
              <w:rPr>
                <w:rFonts w:ascii="Times New Roman" w:eastAsia="Times New Roman" w:hAnsi="Times New Roman" w:cs="Times New Roman"/>
                <w:lang w:eastAsia="en-PH"/>
              </w:rPr>
              <w:t>T</w:t>
            </w:r>
            <w:r>
              <w:rPr>
                <w:rFonts w:ascii="Times New Roman" w:eastAsia="Times New Roman" w:hAnsi="Times New Roman" w:cs="Times New Roman"/>
                <w:vertAlign w:val="subscript"/>
                <w:lang w:eastAsia="en-PH"/>
              </w:rPr>
              <w:t xml:space="preserve">0 </w:t>
            </w:r>
            <w:r>
              <w:rPr>
                <w:rFonts w:ascii="Times New Roman" w:eastAsia="Times New Roman" w:hAnsi="Times New Roman" w:cs="Times New Roman"/>
                <w:lang w:eastAsia="en-PH"/>
              </w:rPr>
              <w:t>– No Treatment (Control)</w:t>
            </w:r>
          </w:p>
        </w:tc>
        <w:tc>
          <w:tcPr>
            <w:tcW w:w="4185" w:type="dxa"/>
            <w:tcBorders>
              <w:top w:val="single" w:sz="4" w:space="0" w:color="auto"/>
            </w:tcBorders>
          </w:tcPr>
          <w:p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38.88</w:t>
            </w:r>
          </w:p>
        </w:tc>
      </w:tr>
      <w:tr w:rsidR="007445AD">
        <w:trPr>
          <w:trHeight w:val="168"/>
        </w:trPr>
        <w:tc>
          <w:tcPr>
            <w:tcW w:w="5103" w:type="dxa"/>
          </w:tcPr>
          <w:p w:rsidR="007445AD" w:rsidRDefault="00896AC3">
            <w:pPr>
              <w:spacing w:after="0" w:line="240" w:lineRule="auto"/>
              <w:jc w:val="both"/>
              <w:rPr>
                <w:rFonts w:ascii="Times New Roman" w:eastAsia="Times New Roman" w:hAnsi="Times New Roman" w:cs="Times New Roman"/>
                <w:lang w:val="pt-PT" w:eastAsia="en-PH"/>
              </w:rPr>
            </w:pPr>
            <w:r>
              <w:rPr>
                <w:rFonts w:ascii="Times New Roman" w:eastAsia="Times New Roman" w:hAnsi="Times New Roman" w:cs="Times New Roman"/>
                <w:lang w:val="pt-PT" w:eastAsia="en-PH"/>
              </w:rPr>
              <w:t>T</w:t>
            </w:r>
            <w:r>
              <w:rPr>
                <w:rFonts w:ascii="Times New Roman" w:eastAsia="Times New Roman" w:hAnsi="Times New Roman" w:cs="Times New Roman"/>
                <w:vertAlign w:val="subscript"/>
                <w:lang w:val="pt-PT" w:eastAsia="en-PH"/>
              </w:rPr>
              <w:t xml:space="preserve">1 </w:t>
            </w:r>
            <w:r>
              <w:rPr>
                <w:rFonts w:ascii="Times New Roman" w:eastAsia="Times New Roman" w:hAnsi="Times New Roman" w:cs="Times New Roman"/>
                <w:lang w:val="pt-PT" w:eastAsia="en-PH"/>
              </w:rPr>
              <w:t>– Herbal Nutrient (Moringa oleifera)</w:t>
            </w:r>
          </w:p>
        </w:tc>
        <w:tc>
          <w:tcPr>
            <w:tcW w:w="4185" w:type="dxa"/>
          </w:tcPr>
          <w:p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32.17</w:t>
            </w:r>
          </w:p>
        </w:tc>
      </w:tr>
      <w:tr w:rsidR="007445AD">
        <w:trPr>
          <w:trHeight w:val="290"/>
        </w:trPr>
        <w:tc>
          <w:tcPr>
            <w:tcW w:w="5103" w:type="dxa"/>
          </w:tcPr>
          <w:p w:rsidR="007445AD" w:rsidRDefault="00896AC3">
            <w:pPr>
              <w:spacing w:after="0" w:line="240" w:lineRule="auto"/>
              <w:jc w:val="both"/>
              <w:rPr>
                <w:rFonts w:ascii="Times New Roman" w:eastAsia="Times New Roman" w:hAnsi="Times New Roman" w:cs="Times New Roman"/>
                <w:vertAlign w:val="subscript"/>
                <w:lang w:eastAsia="en-PH"/>
              </w:rPr>
            </w:pPr>
            <w:r>
              <w:rPr>
                <w:rFonts w:ascii="Times New Roman" w:eastAsia="Times New Roman" w:hAnsi="Times New Roman" w:cs="Times New Roman"/>
                <w:lang w:eastAsia="en-PH"/>
              </w:rPr>
              <w:t>T</w:t>
            </w:r>
            <w:r>
              <w:rPr>
                <w:rFonts w:ascii="Times New Roman" w:eastAsia="Times New Roman" w:hAnsi="Times New Roman" w:cs="Times New Roman"/>
                <w:vertAlign w:val="subscript"/>
                <w:lang w:eastAsia="en-PH"/>
              </w:rPr>
              <w:t xml:space="preserve">2 – </w:t>
            </w:r>
            <w:r>
              <w:rPr>
                <w:rFonts w:ascii="Times New Roman" w:eastAsia="Times New Roman" w:hAnsi="Times New Roman" w:cs="Times New Roman"/>
                <w:lang w:eastAsia="en-PH"/>
              </w:rPr>
              <w:t>Wood Vinegar</w:t>
            </w:r>
          </w:p>
        </w:tc>
        <w:tc>
          <w:tcPr>
            <w:tcW w:w="4185" w:type="dxa"/>
          </w:tcPr>
          <w:p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37.82</w:t>
            </w:r>
          </w:p>
        </w:tc>
      </w:tr>
      <w:tr w:rsidR="007445AD">
        <w:trPr>
          <w:trHeight w:val="83"/>
        </w:trPr>
        <w:tc>
          <w:tcPr>
            <w:tcW w:w="5103" w:type="dxa"/>
          </w:tcPr>
          <w:p w:rsidR="007445AD" w:rsidRDefault="00896AC3">
            <w:pPr>
              <w:spacing w:after="0" w:line="240" w:lineRule="auto"/>
              <w:jc w:val="both"/>
              <w:rPr>
                <w:rFonts w:ascii="Times New Roman" w:eastAsia="Times New Roman" w:hAnsi="Times New Roman" w:cs="Times New Roman"/>
                <w:lang w:eastAsia="en-PH"/>
              </w:rPr>
            </w:pPr>
            <w:r>
              <w:rPr>
                <w:rFonts w:ascii="Times New Roman" w:eastAsia="Times New Roman" w:hAnsi="Times New Roman" w:cs="Times New Roman"/>
                <w:lang w:eastAsia="en-PH"/>
              </w:rPr>
              <w:t>T</w:t>
            </w:r>
            <w:r>
              <w:rPr>
                <w:rFonts w:ascii="Times New Roman" w:eastAsia="Times New Roman" w:hAnsi="Times New Roman" w:cs="Times New Roman"/>
                <w:vertAlign w:val="subscript"/>
                <w:lang w:eastAsia="en-PH"/>
              </w:rPr>
              <w:t xml:space="preserve">3 – </w:t>
            </w:r>
            <w:r>
              <w:rPr>
                <w:rFonts w:ascii="Times New Roman" w:eastAsia="Times New Roman" w:hAnsi="Times New Roman" w:cs="Times New Roman"/>
                <w:lang w:eastAsia="en-PH"/>
              </w:rPr>
              <w:t>Lactic Acid Bacteria</w:t>
            </w:r>
          </w:p>
        </w:tc>
        <w:tc>
          <w:tcPr>
            <w:tcW w:w="4185" w:type="dxa"/>
          </w:tcPr>
          <w:p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38.03</w:t>
            </w:r>
          </w:p>
        </w:tc>
      </w:tr>
      <w:tr w:rsidR="007445AD">
        <w:trPr>
          <w:trHeight w:val="83"/>
        </w:trPr>
        <w:tc>
          <w:tcPr>
            <w:tcW w:w="5103" w:type="dxa"/>
            <w:tcBorders>
              <w:bottom w:val="single" w:sz="4" w:space="0" w:color="auto"/>
            </w:tcBorders>
          </w:tcPr>
          <w:p w:rsidR="007445AD" w:rsidRDefault="00896AC3">
            <w:pPr>
              <w:spacing w:after="0" w:line="240" w:lineRule="auto"/>
              <w:jc w:val="both"/>
              <w:rPr>
                <w:rFonts w:ascii="Times New Roman" w:eastAsia="Times New Roman" w:hAnsi="Times New Roman" w:cs="Times New Roman"/>
                <w:lang w:eastAsia="en-PH"/>
              </w:rPr>
            </w:pPr>
            <w:r>
              <w:rPr>
                <w:rFonts w:ascii="Times New Roman" w:eastAsia="Times New Roman" w:hAnsi="Times New Roman" w:cs="Times New Roman"/>
                <w:lang w:eastAsia="en-PH"/>
              </w:rPr>
              <w:t>T</w:t>
            </w:r>
            <w:r>
              <w:rPr>
                <w:rFonts w:ascii="Times New Roman" w:eastAsia="Times New Roman" w:hAnsi="Times New Roman" w:cs="Times New Roman"/>
                <w:vertAlign w:val="subscript"/>
                <w:lang w:eastAsia="en-PH"/>
              </w:rPr>
              <w:t xml:space="preserve">4 – </w:t>
            </w:r>
            <w:r>
              <w:rPr>
                <w:rFonts w:ascii="Times New Roman" w:eastAsia="Times New Roman" w:hAnsi="Times New Roman" w:cs="Times New Roman"/>
                <w:lang w:eastAsia="en-PH"/>
              </w:rPr>
              <w:t>Coconut Water</w:t>
            </w:r>
          </w:p>
        </w:tc>
        <w:tc>
          <w:tcPr>
            <w:tcW w:w="4185" w:type="dxa"/>
            <w:tcBorders>
              <w:bottom w:val="single" w:sz="4" w:space="0" w:color="auto"/>
            </w:tcBorders>
          </w:tcPr>
          <w:p w:rsidR="007445AD" w:rsidRDefault="00896AC3">
            <w:pPr>
              <w:autoSpaceDE w:val="0"/>
              <w:autoSpaceDN w:val="0"/>
              <w:adjustRightInd w:val="0"/>
              <w:spacing w:after="0" w:line="240" w:lineRule="auto"/>
              <w:jc w:val="center"/>
              <w:rPr>
                <w:rFonts w:ascii="Times New Roman" w:hAnsi="Times New Roman" w:cs="Times New Roman"/>
                <w:b/>
                <w:bCs/>
                <w:kern w:val="0"/>
              </w:rPr>
            </w:pPr>
            <w:r>
              <w:rPr>
                <w:rFonts w:ascii="Times New Roman" w:hAnsi="Times New Roman" w:cs="Times New Roman"/>
                <w:b/>
                <w:bCs/>
                <w:kern w:val="0"/>
              </w:rPr>
              <w:t>40.23</w:t>
            </w:r>
          </w:p>
        </w:tc>
      </w:tr>
      <w:tr w:rsidR="007445AD">
        <w:trPr>
          <w:trHeight w:val="83"/>
        </w:trPr>
        <w:tc>
          <w:tcPr>
            <w:tcW w:w="5103" w:type="dxa"/>
            <w:tcBorders>
              <w:top w:val="single" w:sz="4" w:space="0" w:color="auto"/>
            </w:tcBorders>
          </w:tcPr>
          <w:p w:rsidR="007445AD" w:rsidRDefault="00896AC3">
            <w:pPr>
              <w:spacing w:after="0" w:line="240" w:lineRule="auto"/>
              <w:rPr>
                <w:rFonts w:ascii="Times New Roman" w:hAnsi="Times New Roman" w:cs="Times New Roman"/>
              </w:rPr>
            </w:pPr>
            <w:r>
              <w:rPr>
                <w:rFonts w:ascii="Times New Roman" w:hAnsi="Times New Roman" w:cs="Times New Roman"/>
              </w:rPr>
              <w:t>Computed F-value</w:t>
            </w:r>
          </w:p>
        </w:tc>
        <w:tc>
          <w:tcPr>
            <w:tcW w:w="4185" w:type="dxa"/>
            <w:tcBorders>
              <w:top w:val="single" w:sz="4" w:space="0" w:color="auto"/>
            </w:tcBorders>
          </w:tcPr>
          <w:p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0.94</w:t>
            </w:r>
            <w:r>
              <w:rPr>
                <w:rFonts w:ascii="Times New Roman" w:hAnsi="Times New Roman" w:cs="Times New Roman"/>
                <w:kern w:val="0"/>
                <w:vertAlign w:val="superscript"/>
              </w:rPr>
              <w:t>ns</w:t>
            </w:r>
          </w:p>
        </w:tc>
      </w:tr>
      <w:tr w:rsidR="007445AD">
        <w:trPr>
          <w:trHeight w:val="83"/>
        </w:trPr>
        <w:tc>
          <w:tcPr>
            <w:tcW w:w="5103" w:type="dxa"/>
          </w:tcPr>
          <w:p w:rsidR="007445AD" w:rsidRDefault="00896AC3">
            <w:pPr>
              <w:spacing w:after="0" w:line="240" w:lineRule="auto"/>
              <w:rPr>
                <w:rFonts w:ascii="Times New Roman" w:hAnsi="Times New Roman" w:cs="Times New Roman"/>
              </w:rPr>
            </w:pPr>
            <w:r>
              <w:rPr>
                <w:rFonts w:ascii="Times New Roman" w:hAnsi="Times New Roman" w:cs="Times New Roman"/>
              </w:rPr>
              <w:t>Pr(&gt; F)</w:t>
            </w:r>
          </w:p>
        </w:tc>
        <w:tc>
          <w:tcPr>
            <w:tcW w:w="4185" w:type="dxa"/>
          </w:tcPr>
          <w:p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0.4748</w:t>
            </w:r>
          </w:p>
        </w:tc>
      </w:tr>
      <w:tr w:rsidR="007445AD">
        <w:trPr>
          <w:trHeight w:val="83"/>
        </w:trPr>
        <w:tc>
          <w:tcPr>
            <w:tcW w:w="5103" w:type="dxa"/>
            <w:tcBorders>
              <w:bottom w:val="thickThinSmallGap" w:sz="24" w:space="0" w:color="auto"/>
            </w:tcBorders>
          </w:tcPr>
          <w:p w:rsidR="007445AD" w:rsidRDefault="00896AC3">
            <w:pPr>
              <w:spacing w:after="0" w:line="240" w:lineRule="auto"/>
              <w:rPr>
                <w:rFonts w:ascii="Times New Roman" w:hAnsi="Times New Roman" w:cs="Times New Roman"/>
              </w:rPr>
            </w:pPr>
            <w:r>
              <w:rPr>
                <w:rFonts w:ascii="Times New Roman" w:hAnsi="Times New Roman" w:cs="Times New Roman"/>
              </w:rPr>
              <w:t>CV</w:t>
            </w:r>
          </w:p>
        </w:tc>
        <w:tc>
          <w:tcPr>
            <w:tcW w:w="4185" w:type="dxa"/>
            <w:tcBorders>
              <w:bottom w:val="thickThinSmallGap" w:sz="24" w:space="0" w:color="auto"/>
            </w:tcBorders>
          </w:tcPr>
          <w:p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17.04</w:t>
            </w:r>
          </w:p>
        </w:tc>
      </w:tr>
    </w:tbl>
    <w:p w:rsidR="007445AD" w:rsidRDefault="007445AD">
      <w:pPr>
        <w:pStyle w:val="NoSpacing"/>
        <w:jc w:val="both"/>
        <w:rPr>
          <w:rFonts w:ascii="Times New Roman" w:hAnsi="Times New Roman" w:cs="Times New Roman"/>
        </w:rPr>
      </w:pPr>
    </w:p>
    <w:p w:rsidR="007445AD" w:rsidRDefault="007445AD">
      <w:pPr>
        <w:pStyle w:val="NoSpacing"/>
        <w:jc w:val="center"/>
        <w:rPr>
          <w:rFonts w:ascii="Century Gothic" w:hAnsi="Century Gothic" w:cs="Arial"/>
          <w:b/>
          <w:bCs/>
        </w:rPr>
      </w:pPr>
    </w:p>
    <w:p w:rsidR="007445AD" w:rsidRDefault="00896AC3">
      <w:pPr>
        <w:pStyle w:val="NoSpacing"/>
        <w:rPr>
          <w:rFonts w:ascii="Times New Roman" w:hAnsi="Times New Roman" w:cs="Times New Roman"/>
          <w:b/>
          <w:bCs/>
        </w:rPr>
      </w:pPr>
      <w:r>
        <w:rPr>
          <w:rFonts w:ascii="Times New Roman" w:hAnsi="Times New Roman" w:cs="Times New Roman"/>
          <w:b/>
          <w:bCs/>
        </w:rPr>
        <w:t>Conclusions</w:t>
      </w:r>
    </w:p>
    <w:p w:rsidR="007445AD" w:rsidRDefault="00896AC3">
      <w:pPr>
        <w:spacing w:after="0" w:line="240" w:lineRule="auto"/>
        <w:ind w:firstLine="720"/>
        <w:jc w:val="both"/>
        <w:rPr>
          <w:rFonts w:ascii="Times New Roman" w:hAnsi="Times New Roman" w:cs="Times New Roman"/>
          <w:b/>
          <w:bCs/>
        </w:rPr>
      </w:pPr>
      <w:r>
        <w:rPr>
          <w:rFonts w:ascii="Times New Roman" w:hAnsi="Times New Roman" w:cs="Times New Roman"/>
        </w:rPr>
        <w:t>This study concluded that different priming techniques using various growth enhancers had significant effects on the germination rates and seedling vigor of sweet corn. Among the treatments, wood vinegar had the most positive impact on seed germination, while lactic acid bacteria showed the least effectiveness in promoting seed germination. In terms of seedling vigor, herbal nutrient (Moringa oleifera) exhibited the greatest root length, while wood vinegar resulted in the shortest root length. Despite these differences, no significant variation in shoot length was observed across treatments. The findings concluded that priming treatments, prticularly wood vinegar and herbal nutrient, can influence seed germination and root growth, although their effects on shoot development were less pronounced.</w:t>
      </w:r>
    </w:p>
    <w:p w:rsidR="007445AD" w:rsidRDefault="007445AD">
      <w:pPr>
        <w:spacing w:after="0" w:line="480" w:lineRule="auto"/>
        <w:jc w:val="both"/>
        <w:rPr>
          <w:rFonts w:ascii="Century Gothic" w:hAnsi="Century Gothic"/>
          <w:b/>
          <w:bCs/>
        </w:rPr>
      </w:pPr>
    </w:p>
    <w:p w:rsidR="007445AD" w:rsidRDefault="00896AC3">
      <w:pPr>
        <w:pStyle w:val="NormalWeb"/>
        <w:spacing w:before="0" w:beforeAutospacing="0" w:after="0" w:afterAutospacing="0"/>
        <w:rPr>
          <w:rStyle w:val="Strong"/>
          <w:rFonts w:eastAsiaTheme="majorEastAsia"/>
        </w:rPr>
      </w:pPr>
      <w:r>
        <w:rPr>
          <w:rStyle w:val="Strong"/>
          <w:rFonts w:eastAsiaTheme="majorEastAsia"/>
        </w:rPr>
        <w:t>REFERENCES</w:t>
      </w:r>
    </w:p>
    <w:p w:rsidR="007445AD" w:rsidRDefault="007445AD"/>
    <w:p w:rsidR="007445AD" w:rsidRDefault="00896AC3">
      <w:pPr>
        <w:spacing w:after="0" w:line="240" w:lineRule="auto"/>
        <w:ind w:left="1418" w:hanging="1418"/>
        <w:jc w:val="both"/>
        <w:rPr>
          <w:rFonts w:ascii="Times New Roman" w:hAnsi="Times New Roman" w:cs="Times New Roman"/>
        </w:rPr>
      </w:pPr>
      <w:r>
        <w:rPr>
          <w:rFonts w:ascii="Times New Roman" w:hAnsi="Times New Roman" w:cs="Times New Roman"/>
          <w:lang w:val="pt-PT"/>
        </w:rPr>
        <w:t xml:space="preserve">Barba-Espín, G., Sánchez-González, M., </w:t>
      </w:r>
      <w:commentRangeStart w:id="12"/>
      <w:commentRangeStart w:id="13"/>
      <w:r>
        <w:rPr>
          <w:rFonts w:ascii="Times New Roman" w:hAnsi="Times New Roman" w:cs="Times New Roman"/>
          <w:lang w:val="pt-PT"/>
        </w:rPr>
        <w:t xml:space="preserve">et al. </w:t>
      </w:r>
      <w:commentRangeEnd w:id="12"/>
      <w:r w:rsidR="007429B0">
        <w:rPr>
          <w:rStyle w:val="CommentReference"/>
        </w:rPr>
        <w:commentReference w:id="12"/>
      </w:r>
      <w:commentRangeEnd w:id="13"/>
      <w:r w:rsidR="007429B0">
        <w:rPr>
          <w:rStyle w:val="CommentReference"/>
        </w:rPr>
        <w:commentReference w:id="13"/>
      </w:r>
      <w:r>
        <w:rPr>
          <w:rFonts w:ascii="Times New Roman" w:hAnsi="Times New Roman" w:cs="Times New Roman"/>
        </w:rPr>
        <w:t xml:space="preserve">(2021). Research gap in seed priming: A comprehensive review. </w:t>
      </w:r>
      <w:r>
        <w:rPr>
          <w:rFonts w:ascii="Times New Roman" w:hAnsi="Times New Roman" w:cs="Times New Roman"/>
          <w:i/>
          <w:iCs/>
        </w:rPr>
        <w:t>MDPI Agronomy</w:t>
      </w:r>
      <w:r>
        <w:rPr>
          <w:rFonts w:ascii="Times New Roman" w:hAnsi="Times New Roman" w:cs="Times New Roman"/>
        </w:rPr>
        <w:t xml:space="preserve">. </w:t>
      </w:r>
      <w:hyperlink r:id="rId10" w:history="1">
        <w:r>
          <w:rPr>
            <w:rStyle w:val="Hyperlink"/>
            <w:rFonts w:ascii="Times New Roman" w:hAnsi="Times New Roman" w:cs="Times New Roman"/>
          </w:rPr>
          <w:t>https://doi.org/10.3390/agronomy11010044</w:t>
        </w:r>
      </w:hyperlink>
      <w:r>
        <w:rPr>
          <w:rFonts w:ascii="Times New Roman" w:hAnsi="Times New Roman" w:cs="Times New Roman"/>
        </w:rPr>
        <w:t>.</w:t>
      </w:r>
    </w:p>
    <w:p w:rsidR="007445AD" w:rsidRDefault="007445AD">
      <w:pPr>
        <w:spacing w:after="0" w:line="240" w:lineRule="auto"/>
        <w:ind w:left="1418" w:hanging="1418"/>
        <w:jc w:val="both"/>
        <w:rPr>
          <w:rFonts w:ascii="Times New Roman" w:hAnsi="Times New Roman" w:cs="Times New Roman"/>
        </w:rPr>
      </w:pPr>
    </w:p>
    <w:p w:rsidR="007445AD" w:rsidRDefault="00896AC3">
      <w:pPr>
        <w:spacing w:after="0" w:line="240" w:lineRule="auto"/>
        <w:ind w:left="1418" w:hanging="1418"/>
        <w:jc w:val="both"/>
        <w:rPr>
          <w:rFonts w:ascii="Times New Roman" w:hAnsi="Times New Roman" w:cs="Times New Roman"/>
        </w:rPr>
      </w:pPr>
      <w:r>
        <w:rPr>
          <w:rFonts w:ascii="Times New Roman" w:hAnsi="Times New Roman" w:cs="Times New Roman"/>
        </w:rPr>
        <w:t xml:space="preserve">Baskin, C. C., &amp; Baskin, J. M. (2014). </w:t>
      </w:r>
      <w:r>
        <w:rPr>
          <w:rFonts w:ascii="Times New Roman" w:hAnsi="Times New Roman" w:cs="Times New Roman"/>
          <w:i/>
          <w:iCs/>
        </w:rPr>
        <w:t>Seeds: Ecology, biogeography, and evolution of dormancy and germination</w:t>
      </w:r>
      <w:r>
        <w:rPr>
          <w:rFonts w:ascii="Times New Roman" w:hAnsi="Times New Roman" w:cs="Times New Roman"/>
        </w:rPr>
        <w:t>. Elsevier.</w:t>
      </w:r>
    </w:p>
    <w:p w:rsidR="007445AD" w:rsidRDefault="007445AD">
      <w:pPr>
        <w:spacing w:after="0" w:line="240" w:lineRule="auto"/>
        <w:ind w:left="1418" w:hanging="1418"/>
        <w:jc w:val="both"/>
        <w:rPr>
          <w:rFonts w:ascii="Times New Roman" w:hAnsi="Times New Roman" w:cs="Times New Roman"/>
        </w:rPr>
      </w:pPr>
    </w:p>
    <w:p w:rsidR="007445AD" w:rsidRDefault="00896AC3">
      <w:pPr>
        <w:spacing w:after="0" w:line="240" w:lineRule="auto"/>
        <w:ind w:left="1418" w:hanging="1418"/>
        <w:jc w:val="both"/>
        <w:rPr>
          <w:rFonts w:ascii="Times New Roman" w:hAnsi="Times New Roman" w:cs="Times New Roman"/>
        </w:rPr>
      </w:pPr>
      <w:commentRangeStart w:id="14"/>
      <w:r>
        <w:rPr>
          <w:rFonts w:ascii="Times New Roman" w:hAnsi="Times New Roman" w:cs="Times New Roman"/>
        </w:rPr>
        <w:t>Chen, A. Fessehaie, and R. Arora, “Dehydrin metabolism is altered during seed osmopriming and subsequent germination under chilling and desiccation in Spinacia oleracea L. cv. Bloomsdale: possible role in stress tolerance,” Plant Science, vol. 183, pp. 27–36, 2012.</w:t>
      </w:r>
    </w:p>
    <w:p w:rsidR="007445AD" w:rsidRDefault="007445AD">
      <w:pPr>
        <w:spacing w:after="0" w:line="240" w:lineRule="auto"/>
        <w:ind w:left="1418" w:hanging="1418"/>
        <w:jc w:val="both"/>
        <w:rPr>
          <w:rFonts w:ascii="Times New Roman" w:hAnsi="Times New Roman" w:cs="Times New Roman"/>
        </w:rPr>
      </w:pPr>
    </w:p>
    <w:commentRangeEnd w:id="14"/>
    <w:p w:rsidR="007445AD" w:rsidRDefault="007429B0">
      <w:pPr>
        <w:spacing w:after="0" w:line="240" w:lineRule="auto"/>
        <w:ind w:left="1418" w:hanging="1418"/>
        <w:jc w:val="both"/>
        <w:rPr>
          <w:rFonts w:ascii="Times New Roman" w:hAnsi="Times New Roman" w:cs="Times New Roman"/>
        </w:rPr>
      </w:pPr>
      <w:r>
        <w:rPr>
          <w:rStyle w:val="CommentReference"/>
        </w:rPr>
        <w:commentReference w:id="14"/>
      </w:r>
      <w:r w:rsidR="00896AC3">
        <w:rPr>
          <w:rFonts w:ascii="Times New Roman" w:hAnsi="Times New Roman" w:cs="Times New Roman"/>
        </w:rPr>
        <w:t>De Guzman, Ronel &amp;Dadural, Michelle. (2021). Seed Germination and Seedling Growth of Mango as Affected by Different Concentrations of Wood Vinegar. 9. 49–60. 10.5281/zenodo.4764690.</w:t>
      </w:r>
    </w:p>
    <w:p w:rsidR="007445AD" w:rsidRDefault="007445AD">
      <w:pPr>
        <w:spacing w:after="0" w:line="240" w:lineRule="auto"/>
        <w:ind w:left="1418" w:hanging="1418"/>
        <w:jc w:val="both"/>
        <w:rPr>
          <w:rFonts w:ascii="Times New Roman" w:hAnsi="Times New Roman" w:cs="Times New Roman"/>
          <w:lang w:val="pt-PT"/>
        </w:rPr>
      </w:pPr>
    </w:p>
    <w:p w:rsidR="007445AD" w:rsidRDefault="00896AC3">
      <w:pPr>
        <w:spacing w:after="0" w:line="240" w:lineRule="auto"/>
        <w:ind w:left="1418" w:hanging="1418"/>
        <w:jc w:val="both"/>
        <w:rPr>
          <w:rFonts w:ascii="Times New Roman" w:hAnsi="Times New Roman" w:cs="Times New Roman"/>
        </w:rPr>
      </w:pPr>
      <w:r>
        <w:rPr>
          <w:rFonts w:ascii="Times New Roman" w:hAnsi="Times New Roman" w:cs="Times New Roman"/>
          <w:lang w:val="pt-PT"/>
        </w:rPr>
        <w:t xml:space="preserve">De La Pena MG, Reglos RA, De Guzman CC. </w:t>
      </w:r>
      <w:r>
        <w:rPr>
          <w:rFonts w:ascii="Times New Roman" w:hAnsi="Times New Roman" w:cs="Times New Roman"/>
        </w:rPr>
        <w:t>Influence of different types organic fertilizer on growth and essential oil yield of sweet basil (Ocimumbasilicum Linn.).The Philippine Agricultural Scientist. 2002;85(1):15-18.</w:t>
      </w:r>
    </w:p>
    <w:p w:rsidR="007445AD" w:rsidRDefault="007445AD">
      <w:pPr>
        <w:spacing w:after="0" w:line="240" w:lineRule="auto"/>
        <w:ind w:left="1418" w:hanging="1418"/>
        <w:jc w:val="both"/>
        <w:rPr>
          <w:rFonts w:ascii="Times New Roman" w:hAnsi="Times New Roman" w:cs="Times New Roman"/>
        </w:rPr>
      </w:pPr>
    </w:p>
    <w:p w:rsidR="007445AD" w:rsidRDefault="00896AC3">
      <w:pPr>
        <w:spacing w:after="0" w:line="240" w:lineRule="auto"/>
        <w:ind w:left="1418" w:hanging="1418"/>
        <w:jc w:val="both"/>
        <w:rPr>
          <w:rFonts w:ascii="Times New Roman" w:hAnsi="Times New Roman" w:cs="Times New Roman"/>
        </w:rPr>
      </w:pPr>
      <w:commentRangeStart w:id="15"/>
      <w:commentRangeStart w:id="16"/>
      <w:r>
        <w:rPr>
          <w:rFonts w:ascii="Times New Roman" w:hAnsi="Times New Roman" w:cs="Times New Roman"/>
        </w:rPr>
        <w:t>Heydecker, .M., J. Higgins, and R. L. Gulliver, “Accelerated germination by osmotic seed treatment,” Nature, vol. 246, no. 5427, pp. 42–44, 1973.</w:t>
      </w:r>
      <w:commentRangeEnd w:id="15"/>
      <w:r w:rsidR="007429B0">
        <w:rPr>
          <w:rStyle w:val="CommentReference"/>
        </w:rPr>
        <w:commentReference w:id="15"/>
      </w:r>
      <w:commentRangeEnd w:id="16"/>
      <w:r w:rsidR="007429B0">
        <w:rPr>
          <w:rStyle w:val="CommentReference"/>
        </w:rPr>
        <w:commentReference w:id="16"/>
      </w:r>
    </w:p>
    <w:p w:rsidR="007445AD" w:rsidRDefault="007445AD">
      <w:pPr>
        <w:spacing w:after="0" w:line="240" w:lineRule="auto"/>
        <w:ind w:left="1418" w:hanging="1418"/>
        <w:jc w:val="both"/>
        <w:rPr>
          <w:rFonts w:ascii="Times New Roman" w:hAnsi="Times New Roman" w:cs="Times New Roman"/>
        </w:rPr>
      </w:pPr>
    </w:p>
    <w:p w:rsidR="007445AD" w:rsidRDefault="00896AC3">
      <w:pPr>
        <w:spacing w:after="0" w:line="240" w:lineRule="auto"/>
        <w:ind w:left="1418" w:hanging="1418"/>
        <w:jc w:val="both"/>
        <w:rPr>
          <w:rFonts w:ascii="Times New Roman" w:hAnsi="Times New Roman" w:cs="Times New Roman"/>
        </w:rPr>
      </w:pPr>
      <w:commentRangeStart w:id="17"/>
      <w:r>
        <w:rPr>
          <w:rFonts w:ascii="Times New Roman" w:hAnsi="Times New Roman" w:cs="Times New Roman"/>
        </w:rPr>
        <w:t>Iedan, S.F., &amp;Alag, M.K. (2021). THE ROLE OF PRIMING SEEDS WITH SALICYLIC ACID IN IMPROVING SOME VEGETATIVE GROWTH CHARACTERISTICS OF SWEET CORN UNDER WATER STRESS CONDITIONS. </w:t>
      </w:r>
      <w:r>
        <w:rPr>
          <w:rFonts w:ascii="Times New Roman" w:hAnsi="Times New Roman" w:cs="Times New Roman"/>
          <w:i/>
          <w:iCs/>
        </w:rPr>
        <w:t>Plant Archives, 21</w:t>
      </w:r>
      <w:r>
        <w:rPr>
          <w:rFonts w:ascii="Times New Roman" w:hAnsi="Times New Roman" w:cs="Times New Roman"/>
        </w:rPr>
        <w:t xml:space="preserve">, 1548-1554. </w:t>
      </w:r>
      <w:hyperlink r:id="rId11" w:history="1">
        <w:r>
          <w:rPr>
            <w:rStyle w:val="Hyperlink"/>
            <w:rFonts w:ascii="Times New Roman" w:hAnsi="Times New Roman" w:cs="Times New Roman"/>
          </w:rPr>
          <w:t>https://doi.org/10.51470/PLANTARCHIVES.2021.V21.S1.244</w:t>
        </w:r>
      </w:hyperlink>
      <w:commentRangeEnd w:id="17"/>
      <w:r w:rsidR="007429B0">
        <w:rPr>
          <w:rStyle w:val="CommentReference"/>
        </w:rPr>
        <w:commentReference w:id="17"/>
      </w:r>
    </w:p>
    <w:p w:rsidR="007445AD" w:rsidRDefault="007445AD">
      <w:pPr>
        <w:spacing w:after="0" w:line="240" w:lineRule="auto"/>
        <w:ind w:left="1418" w:hanging="1418"/>
        <w:jc w:val="both"/>
        <w:rPr>
          <w:rFonts w:ascii="Times New Roman" w:hAnsi="Times New Roman" w:cs="Times New Roman"/>
        </w:rPr>
      </w:pPr>
    </w:p>
    <w:p w:rsidR="007445AD" w:rsidRDefault="00896AC3">
      <w:pPr>
        <w:spacing w:after="0" w:line="240" w:lineRule="auto"/>
        <w:ind w:left="1418" w:hanging="1418"/>
        <w:jc w:val="both"/>
        <w:rPr>
          <w:rFonts w:ascii="Times New Roman" w:hAnsi="Times New Roman" w:cs="Times New Roman"/>
        </w:rPr>
      </w:pPr>
      <w:r>
        <w:rPr>
          <w:rFonts w:ascii="Times New Roman" w:hAnsi="Times New Roman" w:cs="Times New Roman"/>
        </w:rPr>
        <w:t xml:space="preserve">Lei, M., Zhang, Y., &amp; Zhang, H. (2018). Effect of adding wood vinegar on cucumber (Cucumis sativus L) seed germination. </w:t>
      </w:r>
      <w:r>
        <w:rPr>
          <w:rFonts w:ascii="Times New Roman" w:hAnsi="Times New Roman" w:cs="Times New Roman"/>
          <w:i/>
          <w:iCs/>
        </w:rPr>
        <w:t>IOP Conference Series: Earth and Environmental Science, 128</w:t>
      </w:r>
      <w:r>
        <w:rPr>
          <w:rFonts w:ascii="Times New Roman" w:hAnsi="Times New Roman" w:cs="Times New Roman"/>
        </w:rPr>
        <w:t xml:space="preserve">, 012186. </w:t>
      </w:r>
      <w:hyperlink r:id="rId12" w:history="1">
        <w:r>
          <w:rPr>
            <w:rStyle w:val="Hyperlink"/>
            <w:rFonts w:ascii="Times New Roman" w:hAnsi="Times New Roman" w:cs="Times New Roman"/>
          </w:rPr>
          <w:t>https://doi.org/10.1088/1755-1315/128/1/012186</w:t>
        </w:r>
      </w:hyperlink>
    </w:p>
    <w:p w:rsidR="007445AD" w:rsidRDefault="007445AD">
      <w:pPr>
        <w:spacing w:after="0" w:line="240" w:lineRule="auto"/>
        <w:ind w:left="1418" w:hanging="1418"/>
        <w:jc w:val="both"/>
        <w:rPr>
          <w:rFonts w:ascii="Times New Roman" w:hAnsi="Times New Roman" w:cs="Times New Roman"/>
        </w:rPr>
      </w:pPr>
      <w:commentRangeStart w:id="18"/>
    </w:p>
    <w:p w:rsidR="007445AD" w:rsidRDefault="00896AC3">
      <w:pPr>
        <w:spacing w:after="0" w:line="240" w:lineRule="auto"/>
        <w:ind w:left="1418" w:hanging="1418"/>
        <w:jc w:val="both"/>
        <w:rPr>
          <w:rFonts w:ascii="Times New Roman" w:hAnsi="Times New Roman" w:cs="Times New Roman"/>
        </w:rPr>
      </w:pPr>
      <w:r>
        <w:rPr>
          <w:rFonts w:ascii="Times New Roman" w:hAnsi="Times New Roman" w:cs="Times New Roman"/>
        </w:rPr>
        <w:t xml:space="preserve">Mutalib, A. M., Singh, A., &amp; Yap, L. V. (2023). Influence of priming treatments on seed germination and growth characteristics of </w:t>
      </w:r>
      <w:r>
        <w:rPr>
          <w:rFonts w:ascii="Times New Roman" w:hAnsi="Times New Roman" w:cs="Times New Roman"/>
          <w:i/>
          <w:iCs/>
        </w:rPr>
        <w:t>Moringa oleifera</w:t>
      </w:r>
      <w:r>
        <w:rPr>
          <w:rFonts w:ascii="Times New Roman" w:hAnsi="Times New Roman" w:cs="Times New Roman"/>
        </w:rPr>
        <w:t xml:space="preserve"> seedlings under laboratory and greenhouse conditions. </w:t>
      </w:r>
      <w:r>
        <w:rPr>
          <w:rFonts w:ascii="Times New Roman" w:hAnsi="Times New Roman" w:cs="Times New Roman"/>
          <w:i/>
          <w:iCs/>
        </w:rPr>
        <w:t>Food Research</w:t>
      </w:r>
      <w:r>
        <w:rPr>
          <w:rFonts w:ascii="Times New Roman" w:hAnsi="Times New Roman" w:cs="Times New Roman"/>
        </w:rPr>
        <w:t xml:space="preserve">, 6(Suppl. 4), 71–80. Retrieved from </w:t>
      </w:r>
      <w:hyperlink r:id="rId13" w:history="1">
        <w:r>
          <w:rPr>
            <w:rStyle w:val="Hyperlink"/>
            <w:rFonts w:ascii="Times New Roman" w:hAnsi="Times New Roman" w:cs="Times New Roman"/>
          </w:rPr>
          <w:t>https://www.myfoodresearch.com</w:t>
        </w:r>
      </w:hyperlink>
    </w:p>
    <w:commentRangeEnd w:id="18"/>
    <w:p w:rsidR="007445AD" w:rsidRDefault="007429B0">
      <w:pPr>
        <w:spacing w:after="0" w:line="240" w:lineRule="auto"/>
        <w:ind w:left="1418" w:hanging="1418"/>
        <w:jc w:val="both"/>
        <w:rPr>
          <w:rFonts w:ascii="Times New Roman" w:hAnsi="Times New Roman" w:cs="Times New Roman"/>
        </w:rPr>
      </w:pPr>
      <w:r>
        <w:rPr>
          <w:rStyle w:val="CommentReference"/>
        </w:rPr>
        <w:commentReference w:id="18"/>
      </w:r>
    </w:p>
    <w:p w:rsidR="007445AD" w:rsidRDefault="00896AC3">
      <w:pPr>
        <w:spacing w:after="0" w:line="240" w:lineRule="auto"/>
        <w:ind w:left="1418" w:hanging="1418"/>
        <w:jc w:val="both"/>
        <w:rPr>
          <w:rFonts w:ascii="Times New Roman" w:hAnsi="Times New Roman" w:cs="Times New Roman"/>
        </w:rPr>
      </w:pPr>
      <w:r>
        <w:rPr>
          <w:rFonts w:ascii="Times New Roman" w:hAnsi="Times New Roman" w:cs="Times New Roman"/>
        </w:rPr>
        <w:t xml:space="preserve">Passam, HC., and D. Kakouriotis, “The effects of osmoconditioning on the germination, emergence and early plant growth of cucumber under saline conditions,” </w:t>
      </w:r>
      <w:commentRangeStart w:id="19"/>
      <w:r>
        <w:rPr>
          <w:rFonts w:ascii="Times New Roman" w:hAnsi="Times New Roman" w:cs="Times New Roman"/>
        </w:rPr>
        <w:t>Scientia Horticulturae</w:t>
      </w:r>
      <w:commentRangeEnd w:id="19"/>
      <w:r w:rsidR="007429B0">
        <w:rPr>
          <w:rStyle w:val="CommentReference"/>
        </w:rPr>
        <w:commentReference w:id="19"/>
      </w:r>
      <w:r>
        <w:rPr>
          <w:rFonts w:ascii="Times New Roman" w:hAnsi="Times New Roman" w:cs="Times New Roman"/>
        </w:rPr>
        <w:t>, vol. 57, no. 3, pp. 233–240, 1994.</w:t>
      </w:r>
    </w:p>
    <w:p w:rsidR="007445AD" w:rsidRDefault="00896AC3">
      <w:pPr>
        <w:spacing w:after="0" w:line="240" w:lineRule="auto"/>
        <w:ind w:left="1418" w:hanging="1418"/>
        <w:jc w:val="both"/>
        <w:rPr>
          <w:rFonts w:ascii="Times New Roman" w:hAnsi="Times New Roman" w:cs="Times New Roman"/>
        </w:rPr>
      </w:pPr>
      <w:r>
        <w:rPr>
          <w:rFonts w:ascii="Times New Roman" w:hAnsi="Times New Roman" w:cs="Times New Roman"/>
        </w:rPr>
        <w:t xml:space="preserve">Rocha LV, Digma GL (2022) Growth and Yield of White </w:t>
      </w:r>
      <w:commentRangeStart w:id="20"/>
      <w:r>
        <w:rPr>
          <w:rFonts w:ascii="Times New Roman" w:hAnsi="Times New Roman" w:cs="Times New Roman"/>
        </w:rPr>
        <w:t xml:space="preserve">Corn (Zea mays </w:t>
      </w:r>
      <w:commentRangeEnd w:id="20"/>
      <w:r w:rsidR="007429B0">
        <w:rPr>
          <w:rStyle w:val="CommentReference"/>
        </w:rPr>
        <w:commentReference w:id="20"/>
      </w:r>
      <w:r>
        <w:rPr>
          <w:rFonts w:ascii="Times New Roman" w:hAnsi="Times New Roman" w:cs="Times New Roman"/>
        </w:rPr>
        <w:t>L.) as Affected by Growth Enhancer. Agrotechnology. 11:289</w:t>
      </w:r>
    </w:p>
    <w:p w:rsidR="007445AD" w:rsidRDefault="007445AD">
      <w:pPr>
        <w:spacing w:after="0" w:line="240" w:lineRule="auto"/>
        <w:jc w:val="both"/>
        <w:rPr>
          <w:rFonts w:ascii="Century Gothic" w:hAnsi="Century Gothic"/>
          <w:sz w:val="24"/>
          <w:szCs w:val="24"/>
        </w:rPr>
      </w:pPr>
    </w:p>
    <w:p w:rsidR="007445AD" w:rsidRDefault="007445AD">
      <w:pPr>
        <w:spacing w:after="0" w:line="240" w:lineRule="auto"/>
        <w:ind w:left="1418" w:hanging="1418"/>
        <w:jc w:val="both"/>
        <w:rPr>
          <w:rFonts w:ascii="Times New Roman" w:hAnsi="Times New Roman" w:cs="Times New Roman"/>
          <w:sz w:val="24"/>
          <w:szCs w:val="24"/>
        </w:rPr>
      </w:pPr>
    </w:p>
    <w:sectPr w:rsidR="007445AD" w:rsidSect="00B840C9">
      <w:headerReference w:type="even" r:id="rId14"/>
      <w:headerReference w:type="default" r:id="rId15"/>
      <w:footerReference w:type="even" r:id="rId16"/>
      <w:footerReference w:type="default" r:id="rId17"/>
      <w:headerReference w:type="first" r:id="rId18"/>
      <w:footerReference w:type="first" r:id="rId19"/>
      <w:pgSz w:w="12240" w:h="15840"/>
      <w:pgMar w:top="1440" w:right="1608"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dell" w:date="2025-05-06T13:44:00Z" w:initials="d">
    <w:p w:rsidR="007429B0" w:rsidRDefault="007429B0">
      <w:pPr>
        <w:pStyle w:val="CommentText"/>
      </w:pPr>
      <w:r>
        <w:rPr>
          <w:rStyle w:val="CommentReference"/>
        </w:rPr>
        <w:annotationRef/>
      </w:r>
      <w:r>
        <w:t>italic</w:t>
      </w:r>
    </w:p>
  </w:comment>
  <w:comment w:id="0" w:author="dell" w:date="2025-05-06T13:04:00Z" w:initials="d">
    <w:p w:rsidR="00B263A6" w:rsidRDefault="00B263A6">
      <w:pPr>
        <w:pStyle w:val="CommentText"/>
      </w:pPr>
      <w:r>
        <w:rPr>
          <w:rStyle w:val="CommentReference"/>
        </w:rPr>
        <w:annotationRef/>
      </w:r>
      <w:r>
        <w:t>Abstract is sufficient</w:t>
      </w:r>
    </w:p>
  </w:comment>
  <w:comment w:id="3" w:author="dell" w:date="2025-05-06T13:46:00Z" w:initials="d">
    <w:p w:rsidR="007429B0" w:rsidRDefault="007429B0">
      <w:pPr>
        <w:pStyle w:val="CommentText"/>
      </w:pPr>
      <w:r>
        <w:rPr>
          <w:rStyle w:val="CommentReference"/>
        </w:rPr>
        <w:annotationRef/>
      </w:r>
      <w:r>
        <w:t xml:space="preserve"> Add Importance of sweet corn in philliphines</w:t>
      </w:r>
    </w:p>
  </w:comment>
  <w:comment w:id="2" w:author="dell" w:date="2025-05-06T13:02:00Z" w:initials="d">
    <w:p w:rsidR="00B263A6" w:rsidRDefault="00B263A6">
      <w:pPr>
        <w:pStyle w:val="CommentText"/>
      </w:pPr>
      <w:r>
        <w:rPr>
          <w:rStyle w:val="CommentReference"/>
        </w:rPr>
        <w:annotationRef/>
      </w:r>
      <w:r>
        <w:t>Introduction is good but most of lines are complicated, you can write intro in simple language also.</w:t>
      </w:r>
    </w:p>
  </w:comment>
  <w:comment w:id="4" w:author="dell" w:date="2025-05-06T13:03:00Z" w:initials="d">
    <w:p w:rsidR="00B263A6" w:rsidRDefault="00B263A6">
      <w:pPr>
        <w:pStyle w:val="CommentText"/>
      </w:pPr>
      <w:r>
        <w:rPr>
          <w:rStyle w:val="CommentReference"/>
        </w:rPr>
        <w:annotationRef/>
      </w:r>
      <w:r>
        <w:t>Nice</w:t>
      </w:r>
    </w:p>
  </w:comment>
  <w:comment w:id="6" w:author="dell" w:date="2025-05-06T13:11:00Z" w:initials="d">
    <w:p w:rsidR="00B263A6" w:rsidRDefault="00B263A6">
      <w:pPr>
        <w:pStyle w:val="CommentText"/>
      </w:pPr>
      <w:r>
        <w:rPr>
          <w:rStyle w:val="CommentReference"/>
        </w:rPr>
        <w:annotationRef/>
      </w:r>
      <w:r>
        <w:t>This is ok</w:t>
      </w:r>
    </w:p>
  </w:comment>
  <w:comment w:id="7" w:author="dell" w:date="2025-05-06T13:11:00Z" w:initials="d">
    <w:p w:rsidR="00B263A6" w:rsidRDefault="00B263A6">
      <w:pPr>
        <w:pStyle w:val="CommentText"/>
      </w:pPr>
      <w:r>
        <w:rPr>
          <w:rStyle w:val="CommentReference"/>
        </w:rPr>
        <w:annotationRef/>
      </w:r>
      <w:r>
        <w:t>No need of this</w:t>
      </w:r>
    </w:p>
  </w:comment>
  <w:comment w:id="5" w:author="dell" w:date="2025-05-06T13:11:00Z" w:initials="d">
    <w:p w:rsidR="00B263A6" w:rsidRDefault="00B263A6">
      <w:pPr>
        <w:pStyle w:val="CommentText"/>
      </w:pPr>
      <w:r>
        <w:rPr>
          <w:rStyle w:val="CommentReference"/>
        </w:rPr>
        <w:annotationRef/>
      </w:r>
      <w:r>
        <w:t>No need of this</w:t>
      </w:r>
    </w:p>
  </w:comment>
  <w:comment w:id="8" w:author="dell" w:date="2025-05-06T13:38:00Z" w:initials="d">
    <w:p w:rsidR="007429B0" w:rsidRDefault="007429B0">
      <w:pPr>
        <w:pStyle w:val="CommentText"/>
      </w:pPr>
      <w:r>
        <w:rPr>
          <w:rStyle w:val="CommentReference"/>
        </w:rPr>
        <w:annotationRef/>
      </w:r>
      <w:r>
        <w:t>italic</w:t>
      </w:r>
    </w:p>
  </w:comment>
  <w:comment w:id="9" w:author="dell" w:date="2025-05-06T13:39:00Z" w:initials="d">
    <w:p w:rsidR="007429B0" w:rsidRDefault="007429B0">
      <w:pPr>
        <w:pStyle w:val="CommentText"/>
      </w:pPr>
      <w:r>
        <w:rPr>
          <w:rStyle w:val="CommentReference"/>
        </w:rPr>
        <w:annotationRef/>
      </w:r>
      <w:r>
        <w:t>?</w:t>
      </w:r>
    </w:p>
  </w:comment>
  <w:comment w:id="10" w:author="dell" w:date="2025-05-06T13:41:00Z" w:initials="d">
    <w:p w:rsidR="007429B0" w:rsidRDefault="007429B0">
      <w:pPr>
        <w:pStyle w:val="CommentText"/>
      </w:pPr>
      <w:r>
        <w:rPr>
          <w:rStyle w:val="CommentReference"/>
        </w:rPr>
        <w:annotationRef/>
      </w:r>
      <w:r>
        <w:t>italic</w:t>
      </w:r>
    </w:p>
  </w:comment>
  <w:comment w:id="12" w:author="dell" w:date="2025-05-06T13:50:00Z" w:initials="d">
    <w:p w:rsidR="007429B0" w:rsidRDefault="007429B0">
      <w:pPr>
        <w:pStyle w:val="CommentText"/>
      </w:pPr>
      <w:r>
        <w:rPr>
          <w:rStyle w:val="CommentReference"/>
        </w:rPr>
        <w:annotationRef/>
      </w:r>
    </w:p>
  </w:comment>
  <w:comment w:id="13" w:author="dell" w:date="2025-05-06T13:50:00Z" w:initials="d">
    <w:p w:rsidR="007429B0" w:rsidRDefault="007429B0">
      <w:pPr>
        <w:pStyle w:val="CommentText"/>
      </w:pPr>
      <w:r>
        <w:rPr>
          <w:rStyle w:val="CommentReference"/>
        </w:rPr>
        <w:annotationRef/>
      </w:r>
      <w:r>
        <w:t>remove etal</w:t>
      </w:r>
    </w:p>
  </w:comment>
  <w:comment w:id="14" w:author="dell" w:date="2025-05-06T13:51:00Z" w:initials="d">
    <w:p w:rsidR="007429B0" w:rsidRDefault="007429B0">
      <w:pPr>
        <w:pStyle w:val="CommentText"/>
      </w:pPr>
      <w:r>
        <w:rPr>
          <w:rStyle w:val="CommentReference"/>
        </w:rPr>
        <w:annotationRef/>
      </w:r>
      <w:r>
        <w:t>use same format for all referances</w:t>
      </w:r>
    </w:p>
  </w:comment>
  <w:comment w:id="15" w:author="dell" w:date="2025-05-06T13:51:00Z" w:initials="d">
    <w:p w:rsidR="007429B0" w:rsidRDefault="007429B0">
      <w:pPr>
        <w:pStyle w:val="CommentText"/>
      </w:pPr>
      <w:r>
        <w:rPr>
          <w:rStyle w:val="CommentReference"/>
        </w:rPr>
        <w:annotationRef/>
      </w:r>
    </w:p>
  </w:comment>
  <w:comment w:id="16" w:author="dell" w:date="2025-05-06T13:51:00Z" w:initials="d">
    <w:p w:rsidR="007429B0" w:rsidRDefault="007429B0">
      <w:pPr>
        <w:pStyle w:val="CommentText"/>
      </w:pPr>
      <w:r>
        <w:rPr>
          <w:rStyle w:val="CommentReference"/>
        </w:rPr>
        <w:annotationRef/>
      </w:r>
    </w:p>
  </w:comment>
  <w:comment w:id="17" w:author="dell" w:date="2025-05-06T13:51:00Z" w:initials="d">
    <w:p w:rsidR="007429B0" w:rsidRDefault="007429B0">
      <w:pPr>
        <w:pStyle w:val="CommentText"/>
      </w:pPr>
      <w:r>
        <w:rPr>
          <w:rStyle w:val="CommentReference"/>
        </w:rPr>
        <w:annotationRef/>
      </w:r>
      <w:r>
        <w:t>use one format</w:t>
      </w:r>
    </w:p>
  </w:comment>
  <w:comment w:id="18" w:author="dell" w:date="2025-05-06T15:11:00Z" w:initials="d">
    <w:p w:rsidR="007429B0" w:rsidRDefault="007429B0">
      <w:pPr>
        <w:pStyle w:val="CommentText"/>
      </w:pPr>
      <w:r>
        <w:rPr>
          <w:rStyle w:val="CommentReference"/>
        </w:rPr>
        <w:annotationRef/>
      </w:r>
      <w:r>
        <w:t>use one format</w:t>
      </w:r>
    </w:p>
  </w:comment>
  <w:comment w:id="19" w:author="dell" w:date="2025-05-06T13:52:00Z" w:initials="d">
    <w:p w:rsidR="007429B0" w:rsidRDefault="007429B0">
      <w:pPr>
        <w:pStyle w:val="CommentText"/>
      </w:pPr>
      <w:r>
        <w:rPr>
          <w:rStyle w:val="CommentReference"/>
        </w:rPr>
        <w:annotationRef/>
      </w:r>
      <w:r>
        <w:t>italic</w:t>
      </w:r>
    </w:p>
  </w:comment>
  <w:comment w:id="20" w:author="dell" w:date="2025-05-06T13:52:00Z" w:initials="d">
    <w:p w:rsidR="007429B0" w:rsidRDefault="007429B0">
      <w:pPr>
        <w:pStyle w:val="CommentText"/>
      </w:pPr>
      <w:r>
        <w:rPr>
          <w:rStyle w:val="CommentReference"/>
        </w:rPr>
        <w:annotationRef/>
      </w:r>
      <w:r>
        <w:t>italic</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3E77" w:rsidRDefault="006A3E77">
      <w:pPr>
        <w:spacing w:line="240" w:lineRule="auto"/>
      </w:pPr>
      <w:r>
        <w:separator/>
      </w:r>
    </w:p>
  </w:endnote>
  <w:endnote w:type="continuationSeparator" w:id="1">
    <w:p w:rsidR="006A3E77" w:rsidRDefault="006A3E7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426" w:rsidRDefault="00AE24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5AD" w:rsidRDefault="00B840C9">
    <w:pPr>
      <w:pStyle w:val="Footer"/>
    </w:pPr>
    <w:r w:rsidRPr="00B840C9">
      <w:rPr>
        <w:noProof/>
      </w:rPr>
      <w:pict>
        <v:shapetype id="_x0000_t202" coordsize="21600,21600" o:spt="202" path="m,l,21600r21600,l21600,xe">
          <v:stroke joinstyle="miter"/>
          <v:path gradientshapeok="t" o:connecttype="rect"/>
        </v:shapetype>
        <v:shape id="Text Box 2" o:spid="_x0000_s2052" type="#_x0000_t202" style="position:absolute;margin-left:196.8pt;margin-top:0;width:2in;height:2in;z-index:251659264;visibility:visible;mso-wrap-style:non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Bot1TPuwEAAGwDAAAOAAAAAAAAAAAAAAAAAC4CAABkcnMvZTJvRG9j&#10;LnhtbFBLAQItABQABgAIAAAAIQAMSvDu1gAAAAUBAAAPAAAAAAAAAAAAAAAAABUEAABkcnMvZG93&#10;bnJldi54bWxQSwUGAAAAAAQABADzAAAAGAUAAAAA&#10;" filled="f" stroked="f">
          <v:textbox style="mso-fit-shape-to-text:t" inset="0,0,0,0">
            <w:txbxContent>
              <w:p w:rsidR="007445AD" w:rsidRDefault="00B840C9">
                <w:pPr>
                  <w:pStyle w:val="Footer"/>
                </w:pPr>
                <w:r>
                  <w:fldChar w:fldCharType="begin"/>
                </w:r>
                <w:r w:rsidR="00896AC3">
                  <w:instrText xml:space="preserve"> PAGE  \* MERGEFORMAT </w:instrText>
                </w:r>
                <w:r>
                  <w:fldChar w:fldCharType="separate"/>
                </w:r>
                <w:r w:rsidR="007429B0">
                  <w:rPr>
                    <w:noProof/>
                  </w:rPr>
                  <w:t>1</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426" w:rsidRDefault="00AE24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3E77" w:rsidRDefault="006A3E77">
      <w:pPr>
        <w:spacing w:after="0"/>
      </w:pPr>
      <w:r>
        <w:separator/>
      </w:r>
    </w:p>
  </w:footnote>
  <w:footnote w:type="continuationSeparator" w:id="1">
    <w:p w:rsidR="006A3E77" w:rsidRDefault="006A3E7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426" w:rsidRDefault="00B840C9">
    <w:pPr>
      <w:pStyle w:val="Header"/>
    </w:pPr>
    <w:r w:rsidRPr="00B840C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292032" o:spid="_x0000_s2050" type="#_x0000_t136" style="position:absolute;margin-left:0;margin-top:0;width:545.6pt;height:102.3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426" w:rsidRDefault="00B840C9">
    <w:pPr>
      <w:pStyle w:val="Header"/>
    </w:pPr>
    <w:r w:rsidRPr="00B840C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292033" o:spid="_x0000_s2051" type="#_x0000_t136" style="position:absolute;margin-left:0;margin-top:0;width:545.6pt;height:102.3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426" w:rsidRDefault="00B840C9">
    <w:pPr>
      <w:pStyle w:val="Header"/>
    </w:pPr>
    <w:r w:rsidRPr="00B840C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292031" o:spid="_x0000_s2049" type="#_x0000_t136" style="position:absolute;margin-left:0;margin-top:0;width:545.6pt;height:102.3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6C5F59"/>
    <w:multiLevelType w:val="multilevel"/>
    <w:tmpl w:val="346C5F59"/>
    <w:lvl w:ilvl="0">
      <w:start w:val="1"/>
      <w:numFmt w:val="decimal"/>
      <w:lvlText w:val="%1."/>
      <w:lvlJc w:val="left"/>
      <w:pPr>
        <w:ind w:left="5760" w:hanging="360"/>
      </w:pPr>
      <w:rPr>
        <w:rFonts w:hint="default"/>
      </w:rPr>
    </w:lvl>
    <w:lvl w:ilvl="1">
      <w:start w:val="1"/>
      <w:numFmt w:val="lowerLetter"/>
      <w:lvlText w:val="%2."/>
      <w:lvlJc w:val="left"/>
      <w:pPr>
        <w:ind w:left="6480" w:hanging="360"/>
      </w:pPr>
    </w:lvl>
    <w:lvl w:ilvl="2">
      <w:start w:val="1"/>
      <w:numFmt w:val="lowerRoman"/>
      <w:lvlText w:val="%3."/>
      <w:lvlJc w:val="right"/>
      <w:pPr>
        <w:ind w:left="7200" w:hanging="180"/>
      </w:pPr>
    </w:lvl>
    <w:lvl w:ilvl="3">
      <w:start w:val="1"/>
      <w:numFmt w:val="decimal"/>
      <w:lvlText w:val="%4."/>
      <w:lvlJc w:val="left"/>
      <w:pPr>
        <w:ind w:left="7920" w:hanging="360"/>
      </w:pPr>
    </w:lvl>
    <w:lvl w:ilvl="4">
      <w:start w:val="1"/>
      <w:numFmt w:val="lowerLetter"/>
      <w:lvlText w:val="%5."/>
      <w:lvlJc w:val="left"/>
      <w:pPr>
        <w:ind w:left="8640" w:hanging="360"/>
      </w:pPr>
    </w:lvl>
    <w:lvl w:ilvl="5">
      <w:start w:val="1"/>
      <w:numFmt w:val="lowerRoman"/>
      <w:lvlText w:val="%6."/>
      <w:lvlJc w:val="right"/>
      <w:pPr>
        <w:ind w:left="9360" w:hanging="180"/>
      </w:pPr>
    </w:lvl>
    <w:lvl w:ilvl="6">
      <w:start w:val="1"/>
      <w:numFmt w:val="decimal"/>
      <w:lvlText w:val="%7."/>
      <w:lvlJc w:val="left"/>
      <w:pPr>
        <w:ind w:left="10080" w:hanging="360"/>
      </w:pPr>
    </w:lvl>
    <w:lvl w:ilvl="7">
      <w:start w:val="1"/>
      <w:numFmt w:val="lowerLetter"/>
      <w:lvlText w:val="%8."/>
      <w:lvlJc w:val="left"/>
      <w:pPr>
        <w:ind w:left="10800" w:hanging="360"/>
      </w:pPr>
    </w:lvl>
    <w:lvl w:ilvl="8">
      <w:start w:val="1"/>
      <w:numFmt w:val="lowerRoman"/>
      <w:lvlText w:val="%9."/>
      <w:lvlJc w:val="right"/>
      <w:pPr>
        <w:ind w:left="115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63094A"/>
    <w:rsid w:val="000247FF"/>
    <w:rsid w:val="00045A6F"/>
    <w:rsid w:val="00047248"/>
    <w:rsid w:val="0005148D"/>
    <w:rsid w:val="00060315"/>
    <w:rsid w:val="00071E84"/>
    <w:rsid w:val="00077227"/>
    <w:rsid w:val="000A13AE"/>
    <w:rsid w:val="000A7BB0"/>
    <w:rsid w:val="000B6C07"/>
    <w:rsid w:val="000D319D"/>
    <w:rsid w:val="000D4519"/>
    <w:rsid w:val="001010F3"/>
    <w:rsid w:val="00106331"/>
    <w:rsid w:val="001765D5"/>
    <w:rsid w:val="001A4E39"/>
    <w:rsid w:val="001E5AD3"/>
    <w:rsid w:val="00216AE1"/>
    <w:rsid w:val="00230CD4"/>
    <w:rsid w:val="00271D03"/>
    <w:rsid w:val="002A5CD1"/>
    <w:rsid w:val="002C0782"/>
    <w:rsid w:val="002D0BF1"/>
    <w:rsid w:val="002D207B"/>
    <w:rsid w:val="002D4E51"/>
    <w:rsid w:val="002F7556"/>
    <w:rsid w:val="00303B65"/>
    <w:rsid w:val="0031104A"/>
    <w:rsid w:val="003164F3"/>
    <w:rsid w:val="003301FB"/>
    <w:rsid w:val="00333F60"/>
    <w:rsid w:val="00341B16"/>
    <w:rsid w:val="003477F3"/>
    <w:rsid w:val="00350332"/>
    <w:rsid w:val="00373A3E"/>
    <w:rsid w:val="00374E25"/>
    <w:rsid w:val="003F21B4"/>
    <w:rsid w:val="004275C2"/>
    <w:rsid w:val="00456CF3"/>
    <w:rsid w:val="00480071"/>
    <w:rsid w:val="00483C00"/>
    <w:rsid w:val="0051698D"/>
    <w:rsid w:val="005254EE"/>
    <w:rsid w:val="005402F9"/>
    <w:rsid w:val="0055500A"/>
    <w:rsid w:val="00580386"/>
    <w:rsid w:val="005B555E"/>
    <w:rsid w:val="005C3038"/>
    <w:rsid w:val="0062209B"/>
    <w:rsid w:val="0063094A"/>
    <w:rsid w:val="00641D0A"/>
    <w:rsid w:val="00656A06"/>
    <w:rsid w:val="0068224B"/>
    <w:rsid w:val="006A0B8F"/>
    <w:rsid w:val="006A3E77"/>
    <w:rsid w:val="0070456C"/>
    <w:rsid w:val="00724C73"/>
    <w:rsid w:val="007429B0"/>
    <w:rsid w:val="007445AD"/>
    <w:rsid w:val="007618EF"/>
    <w:rsid w:val="007720C4"/>
    <w:rsid w:val="007725C7"/>
    <w:rsid w:val="007E0C02"/>
    <w:rsid w:val="007F6B48"/>
    <w:rsid w:val="007F6D4B"/>
    <w:rsid w:val="0082253D"/>
    <w:rsid w:val="00883FEA"/>
    <w:rsid w:val="00896AC3"/>
    <w:rsid w:val="008A06FC"/>
    <w:rsid w:val="008A4647"/>
    <w:rsid w:val="008A58DF"/>
    <w:rsid w:val="008F1F81"/>
    <w:rsid w:val="00921AC5"/>
    <w:rsid w:val="00957C3F"/>
    <w:rsid w:val="00961589"/>
    <w:rsid w:val="009948F9"/>
    <w:rsid w:val="009A22DF"/>
    <w:rsid w:val="00A00090"/>
    <w:rsid w:val="00A07832"/>
    <w:rsid w:val="00A2755E"/>
    <w:rsid w:val="00A31E15"/>
    <w:rsid w:val="00A4338D"/>
    <w:rsid w:val="00A5349E"/>
    <w:rsid w:val="00A6412D"/>
    <w:rsid w:val="00A808D7"/>
    <w:rsid w:val="00A85624"/>
    <w:rsid w:val="00AC406A"/>
    <w:rsid w:val="00AE019F"/>
    <w:rsid w:val="00AE2426"/>
    <w:rsid w:val="00B175BA"/>
    <w:rsid w:val="00B23DE4"/>
    <w:rsid w:val="00B263A6"/>
    <w:rsid w:val="00B403A6"/>
    <w:rsid w:val="00B40513"/>
    <w:rsid w:val="00B475B8"/>
    <w:rsid w:val="00B66F54"/>
    <w:rsid w:val="00B840C9"/>
    <w:rsid w:val="00B861FA"/>
    <w:rsid w:val="00B92963"/>
    <w:rsid w:val="00BB4FF1"/>
    <w:rsid w:val="00BE5781"/>
    <w:rsid w:val="00BF30DF"/>
    <w:rsid w:val="00BF55A0"/>
    <w:rsid w:val="00C34B46"/>
    <w:rsid w:val="00C3722B"/>
    <w:rsid w:val="00C63767"/>
    <w:rsid w:val="00C85B1E"/>
    <w:rsid w:val="00CC3C5A"/>
    <w:rsid w:val="00CE3E1E"/>
    <w:rsid w:val="00CE4A5C"/>
    <w:rsid w:val="00CF5F68"/>
    <w:rsid w:val="00D26A90"/>
    <w:rsid w:val="00D35DB8"/>
    <w:rsid w:val="00D53298"/>
    <w:rsid w:val="00D65D8B"/>
    <w:rsid w:val="00DB3663"/>
    <w:rsid w:val="00DB6B0B"/>
    <w:rsid w:val="00E0317A"/>
    <w:rsid w:val="00E1098C"/>
    <w:rsid w:val="00E378EE"/>
    <w:rsid w:val="00EA64B6"/>
    <w:rsid w:val="00EB6FEC"/>
    <w:rsid w:val="00EC0F6D"/>
    <w:rsid w:val="00ED746B"/>
    <w:rsid w:val="00EE05A7"/>
    <w:rsid w:val="00EF5569"/>
    <w:rsid w:val="00F01FF3"/>
    <w:rsid w:val="00F67730"/>
    <w:rsid w:val="00F75736"/>
    <w:rsid w:val="00FB0E77"/>
    <w:rsid w:val="00FB304F"/>
    <w:rsid w:val="00FF06E0"/>
    <w:rsid w:val="00FF28E0"/>
    <w:rsid w:val="195B5E4E"/>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0C9"/>
    <w:pPr>
      <w:spacing w:after="160" w:line="259" w:lineRule="auto"/>
    </w:pPr>
    <w:rPr>
      <w:sz w:val="22"/>
      <w:szCs w:val="22"/>
      <w:lang w:val="en-P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840C9"/>
    <w:rPr>
      <w:i/>
      <w:iCs/>
    </w:rPr>
  </w:style>
  <w:style w:type="paragraph" w:styleId="Footer">
    <w:name w:val="footer"/>
    <w:basedOn w:val="Normal"/>
    <w:link w:val="FooterChar"/>
    <w:uiPriority w:val="99"/>
    <w:unhideWhenUsed/>
    <w:rsid w:val="00B840C9"/>
    <w:pPr>
      <w:tabs>
        <w:tab w:val="center" w:pos="4680"/>
        <w:tab w:val="right" w:pos="9360"/>
      </w:tabs>
      <w:spacing w:after="0" w:line="240" w:lineRule="auto"/>
    </w:pPr>
  </w:style>
  <w:style w:type="paragraph" w:styleId="Header">
    <w:name w:val="header"/>
    <w:basedOn w:val="Normal"/>
    <w:link w:val="HeaderChar"/>
    <w:uiPriority w:val="99"/>
    <w:unhideWhenUsed/>
    <w:qFormat/>
    <w:rsid w:val="00B840C9"/>
    <w:pPr>
      <w:tabs>
        <w:tab w:val="center" w:pos="4680"/>
        <w:tab w:val="right" w:pos="9360"/>
      </w:tabs>
      <w:spacing w:after="0" w:line="240" w:lineRule="auto"/>
    </w:pPr>
  </w:style>
  <w:style w:type="character" w:styleId="Hyperlink">
    <w:name w:val="Hyperlink"/>
    <w:basedOn w:val="DefaultParagraphFont"/>
    <w:uiPriority w:val="99"/>
    <w:unhideWhenUsed/>
    <w:rsid w:val="00B840C9"/>
    <w:rPr>
      <w:color w:val="0563C1" w:themeColor="hyperlink"/>
      <w:u w:val="single"/>
    </w:rPr>
  </w:style>
  <w:style w:type="paragraph" w:styleId="NormalWeb">
    <w:name w:val="Normal (Web)"/>
    <w:basedOn w:val="Normal"/>
    <w:uiPriority w:val="99"/>
    <w:unhideWhenUsed/>
    <w:rsid w:val="00B840C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uiPriority w:val="22"/>
    <w:qFormat/>
    <w:rsid w:val="00B840C9"/>
    <w:rPr>
      <w:b/>
      <w:bCs/>
    </w:rPr>
  </w:style>
  <w:style w:type="table" w:styleId="TableGrid">
    <w:name w:val="Table Grid"/>
    <w:basedOn w:val="TableNormal"/>
    <w:uiPriority w:val="59"/>
    <w:rsid w:val="00B840C9"/>
    <w:rPr>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B84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erChar">
    <w:name w:val="Header Char"/>
    <w:basedOn w:val="DefaultParagraphFont"/>
    <w:link w:val="Header"/>
    <w:uiPriority w:val="99"/>
    <w:qFormat/>
    <w:rsid w:val="00B840C9"/>
  </w:style>
  <w:style w:type="character" w:customStyle="1" w:styleId="FooterChar">
    <w:name w:val="Footer Char"/>
    <w:basedOn w:val="DefaultParagraphFont"/>
    <w:link w:val="Footer"/>
    <w:uiPriority w:val="99"/>
    <w:qFormat/>
    <w:rsid w:val="00B840C9"/>
  </w:style>
  <w:style w:type="paragraph" w:styleId="ListParagraph">
    <w:name w:val="List Paragraph"/>
    <w:basedOn w:val="Normal"/>
    <w:uiPriority w:val="34"/>
    <w:qFormat/>
    <w:rsid w:val="00B840C9"/>
    <w:pPr>
      <w:ind w:left="720"/>
      <w:contextualSpacing/>
    </w:pPr>
  </w:style>
  <w:style w:type="paragraph" w:styleId="NoSpacing">
    <w:name w:val="No Spacing"/>
    <w:uiPriority w:val="1"/>
    <w:qFormat/>
    <w:rsid w:val="00B840C9"/>
    <w:rPr>
      <w:sz w:val="22"/>
      <w:szCs w:val="22"/>
      <w:lang w:val="en-PH" w:eastAsia="en-US"/>
    </w:rPr>
  </w:style>
  <w:style w:type="character" w:customStyle="1" w:styleId="TitleChar">
    <w:name w:val="Title Char"/>
    <w:basedOn w:val="DefaultParagraphFont"/>
    <w:link w:val="Title"/>
    <w:uiPriority w:val="10"/>
    <w:rsid w:val="00B840C9"/>
    <w:rPr>
      <w:rFonts w:asciiTheme="majorHAnsi" w:eastAsiaTheme="majorEastAsia" w:hAnsiTheme="majorHAnsi" w:cstheme="majorBidi"/>
      <w:spacing w:val="-10"/>
      <w:kern w:val="28"/>
      <w:sz w:val="56"/>
      <w:szCs w:val="56"/>
    </w:rPr>
  </w:style>
  <w:style w:type="character" w:customStyle="1" w:styleId="x193iq5w">
    <w:name w:val="x193iq5w"/>
    <w:basedOn w:val="DefaultParagraphFont"/>
    <w:rsid w:val="00B840C9"/>
  </w:style>
  <w:style w:type="character" w:customStyle="1" w:styleId="UnresolvedMention1">
    <w:name w:val="Unresolved Mention1"/>
    <w:basedOn w:val="DefaultParagraphFont"/>
    <w:uiPriority w:val="99"/>
    <w:semiHidden/>
    <w:unhideWhenUsed/>
    <w:rsid w:val="00B840C9"/>
    <w:rPr>
      <w:color w:val="605E5C"/>
      <w:shd w:val="clear" w:color="auto" w:fill="E1DFDD"/>
    </w:rPr>
  </w:style>
  <w:style w:type="character" w:customStyle="1" w:styleId="UnresolvedMention">
    <w:name w:val="Unresolved Mention"/>
    <w:basedOn w:val="DefaultParagraphFont"/>
    <w:uiPriority w:val="99"/>
    <w:semiHidden/>
    <w:unhideWhenUsed/>
    <w:rsid w:val="00230CD4"/>
    <w:rPr>
      <w:color w:val="605E5C"/>
      <w:shd w:val="clear" w:color="auto" w:fill="E1DFDD"/>
    </w:rPr>
  </w:style>
  <w:style w:type="character" w:styleId="CommentReference">
    <w:name w:val="annotation reference"/>
    <w:basedOn w:val="DefaultParagraphFont"/>
    <w:uiPriority w:val="99"/>
    <w:semiHidden/>
    <w:unhideWhenUsed/>
    <w:rsid w:val="00A31E15"/>
    <w:rPr>
      <w:sz w:val="16"/>
      <w:szCs w:val="16"/>
    </w:rPr>
  </w:style>
  <w:style w:type="paragraph" w:styleId="CommentText">
    <w:name w:val="annotation text"/>
    <w:basedOn w:val="Normal"/>
    <w:link w:val="CommentTextChar"/>
    <w:uiPriority w:val="99"/>
    <w:semiHidden/>
    <w:unhideWhenUsed/>
    <w:rsid w:val="00A31E15"/>
    <w:pPr>
      <w:spacing w:line="240" w:lineRule="auto"/>
    </w:pPr>
    <w:rPr>
      <w:sz w:val="20"/>
      <w:szCs w:val="20"/>
    </w:rPr>
  </w:style>
  <w:style w:type="character" w:customStyle="1" w:styleId="CommentTextChar">
    <w:name w:val="Comment Text Char"/>
    <w:basedOn w:val="DefaultParagraphFont"/>
    <w:link w:val="CommentText"/>
    <w:uiPriority w:val="99"/>
    <w:semiHidden/>
    <w:rsid w:val="00A31E15"/>
    <w:rPr>
      <w:lang w:val="en-PH" w:eastAsia="en-US"/>
    </w:rPr>
  </w:style>
  <w:style w:type="paragraph" w:styleId="CommentSubject">
    <w:name w:val="annotation subject"/>
    <w:basedOn w:val="CommentText"/>
    <w:next w:val="CommentText"/>
    <w:link w:val="CommentSubjectChar"/>
    <w:uiPriority w:val="99"/>
    <w:semiHidden/>
    <w:unhideWhenUsed/>
    <w:rsid w:val="00A31E15"/>
    <w:rPr>
      <w:b/>
      <w:bCs/>
    </w:rPr>
  </w:style>
  <w:style w:type="character" w:customStyle="1" w:styleId="CommentSubjectChar">
    <w:name w:val="Comment Subject Char"/>
    <w:basedOn w:val="CommentTextChar"/>
    <w:link w:val="CommentSubject"/>
    <w:uiPriority w:val="99"/>
    <w:semiHidden/>
    <w:rsid w:val="00A31E15"/>
    <w:rPr>
      <w:b/>
      <w:bCs/>
    </w:rPr>
  </w:style>
  <w:style w:type="paragraph" w:styleId="BalloonText">
    <w:name w:val="Balloon Text"/>
    <w:basedOn w:val="Normal"/>
    <w:link w:val="BalloonTextChar"/>
    <w:uiPriority w:val="99"/>
    <w:semiHidden/>
    <w:unhideWhenUsed/>
    <w:rsid w:val="00A31E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E15"/>
    <w:rPr>
      <w:rFonts w:ascii="Tahoma" w:hAnsi="Tahoma" w:cs="Tahoma"/>
      <w:sz w:val="16"/>
      <w:szCs w:val="16"/>
      <w:lang w:val="en-PH"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yfoodresearch.com"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oi.org/10.1088/1755-1315/128/1/012186"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51470/PLANTARCHIVES.2021.V21.S1.244"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doi.org/10.3390/agronomy11010044"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5E14FA-519C-4AF1-A9B1-D7CF506FF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7</Pages>
  <Words>3357</Words>
  <Characters>19139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1</cp:revision>
  <dcterms:created xsi:type="dcterms:W3CDTF">2025-05-04T01:50:00Z</dcterms:created>
  <dcterms:modified xsi:type="dcterms:W3CDTF">2025-05-06T09:42:00Z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A30A879167E343E88E61BCB7421BF485_13</vt:lpwstr>
  </property>
</Properties>
</file>