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99DA" w14:textId="77777777" w:rsidR="00CF726C" w:rsidRDefault="00CF726C" w:rsidP="00CF726C">
      <w:pPr>
        <w:jc w:val="right"/>
        <w:rPr>
          <w:rFonts w:ascii="Arial" w:hAnsi="Arial" w:cs="Arial"/>
          <w:b/>
          <w:bCs/>
          <w:i/>
          <w:iCs/>
          <w:sz w:val="36"/>
          <w:szCs w:val="36"/>
          <w:u w:val="single"/>
          <w:lang w:eastAsia="en-IN"/>
        </w:rPr>
      </w:pPr>
      <w:bookmarkStart w:id="0" w:name="_Hlk211247120"/>
      <w:r w:rsidRPr="00CF726C">
        <w:rPr>
          <w:rFonts w:ascii="Arial" w:hAnsi="Arial" w:cs="Arial"/>
          <w:b/>
          <w:bCs/>
          <w:i/>
          <w:iCs/>
          <w:sz w:val="36"/>
          <w:szCs w:val="36"/>
          <w:u w:val="single"/>
          <w:lang w:eastAsia="en-IN"/>
        </w:rPr>
        <w:t>Original Research Article</w:t>
      </w:r>
    </w:p>
    <w:p w14:paraId="24F0ACEC" w14:textId="77777777" w:rsidR="00547EB9" w:rsidRPr="00CF726C" w:rsidRDefault="00547EB9" w:rsidP="00CF726C">
      <w:pPr>
        <w:jc w:val="right"/>
        <w:rPr>
          <w:rFonts w:ascii="Arial" w:hAnsi="Arial" w:cs="Arial"/>
          <w:b/>
          <w:bCs/>
          <w:i/>
          <w:iCs/>
          <w:sz w:val="36"/>
          <w:szCs w:val="36"/>
          <w:u w:val="single"/>
          <w:lang w:eastAsia="en-IN"/>
        </w:rPr>
      </w:pPr>
    </w:p>
    <w:p w14:paraId="009D2717" w14:textId="6C773BB8" w:rsidR="00163BC4" w:rsidRPr="00415622" w:rsidRDefault="00415622" w:rsidP="00415622">
      <w:pPr>
        <w:jc w:val="right"/>
        <w:rPr>
          <w:rFonts w:ascii="Arial" w:hAnsi="Arial" w:cs="Arial"/>
          <w:b/>
          <w:sz w:val="36"/>
          <w:szCs w:val="36"/>
          <w:lang w:val="en-IN" w:eastAsia="en-IN"/>
        </w:rPr>
      </w:pPr>
      <w:r w:rsidRPr="00415622">
        <w:rPr>
          <w:rFonts w:ascii="Arial" w:hAnsi="Arial" w:cs="Arial"/>
          <w:b/>
          <w:sz w:val="36"/>
          <w:szCs w:val="36"/>
          <w:lang w:val="en-IN" w:eastAsia="en-IN"/>
        </w:rPr>
        <w:t xml:space="preserve">Adsorption behaviour of </w:t>
      </w:r>
      <w:proofErr w:type="spellStart"/>
      <w:r w:rsidRPr="00415622">
        <w:rPr>
          <w:rFonts w:ascii="Arial" w:hAnsi="Arial" w:cs="Arial"/>
          <w:b/>
          <w:sz w:val="36"/>
          <w:szCs w:val="36"/>
          <w:lang w:val="en-IN" w:eastAsia="en-IN"/>
        </w:rPr>
        <w:t>Pyrithiobac</w:t>
      </w:r>
      <w:proofErr w:type="spellEnd"/>
      <w:r w:rsidRPr="00415622">
        <w:rPr>
          <w:rFonts w:ascii="Arial" w:hAnsi="Arial" w:cs="Arial"/>
          <w:b/>
          <w:sz w:val="36"/>
          <w:szCs w:val="36"/>
          <w:lang w:val="en-IN" w:eastAsia="en-IN"/>
        </w:rPr>
        <w:t xml:space="preserve"> sodium in cotton growing soils of Telangana state</w:t>
      </w:r>
    </w:p>
    <w:bookmarkEnd w:id="0"/>
    <w:p w14:paraId="27F14A04" w14:textId="77777777" w:rsidR="00A258C3" w:rsidRPr="00790ADA" w:rsidRDefault="00A258C3" w:rsidP="00441B6F">
      <w:pPr>
        <w:pStyle w:val="Author"/>
        <w:spacing w:line="240" w:lineRule="auto"/>
        <w:jc w:val="both"/>
        <w:rPr>
          <w:rFonts w:ascii="Arial" w:hAnsi="Arial" w:cs="Arial"/>
          <w:sz w:val="36"/>
        </w:rPr>
      </w:pPr>
    </w:p>
    <w:p w14:paraId="47695CA3" w14:textId="2E87304B" w:rsidR="00147EC4" w:rsidRDefault="00147EC4" w:rsidP="00415622">
      <w:pPr>
        <w:pStyle w:val="NormalWeb"/>
        <w:spacing w:before="0" w:beforeAutospacing="0" w:after="0" w:afterAutospacing="0"/>
        <w:jc w:val="right"/>
        <w:rPr>
          <w:b/>
          <w:bCs/>
          <w:i/>
          <w:iCs/>
        </w:rPr>
      </w:pPr>
    </w:p>
    <w:p w14:paraId="1354873D" w14:textId="77777777" w:rsidR="00D63D82" w:rsidRPr="00415622" w:rsidRDefault="00D63D82" w:rsidP="00415622">
      <w:pPr>
        <w:pStyle w:val="NormalWeb"/>
        <w:spacing w:before="0" w:beforeAutospacing="0" w:after="0" w:afterAutospacing="0"/>
        <w:jc w:val="right"/>
        <w:rPr>
          <w:b/>
          <w:bCs/>
          <w:i/>
          <w:iCs/>
        </w:rPr>
      </w:pPr>
    </w:p>
    <w:p w14:paraId="562DFBF1" w14:textId="77777777" w:rsidR="00B01FCD" w:rsidRPr="00FB3A86" w:rsidRDefault="00FE7D02" w:rsidP="00441B6F">
      <w:pPr>
        <w:pStyle w:val="Copyright"/>
        <w:spacing w:after="0" w:line="240" w:lineRule="auto"/>
        <w:jc w:val="both"/>
        <w:rPr>
          <w:rFonts w:ascii="Arial" w:hAnsi="Arial" w:cs="Arial"/>
        </w:rPr>
        <w:sectPr w:rsidR="00B01FCD" w:rsidRPr="00FB3A86" w:rsidSect="00D841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16AD1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D272531" w14:textId="594CAB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CA9E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5DCA6C" w14:textId="77777777" w:rsidTr="001E44FE">
        <w:tc>
          <w:tcPr>
            <w:tcW w:w="9576" w:type="dxa"/>
            <w:shd w:val="clear" w:color="auto" w:fill="F2F2F2"/>
          </w:tcPr>
          <w:p w14:paraId="140D9019" w14:textId="1ECE4E6D" w:rsidR="00505F06" w:rsidRPr="00415622" w:rsidRDefault="00415622" w:rsidP="00415622">
            <w:pPr>
              <w:pStyle w:val="NormalWeb"/>
              <w:ind w:firstLine="720"/>
              <w:jc w:val="both"/>
              <w:rPr>
                <w:rFonts w:ascii="Arial" w:hAnsi="Arial" w:cs="Arial"/>
                <w:sz w:val="20"/>
                <w:szCs w:val="20"/>
              </w:rPr>
            </w:pPr>
            <w:r w:rsidRPr="00415622">
              <w:rPr>
                <w:rFonts w:ascii="Arial" w:hAnsi="Arial" w:cs="Arial"/>
                <w:sz w:val="20"/>
                <w:szCs w:val="20"/>
              </w:rPr>
              <w:t>The environmental behaviour of herbicides is largely determined by sorption–desorption and dissipation processes that regulate their persistence, bioavailability, and mobility in soil. The present study was conducted to examine the adsorption and dissipation behaviour of pyrithiobac-sodium in representative red and black soils of Telangana State, India, which differ in texture, organic matter, and cation exchange capacity (CEC). The adsorption of pyrithiobac-sodium was studied using the batch equilibrium method as per OECD guidelines. Soil samples were equilibrated with pyrithiobac-sodium solutions of varying concentrations (0–50 µg mL</w:t>
            </w:r>
            <w:r w:rsidRPr="00415622">
              <w:rPr>
                <w:rFonts w:ascii="Cambria Math" w:hAnsi="Cambria Math" w:cs="Cambria Math"/>
                <w:sz w:val="20"/>
                <w:szCs w:val="20"/>
              </w:rPr>
              <w:t>⁻</w:t>
            </w:r>
            <w:r w:rsidRPr="00415622">
              <w:rPr>
                <w:rFonts w:ascii="Arial" w:hAnsi="Arial" w:cs="Arial"/>
                <w:sz w:val="20"/>
                <w:szCs w:val="20"/>
              </w:rPr>
              <w:t>¹) at 27 ± 1°C. Adsorption data were fitted to the Freundlich equation to describe the isotherm characteristics. Results revealed that adsorption increased with equilibrium concentration in both soils. At the lowest concentration (5 µg mL</w:t>
            </w:r>
            <w:r w:rsidRPr="00415622">
              <w:rPr>
                <w:rFonts w:ascii="Cambria Math" w:hAnsi="Cambria Math" w:cs="Cambria Math"/>
                <w:sz w:val="20"/>
                <w:szCs w:val="20"/>
              </w:rPr>
              <w:t>⁻</w:t>
            </w:r>
            <w:r w:rsidRPr="00415622">
              <w:rPr>
                <w:rFonts w:ascii="Arial" w:hAnsi="Arial" w:cs="Arial"/>
                <w:sz w:val="20"/>
                <w:szCs w:val="20"/>
              </w:rPr>
              <w:t>¹), the amount adsorbed was 1.06 µg g</w:t>
            </w:r>
            <w:r w:rsidRPr="00415622">
              <w:rPr>
                <w:rFonts w:ascii="Cambria Math" w:hAnsi="Cambria Math" w:cs="Cambria Math"/>
                <w:sz w:val="20"/>
                <w:szCs w:val="20"/>
              </w:rPr>
              <w:t>⁻</w:t>
            </w:r>
            <w:r w:rsidRPr="00415622">
              <w:rPr>
                <w:rFonts w:ascii="Arial" w:hAnsi="Arial" w:cs="Arial"/>
                <w:sz w:val="20"/>
                <w:szCs w:val="20"/>
              </w:rPr>
              <w:t>¹ in red soil and 1.62 µg g</w:t>
            </w:r>
            <w:r w:rsidRPr="00415622">
              <w:rPr>
                <w:rFonts w:ascii="Cambria Math" w:hAnsi="Cambria Math" w:cs="Cambria Math"/>
                <w:sz w:val="20"/>
                <w:szCs w:val="20"/>
              </w:rPr>
              <w:t>⁻</w:t>
            </w:r>
            <w:r w:rsidRPr="00415622">
              <w:rPr>
                <w:rFonts w:ascii="Arial" w:hAnsi="Arial" w:cs="Arial"/>
                <w:sz w:val="20"/>
                <w:szCs w:val="20"/>
              </w:rPr>
              <w:t>¹ in black soil, whereas at the highest concentration (50 µg mL</w:t>
            </w:r>
            <w:r w:rsidRPr="00415622">
              <w:rPr>
                <w:rFonts w:ascii="Cambria Math" w:hAnsi="Cambria Math" w:cs="Cambria Math"/>
                <w:sz w:val="20"/>
                <w:szCs w:val="20"/>
              </w:rPr>
              <w:t>⁻</w:t>
            </w:r>
            <w:r w:rsidRPr="00415622">
              <w:rPr>
                <w:rFonts w:ascii="Arial" w:hAnsi="Arial" w:cs="Arial"/>
                <w:sz w:val="20"/>
                <w:szCs w:val="20"/>
              </w:rPr>
              <w:t>¹), it increased to 7.41 and 14.41 µg g</w:t>
            </w:r>
            <w:r w:rsidRPr="00415622">
              <w:rPr>
                <w:rFonts w:ascii="Cambria Math" w:hAnsi="Cambria Math" w:cs="Cambria Math"/>
                <w:sz w:val="20"/>
                <w:szCs w:val="20"/>
              </w:rPr>
              <w:t>⁻</w:t>
            </w:r>
            <w:r w:rsidRPr="00415622">
              <w:rPr>
                <w:rFonts w:ascii="Arial" w:hAnsi="Arial" w:cs="Arial"/>
                <w:sz w:val="20"/>
                <w:szCs w:val="20"/>
              </w:rPr>
              <w:t xml:space="preserve">¹, respectively. The Freundlich model provided an excellent fit (R² &gt; 0.95). The </w:t>
            </w:r>
            <w:proofErr w:type="spellStart"/>
            <w:r w:rsidRPr="00415622">
              <w:rPr>
                <w:rFonts w:ascii="Arial" w:hAnsi="Arial" w:cs="Arial"/>
                <w:i/>
                <w:sz w:val="20"/>
                <w:szCs w:val="20"/>
              </w:rPr>
              <w:t>K</w:t>
            </w:r>
            <w:r w:rsidRPr="00415622">
              <w:rPr>
                <w:rFonts w:ascii="Arial" w:hAnsi="Arial" w:cs="Arial"/>
                <w:i/>
                <w:sz w:val="20"/>
                <w:szCs w:val="20"/>
                <w:vertAlign w:val="subscript"/>
              </w:rPr>
              <w:t>f</w:t>
            </w:r>
            <w:proofErr w:type="spellEnd"/>
            <w:r w:rsidRPr="00415622">
              <w:rPr>
                <w:rFonts w:ascii="Arial" w:hAnsi="Arial" w:cs="Arial"/>
                <w:sz w:val="20"/>
                <w:szCs w:val="20"/>
              </w:rPr>
              <w:t xml:space="preserve"> values were 0.26 and 0.36, while </w:t>
            </w:r>
            <w:proofErr w:type="spellStart"/>
            <w:r w:rsidRPr="00415622">
              <w:rPr>
                <w:rFonts w:ascii="Arial" w:hAnsi="Arial" w:cs="Arial"/>
                <w:i/>
                <w:sz w:val="20"/>
                <w:szCs w:val="20"/>
              </w:rPr>
              <w:t>K</w:t>
            </w:r>
            <w:r w:rsidRPr="00415622">
              <w:rPr>
                <w:rFonts w:ascii="Arial" w:hAnsi="Arial" w:cs="Arial"/>
                <w:i/>
                <w:sz w:val="20"/>
                <w:szCs w:val="20"/>
                <w:vertAlign w:val="subscript"/>
              </w:rPr>
              <w:t>d</w:t>
            </w:r>
            <w:proofErr w:type="spellEnd"/>
            <w:r w:rsidRPr="00415622">
              <w:rPr>
                <w:rFonts w:ascii="Arial" w:hAnsi="Arial" w:cs="Arial"/>
                <w:sz w:val="20"/>
                <w:szCs w:val="20"/>
              </w:rPr>
              <w:t xml:space="preserve"> values were 0.19 and 0.39 for red and black soils, respectively. The black soil, with higher clay and CEC, exhibited greater sorption capacity, whereas red soil showed higher mobility potential due to its coarse texture and low organic carbon.</w:t>
            </w:r>
          </w:p>
        </w:tc>
      </w:tr>
    </w:tbl>
    <w:p w14:paraId="142B8C0B" w14:textId="77777777" w:rsidR="00636EB2" w:rsidRDefault="00636EB2" w:rsidP="00441B6F">
      <w:pPr>
        <w:pStyle w:val="Body"/>
        <w:spacing w:after="0"/>
        <w:rPr>
          <w:rFonts w:ascii="Arial" w:hAnsi="Arial" w:cs="Arial"/>
          <w:i/>
        </w:rPr>
      </w:pPr>
    </w:p>
    <w:p w14:paraId="3B9C10EF" w14:textId="2D7B2A04" w:rsidR="0024282C" w:rsidRPr="00415622" w:rsidRDefault="00A24E7E" w:rsidP="00441B6F">
      <w:pPr>
        <w:pStyle w:val="Body"/>
        <w:spacing w:after="0"/>
        <w:rPr>
          <w:rFonts w:ascii="Arial" w:hAnsi="Arial" w:cs="Arial"/>
          <w:i/>
        </w:rPr>
      </w:pPr>
      <w:r>
        <w:rPr>
          <w:rFonts w:ascii="Arial" w:hAnsi="Arial" w:cs="Arial"/>
          <w:i/>
        </w:rPr>
        <w:t>Keywords</w:t>
      </w:r>
      <w:r w:rsidR="00415622">
        <w:rPr>
          <w:rFonts w:ascii="Arial" w:hAnsi="Arial" w:cs="Arial"/>
          <w:i/>
        </w:rPr>
        <w:t xml:space="preserve">: </w:t>
      </w:r>
      <w:r w:rsidR="00415622" w:rsidRPr="00415622">
        <w:rPr>
          <w:rFonts w:ascii="Arial" w:hAnsi="Arial" w:cs="Arial"/>
          <w:i/>
          <w:iCs/>
        </w:rPr>
        <w:t xml:space="preserve">Pyrithiobac sodium, adsorption, red and </w:t>
      </w:r>
      <w:r w:rsidR="00415622">
        <w:rPr>
          <w:rFonts w:ascii="Arial" w:hAnsi="Arial" w:cs="Arial"/>
          <w:i/>
          <w:iCs/>
        </w:rPr>
        <w:t xml:space="preserve">black </w:t>
      </w:r>
      <w:r w:rsidR="00415622" w:rsidRPr="00415622">
        <w:rPr>
          <w:rFonts w:ascii="Arial" w:hAnsi="Arial" w:cs="Arial"/>
          <w:i/>
          <w:iCs/>
        </w:rPr>
        <w:t>soils, Freundlich isotherm</w:t>
      </w:r>
    </w:p>
    <w:p w14:paraId="6D42732B" w14:textId="77777777" w:rsidR="00505F06" w:rsidRPr="00A24E7E" w:rsidRDefault="00505F06" w:rsidP="00441B6F">
      <w:pPr>
        <w:pStyle w:val="Body"/>
        <w:spacing w:after="0"/>
        <w:rPr>
          <w:rFonts w:ascii="Arial" w:hAnsi="Arial" w:cs="Arial"/>
          <w:i/>
        </w:rPr>
      </w:pPr>
    </w:p>
    <w:p w14:paraId="29492A5D" w14:textId="7ED1146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20143" w14:textId="7D400495"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environmental fate of herbicides is largely governed by </w:t>
      </w:r>
      <w:r w:rsidRPr="00415622">
        <w:rPr>
          <w:rFonts w:ascii="Arial" w:hAnsi="Arial" w:cs="Arial"/>
          <w:bCs/>
          <w:lang w:val="en-IN" w:eastAsia="en-IN"/>
        </w:rPr>
        <w:t>sorption–desorption</w:t>
      </w:r>
      <w:r w:rsidRPr="00415622">
        <w:rPr>
          <w:rFonts w:ascii="Arial" w:hAnsi="Arial" w:cs="Arial"/>
          <w:lang w:val="en-IN" w:eastAsia="en-IN"/>
        </w:rPr>
        <w:t xml:space="preserve"> and </w:t>
      </w:r>
      <w:r w:rsidRPr="00415622">
        <w:rPr>
          <w:rFonts w:ascii="Arial" w:hAnsi="Arial" w:cs="Arial"/>
          <w:bCs/>
          <w:lang w:val="en-IN" w:eastAsia="en-IN"/>
        </w:rPr>
        <w:t>dissipation</w:t>
      </w:r>
      <w:r w:rsidRPr="00415622">
        <w:rPr>
          <w:rFonts w:ascii="Arial" w:hAnsi="Arial" w:cs="Arial"/>
          <w:lang w:val="en-IN" w:eastAsia="en-IN"/>
        </w:rPr>
        <w:t xml:space="preserve"> processes that control their persistence, bioavailability, and potential for off-site movement. Sorption influences the partitioning of </w:t>
      </w:r>
      <w:r w:rsidR="00506F88" w:rsidRPr="00415622">
        <w:rPr>
          <w:rFonts w:ascii="Arial" w:hAnsi="Arial" w:cs="Arial"/>
          <w:lang w:val="en-IN" w:eastAsia="en-IN"/>
        </w:rPr>
        <w:t>an</w:t>
      </w:r>
      <w:r w:rsidRPr="00415622">
        <w:rPr>
          <w:rFonts w:ascii="Arial" w:hAnsi="Arial" w:cs="Arial"/>
          <w:lang w:val="en-IN" w:eastAsia="en-IN"/>
        </w:rPr>
        <w:t xml:space="preserve"> herbicide between the soil solid phase and soil solution, thereby affecting its </w:t>
      </w:r>
      <w:r w:rsidRPr="00415622">
        <w:rPr>
          <w:rFonts w:ascii="Arial" w:hAnsi="Arial" w:cs="Arial"/>
          <w:bCs/>
          <w:lang w:val="en-IN" w:eastAsia="en-IN"/>
        </w:rPr>
        <w:t>mobility, degradation rate, and ecological impact</w:t>
      </w:r>
      <w:r w:rsidRPr="00415622">
        <w:rPr>
          <w:rFonts w:ascii="Arial" w:hAnsi="Arial" w:cs="Arial"/>
          <w:lang w:val="en-IN" w:eastAsia="en-IN"/>
        </w:rPr>
        <w:t xml:space="preserve">. Herbicides that are weakly adsorbed are more prone to </w:t>
      </w:r>
      <w:r w:rsidRPr="00415622">
        <w:rPr>
          <w:rFonts w:ascii="Arial" w:hAnsi="Arial" w:cs="Arial"/>
          <w:bCs/>
          <w:lang w:val="en-IN" w:eastAsia="en-IN"/>
        </w:rPr>
        <w:t>leaching and runoff losses</w:t>
      </w:r>
      <w:r w:rsidRPr="00415622">
        <w:rPr>
          <w:rFonts w:ascii="Arial" w:hAnsi="Arial" w:cs="Arial"/>
          <w:lang w:val="en-IN" w:eastAsia="en-IN"/>
        </w:rPr>
        <w:t xml:space="preserve">, leading to possible </w:t>
      </w:r>
      <w:r w:rsidRPr="00415622">
        <w:rPr>
          <w:rFonts w:ascii="Arial" w:hAnsi="Arial" w:cs="Arial"/>
          <w:bCs/>
          <w:lang w:val="en-IN" w:eastAsia="en-IN"/>
        </w:rPr>
        <w:t>groundwater contamination</w:t>
      </w:r>
      <w:r w:rsidRPr="00415622">
        <w:rPr>
          <w:rFonts w:ascii="Arial" w:hAnsi="Arial" w:cs="Arial"/>
          <w:lang w:val="en-IN" w:eastAsia="en-IN"/>
        </w:rPr>
        <w:t xml:space="preserve">, while strongly adsorbed compounds may persist longer and cause </w:t>
      </w:r>
      <w:r w:rsidRPr="00415622">
        <w:rPr>
          <w:rFonts w:ascii="Arial" w:hAnsi="Arial" w:cs="Arial"/>
          <w:bCs/>
          <w:lang w:val="en-IN" w:eastAsia="en-IN"/>
        </w:rPr>
        <w:t>carryover injury</w:t>
      </w:r>
      <w:r w:rsidRPr="00415622">
        <w:rPr>
          <w:rFonts w:ascii="Arial" w:hAnsi="Arial" w:cs="Arial"/>
          <w:lang w:val="en-IN" w:eastAsia="en-IN"/>
        </w:rPr>
        <w:t xml:space="preserve"> to succeeding crops</w:t>
      </w:r>
      <w:r w:rsidR="00202260">
        <w:rPr>
          <w:rFonts w:ascii="Arial" w:hAnsi="Arial" w:cs="Arial"/>
          <w:lang w:val="en-IN" w:eastAsia="en-IN"/>
        </w:rPr>
        <w:t xml:space="preserve"> [1]</w:t>
      </w:r>
      <w:r w:rsidRPr="00415622">
        <w:rPr>
          <w:rFonts w:ascii="Arial" w:hAnsi="Arial" w:cs="Arial"/>
          <w:lang w:val="en-IN" w:eastAsia="en-IN"/>
        </w:rPr>
        <w:t xml:space="preserve">. Thus, understanding the sorption–desorption and dissipation behaviour of herbicides under specific soil and climatic conditions is critical for devising </w:t>
      </w:r>
      <w:r w:rsidRPr="00415622">
        <w:rPr>
          <w:rFonts w:ascii="Arial" w:hAnsi="Arial" w:cs="Arial"/>
          <w:bCs/>
          <w:lang w:val="en-IN" w:eastAsia="en-IN"/>
        </w:rPr>
        <w:t>safe and efficient weed management strategies</w:t>
      </w:r>
      <w:r w:rsidRPr="00415622">
        <w:rPr>
          <w:rFonts w:ascii="Arial" w:hAnsi="Arial" w:cs="Arial"/>
          <w:lang w:val="en-IN" w:eastAsia="en-IN"/>
        </w:rPr>
        <w:t>.</w:t>
      </w:r>
    </w:p>
    <w:p w14:paraId="63274453" w14:textId="4D3521F9" w:rsidR="00415622" w:rsidRPr="00415622" w:rsidRDefault="00415622" w:rsidP="00415622">
      <w:pPr>
        <w:spacing w:before="100" w:beforeAutospacing="1" w:after="100" w:afterAutospacing="1"/>
        <w:ind w:firstLine="720"/>
        <w:jc w:val="both"/>
        <w:rPr>
          <w:rFonts w:ascii="Arial" w:hAnsi="Arial" w:cs="Arial"/>
        </w:rPr>
      </w:pPr>
      <w:r w:rsidRPr="00415622">
        <w:rPr>
          <w:rFonts w:ascii="Arial" w:hAnsi="Arial" w:cs="Arial"/>
        </w:rPr>
        <w:t xml:space="preserve">Pyrithiobac-sodium, a selective post-emergence herbicide widely applied in cotton-based cropping systems, is known for its low sorption capacity and high mobility in soils. </w:t>
      </w:r>
      <w:commentRangeStart w:id="1"/>
      <w:r w:rsidRPr="00415622">
        <w:rPr>
          <w:rFonts w:ascii="Arial" w:hAnsi="Arial" w:cs="Arial"/>
        </w:rPr>
        <w:t xml:space="preserve">Chemically, pyrithiobac is a weak acid with a </w:t>
      </w:r>
      <w:proofErr w:type="spellStart"/>
      <w:r w:rsidRPr="00415622">
        <w:rPr>
          <w:rFonts w:ascii="Arial" w:hAnsi="Arial" w:cs="Arial"/>
          <w:i/>
        </w:rPr>
        <w:t>pKa</w:t>
      </w:r>
      <w:proofErr w:type="spellEnd"/>
      <w:r w:rsidRPr="00415622">
        <w:rPr>
          <w:rFonts w:ascii="Arial" w:hAnsi="Arial" w:cs="Arial"/>
        </w:rPr>
        <w:t xml:space="preserve"> of 2.34, possessing very high aqueous solubility 705 g L</w:t>
      </w:r>
      <w:r w:rsidRPr="00415622">
        <w:rPr>
          <w:rFonts w:ascii="Cambria Math" w:hAnsi="Cambria Math" w:cs="Cambria Math"/>
        </w:rPr>
        <w:t>⁻</w:t>
      </w:r>
      <w:r w:rsidRPr="00415622">
        <w:rPr>
          <w:rFonts w:ascii="Arial" w:hAnsi="Arial" w:cs="Arial"/>
        </w:rPr>
        <w:t>¹ (2 M) at pH 7 and 264 g L</w:t>
      </w:r>
      <w:r w:rsidRPr="00415622">
        <w:rPr>
          <w:rFonts w:ascii="Cambria Math" w:hAnsi="Cambria Math" w:cs="Cambria Math"/>
        </w:rPr>
        <w:t>⁻</w:t>
      </w:r>
      <w:r w:rsidRPr="00415622">
        <w:rPr>
          <w:rFonts w:ascii="Arial" w:hAnsi="Arial" w:cs="Arial"/>
        </w:rPr>
        <w:t>¹ (0.77 M) at pH 5—and a molecular weight of 326.4 g mol</w:t>
      </w:r>
      <w:r w:rsidRPr="00415622">
        <w:rPr>
          <w:rFonts w:ascii="Cambria Math" w:hAnsi="Cambria Math" w:cs="Cambria Math"/>
        </w:rPr>
        <w:t>⁻</w:t>
      </w:r>
      <w:r w:rsidRPr="00415622">
        <w:rPr>
          <w:rFonts w:ascii="Arial" w:hAnsi="Arial" w:cs="Arial"/>
        </w:rPr>
        <w:t xml:space="preserve">¹. </w:t>
      </w:r>
      <w:commentRangeEnd w:id="1"/>
      <w:r w:rsidR="006E3A1D">
        <w:rPr>
          <w:rStyle w:val="CommentReference"/>
          <w:rFonts w:ascii="Times New Roman" w:hAnsi="Times New Roman"/>
          <w:lang w:val="nb-NO" w:eastAsia="nb-NO"/>
        </w:rPr>
        <w:commentReference w:id="1"/>
      </w:r>
      <w:r w:rsidRPr="00415622">
        <w:rPr>
          <w:rFonts w:ascii="Arial" w:hAnsi="Arial" w:cs="Arial"/>
        </w:rPr>
        <w:t xml:space="preserve">Under normal soil solution conditions (pH &gt; 5), it predominantly exists as a singly charged anion. </w:t>
      </w:r>
      <w:commentRangeStart w:id="2"/>
      <w:r w:rsidR="00202260">
        <w:rPr>
          <w:rFonts w:ascii="Arial" w:hAnsi="Arial" w:cs="Arial"/>
        </w:rPr>
        <w:t xml:space="preserve">[2] </w:t>
      </w:r>
      <w:commentRangeEnd w:id="2"/>
      <w:r w:rsidR="006E3A1D">
        <w:rPr>
          <w:rStyle w:val="CommentReference"/>
          <w:rFonts w:ascii="Times New Roman" w:hAnsi="Times New Roman"/>
          <w:lang w:val="nb-NO" w:eastAsia="nb-NO"/>
        </w:rPr>
        <w:commentReference w:id="2"/>
      </w:r>
      <w:r w:rsidRPr="00415622">
        <w:rPr>
          <w:rFonts w:ascii="Arial" w:hAnsi="Arial" w:cs="Arial"/>
        </w:rPr>
        <w:t>observed low adsorption coefficients (</w:t>
      </w:r>
      <w:proofErr w:type="spellStart"/>
      <w:r w:rsidRPr="00415622">
        <w:rPr>
          <w:rFonts w:ascii="Arial" w:hAnsi="Arial" w:cs="Arial"/>
          <w:i/>
        </w:rPr>
        <w:t>Kd</w:t>
      </w:r>
      <w:proofErr w:type="spellEnd"/>
      <w:r w:rsidRPr="00415622">
        <w:rPr>
          <w:rFonts w:ascii="Arial" w:hAnsi="Arial" w:cs="Arial"/>
        </w:rPr>
        <w:t xml:space="preserve"> = 0.22–0.59 L kg</w:t>
      </w:r>
      <w:r w:rsidRPr="00415622">
        <w:rPr>
          <w:rFonts w:ascii="Cambria Math" w:hAnsi="Cambria Math" w:cs="Cambria Math"/>
        </w:rPr>
        <w:t>⁻</w:t>
      </w:r>
      <w:r w:rsidRPr="00415622">
        <w:rPr>
          <w:rFonts w:ascii="Arial" w:hAnsi="Arial" w:cs="Arial"/>
        </w:rPr>
        <w:t>¹) and organic carbon partition coefficients (</w:t>
      </w:r>
      <w:r w:rsidRPr="00415622">
        <w:rPr>
          <w:rFonts w:ascii="Arial" w:hAnsi="Arial" w:cs="Arial"/>
          <w:i/>
        </w:rPr>
        <w:t>Koc</w:t>
      </w:r>
      <w:r w:rsidRPr="00415622">
        <w:rPr>
          <w:rFonts w:ascii="Arial" w:hAnsi="Arial" w:cs="Arial"/>
        </w:rPr>
        <w:t xml:space="preserve"> &lt; 60), signifying minimal affinity for soil colloids. </w:t>
      </w:r>
      <w:r w:rsidRPr="00415622">
        <w:rPr>
          <w:rFonts w:ascii="Arial" w:hAnsi="Arial" w:cs="Arial"/>
        </w:rPr>
        <w:lastRenderedPageBreak/>
        <w:t>Similarly</w:t>
      </w:r>
      <w:commentRangeStart w:id="3"/>
      <w:r w:rsidRPr="00415622">
        <w:rPr>
          <w:rFonts w:ascii="Arial" w:hAnsi="Arial" w:cs="Arial"/>
        </w:rPr>
        <w:t xml:space="preserve">, </w:t>
      </w:r>
      <w:r w:rsidR="00202260">
        <w:rPr>
          <w:rFonts w:ascii="Arial" w:hAnsi="Arial" w:cs="Arial"/>
        </w:rPr>
        <w:t xml:space="preserve">[3] </w:t>
      </w:r>
      <w:commentRangeEnd w:id="3"/>
      <w:r w:rsidR="006E3A1D">
        <w:rPr>
          <w:rStyle w:val="CommentReference"/>
          <w:rFonts w:ascii="Times New Roman" w:hAnsi="Times New Roman"/>
          <w:lang w:val="nb-NO" w:eastAsia="nb-NO"/>
        </w:rPr>
        <w:commentReference w:id="3"/>
      </w:r>
      <w:r w:rsidRPr="00415622">
        <w:rPr>
          <w:rFonts w:ascii="Arial" w:hAnsi="Arial" w:cs="Arial"/>
        </w:rPr>
        <w:t xml:space="preserve">demonstrated rapid leaching of </w:t>
      </w:r>
      <w:proofErr w:type="spellStart"/>
      <w:r w:rsidRPr="00415622">
        <w:rPr>
          <w:rFonts w:ascii="Arial" w:hAnsi="Arial" w:cs="Arial"/>
        </w:rPr>
        <w:t>pyrithiobac</w:t>
      </w:r>
      <w:proofErr w:type="spellEnd"/>
      <w:r w:rsidRPr="00415622">
        <w:rPr>
          <w:rFonts w:ascii="Arial" w:hAnsi="Arial" w:cs="Arial"/>
        </w:rPr>
        <w:t xml:space="preserve">-sodium through alkaline, </w:t>
      </w:r>
      <w:proofErr w:type="spellStart"/>
      <w:r w:rsidRPr="00415622">
        <w:rPr>
          <w:rFonts w:ascii="Arial" w:hAnsi="Arial" w:cs="Arial"/>
        </w:rPr>
        <w:t>smectitic</w:t>
      </w:r>
      <w:proofErr w:type="spellEnd"/>
      <w:r w:rsidRPr="00415622">
        <w:rPr>
          <w:rFonts w:ascii="Arial" w:hAnsi="Arial" w:cs="Arial"/>
        </w:rPr>
        <w:t xml:space="preserve"> soils in column studies, while </w:t>
      </w:r>
      <w:commentRangeStart w:id="4"/>
      <w:r w:rsidR="00202260">
        <w:rPr>
          <w:rFonts w:ascii="Arial" w:hAnsi="Arial" w:cs="Arial"/>
        </w:rPr>
        <w:t xml:space="preserve">[4] </w:t>
      </w:r>
      <w:commentRangeEnd w:id="4"/>
      <w:r w:rsidR="006E3A1D">
        <w:rPr>
          <w:rStyle w:val="CommentReference"/>
          <w:rFonts w:ascii="Times New Roman" w:hAnsi="Times New Roman"/>
          <w:lang w:val="nb-NO" w:eastAsia="nb-NO"/>
        </w:rPr>
        <w:commentReference w:id="4"/>
      </w:r>
      <w:r w:rsidRPr="00415622">
        <w:rPr>
          <w:rFonts w:ascii="Arial" w:hAnsi="Arial" w:cs="Arial"/>
        </w:rPr>
        <w:t>found that liming and elevated soil pH further increased leaching losses in tropical soils. Collectively, these findings highlight that soil pH, organic carbon content, texture, and calcium carbonate levels are major determinants governing the ionization, sorption, and subsequent environmental mobility of pyrithiobac-sodium.</w:t>
      </w:r>
    </w:p>
    <w:p w14:paraId="74750DF3" w14:textId="7B29F64D" w:rsidR="00415622" w:rsidRPr="00415622" w:rsidRDefault="00202260" w:rsidP="00202260">
      <w:pPr>
        <w:spacing w:before="100" w:beforeAutospacing="1" w:after="100" w:afterAutospacing="1"/>
        <w:ind w:firstLine="720"/>
        <w:jc w:val="both"/>
        <w:rPr>
          <w:rFonts w:ascii="Arial" w:hAnsi="Arial" w:cs="Arial"/>
        </w:rPr>
      </w:pPr>
      <w:r>
        <w:rPr>
          <w:rFonts w:ascii="Arial" w:hAnsi="Arial" w:cs="Arial"/>
        </w:rPr>
        <w:t xml:space="preserve">[5] </w:t>
      </w:r>
      <w:r w:rsidR="00415622" w:rsidRPr="00415622">
        <w:rPr>
          <w:rFonts w:ascii="Arial" w:hAnsi="Arial" w:cs="Arial"/>
        </w:rPr>
        <w:t>reported that microbial metabolism of pyrithiobac-sodium generates several minor transformation products and results in the formation of nearly 60 percent non-extractable residues, suggesting that the compound exhibits moderate persistence while undergoing relatively rapid biotransformation in active soils. According to regulatory evaluations by the U.S. Environmental Protection Agency (2017)</w:t>
      </w:r>
      <w:r w:rsidR="00507E57">
        <w:rPr>
          <w:rFonts w:ascii="Arial" w:hAnsi="Arial" w:cs="Arial"/>
        </w:rPr>
        <w:t xml:space="preserve"> [6]</w:t>
      </w:r>
      <w:r w:rsidR="00415622" w:rsidRPr="00415622">
        <w:rPr>
          <w:rFonts w:ascii="Arial" w:hAnsi="Arial" w:cs="Arial"/>
        </w:rPr>
        <w:t xml:space="preserve"> and the Australian Pesticides and Veterinary Medicines Authority </w:t>
      </w:r>
      <w:r>
        <w:rPr>
          <w:rFonts w:ascii="Arial" w:hAnsi="Arial" w:cs="Arial"/>
        </w:rPr>
        <w:t>[</w:t>
      </w:r>
      <w:r w:rsidR="00507E57">
        <w:rPr>
          <w:rFonts w:ascii="Arial" w:hAnsi="Arial" w:cs="Arial"/>
        </w:rPr>
        <w:t>7</w:t>
      </w:r>
      <w:r>
        <w:rPr>
          <w:rFonts w:ascii="Arial" w:hAnsi="Arial" w:cs="Arial"/>
        </w:rPr>
        <w:t xml:space="preserve">] </w:t>
      </w:r>
      <w:proofErr w:type="spellStart"/>
      <w:r w:rsidR="00415622" w:rsidRPr="00415622">
        <w:rPr>
          <w:rFonts w:ascii="Arial" w:hAnsi="Arial" w:cs="Arial"/>
        </w:rPr>
        <w:t>pyrithiobac</w:t>
      </w:r>
      <w:proofErr w:type="spellEnd"/>
      <w:r w:rsidR="00415622" w:rsidRPr="00415622">
        <w:rPr>
          <w:rFonts w:ascii="Arial" w:hAnsi="Arial" w:cs="Arial"/>
        </w:rPr>
        <w:t xml:space="preserve">-sodium is </w:t>
      </w:r>
      <w:proofErr w:type="spellStart"/>
      <w:r w:rsidR="00415622" w:rsidRPr="00415622">
        <w:rPr>
          <w:rFonts w:ascii="Arial" w:hAnsi="Arial" w:cs="Arial"/>
        </w:rPr>
        <w:t>characterised</w:t>
      </w:r>
      <w:proofErr w:type="spellEnd"/>
      <w:r w:rsidR="00415622" w:rsidRPr="00415622">
        <w:rPr>
          <w:rFonts w:ascii="Arial" w:hAnsi="Arial" w:cs="Arial"/>
        </w:rPr>
        <w:t xml:space="preserve"> as slightly to moderately persistent but highly mobile in soil environments, indicating an elevated risk of leaching under alkaline or low-organic-carbon conditions.</w:t>
      </w:r>
    </w:p>
    <w:p w14:paraId="63009612" w14:textId="3EA68E85" w:rsidR="00790ADA" w:rsidRPr="00415622" w:rsidRDefault="00415622" w:rsidP="00415622">
      <w:pPr>
        <w:pStyle w:val="Body"/>
        <w:spacing w:after="0"/>
        <w:rPr>
          <w:rFonts w:ascii="Arial" w:hAnsi="Arial" w:cs="Arial"/>
        </w:rPr>
      </w:pPr>
      <w:r w:rsidRPr="00415622">
        <w:rPr>
          <w:rFonts w:ascii="Arial" w:hAnsi="Arial" w:cs="Arial"/>
          <w:lang w:val="en-IN" w:eastAsia="en-IN"/>
        </w:rPr>
        <w:t xml:space="preserve">Despite widespread use of this herbicide in Indian cotton ecosystems, there is a </w:t>
      </w:r>
      <w:r w:rsidRPr="00415622">
        <w:rPr>
          <w:rFonts w:ascii="Arial" w:hAnsi="Arial" w:cs="Arial"/>
          <w:bCs/>
          <w:lang w:val="en-IN" w:eastAsia="en-IN"/>
        </w:rPr>
        <w:t>lack of systematic information</w:t>
      </w:r>
      <w:r w:rsidRPr="00415622">
        <w:rPr>
          <w:rFonts w:ascii="Arial" w:hAnsi="Arial" w:cs="Arial"/>
          <w:lang w:val="en-IN" w:eastAsia="en-IN"/>
        </w:rPr>
        <w:t xml:space="preserve"> on its adsorption in </w:t>
      </w:r>
      <w:r w:rsidRPr="00415622">
        <w:rPr>
          <w:rFonts w:ascii="Arial" w:hAnsi="Arial" w:cs="Arial"/>
          <w:bCs/>
          <w:lang w:val="en-IN" w:eastAsia="en-IN"/>
        </w:rPr>
        <w:t>Indian soils</w:t>
      </w:r>
      <w:r w:rsidRPr="00415622">
        <w:rPr>
          <w:rFonts w:ascii="Arial" w:hAnsi="Arial" w:cs="Arial"/>
          <w:lang w:val="en-IN" w:eastAsia="en-IN"/>
        </w:rPr>
        <w:t xml:space="preserve">, particularly in </w:t>
      </w:r>
      <w:r w:rsidRPr="00415622">
        <w:rPr>
          <w:rFonts w:ascii="Arial" w:hAnsi="Arial" w:cs="Arial"/>
          <w:bCs/>
          <w:lang w:val="en-IN" w:eastAsia="en-IN"/>
        </w:rPr>
        <w:t>Telangana</w:t>
      </w:r>
      <w:r w:rsidRPr="00415622">
        <w:rPr>
          <w:rFonts w:ascii="Arial" w:hAnsi="Arial" w:cs="Arial"/>
          <w:lang w:val="en-IN" w:eastAsia="en-IN"/>
        </w:rPr>
        <w:t xml:space="preserve">, where cotton is predominantly grown on </w:t>
      </w:r>
      <w:proofErr w:type="spellStart"/>
      <w:r w:rsidRPr="00415622">
        <w:rPr>
          <w:rFonts w:ascii="Arial" w:hAnsi="Arial" w:cs="Arial"/>
          <w:bCs/>
          <w:lang w:val="en-IN" w:eastAsia="en-IN"/>
        </w:rPr>
        <w:t>Vertisols</w:t>
      </w:r>
      <w:proofErr w:type="spellEnd"/>
      <w:r w:rsidRPr="00415622">
        <w:rPr>
          <w:rFonts w:ascii="Arial" w:hAnsi="Arial" w:cs="Arial"/>
          <w:bCs/>
          <w:lang w:val="en-IN" w:eastAsia="en-IN"/>
        </w:rPr>
        <w:t xml:space="preserve"> and </w:t>
      </w:r>
      <w:proofErr w:type="spellStart"/>
      <w:r w:rsidRPr="00415622">
        <w:rPr>
          <w:rFonts w:ascii="Arial" w:hAnsi="Arial" w:cs="Arial"/>
          <w:bCs/>
          <w:lang w:val="en-IN" w:eastAsia="en-IN"/>
        </w:rPr>
        <w:t>Inceptisols</w:t>
      </w:r>
      <w:proofErr w:type="spellEnd"/>
      <w:r w:rsidRPr="00415622">
        <w:rPr>
          <w:rFonts w:ascii="Arial" w:hAnsi="Arial" w:cs="Arial"/>
          <w:lang w:val="en-IN" w:eastAsia="en-IN"/>
        </w:rPr>
        <w:t xml:space="preserve"> with </w:t>
      </w:r>
      <w:r w:rsidRPr="00415622">
        <w:rPr>
          <w:rFonts w:ascii="Arial" w:hAnsi="Arial" w:cs="Arial"/>
          <w:bCs/>
          <w:lang w:val="en-IN" w:eastAsia="en-IN"/>
        </w:rPr>
        <w:t xml:space="preserve">alkaline pH and low organic carbon and </w:t>
      </w:r>
      <w:proofErr w:type="spellStart"/>
      <w:r w:rsidRPr="00415622">
        <w:rPr>
          <w:rFonts w:ascii="Arial" w:hAnsi="Arial" w:cs="Arial"/>
          <w:bCs/>
          <w:lang w:val="en-IN" w:eastAsia="en-IN"/>
        </w:rPr>
        <w:t>Alfisols</w:t>
      </w:r>
      <w:proofErr w:type="spellEnd"/>
      <w:r w:rsidRPr="00415622">
        <w:rPr>
          <w:rFonts w:ascii="Arial" w:hAnsi="Arial" w:cs="Arial"/>
          <w:bCs/>
          <w:lang w:val="en-IN" w:eastAsia="en-IN"/>
        </w:rPr>
        <w:t xml:space="preserve"> with slightly acidic soil reaction and low CE</w:t>
      </w:r>
      <w:r w:rsidR="00202260">
        <w:rPr>
          <w:rFonts w:ascii="Arial" w:hAnsi="Arial" w:cs="Arial"/>
          <w:bCs/>
          <w:lang w:val="en-IN" w:eastAsia="en-IN"/>
        </w:rPr>
        <w:t>C [</w:t>
      </w:r>
      <w:r w:rsidR="00507E57">
        <w:rPr>
          <w:rFonts w:ascii="Arial" w:hAnsi="Arial" w:cs="Arial"/>
          <w:bCs/>
          <w:lang w:val="en-IN" w:eastAsia="en-IN"/>
        </w:rPr>
        <w:t>8</w:t>
      </w:r>
      <w:r w:rsidR="00202260">
        <w:rPr>
          <w:rFonts w:ascii="Arial" w:hAnsi="Arial" w:cs="Arial"/>
          <w:bCs/>
          <w:lang w:val="en-IN" w:eastAsia="en-IN"/>
        </w:rPr>
        <w:t>]</w:t>
      </w:r>
      <w:r w:rsidRPr="00415622">
        <w:rPr>
          <w:rFonts w:ascii="Arial" w:hAnsi="Arial" w:cs="Arial"/>
          <w:lang w:val="en-IN" w:eastAsia="en-IN"/>
        </w:rPr>
        <w:t xml:space="preserve">. These soil characteristics may significantly alter the sorption and dissipation behaviour of pyrithiobac-sodium compared to other regions. The present study was undertaken to investigate the </w:t>
      </w:r>
      <w:r w:rsidRPr="00415622">
        <w:rPr>
          <w:rFonts w:ascii="Arial" w:hAnsi="Arial" w:cs="Arial"/>
          <w:bCs/>
          <w:lang w:val="en-IN" w:eastAsia="en-IN"/>
        </w:rPr>
        <w:t>adsorption characteristics of pyrithiobac-sodium</w:t>
      </w:r>
      <w:r w:rsidRPr="00415622">
        <w:rPr>
          <w:rFonts w:ascii="Arial" w:hAnsi="Arial" w:cs="Arial"/>
          <w:lang w:val="en-IN" w:eastAsia="en-IN"/>
        </w:rPr>
        <w:t xml:space="preserve"> in representative cotton soils of Telangana State.</w:t>
      </w:r>
    </w:p>
    <w:p w14:paraId="64782EB2" w14:textId="77777777" w:rsidR="00415622" w:rsidRDefault="00415622" w:rsidP="00441B6F">
      <w:pPr>
        <w:pStyle w:val="AbstHead"/>
        <w:spacing w:after="0"/>
        <w:jc w:val="both"/>
        <w:rPr>
          <w:rFonts w:ascii="Arial" w:hAnsi="Arial" w:cs="Arial"/>
        </w:rPr>
      </w:pPr>
    </w:p>
    <w:p w14:paraId="288A0D01" w14:textId="031436E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219862" w14:textId="77777777" w:rsidR="00790ADA" w:rsidRPr="00FB3A86" w:rsidRDefault="00790ADA" w:rsidP="00441B6F">
      <w:pPr>
        <w:pStyle w:val="AbstHead"/>
        <w:spacing w:after="0"/>
        <w:jc w:val="both"/>
        <w:rPr>
          <w:rFonts w:ascii="Arial" w:hAnsi="Arial" w:cs="Arial"/>
        </w:rPr>
      </w:pPr>
    </w:p>
    <w:p w14:paraId="53B90030" w14:textId="7BB19023" w:rsidR="00415622" w:rsidRPr="00415622" w:rsidRDefault="00415622" w:rsidP="00415622">
      <w:pPr>
        <w:pStyle w:val="Heading3"/>
        <w:rPr>
          <w:rFonts w:ascii="Arial" w:hAnsi="Arial" w:cs="Arial"/>
          <w:color w:val="auto"/>
          <w:sz w:val="20"/>
          <w:szCs w:val="20"/>
        </w:rPr>
      </w:pPr>
      <w:r w:rsidRPr="00415622">
        <w:rPr>
          <w:rStyle w:val="Strong"/>
          <w:rFonts w:ascii="Arial" w:hAnsi="Arial" w:cs="Arial"/>
          <w:color w:val="auto"/>
          <w:sz w:val="20"/>
          <w:szCs w:val="20"/>
        </w:rPr>
        <w:t>Soil physical, chemical and Physico-chemical properties</w:t>
      </w:r>
    </w:p>
    <w:p w14:paraId="7B491AEF" w14:textId="49E9D973" w:rsidR="00415622" w:rsidRPr="00415622" w:rsidRDefault="00415622" w:rsidP="00415622">
      <w:pPr>
        <w:pStyle w:val="NormalWeb"/>
        <w:ind w:firstLine="720"/>
        <w:jc w:val="both"/>
        <w:rPr>
          <w:rFonts w:ascii="Arial" w:hAnsi="Arial" w:cs="Arial"/>
          <w:sz w:val="20"/>
          <w:szCs w:val="20"/>
        </w:rPr>
      </w:pPr>
      <w:r w:rsidRPr="00415622">
        <w:rPr>
          <w:rFonts w:ascii="Arial" w:hAnsi="Arial" w:cs="Arial"/>
          <w:sz w:val="20"/>
          <w:szCs w:val="20"/>
        </w:rPr>
        <w:t>The soil samples representing the typical red and black soils of the study area were collected, air-dried under shade, gently pulverized, and passed through a 2 mm sieve before analysis. Comprehensive Physico-chemical characterization was undertaken to establish the baseline properties governing the adsorption and dissipation dynamics of pyrithiobac-sodium. Soil reaction (pH) and electrical conductivity (EC) were determined in a 1:2.5 soil-to-water suspension using a standardized digital pH meter and conductivity bridge, respectively, following established analytical protocols.</w:t>
      </w:r>
    </w:p>
    <w:p w14:paraId="3E9B3970" w14:textId="001DD2DB" w:rsidR="00415622" w:rsidRPr="00415622" w:rsidRDefault="00415622" w:rsidP="00415622">
      <w:pPr>
        <w:pStyle w:val="NormalWeb"/>
        <w:jc w:val="both"/>
        <w:rPr>
          <w:rFonts w:ascii="Arial" w:hAnsi="Arial" w:cs="Arial"/>
          <w:sz w:val="20"/>
          <w:szCs w:val="20"/>
        </w:rPr>
      </w:pPr>
      <w:r w:rsidRPr="00415622">
        <w:rPr>
          <w:rFonts w:ascii="Arial" w:hAnsi="Arial" w:cs="Arial"/>
          <w:sz w:val="20"/>
          <w:szCs w:val="20"/>
        </w:rPr>
        <w:t xml:space="preserve">The organic carbon (%) was determined by the </w:t>
      </w:r>
      <w:commentRangeStart w:id="5"/>
      <w:r w:rsidR="00202260">
        <w:rPr>
          <w:rFonts w:ascii="Arial" w:hAnsi="Arial" w:cs="Arial"/>
          <w:sz w:val="20"/>
          <w:szCs w:val="20"/>
        </w:rPr>
        <w:t>[</w:t>
      </w:r>
      <w:r w:rsidR="00507E57">
        <w:rPr>
          <w:rFonts w:ascii="Arial" w:hAnsi="Arial" w:cs="Arial"/>
          <w:sz w:val="20"/>
          <w:szCs w:val="20"/>
        </w:rPr>
        <w:t>9</w:t>
      </w:r>
      <w:r w:rsidR="00202260">
        <w:rPr>
          <w:rFonts w:ascii="Arial" w:hAnsi="Arial" w:cs="Arial"/>
          <w:sz w:val="20"/>
          <w:szCs w:val="20"/>
        </w:rPr>
        <w:t>]</w:t>
      </w:r>
      <w:commentRangeEnd w:id="5"/>
      <w:r w:rsidR="006E3A1D">
        <w:rPr>
          <w:rStyle w:val="CommentReference"/>
          <w:lang w:val="nb-NO" w:eastAsia="nb-NO"/>
        </w:rPr>
        <w:commentReference w:id="5"/>
      </w:r>
      <w:r w:rsidR="00202260">
        <w:rPr>
          <w:rFonts w:ascii="Arial" w:hAnsi="Arial" w:cs="Arial"/>
          <w:sz w:val="20"/>
          <w:szCs w:val="20"/>
        </w:rPr>
        <w:t xml:space="preserve"> </w:t>
      </w:r>
      <w:r w:rsidRPr="00415622">
        <w:rPr>
          <w:rFonts w:ascii="Arial" w:hAnsi="Arial" w:cs="Arial"/>
          <w:sz w:val="20"/>
          <w:szCs w:val="20"/>
        </w:rPr>
        <w:t xml:space="preserve">rapid titrimetric method, involving oxidation with potassium dichromate and concentrated sulfuric acid, followed by back-titration using ferrous ammonium sulphate. The cation exchange capacity (CEC), indicating the soil’s cation retention and </w:t>
      </w:r>
      <w:proofErr w:type="spellStart"/>
      <w:r w:rsidRPr="00415622">
        <w:rPr>
          <w:rFonts w:ascii="Arial" w:hAnsi="Arial" w:cs="Arial"/>
          <w:sz w:val="20"/>
          <w:szCs w:val="20"/>
        </w:rPr>
        <w:t>sorptive</w:t>
      </w:r>
      <w:proofErr w:type="spellEnd"/>
      <w:r w:rsidRPr="00415622">
        <w:rPr>
          <w:rFonts w:ascii="Arial" w:hAnsi="Arial" w:cs="Arial"/>
          <w:sz w:val="20"/>
          <w:szCs w:val="20"/>
        </w:rPr>
        <w:t xml:space="preserve"> capacity, was estimated following </w:t>
      </w:r>
      <w:commentRangeStart w:id="6"/>
      <w:r w:rsidR="00202260">
        <w:rPr>
          <w:rFonts w:ascii="Arial" w:hAnsi="Arial" w:cs="Arial"/>
          <w:sz w:val="20"/>
          <w:szCs w:val="20"/>
        </w:rPr>
        <w:t xml:space="preserve">[9] </w:t>
      </w:r>
      <w:commentRangeEnd w:id="6"/>
      <w:r w:rsidR="006E3A1D">
        <w:rPr>
          <w:rStyle w:val="CommentReference"/>
          <w:lang w:val="nb-NO" w:eastAsia="nb-NO"/>
        </w:rPr>
        <w:commentReference w:id="6"/>
      </w:r>
      <w:r w:rsidRPr="00415622">
        <w:rPr>
          <w:rFonts w:ascii="Arial" w:hAnsi="Arial" w:cs="Arial"/>
          <w:sz w:val="20"/>
          <w:szCs w:val="20"/>
        </w:rPr>
        <w:t xml:space="preserve">with 1 N ammonium acetate (pH 7.0) as extractant and expressed in </w:t>
      </w:r>
      <w:proofErr w:type="spellStart"/>
      <w:r w:rsidRPr="00415622">
        <w:rPr>
          <w:rFonts w:ascii="Arial" w:hAnsi="Arial" w:cs="Arial"/>
          <w:sz w:val="20"/>
          <w:szCs w:val="20"/>
        </w:rPr>
        <w:t>cmol</w:t>
      </w:r>
      <w:proofErr w:type="spellEnd"/>
      <w:r w:rsidRPr="00415622">
        <w:rPr>
          <w:rFonts w:ascii="Arial" w:hAnsi="Arial" w:cs="Arial"/>
          <w:sz w:val="20"/>
          <w:szCs w:val="20"/>
        </w:rPr>
        <w:t>(p</w:t>
      </w:r>
      <w:r w:rsidRPr="00415622">
        <w:rPr>
          <w:rFonts w:ascii="Cambria Math" w:hAnsi="Cambria Math" w:cs="Cambria Math"/>
          <w:sz w:val="20"/>
          <w:szCs w:val="20"/>
        </w:rPr>
        <w:t>⁺</w:t>
      </w:r>
      <w:r w:rsidRPr="00415622">
        <w:rPr>
          <w:rFonts w:ascii="Arial" w:hAnsi="Arial" w:cs="Arial"/>
          <w:sz w:val="20"/>
          <w:szCs w:val="20"/>
        </w:rPr>
        <w:t>) kg</w:t>
      </w:r>
      <w:r w:rsidRPr="00415622">
        <w:rPr>
          <w:rFonts w:ascii="Cambria Math" w:hAnsi="Cambria Math" w:cs="Cambria Math"/>
          <w:sz w:val="20"/>
          <w:szCs w:val="20"/>
        </w:rPr>
        <w:t>⁻</w:t>
      </w:r>
      <w:r w:rsidRPr="00415622">
        <w:rPr>
          <w:rFonts w:ascii="Arial" w:hAnsi="Arial" w:cs="Arial"/>
          <w:sz w:val="20"/>
          <w:szCs w:val="20"/>
        </w:rPr>
        <w:t>¹. Physico-chemical data served as a reference framework for interpreting the influence of soil properties on the adsorption processes in red and black soils.</w:t>
      </w:r>
    </w:p>
    <w:p w14:paraId="203F463D" w14:textId="77777777" w:rsidR="00415622" w:rsidRPr="00415622" w:rsidRDefault="00415622" w:rsidP="00415622">
      <w:pPr>
        <w:spacing w:before="100" w:beforeAutospacing="1" w:after="100" w:afterAutospacing="1"/>
        <w:outlineLvl w:val="2"/>
        <w:rPr>
          <w:rFonts w:ascii="Arial" w:hAnsi="Arial" w:cs="Arial"/>
          <w:b/>
          <w:bCs/>
          <w:iCs/>
          <w:lang w:val="en-IN" w:eastAsia="en-IN"/>
        </w:rPr>
      </w:pPr>
      <w:r w:rsidRPr="00415622">
        <w:rPr>
          <w:rFonts w:ascii="Arial" w:hAnsi="Arial" w:cs="Arial"/>
          <w:b/>
          <w:bCs/>
          <w:iCs/>
          <w:lang w:val="en-IN" w:eastAsia="en-IN"/>
        </w:rPr>
        <w:t>Adsorption Studies</w:t>
      </w:r>
    </w:p>
    <w:p w14:paraId="367652AD" w14:textId="77777777" w:rsidR="00415622" w:rsidRPr="00415622" w:rsidRDefault="00415622" w:rsidP="00415622">
      <w:pPr>
        <w:spacing w:before="100" w:beforeAutospacing="1" w:after="100" w:afterAutospacing="1"/>
        <w:ind w:firstLine="720"/>
        <w:jc w:val="both"/>
        <w:rPr>
          <w:rFonts w:ascii="Arial" w:hAnsi="Arial" w:cs="Arial"/>
          <w:lang w:val="en-IN" w:eastAsia="en-IN"/>
        </w:rPr>
      </w:pPr>
      <w:commentRangeStart w:id="7"/>
      <w:r w:rsidRPr="00415622">
        <w:rPr>
          <w:rFonts w:ascii="Arial" w:hAnsi="Arial" w:cs="Arial"/>
          <w:lang w:val="en-IN" w:eastAsia="en-IN"/>
        </w:rPr>
        <w:t xml:space="preserve">The </w:t>
      </w:r>
      <w:r w:rsidRPr="00415622">
        <w:rPr>
          <w:rFonts w:ascii="Arial" w:hAnsi="Arial" w:cs="Arial"/>
          <w:bCs/>
          <w:lang w:val="en-IN" w:eastAsia="en-IN"/>
        </w:rPr>
        <w:t>adsorption behaviour of pyrithiobac-sodium</w:t>
      </w:r>
      <w:r w:rsidRPr="00415622">
        <w:rPr>
          <w:rFonts w:ascii="Arial" w:hAnsi="Arial" w:cs="Arial"/>
          <w:lang w:val="en-IN" w:eastAsia="en-IN"/>
        </w:rPr>
        <w:t xml:space="preserve"> in soil was evaluated using the </w:t>
      </w:r>
      <w:r w:rsidRPr="00415622">
        <w:rPr>
          <w:rFonts w:ascii="Arial" w:hAnsi="Arial" w:cs="Arial"/>
          <w:bCs/>
          <w:lang w:val="en-IN" w:eastAsia="en-IN"/>
        </w:rPr>
        <w:t>batch equilibrium method</w:t>
      </w:r>
      <w:r w:rsidRPr="00415622">
        <w:rPr>
          <w:rFonts w:ascii="Arial" w:hAnsi="Arial" w:cs="Arial"/>
          <w:lang w:val="en-IN" w:eastAsia="en-IN"/>
        </w:rPr>
        <w:t xml:space="preserve"> as per the </w:t>
      </w:r>
      <w:r w:rsidRPr="00415622">
        <w:rPr>
          <w:rFonts w:ascii="Arial" w:hAnsi="Arial" w:cs="Arial"/>
          <w:bCs/>
          <w:lang w:val="en-IN" w:eastAsia="en-IN"/>
        </w:rPr>
        <w:t>OECD (Organisation for Economic Co-operation and Development) guidelines</w:t>
      </w:r>
      <w:r w:rsidRPr="00415622">
        <w:rPr>
          <w:rFonts w:ascii="Arial" w:hAnsi="Arial" w:cs="Arial"/>
          <w:lang w:val="en-IN" w:eastAsia="en-IN"/>
        </w:rPr>
        <w:t xml:space="preserve">. Representative </w:t>
      </w:r>
      <w:r w:rsidRPr="00415622">
        <w:rPr>
          <w:rFonts w:ascii="Arial" w:hAnsi="Arial" w:cs="Arial"/>
          <w:bCs/>
          <w:lang w:val="en-IN" w:eastAsia="en-IN"/>
        </w:rPr>
        <w:t>red and black soil samples</w:t>
      </w:r>
      <w:r w:rsidRPr="00415622">
        <w:rPr>
          <w:rFonts w:ascii="Arial" w:hAnsi="Arial" w:cs="Arial"/>
          <w:lang w:val="en-IN" w:eastAsia="en-IN"/>
        </w:rPr>
        <w:t xml:space="preserve"> were collected from farmers’ fields of cotton-growing areas in Telangana, air-dried under shade, ground, and passed through a </w:t>
      </w:r>
      <w:r w:rsidRPr="00415622">
        <w:rPr>
          <w:rFonts w:ascii="Arial" w:hAnsi="Arial" w:cs="Arial"/>
          <w:bCs/>
          <w:lang w:val="en-IN" w:eastAsia="en-IN"/>
        </w:rPr>
        <w:t>2 mm sieve</w:t>
      </w:r>
      <w:r w:rsidRPr="00415622">
        <w:rPr>
          <w:rFonts w:ascii="Arial" w:hAnsi="Arial" w:cs="Arial"/>
          <w:lang w:val="en-IN" w:eastAsia="en-IN"/>
        </w:rPr>
        <w:t xml:space="preserve"> prior to analysis. The adsorption experiments were carried out in </w:t>
      </w:r>
      <w:r w:rsidRPr="00415622">
        <w:rPr>
          <w:rFonts w:ascii="Arial" w:hAnsi="Arial" w:cs="Arial"/>
          <w:bCs/>
          <w:lang w:val="en-IN" w:eastAsia="en-IN"/>
        </w:rPr>
        <w:t>triplicate</w:t>
      </w:r>
      <w:r w:rsidRPr="00415622">
        <w:rPr>
          <w:rFonts w:ascii="Arial" w:hAnsi="Arial" w:cs="Arial"/>
          <w:lang w:val="en-IN" w:eastAsia="en-IN"/>
        </w:rPr>
        <w:t xml:space="preserve"> to ensure reproducibility. For each treatment, </w:t>
      </w:r>
      <w:r w:rsidRPr="00415622">
        <w:rPr>
          <w:rFonts w:ascii="Arial" w:hAnsi="Arial" w:cs="Arial"/>
          <w:bCs/>
          <w:lang w:val="en-IN" w:eastAsia="en-IN"/>
        </w:rPr>
        <w:t>5.0 g of soil</w:t>
      </w:r>
      <w:r w:rsidRPr="00415622">
        <w:rPr>
          <w:rFonts w:ascii="Arial" w:hAnsi="Arial" w:cs="Arial"/>
          <w:lang w:val="en-IN" w:eastAsia="en-IN"/>
        </w:rPr>
        <w:t xml:space="preserve"> was equilibrated with </w:t>
      </w:r>
      <w:r w:rsidRPr="00415622">
        <w:rPr>
          <w:rFonts w:ascii="Arial" w:hAnsi="Arial" w:cs="Arial"/>
          <w:bCs/>
          <w:lang w:val="en-IN" w:eastAsia="en-IN"/>
        </w:rPr>
        <w:lastRenderedPageBreak/>
        <w:t>20 mL of pyrithiobac-sodium solution</w:t>
      </w:r>
      <w:r w:rsidRPr="00415622">
        <w:rPr>
          <w:rFonts w:ascii="Arial" w:hAnsi="Arial" w:cs="Arial"/>
          <w:lang w:val="en-IN" w:eastAsia="en-IN"/>
        </w:rPr>
        <w:t xml:space="preserve"> of varying initial concentrations ranging from </w:t>
      </w:r>
      <w:r w:rsidRPr="00415622">
        <w:rPr>
          <w:rFonts w:ascii="Arial" w:hAnsi="Arial" w:cs="Arial"/>
          <w:bCs/>
          <w:lang w:val="en-IN" w:eastAsia="en-IN"/>
        </w:rPr>
        <w:t>0 to 50 µg mL</w:t>
      </w:r>
      <w:r w:rsidRPr="00415622">
        <w:rPr>
          <w:rFonts w:ascii="Cambria Math" w:hAnsi="Cambria Math" w:cs="Cambria Math"/>
          <w:bCs/>
          <w:lang w:val="en-IN" w:eastAsia="en-IN"/>
        </w:rPr>
        <w:t>⁻</w:t>
      </w:r>
      <w:r w:rsidRPr="00415622">
        <w:rPr>
          <w:rFonts w:ascii="Arial" w:hAnsi="Arial" w:cs="Arial"/>
          <w:bCs/>
          <w:lang w:val="en-IN" w:eastAsia="en-IN"/>
        </w:rPr>
        <w:t>¹</w:t>
      </w:r>
      <w:r w:rsidRPr="00415622">
        <w:rPr>
          <w:rFonts w:ascii="Arial" w:hAnsi="Arial" w:cs="Arial"/>
          <w:lang w:val="en-IN" w:eastAsia="en-IN"/>
        </w:rPr>
        <w:t xml:space="preserve"> in </w:t>
      </w:r>
      <w:r w:rsidRPr="00415622">
        <w:rPr>
          <w:rFonts w:ascii="Arial" w:hAnsi="Arial" w:cs="Arial"/>
          <w:bCs/>
          <w:lang w:val="en-IN" w:eastAsia="en-IN"/>
        </w:rPr>
        <w:t>50 mL stoppered polypropylene centrifuge tubes</w:t>
      </w:r>
      <w:r w:rsidRPr="00415622">
        <w:rPr>
          <w:rFonts w:ascii="Arial" w:hAnsi="Arial" w:cs="Arial"/>
          <w:lang w:val="en-IN" w:eastAsia="en-IN"/>
        </w:rPr>
        <w:t xml:space="preserve">. A </w:t>
      </w:r>
      <w:r w:rsidRPr="00415622">
        <w:rPr>
          <w:rFonts w:ascii="Arial" w:hAnsi="Arial" w:cs="Arial"/>
          <w:bCs/>
          <w:lang w:val="en-IN" w:eastAsia="en-IN"/>
        </w:rPr>
        <w:t xml:space="preserve">0.01 M </w:t>
      </w:r>
      <w:proofErr w:type="spellStart"/>
      <w:r w:rsidRPr="00415622">
        <w:rPr>
          <w:rFonts w:ascii="Arial" w:hAnsi="Arial" w:cs="Arial"/>
          <w:bCs/>
          <w:lang w:val="en-IN" w:eastAsia="en-IN"/>
        </w:rPr>
        <w:t>CaCl</w:t>
      </w:r>
      <w:proofErr w:type="spellEnd"/>
      <w:r w:rsidRPr="00415622">
        <w:rPr>
          <w:rFonts w:ascii="Cambria Math" w:hAnsi="Cambria Math" w:cs="Cambria Math"/>
          <w:bCs/>
          <w:lang w:val="en-IN" w:eastAsia="en-IN"/>
        </w:rPr>
        <w:t>₂</w:t>
      </w:r>
      <w:r w:rsidRPr="00415622">
        <w:rPr>
          <w:rFonts w:ascii="Arial" w:hAnsi="Arial" w:cs="Arial"/>
          <w:bCs/>
          <w:lang w:val="en-IN" w:eastAsia="en-IN"/>
        </w:rPr>
        <w:t xml:space="preserve"> solution</w:t>
      </w:r>
      <w:r w:rsidRPr="00415622">
        <w:rPr>
          <w:rFonts w:ascii="Arial" w:hAnsi="Arial" w:cs="Arial"/>
          <w:lang w:val="en-IN" w:eastAsia="en-IN"/>
        </w:rPr>
        <w:t xml:space="preserve"> was used as the background electrolyte to maintain constant </w:t>
      </w:r>
      <w:r w:rsidRPr="00415622">
        <w:rPr>
          <w:rFonts w:ascii="Arial" w:hAnsi="Arial" w:cs="Arial"/>
          <w:bCs/>
          <w:lang w:val="en-IN" w:eastAsia="en-IN"/>
        </w:rPr>
        <w:t>ionic strength</w:t>
      </w:r>
      <w:r w:rsidRPr="00415622">
        <w:rPr>
          <w:rFonts w:ascii="Arial" w:hAnsi="Arial" w:cs="Arial"/>
          <w:lang w:val="en-IN" w:eastAsia="en-IN"/>
        </w:rPr>
        <w:t xml:space="preserve"> and to minimize variation in cation exchange during the adsorption process. The tubes were placed on a </w:t>
      </w:r>
      <w:r w:rsidRPr="00415622">
        <w:rPr>
          <w:rFonts w:ascii="Arial" w:hAnsi="Arial" w:cs="Arial"/>
          <w:bCs/>
          <w:lang w:val="en-IN" w:eastAsia="en-IN"/>
        </w:rPr>
        <w:t>reciprocating shaker</w:t>
      </w:r>
      <w:r w:rsidRPr="00415622">
        <w:rPr>
          <w:rFonts w:ascii="Arial" w:hAnsi="Arial" w:cs="Arial"/>
          <w:lang w:val="en-IN" w:eastAsia="en-IN"/>
        </w:rPr>
        <w:t xml:space="preserve"> and agitated intermittently for </w:t>
      </w:r>
      <w:r w:rsidRPr="00415622">
        <w:rPr>
          <w:rFonts w:ascii="Arial" w:hAnsi="Arial" w:cs="Arial"/>
          <w:bCs/>
          <w:lang w:val="en-IN" w:eastAsia="en-IN"/>
        </w:rPr>
        <w:t>24 hours</w:t>
      </w:r>
      <w:r w:rsidRPr="00415622">
        <w:rPr>
          <w:rFonts w:ascii="Arial" w:hAnsi="Arial" w:cs="Arial"/>
          <w:lang w:val="en-IN" w:eastAsia="en-IN"/>
        </w:rPr>
        <w:t xml:space="preserve"> at a </w:t>
      </w:r>
      <w:r w:rsidRPr="00415622">
        <w:rPr>
          <w:rFonts w:ascii="Arial" w:hAnsi="Arial" w:cs="Arial"/>
          <w:bCs/>
          <w:lang w:val="en-IN" w:eastAsia="en-IN"/>
        </w:rPr>
        <w:t>constant temperature of 27 ± 1°C</w:t>
      </w:r>
      <w:r w:rsidRPr="00415622">
        <w:rPr>
          <w:rFonts w:ascii="Arial" w:hAnsi="Arial" w:cs="Arial"/>
          <w:lang w:val="en-IN" w:eastAsia="en-IN"/>
        </w:rPr>
        <w:t>, which was previously determined to be sufficient to attain adsorption equilibrium.</w:t>
      </w:r>
      <w:commentRangeEnd w:id="7"/>
      <w:r w:rsidR="006E3A1D">
        <w:rPr>
          <w:rStyle w:val="CommentReference"/>
          <w:rFonts w:ascii="Times New Roman" w:hAnsi="Times New Roman"/>
          <w:lang w:val="nb-NO" w:eastAsia="nb-NO"/>
        </w:rPr>
        <w:commentReference w:id="7"/>
      </w:r>
    </w:p>
    <w:p w14:paraId="744E7962" w14:textId="1F02504E"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After equilibration, the suspensions were centrifuged at 4,000 rpm for 15 minutes to separate the soil and supernatant phases. </w:t>
      </w:r>
      <w:r w:rsidRPr="00415622">
        <w:rPr>
          <w:rFonts w:ascii="Arial" w:hAnsi="Arial" w:cs="Arial"/>
        </w:rPr>
        <w:t xml:space="preserve">At each sampling, the herbicide residues were extracted and quantified following the </w:t>
      </w:r>
      <w:r w:rsidRPr="00415622">
        <w:rPr>
          <w:rStyle w:val="Strong"/>
          <w:rFonts w:ascii="Arial" w:eastAsiaTheme="majorEastAsia" w:hAnsi="Arial" w:cs="Arial"/>
          <w:b w:val="0"/>
          <w:bCs w:val="0"/>
        </w:rPr>
        <w:t>high-performance liquid chromatography (HPLC–UV) method</w:t>
      </w:r>
      <w:r w:rsidRPr="00415622">
        <w:rPr>
          <w:rFonts w:ascii="Arial" w:hAnsi="Arial" w:cs="Arial"/>
        </w:rPr>
        <w:t xml:space="preserve"> described by </w:t>
      </w:r>
      <w:commentRangeStart w:id="8"/>
      <w:r w:rsidR="00202260">
        <w:rPr>
          <w:rStyle w:val="Strong"/>
          <w:rFonts w:ascii="Arial" w:eastAsiaTheme="majorEastAsia" w:hAnsi="Arial" w:cs="Arial"/>
          <w:b w:val="0"/>
          <w:bCs w:val="0"/>
        </w:rPr>
        <w:t xml:space="preserve">[10]. </w:t>
      </w:r>
      <w:commentRangeEnd w:id="8"/>
      <w:r w:rsidR="00FE7D02">
        <w:rPr>
          <w:rStyle w:val="CommentReference"/>
          <w:rFonts w:ascii="Times New Roman" w:hAnsi="Times New Roman"/>
          <w:lang w:val="nb-NO" w:eastAsia="nb-NO"/>
        </w:rPr>
        <w:commentReference w:id="8"/>
      </w:r>
      <w:r w:rsidRPr="00415622">
        <w:rPr>
          <w:rFonts w:ascii="Arial" w:hAnsi="Arial" w:cs="Arial"/>
          <w:lang w:val="en-IN" w:eastAsia="en-IN"/>
        </w:rPr>
        <w:t>Identical soil blanks (without herbicide addition) were maintained under the same conditions to account for any background absorbance arising from the soil matrix. The actual equilibrium absorbance was obtained by subtracting the blank values from the treatment readings, and the equilibrium concentration (</w:t>
      </w:r>
      <w:r w:rsidRPr="00415622">
        <w:rPr>
          <w:rFonts w:ascii="Arial" w:hAnsi="Arial" w:cs="Arial"/>
          <w:i/>
          <w:lang w:val="en-IN" w:eastAsia="en-IN"/>
        </w:rPr>
        <w:t>Ce</w:t>
      </w:r>
      <w:r w:rsidRPr="00415622">
        <w:rPr>
          <w:rFonts w:ascii="Arial" w:hAnsi="Arial" w:cs="Arial"/>
          <w:lang w:val="en-IN" w:eastAsia="en-IN"/>
        </w:rPr>
        <w:t>) of pyrithiobac-sodium in solution was determined from the calibration curve developed under identical analytical conditions.</w:t>
      </w:r>
    </w:p>
    <w:p w14:paraId="019389D5" w14:textId="77777777"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equilibrium adsorption data obtained were described using the </w:t>
      </w:r>
      <w:r w:rsidRPr="00415622">
        <w:rPr>
          <w:rFonts w:ascii="Arial" w:hAnsi="Arial" w:cs="Arial"/>
          <w:bCs/>
          <w:lang w:val="en-IN" w:eastAsia="en-IN"/>
        </w:rPr>
        <w:t>Freundlich adsorption isotherm model</w:t>
      </w:r>
      <w:r w:rsidRPr="00415622">
        <w:rPr>
          <w:rFonts w:ascii="Arial" w:hAnsi="Arial" w:cs="Arial"/>
          <w:lang w:val="en-IN" w:eastAsia="en-IN"/>
        </w:rPr>
        <w:t xml:space="preserve">, which is widely employed to characterize </w:t>
      </w:r>
      <w:r w:rsidRPr="00415622">
        <w:rPr>
          <w:rFonts w:ascii="Arial" w:hAnsi="Arial" w:cs="Arial"/>
          <w:bCs/>
          <w:lang w:val="en-IN" w:eastAsia="en-IN"/>
        </w:rPr>
        <w:t>nonlinear and heterogeneous sorption processes</w:t>
      </w:r>
      <w:r w:rsidRPr="00415622">
        <w:rPr>
          <w:rFonts w:ascii="Arial" w:hAnsi="Arial" w:cs="Arial"/>
          <w:lang w:val="en-IN" w:eastAsia="en-IN"/>
        </w:rPr>
        <w:t xml:space="preserve"> in soils. The Freundlich equation is expressed as:</w:t>
      </w:r>
    </w:p>
    <w:p w14:paraId="141B7325" w14:textId="77777777" w:rsidR="00415622" w:rsidRPr="00415622" w:rsidRDefault="00415622" w:rsidP="00415622">
      <w:pPr>
        <w:jc w:val="center"/>
        <w:rPr>
          <w:rFonts w:ascii="Arial" w:hAnsi="Arial" w:cs="Arial"/>
          <w:i/>
          <w:lang w:val="en-IN" w:eastAsia="en-IN"/>
        </w:rPr>
      </w:pPr>
      <w:commentRangeStart w:id="9"/>
      <w:r w:rsidRPr="00415622">
        <w:rPr>
          <w:rFonts w:ascii="Arial" w:hAnsi="Arial" w:cs="Arial"/>
          <w:i/>
          <w:lang w:val="en-IN" w:eastAsia="en-IN"/>
        </w:rPr>
        <w:t>x/m=</w:t>
      </w:r>
      <w:proofErr w:type="spellStart"/>
      <w:r w:rsidRPr="00415622">
        <w:rPr>
          <w:rFonts w:ascii="Arial" w:hAnsi="Arial" w:cs="Arial"/>
          <w:i/>
          <w:lang w:val="en-IN" w:eastAsia="en-IN"/>
        </w:rPr>
        <w:t>K</w:t>
      </w:r>
      <w:r w:rsidRPr="00415622">
        <w:rPr>
          <w:rFonts w:ascii="Arial" w:hAnsi="Arial" w:cs="Arial"/>
          <w:i/>
          <w:vertAlign w:val="subscript"/>
          <w:lang w:val="en-IN" w:eastAsia="en-IN"/>
        </w:rPr>
        <w:t>f</w:t>
      </w:r>
      <w:proofErr w:type="spellEnd"/>
      <w:r w:rsidRPr="00415622">
        <w:rPr>
          <w:rFonts w:ascii="Arial" w:hAnsi="Arial" w:cs="Arial"/>
          <w:i/>
          <w:vertAlign w:val="subscript"/>
          <w:lang w:val="en-IN" w:eastAsia="en-IN"/>
        </w:rPr>
        <w:t xml:space="preserve">. </w:t>
      </w:r>
      <w:r w:rsidRPr="00415622">
        <w:rPr>
          <w:rFonts w:ascii="Arial" w:hAnsi="Arial" w:cs="Arial"/>
          <w:i/>
          <w:lang w:val="en-IN" w:eastAsia="en-IN"/>
        </w:rPr>
        <w:t>C</w:t>
      </w:r>
      <w:r w:rsidRPr="00415622">
        <w:rPr>
          <w:rFonts w:ascii="Arial" w:hAnsi="Arial" w:cs="Arial"/>
          <w:i/>
          <w:vertAlign w:val="subscript"/>
          <w:lang w:val="en-IN" w:eastAsia="en-IN"/>
        </w:rPr>
        <w:t>e</w:t>
      </w:r>
      <w:r w:rsidRPr="00415622">
        <w:rPr>
          <w:rFonts w:ascii="Arial" w:hAnsi="Arial" w:cs="Arial"/>
          <w:i/>
          <w:vertAlign w:val="superscript"/>
          <w:lang w:val="en-IN" w:eastAsia="en-IN"/>
        </w:rPr>
        <w:t>1/n</w:t>
      </w:r>
      <w:commentRangeEnd w:id="9"/>
      <w:r w:rsidR="00FE7D02">
        <w:rPr>
          <w:rStyle w:val="CommentReference"/>
          <w:rFonts w:ascii="Times New Roman" w:hAnsi="Times New Roman"/>
          <w:lang w:val="nb-NO" w:eastAsia="nb-NO"/>
        </w:rPr>
        <w:commentReference w:id="9"/>
      </w:r>
    </w:p>
    <w:p w14:paraId="7C1CFFD9" w14:textId="77777777" w:rsidR="00415622" w:rsidRPr="00415622" w:rsidRDefault="00415622" w:rsidP="00415622">
      <w:pPr>
        <w:rPr>
          <w:rFonts w:ascii="Arial" w:hAnsi="Arial" w:cs="Arial"/>
          <w:lang w:val="en-IN" w:eastAsia="en-IN"/>
        </w:rPr>
      </w:pPr>
    </w:p>
    <w:p w14:paraId="7F901004" w14:textId="77777777" w:rsidR="00415622" w:rsidRPr="00415622" w:rsidRDefault="00415622" w:rsidP="00415622">
      <w:pPr>
        <w:jc w:val="both"/>
        <w:rPr>
          <w:rFonts w:ascii="Arial" w:hAnsi="Arial" w:cs="Arial"/>
          <w:lang w:val="en-IN" w:eastAsia="en-IN"/>
        </w:rPr>
      </w:pPr>
      <w:r w:rsidRPr="00415622">
        <w:rPr>
          <w:rFonts w:ascii="Arial" w:hAnsi="Arial" w:cs="Arial"/>
          <w:lang w:val="en-IN" w:eastAsia="en-IN"/>
        </w:rPr>
        <w:t xml:space="preserve">​ </w:t>
      </w:r>
      <w:r w:rsidRPr="00415622">
        <w:rPr>
          <w:rFonts w:ascii="Arial" w:hAnsi="Arial" w:cs="Arial"/>
          <w:lang w:val="en-IN" w:eastAsia="en-IN"/>
        </w:rPr>
        <w:tab/>
        <w:t xml:space="preserve">where </w:t>
      </w:r>
      <w:r w:rsidRPr="00415622">
        <w:rPr>
          <w:rFonts w:ascii="Arial" w:hAnsi="Arial" w:cs="Arial"/>
          <w:i/>
          <w:iCs/>
          <w:lang w:val="en-IN" w:eastAsia="en-IN"/>
        </w:rPr>
        <w:t>x/m</w:t>
      </w:r>
      <w:r w:rsidRPr="00415622">
        <w:rPr>
          <w:rFonts w:ascii="Arial" w:hAnsi="Arial" w:cs="Arial"/>
          <w:lang w:val="en-IN" w:eastAsia="en-IN"/>
        </w:rPr>
        <w:t xml:space="preserve"> represents the amount of herbicide adsorbed per unit mass of soil (µg g</w:t>
      </w:r>
      <w:r w:rsidRPr="00415622">
        <w:rPr>
          <w:rFonts w:ascii="Cambria Math" w:hAnsi="Cambria Math" w:cs="Cambria Math"/>
          <w:lang w:val="en-IN" w:eastAsia="en-IN"/>
        </w:rPr>
        <w:t>⁻</w:t>
      </w:r>
      <w:r w:rsidRPr="00415622">
        <w:rPr>
          <w:rFonts w:ascii="Arial" w:hAnsi="Arial" w:cs="Arial"/>
          <w:lang w:val="en-IN" w:eastAsia="en-IN"/>
        </w:rPr>
        <w:t xml:space="preserve">¹), </w:t>
      </w:r>
      <w:r w:rsidRPr="00415622">
        <w:rPr>
          <w:rFonts w:ascii="Arial" w:hAnsi="Arial" w:cs="Arial"/>
          <w:i/>
          <w:iCs/>
          <w:lang w:val="en-IN" w:eastAsia="en-IN"/>
        </w:rPr>
        <w:t>Cₑ</w:t>
      </w:r>
      <w:r w:rsidRPr="00415622">
        <w:rPr>
          <w:rFonts w:ascii="Arial" w:hAnsi="Arial" w:cs="Arial"/>
          <w:lang w:val="en-IN" w:eastAsia="en-IN"/>
        </w:rPr>
        <w:t xml:space="preserve"> is the equilibrium concentration of the herbicide in solution (µg mL</w:t>
      </w:r>
      <w:r w:rsidRPr="00415622">
        <w:rPr>
          <w:rFonts w:ascii="Cambria Math" w:hAnsi="Cambria Math" w:cs="Cambria Math"/>
          <w:lang w:val="en-IN" w:eastAsia="en-IN"/>
        </w:rPr>
        <w:t>⁻</w:t>
      </w:r>
      <w:r w:rsidRPr="00415622">
        <w:rPr>
          <w:rFonts w:ascii="Arial" w:hAnsi="Arial" w:cs="Arial"/>
          <w:lang w:val="en-IN" w:eastAsia="en-IN"/>
        </w:rPr>
        <w:t xml:space="preserve">¹), </w:t>
      </w:r>
      <w:proofErr w:type="spellStart"/>
      <w:r w:rsidRPr="00415622">
        <w:rPr>
          <w:rFonts w:ascii="Arial" w:hAnsi="Arial" w:cs="Arial"/>
          <w:i/>
          <w:iCs/>
          <w:lang w:val="en-IN" w:eastAsia="en-IN"/>
        </w:rPr>
        <w:t>Kf</w:t>
      </w:r>
      <w:proofErr w:type="spellEnd"/>
      <w:r w:rsidRPr="00415622">
        <w:rPr>
          <w:rFonts w:ascii="Arial" w:hAnsi="Arial" w:cs="Arial"/>
          <w:lang w:val="en-IN" w:eastAsia="en-IN"/>
        </w:rPr>
        <w:t xml:space="preserve"> is the Freundlich adsorption coefficient that indicates the </w:t>
      </w:r>
      <w:r w:rsidRPr="00415622">
        <w:rPr>
          <w:rFonts w:ascii="Arial" w:hAnsi="Arial" w:cs="Arial"/>
          <w:bCs/>
          <w:lang w:val="en-IN" w:eastAsia="en-IN"/>
        </w:rPr>
        <w:t>adsorption capacity</w:t>
      </w:r>
      <w:r w:rsidRPr="00415622">
        <w:rPr>
          <w:rFonts w:ascii="Arial" w:hAnsi="Arial" w:cs="Arial"/>
          <w:lang w:val="en-IN" w:eastAsia="en-IN"/>
        </w:rPr>
        <w:t xml:space="preserve"> of the soil, and </w:t>
      </w:r>
      <w:r w:rsidRPr="00415622">
        <w:rPr>
          <w:rFonts w:ascii="Arial" w:hAnsi="Arial" w:cs="Arial"/>
          <w:i/>
          <w:iCs/>
          <w:lang w:val="en-IN" w:eastAsia="en-IN"/>
        </w:rPr>
        <w:t>1/n</w:t>
      </w:r>
      <w:r w:rsidRPr="00415622">
        <w:rPr>
          <w:rFonts w:ascii="Arial" w:hAnsi="Arial" w:cs="Arial"/>
          <w:lang w:val="en-IN" w:eastAsia="en-IN"/>
        </w:rPr>
        <w:t xml:space="preserve"> is the </w:t>
      </w:r>
      <w:r w:rsidRPr="00415622">
        <w:rPr>
          <w:rFonts w:ascii="Arial" w:hAnsi="Arial" w:cs="Arial"/>
          <w:bCs/>
          <w:lang w:val="en-IN" w:eastAsia="en-IN"/>
        </w:rPr>
        <w:t>adsorption intensity constant</w:t>
      </w:r>
      <w:r w:rsidRPr="00415622">
        <w:rPr>
          <w:rFonts w:ascii="Arial" w:hAnsi="Arial" w:cs="Arial"/>
          <w:lang w:val="en-IN" w:eastAsia="en-IN"/>
        </w:rPr>
        <w:t xml:space="preserve"> reflecting the heterogeneity of binding sites.</w:t>
      </w:r>
    </w:p>
    <w:p w14:paraId="54C36C80" w14:textId="77777777" w:rsidR="00415622" w:rsidRPr="00415622" w:rsidRDefault="00415622" w:rsidP="00415622">
      <w:pPr>
        <w:spacing w:before="100" w:beforeAutospacing="1" w:after="100" w:afterAutospacing="1"/>
        <w:rPr>
          <w:rFonts w:ascii="Arial" w:hAnsi="Arial" w:cs="Arial"/>
          <w:lang w:val="en-IN" w:eastAsia="en-IN"/>
        </w:rPr>
      </w:pPr>
      <w:r w:rsidRPr="00415622">
        <w:rPr>
          <w:rFonts w:ascii="Arial" w:hAnsi="Arial" w:cs="Arial"/>
          <w:lang w:val="en-IN" w:eastAsia="en-IN"/>
        </w:rPr>
        <w:t>To facilitate linear regression analysis, the above equation was transformed into logarithmic form as:</w:t>
      </w:r>
    </w:p>
    <w:p w14:paraId="68265EDD" w14:textId="77777777" w:rsidR="00415622" w:rsidRPr="00415622" w:rsidRDefault="00415622" w:rsidP="00415622">
      <w:pPr>
        <w:jc w:val="center"/>
        <w:rPr>
          <w:rFonts w:ascii="Arial" w:hAnsi="Arial" w:cs="Arial"/>
          <w:i/>
          <w:lang w:val="de-DE" w:eastAsia="en-IN"/>
        </w:rPr>
      </w:pPr>
      <w:commentRangeStart w:id="10"/>
      <w:r w:rsidRPr="00415622">
        <w:rPr>
          <w:rFonts w:ascii="Arial" w:hAnsi="Arial" w:cs="Arial"/>
          <w:lang w:val="de-DE" w:eastAsia="en-IN"/>
        </w:rPr>
        <w:t xml:space="preserve">log </w:t>
      </w:r>
      <w:r w:rsidRPr="00415622">
        <w:rPr>
          <w:rFonts w:ascii="Arial" w:hAnsi="Arial" w:cs="Arial"/>
          <w:i/>
          <w:lang w:val="de-DE" w:eastAsia="en-IN"/>
        </w:rPr>
        <w:t>(x/</w:t>
      </w:r>
      <w:proofErr w:type="gramStart"/>
      <w:r w:rsidRPr="00415622">
        <w:rPr>
          <w:rFonts w:ascii="Arial" w:hAnsi="Arial" w:cs="Arial"/>
          <w:i/>
          <w:lang w:val="de-DE" w:eastAsia="en-IN"/>
        </w:rPr>
        <w:t>m)=</w:t>
      </w:r>
      <w:proofErr w:type="gramEnd"/>
      <w:r w:rsidRPr="00415622">
        <w:rPr>
          <w:rFonts w:ascii="Arial" w:hAnsi="Arial" w:cs="Arial"/>
          <w:i/>
          <w:lang w:val="de-DE" w:eastAsia="en-IN"/>
        </w:rPr>
        <w:t xml:space="preserve"> </w:t>
      </w:r>
      <w:r w:rsidRPr="00415622">
        <w:rPr>
          <w:rFonts w:ascii="Arial" w:hAnsi="Arial" w:cs="Arial"/>
          <w:lang w:val="de-DE" w:eastAsia="en-IN"/>
        </w:rPr>
        <w:t>log</w:t>
      </w:r>
      <w:r w:rsidRPr="00415622">
        <w:rPr>
          <w:rFonts w:ascii="Arial" w:hAnsi="Arial" w:cs="Arial"/>
          <w:i/>
          <w:lang w:val="de-DE" w:eastAsia="en-IN"/>
        </w:rPr>
        <w:t xml:space="preserve"> K</w:t>
      </w:r>
      <w:r w:rsidRPr="00415622">
        <w:rPr>
          <w:rFonts w:ascii="Arial" w:hAnsi="Arial" w:cs="Arial"/>
          <w:i/>
          <w:vertAlign w:val="subscript"/>
          <w:lang w:val="de-DE" w:eastAsia="en-IN"/>
        </w:rPr>
        <w:t xml:space="preserve">f </w:t>
      </w:r>
      <w:r w:rsidRPr="00415622">
        <w:rPr>
          <w:rFonts w:ascii="Arial" w:hAnsi="Arial" w:cs="Arial"/>
          <w:i/>
          <w:lang w:val="de-DE" w:eastAsia="en-IN"/>
        </w:rPr>
        <w:t>+1/n (logC</w:t>
      </w:r>
      <w:r w:rsidRPr="00415622">
        <w:rPr>
          <w:rFonts w:ascii="Arial" w:hAnsi="Arial" w:cs="Arial"/>
          <w:i/>
          <w:vertAlign w:val="subscript"/>
          <w:lang w:val="de-DE" w:eastAsia="en-IN"/>
        </w:rPr>
        <w:t>e</w:t>
      </w:r>
      <w:r w:rsidRPr="00415622">
        <w:rPr>
          <w:rFonts w:ascii="Arial" w:hAnsi="Arial" w:cs="Arial"/>
          <w:i/>
          <w:lang w:val="de-DE" w:eastAsia="en-IN"/>
        </w:rPr>
        <w:t>​)</w:t>
      </w:r>
      <w:commentRangeEnd w:id="10"/>
      <w:r w:rsidR="00FE7D02">
        <w:rPr>
          <w:rStyle w:val="CommentReference"/>
          <w:rFonts w:ascii="Times New Roman" w:hAnsi="Times New Roman"/>
          <w:lang w:val="nb-NO" w:eastAsia="nb-NO"/>
        </w:rPr>
        <w:commentReference w:id="10"/>
      </w:r>
    </w:p>
    <w:p w14:paraId="6597CFFE" w14:textId="25DC66F4" w:rsidR="00790ADA" w:rsidRPr="00415622" w:rsidRDefault="00415622" w:rsidP="00415622">
      <w:pPr>
        <w:spacing w:before="100" w:beforeAutospacing="1" w:after="100" w:afterAutospacing="1"/>
        <w:ind w:firstLine="720"/>
        <w:jc w:val="both"/>
        <w:rPr>
          <w:rFonts w:ascii="Times New Roman" w:hAnsi="Times New Roman"/>
          <w:sz w:val="24"/>
          <w:szCs w:val="24"/>
          <w:lang w:val="en-IN" w:eastAsia="en-IN"/>
        </w:rPr>
      </w:pPr>
      <w:r w:rsidRPr="00415622">
        <w:rPr>
          <w:rFonts w:ascii="Arial" w:hAnsi="Arial" w:cs="Arial"/>
          <w:lang w:val="en-IN" w:eastAsia="en-IN"/>
        </w:rPr>
        <w:t xml:space="preserve">A plot of </w:t>
      </w:r>
      <w:r w:rsidRPr="00415622">
        <w:rPr>
          <w:rFonts w:ascii="Arial" w:hAnsi="Arial" w:cs="Arial"/>
          <w:bCs/>
          <w:lang w:val="en-IN" w:eastAsia="en-IN"/>
        </w:rPr>
        <w:t xml:space="preserve">log </w:t>
      </w:r>
      <w:r w:rsidRPr="00415622">
        <w:rPr>
          <w:rFonts w:ascii="Arial" w:hAnsi="Arial" w:cs="Arial"/>
          <w:bCs/>
          <w:i/>
          <w:lang w:val="en-IN" w:eastAsia="en-IN"/>
        </w:rPr>
        <w:t>(x/m)</w:t>
      </w:r>
      <w:r w:rsidRPr="00415622">
        <w:rPr>
          <w:rFonts w:ascii="Arial" w:hAnsi="Arial" w:cs="Arial"/>
          <w:lang w:val="en-IN" w:eastAsia="en-IN"/>
        </w:rPr>
        <w:t xml:space="preserve"> versus </w:t>
      </w:r>
      <w:proofErr w:type="gramStart"/>
      <w:r w:rsidRPr="00415622">
        <w:rPr>
          <w:rFonts w:ascii="Arial" w:hAnsi="Arial" w:cs="Arial"/>
          <w:bCs/>
          <w:lang w:val="en-IN" w:eastAsia="en-IN"/>
        </w:rPr>
        <w:t>log(</w:t>
      </w:r>
      <w:proofErr w:type="gramEnd"/>
      <w:r w:rsidRPr="00415622">
        <w:rPr>
          <w:rFonts w:ascii="Arial" w:hAnsi="Arial" w:cs="Arial"/>
          <w:bCs/>
          <w:i/>
          <w:lang w:val="en-IN" w:eastAsia="en-IN"/>
        </w:rPr>
        <w:t>C</w:t>
      </w:r>
      <w:r w:rsidRPr="00415622">
        <w:rPr>
          <w:rFonts w:ascii="Arial" w:hAnsi="Arial" w:cs="Arial"/>
          <w:bCs/>
          <w:i/>
          <w:vertAlign w:val="subscript"/>
          <w:lang w:val="en-IN" w:eastAsia="en-IN"/>
        </w:rPr>
        <w:t>e</w:t>
      </w:r>
      <w:r w:rsidRPr="00415622">
        <w:rPr>
          <w:rFonts w:ascii="Arial" w:hAnsi="Arial" w:cs="Arial"/>
          <w:bCs/>
          <w:lang w:val="en-IN" w:eastAsia="en-IN"/>
        </w:rPr>
        <w:t>)</w:t>
      </w:r>
      <w:r w:rsidRPr="00415622">
        <w:rPr>
          <w:rFonts w:ascii="Arial" w:hAnsi="Arial" w:cs="Arial"/>
          <w:lang w:val="en-IN" w:eastAsia="en-IN"/>
        </w:rPr>
        <w:t xml:space="preserve"> was constructed for each soil type, and the </w:t>
      </w:r>
      <w:r w:rsidRPr="00415622">
        <w:rPr>
          <w:rFonts w:ascii="Arial" w:hAnsi="Arial" w:cs="Arial"/>
          <w:bCs/>
          <w:lang w:val="en-IN" w:eastAsia="en-IN"/>
        </w:rPr>
        <w:t>slope (1/n)</w:t>
      </w:r>
      <w:r w:rsidRPr="00415622">
        <w:rPr>
          <w:rFonts w:ascii="Arial" w:hAnsi="Arial" w:cs="Arial"/>
          <w:lang w:val="en-IN" w:eastAsia="en-IN"/>
        </w:rPr>
        <w:t xml:space="preserve"> and </w:t>
      </w:r>
      <w:r w:rsidRPr="00415622">
        <w:rPr>
          <w:rFonts w:ascii="Arial" w:hAnsi="Arial" w:cs="Arial"/>
          <w:bCs/>
          <w:lang w:val="en-IN" w:eastAsia="en-IN"/>
        </w:rPr>
        <w:t xml:space="preserve">intercept (log </w:t>
      </w:r>
      <w:proofErr w:type="spellStart"/>
      <w:r w:rsidRPr="00415622">
        <w:rPr>
          <w:rFonts w:ascii="Arial" w:hAnsi="Arial" w:cs="Arial"/>
          <w:bCs/>
          <w:i/>
          <w:lang w:val="en-IN" w:eastAsia="en-IN"/>
        </w:rPr>
        <w:t>K</w:t>
      </w:r>
      <w:r w:rsidRPr="00415622">
        <w:rPr>
          <w:rFonts w:ascii="Arial" w:hAnsi="Arial" w:cs="Arial"/>
          <w:bCs/>
          <w:i/>
          <w:vertAlign w:val="subscript"/>
          <w:lang w:val="en-IN" w:eastAsia="en-IN"/>
        </w:rPr>
        <w:t>f</w:t>
      </w:r>
      <w:proofErr w:type="spellEnd"/>
      <w:r w:rsidRPr="00415622">
        <w:rPr>
          <w:rFonts w:ascii="Arial" w:hAnsi="Arial" w:cs="Arial"/>
          <w:bCs/>
          <w:lang w:val="en-IN" w:eastAsia="en-IN"/>
        </w:rPr>
        <w:t>)</w:t>
      </w:r>
      <w:r w:rsidRPr="00415622">
        <w:rPr>
          <w:rFonts w:ascii="Arial" w:hAnsi="Arial" w:cs="Arial"/>
          <w:lang w:val="en-IN" w:eastAsia="en-IN"/>
        </w:rPr>
        <w:t xml:space="preserve"> were determined from the linear regression equation. The </w:t>
      </w:r>
      <w:r w:rsidRPr="00415622">
        <w:rPr>
          <w:rFonts w:ascii="Arial" w:hAnsi="Arial" w:cs="Arial"/>
          <w:bCs/>
          <w:lang w:val="en-IN" w:eastAsia="en-IN"/>
        </w:rPr>
        <w:t>correlation coefficient (R²)</w:t>
      </w:r>
      <w:r w:rsidRPr="00415622">
        <w:rPr>
          <w:rFonts w:ascii="Arial" w:hAnsi="Arial" w:cs="Arial"/>
          <w:lang w:val="en-IN" w:eastAsia="en-IN"/>
        </w:rPr>
        <w:t xml:space="preserve"> was used to assess the goodness of fit between experimental data and the Freundlich model. The parameters </w:t>
      </w:r>
      <w:proofErr w:type="spellStart"/>
      <w:r w:rsidRPr="00415622">
        <w:rPr>
          <w:rFonts w:ascii="Arial" w:hAnsi="Arial" w:cs="Arial"/>
          <w:i/>
          <w:iCs/>
          <w:lang w:val="en-IN" w:eastAsia="en-IN"/>
        </w:rPr>
        <w:t>Kf</w:t>
      </w:r>
      <w:proofErr w:type="spellEnd"/>
      <w:r w:rsidRPr="00415622">
        <w:rPr>
          <w:rFonts w:ascii="Arial" w:hAnsi="Arial" w:cs="Arial"/>
          <w:lang w:val="en-IN" w:eastAsia="en-IN"/>
        </w:rPr>
        <w:t xml:space="preserve"> and </w:t>
      </w:r>
      <w:r w:rsidRPr="00415622">
        <w:rPr>
          <w:rFonts w:ascii="Arial" w:hAnsi="Arial" w:cs="Arial"/>
          <w:i/>
          <w:iCs/>
          <w:lang w:val="en-IN" w:eastAsia="en-IN"/>
        </w:rPr>
        <w:t>1/n</w:t>
      </w:r>
      <w:r w:rsidRPr="00415622">
        <w:rPr>
          <w:rFonts w:ascii="Arial" w:hAnsi="Arial" w:cs="Arial"/>
          <w:lang w:val="en-IN" w:eastAsia="en-IN"/>
        </w:rPr>
        <w:t xml:space="preserve"> thus obtained provided quantitative estimates of the </w:t>
      </w:r>
      <w:r w:rsidRPr="00415622">
        <w:rPr>
          <w:rFonts w:ascii="Arial" w:hAnsi="Arial" w:cs="Arial"/>
          <w:bCs/>
          <w:lang w:val="en-IN" w:eastAsia="en-IN"/>
        </w:rPr>
        <w:t>extent and intensity of pyrithiobac-sodium sorption</w:t>
      </w:r>
      <w:r w:rsidRPr="00415622">
        <w:rPr>
          <w:rFonts w:ascii="Arial" w:hAnsi="Arial" w:cs="Arial"/>
          <w:lang w:val="en-IN" w:eastAsia="en-IN"/>
        </w:rPr>
        <w:t xml:space="preserve"> in red and black soils of Telangana, enabling comparison of their </w:t>
      </w:r>
      <w:proofErr w:type="spellStart"/>
      <w:r w:rsidRPr="00415622">
        <w:rPr>
          <w:rFonts w:ascii="Arial" w:hAnsi="Arial" w:cs="Arial"/>
          <w:lang w:val="en-IN" w:eastAsia="en-IN"/>
        </w:rPr>
        <w:t>sorptive</w:t>
      </w:r>
      <w:proofErr w:type="spellEnd"/>
      <w:r w:rsidRPr="00415622">
        <w:rPr>
          <w:rFonts w:ascii="Arial" w:hAnsi="Arial" w:cs="Arial"/>
          <w:lang w:val="en-IN" w:eastAsia="en-IN"/>
        </w:rPr>
        <w:t xml:space="preserve"> capacities and prediction of the herbicide’s potential mobility</w:t>
      </w:r>
      <w:r w:rsidRPr="00FD7B0E">
        <w:rPr>
          <w:rFonts w:ascii="Times New Roman" w:hAnsi="Times New Roman"/>
          <w:sz w:val="24"/>
          <w:szCs w:val="24"/>
          <w:lang w:val="en-IN" w:eastAsia="en-IN"/>
        </w:rPr>
        <w:t xml:space="preserve"> under field conditions.</w:t>
      </w:r>
    </w:p>
    <w:p w14:paraId="0C1325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87253D" w14:textId="77777777" w:rsidR="00790ADA" w:rsidRPr="00FB3A86" w:rsidRDefault="00790ADA" w:rsidP="00441B6F">
      <w:pPr>
        <w:pStyle w:val="Head1"/>
        <w:spacing w:after="0"/>
        <w:jc w:val="both"/>
        <w:rPr>
          <w:rFonts w:ascii="Arial" w:hAnsi="Arial" w:cs="Arial"/>
        </w:rPr>
      </w:pPr>
    </w:p>
    <w:p w14:paraId="3855BFA0" w14:textId="77777777" w:rsidR="00415622" w:rsidRPr="00AB7107" w:rsidRDefault="00415622" w:rsidP="00415622">
      <w:pPr>
        <w:pStyle w:val="Heading3"/>
        <w:rPr>
          <w:rFonts w:ascii="Arial" w:hAnsi="Arial" w:cs="Arial"/>
          <w:color w:val="auto"/>
          <w:sz w:val="20"/>
          <w:szCs w:val="20"/>
        </w:rPr>
      </w:pPr>
      <w:r w:rsidRPr="00AB7107">
        <w:rPr>
          <w:rStyle w:val="Strong"/>
          <w:rFonts w:ascii="Arial" w:hAnsi="Arial" w:cs="Arial"/>
          <w:color w:val="auto"/>
          <w:sz w:val="20"/>
          <w:szCs w:val="20"/>
        </w:rPr>
        <w:t>Soil characteristics</w:t>
      </w:r>
    </w:p>
    <w:p w14:paraId="4CA54127" w14:textId="50D61BB9" w:rsidR="00415622" w:rsidRPr="00AB7107" w:rsidRDefault="00415622" w:rsidP="00415622">
      <w:pPr>
        <w:spacing w:before="100" w:beforeAutospacing="1" w:after="100" w:afterAutospacing="1"/>
        <w:ind w:firstLine="720"/>
        <w:jc w:val="both"/>
        <w:rPr>
          <w:rFonts w:ascii="Arial" w:hAnsi="Arial" w:cs="Arial"/>
          <w:lang w:val="en-IN" w:eastAsia="en-IN"/>
        </w:rPr>
      </w:pPr>
      <w:commentRangeStart w:id="11"/>
      <w:r w:rsidRPr="00AB7107">
        <w:rPr>
          <w:rFonts w:ascii="Arial" w:hAnsi="Arial" w:cs="Arial"/>
          <w:lang w:val="en-IN" w:eastAsia="en-IN"/>
        </w:rPr>
        <w:t>The inherent variations in soil characteristics markedly (Table</w:t>
      </w:r>
      <w:r w:rsidR="00507E57">
        <w:rPr>
          <w:rFonts w:ascii="Arial" w:hAnsi="Arial" w:cs="Arial"/>
          <w:lang w:val="en-IN" w:eastAsia="en-IN"/>
        </w:rPr>
        <w:t xml:space="preserve"> </w:t>
      </w:r>
      <w:r w:rsidRPr="00AB7107">
        <w:rPr>
          <w:rFonts w:ascii="Arial" w:hAnsi="Arial" w:cs="Arial"/>
          <w:lang w:val="en-IN" w:eastAsia="en-IN"/>
        </w:rPr>
        <w:t>1</w:t>
      </w:r>
      <w:r w:rsidR="00507E57">
        <w:rPr>
          <w:rFonts w:ascii="Arial" w:hAnsi="Arial" w:cs="Arial"/>
          <w:lang w:val="en-IN" w:eastAsia="en-IN"/>
        </w:rPr>
        <w:t>.</w:t>
      </w:r>
      <w:r w:rsidRPr="00AB7107">
        <w:rPr>
          <w:rFonts w:ascii="Arial" w:hAnsi="Arial" w:cs="Arial"/>
          <w:lang w:val="en-IN" w:eastAsia="en-IN"/>
        </w:rPr>
        <w:t xml:space="preserve">) influenced the adsorption behaviour of pyrithiobac-sodium. The black soil, being mildly alkaline (pH ≈ 7.58), had higher clay content, moderate organic carbon, and a greater cation exchange capacity of 23.18 </w:t>
      </w:r>
      <w:proofErr w:type="spellStart"/>
      <w:r w:rsidRPr="00AB7107">
        <w:rPr>
          <w:rFonts w:ascii="Arial" w:hAnsi="Arial" w:cs="Arial"/>
          <w:lang w:val="en-IN" w:eastAsia="en-IN"/>
        </w:rPr>
        <w:t>cmol</w:t>
      </w:r>
      <w:proofErr w:type="spellEnd"/>
      <w:r w:rsidRPr="00AB7107">
        <w:rPr>
          <w:rFonts w:ascii="Arial" w:hAnsi="Arial" w:cs="Arial"/>
          <w:lang w:val="en-IN" w:eastAsia="en-IN"/>
        </w:rPr>
        <w:t>(p</w:t>
      </w:r>
      <w:r w:rsidRPr="00AB7107">
        <w:rPr>
          <w:rFonts w:ascii="Cambria Math" w:hAnsi="Cambria Math" w:cs="Cambria Math"/>
          <w:lang w:val="en-IN" w:eastAsia="en-IN"/>
        </w:rPr>
        <w:t>⁺</w:t>
      </w:r>
      <w:r w:rsidRPr="00AB7107">
        <w:rPr>
          <w:rFonts w:ascii="Arial" w:hAnsi="Arial" w:cs="Arial"/>
          <w:lang w:val="en-IN" w:eastAsia="en-IN"/>
        </w:rPr>
        <w:t>) kg</w:t>
      </w:r>
      <w:r w:rsidRPr="00AB7107">
        <w:rPr>
          <w:rFonts w:ascii="Cambria Math" w:hAnsi="Cambria Math" w:cs="Cambria Math"/>
          <w:lang w:val="en-IN" w:eastAsia="en-IN"/>
        </w:rPr>
        <w:t>⁻</w:t>
      </w:r>
      <w:r w:rsidRPr="00AB7107">
        <w:rPr>
          <w:rFonts w:ascii="Arial" w:hAnsi="Arial" w:cs="Arial"/>
          <w:lang w:val="en-IN" w:eastAsia="en-IN"/>
        </w:rPr>
        <w:t xml:space="preserve">¹. In contrast, the red soil was neutral in reaction (pH ≈ 6.8), sandy loam in texture, low in organic carbon, and possessed a lower CEC of 17.82 </w:t>
      </w:r>
      <w:proofErr w:type="spellStart"/>
      <w:r w:rsidRPr="00AB7107">
        <w:rPr>
          <w:rFonts w:ascii="Arial" w:hAnsi="Arial" w:cs="Arial"/>
          <w:lang w:val="en-IN" w:eastAsia="en-IN"/>
        </w:rPr>
        <w:t>cmol</w:t>
      </w:r>
      <w:proofErr w:type="spellEnd"/>
      <w:r w:rsidRPr="00AB7107">
        <w:rPr>
          <w:rFonts w:ascii="Arial" w:hAnsi="Arial" w:cs="Arial"/>
          <w:lang w:val="en-IN" w:eastAsia="en-IN"/>
        </w:rPr>
        <w:t>(p</w:t>
      </w:r>
      <w:r w:rsidRPr="00AB7107">
        <w:rPr>
          <w:rFonts w:ascii="Cambria Math" w:hAnsi="Cambria Math" w:cs="Cambria Math"/>
          <w:lang w:val="en-IN" w:eastAsia="en-IN"/>
        </w:rPr>
        <w:t>⁺</w:t>
      </w:r>
      <w:r w:rsidRPr="00AB7107">
        <w:rPr>
          <w:rFonts w:ascii="Arial" w:hAnsi="Arial" w:cs="Arial"/>
          <w:lang w:val="en-IN" w:eastAsia="en-IN"/>
        </w:rPr>
        <w:t>) kg</w:t>
      </w:r>
      <w:r w:rsidRPr="00AB7107">
        <w:rPr>
          <w:rFonts w:ascii="Cambria Math" w:hAnsi="Cambria Math" w:cs="Cambria Math"/>
          <w:lang w:val="en-IN" w:eastAsia="en-IN"/>
        </w:rPr>
        <w:t>⁻</w:t>
      </w:r>
      <w:r w:rsidRPr="00AB7107">
        <w:rPr>
          <w:rFonts w:ascii="Arial" w:hAnsi="Arial" w:cs="Arial"/>
          <w:lang w:val="en-IN" w:eastAsia="en-IN"/>
        </w:rPr>
        <w:t>¹.</w:t>
      </w:r>
      <w:commentRangeEnd w:id="11"/>
      <w:r w:rsidR="00FE7D02">
        <w:rPr>
          <w:rStyle w:val="CommentReference"/>
          <w:rFonts w:ascii="Times New Roman" w:hAnsi="Times New Roman"/>
          <w:lang w:val="nb-NO" w:eastAsia="nb-NO"/>
        </w:rPr>
        <w:commentReference w:id="11"/>
      </w:r>
    </w:p>
    <w:p w14:paraId="7C36CF68" w14:textId="77777777" w:rsidR="00AB7107" w:rsidRDefault="00AB7107" w:rsidP="00415622">
      <w:pPr>
        <w:jc w:val="both"/>
        <w:rPr>
          <w:rFonts w:ascii="Arial" w:hAnsi="Arial" w:cs="Arial"/>
          <w:b/>
        </w:rPr>
      </w:pPr>
    </w:p>
    <w:p w14:paraId="65E80D7B" w14:textId="77777777" w:rsidR="003A667A" w:rsidRDefault="003A667A" w:rsidP="00415622">
      <w:pPr>
        <w:jc w:val="both"/>
        <w:rPr>
          <w:rFonts w:ascii="Arial" w:hAnsi="Arial" w:cs="Arial"/>
          <w:b/>
        </w:rPr>
      </w:pPr>
    </w:p>
    <w:p w14:paraId="670F638D" w14:textId="77777777" w:rsidR="00AB7107" w:rsidRDefault="00AB7107" w:rsidP="00415622">
      <w:pPr>
        <w:jc w:val="both"/>
        <w:rPr>
          <w:rFonts w:ascii="Arial" w:hAnsi="Arial" w:cs="Arial"/>
          <w:b/>
        </w:rPr>
      </w:pPr>
    </w:p>
    <w:p w14:paraId="7AC161D0" w14:textId="0AB89A98" w:rsidR="00415622" w:rsidRDefault="00415622" w:rsidP="00415622">
      <w:pPr>
        <w:jc w:val="both"/>
        <w:rPr>
          <w:rFonts w:ascii="Arial" w:hAnsi="Arial" w:cs="Arial"/>
          <w:b/>
        </w:rPr>
      </w:pPr>
      <w:r w:rsidRPr="00AB7107">
        <w:rPr>
          <w:rFonts w:ascii="Arial" w:hAnsi="Arial" w:cs="Arial"/>
          <w:b/>
        </w:rPr>
        <w:t>Table 1</w:t>
      </w:r>
      <w:r w:rsidR="00AB7107" w:rsidRPr="00AB7107">
        <w:rPr>
          <w:rFonts w:ascii="Arial" w:hAnsi="Arial" w:cs="Arial"/>
          <w:b/>
        </w:rPr>
        <w:t>.</w:t>
      </w:r>
      <w:r w:rsidRPr="00AB7107">
        <w:rPr>
          <w:rFonts w:ascii="Arial" w:hAnsi="Arial" w:cs="Arial"/>
          <w:b/>
        </w:rPr>
        <w:t xml:space="preserve"> Physico-chemical properties of the selected soil samples</w:t>
      </w:r>
    </w:p>
    <w:p w14:paraId="2CED527F" w14:textId="77777777" w:rsidR="00AB7107" w:rsidRPr="00AB7107" w:rsidRDefault="00AB7107" w:rsidP="00415622">
      <w:pPr>
        <w:jc w:val="both"/>
        <w:rPr>
          <w:rFonts w:ascii="Arial" w:hAnsi="Arial" w:cs="Arial"/>
          <w:b/>
        </w:rPr>
      </w:pPr>
    </w:p>
    <w:tbl>
      <w:tblPr>
        <w:tblStyle w:val="TableGrid"/>
        <w:tblW w:w="6198" w:type="dxa"/>
        <w:jc w:val="center"/>
        <w:tblLook w:val="04A0" w:firstRow="1" w:lastRow="0" w:firstColumn="1" w:lastColumn="0" w:noHBand="0" w:noVBand="1"/>
      </w:tblPr>
      <w:tblGrid>
        <w:gridCol w:w="2906"/>
        <w:gridCol w:w="1177"/>
        <w:gridCol w:w="2115"/>
      </w:tblGrid>
      <w:tr w:rsidR="00415622" w:rsidRPr="00AB7107" w14:paraId="1E2930D7" w14:textId="77777777" w:rsidTr="000470C0">
        <w:trPr>
          <w:trHeight w:val="300"/>
          <w:jc w:val="center"/>
        </w:trPr>
        <w:tc>
          <w:tcPr>
            <w:tcW w:w="2906" w:type="dxa"/>
            <w:noWrap/>
          </w:tcPr>
          <w:p w14:paraId="67D250EF" w14:textId="77777777" w:rsidR="00415622" w:rsidRPr="00AB7107" w:rsidRDefault="00415622" w:rsidP="000470C0">
            <w:pPr>
              <w:rPr>
                <w:rFonts w:ascii="Arial" w:hAnsi="Arial" w:cs="Arial"/>
                <w:b/>
                <w:bCs/>
                <w:sz w:val="20"/>
                <w:szCs w:val="20"/>
                <w:lang w:bidi="hi-IN"/>
              </w:rPr>
            </w:pPr>
            <w:r w:rsidRPr="00AB7107">
              <w:rPr>
                <w:rFonts w:ascii="Arial" w:hAnsi="Arial" w:cs="Arial"/>
                <w:b/>
                <w:bCs/>
                <w:sz w:val="20"/>
                <w:szCs w:val="20"/>
                <w:lang w:bidi="hi-IN"/>
              </w:rPr>
              <w:t>Adsorption parameter</w:t>
            </w:r>
          </w:p>
        </w:tc>
        <w:tc>
          <w:tcPr>
            <w:tcW w:w="1177" w:type="dxa"/>
            <w:noWrap/>
          </w:tcPr>
          <w:p w14:paraId="0A77E214"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Red soil</w:t>
            </w:r>
          </w:p>
        </w:tc>
        <w:tc>
          <w:tcPr>
            <w:tcW w:w="2115" w:type="dxa"/>
          </w:tcPr>
          <w:p w14:paraId="3428D968" w14:textId="77777777" w:rsidR="00415622" w:rsidRPr="00AB7107" w:rsidRDefault="00415622" w:rsidP="000470C0">
            <w:pPr>
              <w:jc w:val="center"/>
              <w:rPr>
                <w:rFonts w:ascii="Arial" w:hAnsi="Arial" w:cs="Arial"/>
                <w:b/>
                <w:bCs/>
                <w:sz w:val="20"/>
                <w:szCs w:val="20"/>
              </w:rPr>
            </w:pPr>
            <w:r w:rsidRPr="00AB7107">
              <w:rPr>
                <w:rFonts w:ascii="Arial" w:hAnsi="Arial" w:cs="Arial"/>
                <w:b/>
                <w:bCs/>
                <w:sz w:val="20"/>
                <w:szCs w:val="20"/>
              </w:rPr>
              <w:t>Black soil</w:t>
            </w:r>
          </w:p>
        </w:tc>
      </w:tr>
      <w:tr w:rsidR="00415622" w:rsidRPr="00AB7107" w14:paraId="50233417" w14:textId="77777777" w:rsidTr="000470C0">
        <w:trPr>
          <w:trHeight w:val="300"/>
          <w:jc w:val="center"/>
        </w:trPr>
        <w:tc>
          <w:tcPr>
            <w:tcW w:w="2906" w:type="dxa"/>
            <w:noWrap/>
            <w:hideMark/>
          </w:tcPr>
          <w:p w14:paraId="2D437B94"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pH</w:t>
            </w:r>
          </w:p>
        </w:tc>
        <w:tc>
          <w:tcPr>
            <w:tcW w:w="1177" w:type="dxa"/>
            <w:noWrap/>
            <w:hideMark/>
          </w:tcPr>
          <w:p w14:paraId="10E89D95"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6.72</w:t>
            </w:r>
          </w:p>
        </w:tc>
        <w:tc>
          <w:tcPr>
            <w:tcW w:w="2115" w:type="dxa"/>
          </w:tcPr>
          <w:p w14:paraId="46F2152D" w14:textId="77777777" w:rsidR="00415622" w:rsidRPr="00AB7107" w:rsidRDefault="00415622" w:rsidP="000470C0">
            <w:pPr>
              <w:ind w:left="747" w:hanging="747"/>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7.58</w:t>
            </w:r>
          </w:p>
        </w:tc>
      </w:tr>
      <w:tr w:rsidR="00415622" w:rsidRPr="00AB7107" w14:paraId="3461F9AA" w14:textId="77777777" w:rsidTr="000470C0">
        <w:trPr>
          <w:trHeight w:val="300"/>
          <w:jc w:val="center"/>
        </w:trPr>
        <w:tc>
          <w:tcPr>
            <w:tcW w:w="2906" w:type="dxa"/>
            <w:noWrap/>
            <w:hideMark/>
          </w:tcPr>
          <w:p w14:paraId="719240E7"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rPr>
              <w:t>CEC (C mol (p</w:t>
            </w:r>
            <w:r w:rsidRPr="00AB7107">
              <w:rPr>
                <w:rFonts w:ascii="Arial" w:hAnsi="Arial" w:cs="Arial"/>
                <w:sz w:val="20"/>
                <w:szCs w:val="20"/>
                <w:vertAlign w:val="superscript"/>
              </w:rPr>
              <w:t>+</w:t>
            </w:r>
            <w:r w:rsidRPr="00AB7107">
              <w:rPr>
                <w:rFonts w:ascii="Arial" w:hAnsi="Arial" w:cs="Arial"/>
                <w:sz w:val="20"/>
                <w:szCs w:val="20"/>
              </w:rPr>
              <w:t>)/</w:t>
            </w:r>
            <w:proofErr w:type="gramStart"/>
            <w:r w:rsidRPr="00AB7107">
              <w:rPr>
                <w:rFonts w:ascii="Arial" w:hAnsi="Arial" w:cs="Arial"/>
                <w:sz w:val="20"/>
                <w:szCs w:val="20"/>
              </w:rPr>
              <w:t>kg</w:t>
            </w:r>
            <w:r w:rsidRPr="00AB7107">
              <w:rPr>
                <w:rFonts w:ascii="Arial" w:hAnsi="Arial" w:cs="Arial"/>
                <w:sz w:val="20"/>
                <w:szCs w:val="20"/>
                <w:lang w:bidi="hi-IN"/>
              </w:rPr>
              <w:t xml:space="preserve"> )</w:t>
            </w:r>
            <w:proofErr w:type="gramEnd"/>
          </w:p>
        </w:tc>
        <w:tc>
          <w:tcPr>
            <w:tcW w:w="1177" w:type="dxa"/>
            <w:noWrap/>
            <w:hideMark/>
          </w:tcPr>
          <w:p w14:paraId="12D0C300"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17.82</w:t>
            </w:r>
          </w:p>
        </w:tc>
        <w:tc>
          <w:tcPr>
            <w:tcW w:w="2115" w:type="dxa"/>
          </w:tcPr>
          <w:p w14:paraId="6DD58BD2"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23.18</w:t>
            </w:r>
          </w:p>
        </w:tc>
      </w:tr>
      <w:tr w:rsidR="00415622" w:rsidRPr="00AB7107" w14:paraId="0DDB7445" w14:textId="77777777" w:rsidTr="000470C0">
        <w:trPr>
          <w:trHeight w:val="300"/>
          <w:jc w:val="center"/>
        </w:trPr>
        <w:tc>
          <w:tcPr>
            <w:tcW w:w="2906" w:type="dxa"/>
            <w:noWrap/>
            <w:hideMark/>
          </w:tcPr>
          <w:p w14:paraId="2DB3CAB2" w14:textId="77777777" w:rsidR="00415622" w:rsidRPr="00AB7107" w:rsidRDefault="00415622" w:rsidP="000470C0">
            <w:pPr>
              <w:rPr>
                <w:rFonts w:ascii="Arial" w:hAnsi="Arial" w:cs="Arial"/>
                <w:sz w:val="20"/>
                <w:szCs w:val="20"/>
              </w:rPr>
            </w:pPr>
            <w:r w:rsidRPr="00AB7107">
              <w:rPr>
                <w:rFonts w:ascii="Arial" w:hAnsi="Arial" w:cs="Arial"/>
                <w:sz w:val="20"/>
                <w:szCs w:val="20"/>
                <w:lang w:bidi="hi-IN"/>
              </w:rPr>
              <w:t>Organic carbon (%)</w:t>
            </w:r>
          </w:p>
        </w:tc>
        <w:tc>
          <w:tcPr>
            <w:tcW w:w="1177" w:type="dxa"/>
            <w:noWrap/>
            <w:hideMark/>
          </w:tcPr>
          <w:p w14:paraId="6573E3A1" w14:textId="77777777" w:rsidR="00415622" w:rsidRPr="00AB7107" w:rsidRDefault="00415622" w:rsidP="000470C0">
            <w:pPr>
              <w:jc w:val="center"/>
              <w:rPr>
                <w:rFonts w:ascii="Arial" w:hAnsi="Arial" w:cs="Arial"/>
                <w:sz w:val="20"/>
                <w:szCs w:val="20"/>
              </w:rPr>
            </w:pPr>
            <w:r w:rsidRPr="00AB7107">
              <w:rPr>
                <w:rFonts w:ascii="Arial" w:hAnsi="Arial" w:cs="Arial"/>
                <w:sz w:val="20"/>
                <w:szCs w:val="20"/>
              </w:rPr>
              <w:t>0.39</w:t>
            </w:r>
          </w:p>
        </w:tc>
        <w:tc>
          <w:tcPr>
            <w:tcW w:w="2115" w:type="dxa"/>
          </w:tcPr>
          <w:p w14:paraId="29F096F1" w14:textId="77777777" w:rsidR="00415622" w:rsidRPr="00AB7107" w:rsidRDefault="00415622" w:rsidP="000470C0">
            <w:pPr>
              <w:jc w:val="center"/>
              <w:rPr>
                <w:rFonts w:ascii="Arial" w:hAnsi="Arial" w:cs="Arial"/>
                <w:sz w:val="20"/>
                <w:szCs w:val="20"/>
              </w:rPr>
            </w:pPr>
            <w:r w:rsidRPr="00AB7107">
              <w:rPr>
                <w:rFonts w:ascii="Arial" w:hAnsi="Arial" w:cs="Arial"/>
                <w:sz w:val="20"/>
                <w:szCs w:val="20"/>
              </w:rPr>
              <w:t>0.44</w:t>
            </w:r>
          </w:p>
        </w:tc>
      </w:tr>
      <w:tr w:rsidR="00415622" w:rsidRPr="00AB7107" w14:paraId="17CDC2CE" w14:textId="77777777" w:rsidTr="000470C0">
        <w:trPr>
          <w:trHeight w:val="300"/>
          <w:jc w:val="center"/>
        </w:trPr>
        <w:tc>
          <w:tcPr>
            <w:tcW w:w="2906" w:type="dxa"/>
            <w:noWrap/>
            <w:hideMark/>
          </w:tcPr>
          <w:p w14:paraId="370830F1"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Clay (%)</w:t>
            </w:r>
          </w:p>
        </w:tc>
        <w:tc>
          <w:tcPr>
            <w:tcW w:w="1177" w:type="dxa"/>
            <w:noWrap/>
            <w:hideMark/>
          </w:tcPr>
          <w:p w14:paraId="504A5807"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20.2</w:t>
            </w:r>
          </w:p>
        </w:tc>
        <w:tc>
          <w:tcPr>
            <w:tcW w:w="2115" w:type="dxa"/>
          </w:tcPr>
          <w:p w14:paraId="4F1FF383"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34.5</w:t>
            </w:r>
          </w:p>
        </w:tc>
      </w:tr>
      <w:tr w:rsidR="00415622" w:rsidRPr="00AB7107" w14:paraId="4E6E8159" w14:textId="77777777" w:rsidTr="000470C0">
        <w:trPr>
          <w:trHeight w:val="300"/>
          <w:jc w:val="center"/>
        </w:trPr>
        <w:tc>
          <w:tcPr>
            <w:tcW w:w="2906" w:type="dxa"/>
            <w:noWrap/>
            <w:hideMark/>
          </w:tcPr>
          <w:p w14:paraId="4BB726FC"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Silt (%)</w:t>
            </w:r>
          </w:p>
        </w:tc>
        <w:tc>
          <w:tcPr>
            <w:tcW w:w="1177" w:type="dxa"/>
            <w:noWrap/>
            <w:hideMark/>
          </w:tcPr>
          <w:p w14:paraId="4C5F7CB2"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14.2</w:t>
            </w:r>
          </w:p>
        </w:tc>
        <w:tc>
          <w:tcPr>
            <w:tcW w:w="2115" w:type="dxa"/>
          </w:tcPr>
          <w:p w14:paraId="063F88C4"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18.5</w:t>
            </w:r>
          </w:p>
        </w:tc>
      </w:tr>
      <w:tr w:rsidR="00415622" w:rsidRPr="00AB7107" w14:paraId="668D66FA" w14:textId="77777777" w:rsidTr="000470C0">
        <w:trPr>
          <w:trHeight w:val="300"/>
          <w:jc w:val="center"/>
        </w:trPr>
        <w:tc>
          <w:tcPr>
            <w:tcW w:w="2906" w:type="dxa"/>
            <w:noWrap/>
            <w:hideMark/>
          </w:tcPr>
          <w:p w14:paraId="00650B61"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Sand (%)</w:t>
            </w:r>
          </w:p>
        </w:tc>
        <w:tc>
          <w:tcPr>
            <w:tcW w:w="1177" w:type="dxa"/>
            <w:noWrap/>
            <w:hideMark/>
          </w:tcPr>
          <w:p w14:paraId="3F7225C3"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65.6</w:t>
            </w:r>
          </w:p>
        </w:tc>
        <w:tc>
          <w:tcPr>
            <w:tcW w:w="2115" w:type="dxa"/>
          </w:tcPr>
          <w:p w14:paraId="191F730D"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47.0</w:t>
            </w:r>
          </w:p>
        </w:tc>
      </w:tr>
    </w:tbl>
    <w:p w14:paraId="64D5078F" w14:textId="77777777" w:rsidR="00AB7107" w:rsidRPr="00AB7107" w:rsidRDefault="00AB7107" w:rsidP="00415622">
      <w:pPr>
        <w:pStyle w:val="Heading3"/>
        <w:rPr>
          <w:rStyle w:val="Strong"/>
          <w:rFonts w:ascii="Arial" w:hAnsi="Arial" w:cs="Arial"/>
          <w:color w:val="auto"/>
          <w:sz w:val="20"/>
          <w:szCs w:val="20"/>
        </w:rPr>
      </w:pPr>
    </w:p>
    <w:p w14:paraId="59B479EF" w14:textId="207FE085" w:rsidR="00415622" w:rsidRPr="00AB7107" w:rsidRDefault="00415622" w:rsidP="00415622">
      <w:pPr>
        <w:pStyle w:val="Heading3"/>
        <w:rPr>
          <w:rFonts w:ascii="Arial" w:hAnsi="Arial" w:cs="Arial"/>
          <w:color w:val="auto"/>
          <w:sz w:val="20"/>
          <w:szCs w:val="20"/>
        </w:rPr>
      </w:pPr>
      <w:r w:rsidRPr="00AB7107">
        <w:rPr>
          <w:rStyle w:val="Strong"/>
          <w:rFonts w:ascii="Arial" w:hAnsi="Arial" w:cs="Arial"/>
          <w:color w:val="auto"/>
          <w:sz w:val="20"/>
          <w:szCs w:val="20"/>
        </w:rPr>
        <w:t>Adsorption Behaviour of Pyrithiobac-Sodium in Soils</w:t>
      </w:r>
    </w:p>
    <w:p w14:paraId="7BB69BFD" w14:textId="6290C366" w:rsidR="00415622" w:rsidRPr="00AB7107" w:rsidRDefault="00415622" w:rsidP="00415622">
      <w:pPr>
        <w:pStyle w:val="NormalWeb"/>
        <w:ind w:firstLine="720"/>
        <w:jc w:val="both"/>
        <w:rPr>
          <w:rFonts w:ascii="Arial" w:hAnsi="Arial" w:cs="Arial"/>
          <w:sz w:val="20"/>
          <w:szCs w:val="20"/>
        </w:rPr>
      </w:pPr>
      <w:r w:rsidRPr="00AB7107">
        <w:rPr>
          <w:rFonts w:ascii="Arial" w:hAnsi="Arial" w:cs="Arial"/>
          <w:sz w:val="20"/>
          <w:szCs w:val="20"/>
        </w:rPr>
        <w:t>The amount of pyrithiobac-sodium adsorbed by the soils increased progressively with increasing equilibrium concentration in both red and black soils (Table 2</w:t>
      </w:r>
      <w:r w:rsidR="003A667A">
        <w:rPr>
          <w:rFonts w:ascii="Arial" w:hAnsi="Arial" w:cs="Arial"/>
          <w:sz w:val="20"/>
          <w:szCs w:val="20"/>
        </w:rPr>
        <w:t>.</w:t>
      </w:r>
      <w:r w:rsidRPr="00AB7107">
        <w:rPr>
          <w:rFonts w:ascii="Arial" w:hAnsi="Arial" w:cs="Arial"/>
          <w:sz w:val="20"/>
          <w:szCs w:val="20"/>
        </w:rPr>
        <w:t xml:space="preserve">). At the initial concentration of </w:t>
      </w:r>
      <w:r w:rsidRPr="00AB7107">
        <w:rPr>
          <w:rStyle w:val="Strong"/>
          <w:rFonts w:ascii="Arial" w:hAnsi="Arial" w:cs="Arial"/>
          <w:b w:val="0"/>
          <w:bCs w:val="0"/>
          <w:sz w:val="20"/>
          <w:szCs w:val="20"/>
        </w:rPr>
        <w:t>5.0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the adsorption ranged from </w:t>
      </w:r>
      <w:r w:rsidRPr="00AB7107">
        <w:rPr>
          <w:rStyle w:val="Strong"/>
          <w:rFonts w:ascii="Arial" w:hAnsi="Arial" w:cs="Arial"/>
          <w:b w:val="0"/>
          <w:bCs w:val="0"/>
          <w:sz w:val="20"/>
          <w:szCs w:val="20"/>
        </w:rPr>
        <w:t>1.06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in red soil to </w:t>
      </w:r>
      <w:r w:rsidRPr="00AB7107">
        <w:rPr>
          <w:rStyle w:val="Strong"/>
          <w:rFonts w:ascii="Arial" w:hAnsi="Arial" w:cs="Arial"/>
          <w:b w:val="0"/>
          <w:bCs w:val="0"/>
          <w:sz w:val="20"/>
          <w:szCs w:val="20"/>
        </w:rPr>
        <w:t>1.62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in black soil. At the highest concentration of </w:t>
      </w:r>
      <w:r w:rsidRPr="00AB7107">
        <w:rPr>
          <w:rStyle w:val="Strong"/>
          <w:rFonts w:ascii="Arial" w:hAnsi="Arial" w:cs="Arial"/>
          <w:b w:val="0"/>
          <w:bCs w:val="0"/>
          <w:sz w:val="20"/>
          <w:szCs w:val="20"/>
        </w:rPr>
        <w:t>50.0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the corresponding adsorption values increased to </w:t>
      </w:r>
      <w:r w:rsidRPr="00AB7107">
        <w:rPr>
          <w:rStyle w:val="Strong"/>
          <w:rFonts w:ascii="Arial" w:hAnsi="Arial" w:cs="Arial"/>
          <w:b w:val="0"/>
          <w:bCs w:val="0"/>
          <w:sz w:val="20"/>
          <w:szCs w:val="20"/>
        </w:rPr>
        <w:t>7.41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and </w:t>
      </w:r>
      <w:r w:rsidRPr="00AB7107">
        <w:rPr>
          <w:rStyle w:val="Strong"/>
          <w:rFonts w:ascii="Arial" w:hAnsi="Arial" w:cs="Arial"/>
          <w:b w:val="0"/>
          <w:bCs w:val="0"/>
          <w:sz w:val="20"/>
          <w:szCs w:val="20"/>
        </w:rPr>
        <w:t>14.41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respectively. The consistently higher adsorption in black soil can be attributed to its </w:t>
      </w:r>
      <w:r w:rsidRPr="00AB7107">
        <w:rPr>
          <w:rStyle w:val="Strong"/>
          <w:rFonts w:ascii="Arial" w:hAnsi="Arial" w:cs="Arial"/>
          <w:b w:val="0"/>
          <w:bCs w:val="0"/>
          <w:sz w:val="20"/>
          <w:szCs w:val="20"/>
        </w:rPr>
        <w:t>greater clay fraction, higher cation exchange capacity</w:t>
      </w:r>
      <w:r w:rsidRPr="00AB7107">
        <w:rPr>
          <w:rStyle w:val="Strong"/>
          <w:rFonts w:ascii="Arial" w:hAnsi="Arial" w:cs="Arial"/>
          <w:sz w:val="20"/>
          <w:szCs w:val="20"/>
        </w:rPr>
        <w:t xml:space="preserve"> </w:t>
      </w:r>
      <w:r w:rsidRPr="00AB7107">
        <w:rPr>
          <w:rStyle w:val="Strong"/>
          <w:rFonts w:ascii="Arial" w:hAnsi="Arial" w:cs="Arial"/>
          <w:b w:val="0"/>
          <w:bCs w:val="0"/>
          <w:sz w:val="20"/>
          <w:szCs w:val="20"/>
        </w:rPr>
        <w:t xml:space="preserve">(24.2 </w:t>
      </w:r>
      <w:proofErr w:type="spellStart"/>
      <w:r w:rsidRPr="00AB7107">
        <w:rPr>
          <w:rStyle w:val="Strong"/>
          <w:rFonts w:ascii="Arial" w:hAnsi="Arial" w:cs="Arial"/>
          <w:b w:val="0"/>
          <w:bCs w:val="0"/>
          <w:sz w:val="20"/>
          <w:szCs w:val="20"/>
        </w:rPr>
        <w:t>cmol</w:t>
      </w:r>
      <w:proofErr w:type="spellEnd"/>
      <w:r w:rsidRPr="00AB7107">
        <w:rPr>
          <w:rStyle w:val="Strong"/>
          <w:rFonts w:ascii="Arial" w:hAnsi="Arial" w:cs="Arial"/>
          <w:b w:val="0"/>
          <w:bCs w:val="0"/>
          <w:sz w:val="20"/>
          <w:szCs w:val="20"/>
        </w:rPr>
        <w:t>(p</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 kg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 xml:space="preserve">, </w:t>
      </w:r>
      <w:r w:rsidRPr="00AB7107">
        <w:rPr>
          <w:rFonts w:ascii="Arial" w:hAnsi="Arial" w:cs="Arial"/>
          <w:sz w:val="20"/>
          <w:szCs w:val="20"/>
        </w:rPr>
        <w:t>and</w:t>
      </w:r>
      <w:r w:rsidRPr="00AB7107">
        <w:rPr>
          <w:rFonts w:ascii="Arial" w:hAnsi="Arial" w:cs="Arial"/>
          <w:b/>
          <w:bCs/>
          <w:sz w:val="20"/>
          <w:szCs w:val="20"/>
        </w:rPr>
        <w:t xml:space="preserve"> </w:t>
      </w:r>
      <w:r w:rsidRPr="00AB7107">
        <w:rPr>
          <w:rStyle w:val="Strong"/>
          <w:rFonts w:ascii="Arial" w:hAnsi="Arial" w:cs="Arial"/>
          <w:b w:val="0"/>
          <w:bCs w:val="0"/>
          <w:sz w:val="20"/>
          <w:szCs w:val="20"/>
        </w:rPr>
        <w:t>moderate organic carbon content</w:t>
      </w:r>
      <w:r w:rsidRPr="00AB7107">
        <w:rPr>
          <w:rFonts w:ascii="Arial" w:hAnsi="Arial" w:cs="Arial"/>
          <w:b/>
          <w:bCs/>
          <w:sz w:val="20"/>
          <w:szCs w:val="20"/>
        </w:rPr>
        <w:t>,</w:t>
      </w:r>
      <w:r w:rsidRPr="00AB7107">
        <w:rPr>
          <w:rFonts w:ascii="Arial" w:hAnsi="Arial" w:cs="Arial"/>
          <w:sz w:val="20"/>
          <w:szCs w:val="20"/>
        </w:rPr>
        <w:t xml:space="preserve"> which together provided higher number of active binding sites for herbicide retention. In contrast, the red soil, being </w:t>
      </w:r>
      <w:r w:rsidRPr="00AB7107">
        <w:rPr>
          <w:rStyle w:val="Strong"/>
          <w:rFonts w:ascii="Arial" w:hAnsi="Arial" w:cs="Arial"/>
          <w:b w:val="0"/>
          <w:bCs w:val="0"/>
          <w:sz w:val="20"/>
          <w:szCs w:val="20"/>
        </w:rPr>
        <w:t>sandy loam in texture</w:t>
      </w:r>
      <w:r w:rsidRPr="00AB7107">
        <w:rPr>
          <w:rFonts w:ascii="Arial" w:hAnsi="Arial" w:cs="Arial"/>
          <w:b/>
          <w:bCs/>
          <w:sz w:val="20"/>
          <w:szCs w:val="20"/>
        </w:rPr>
        <w:t xml:space="preserve"> </w:t>
      </w:r>
      <w:r w:rsidRPr="00AB7107">
        <w:rPr>
          <w:rFonts w:ascii="Arial" w:hAnsi="Arial" w:cs="Arial"/>
          <w:sz w:val="20"/>
          <w:szCs w:val="20"/>
        </w:rPr>
        <w:t>with</w:t>
      </w:r>
      <w:r w:rsidRPr="00AB7107">
        <w:rPr>
          <w:rFonts w:ascii="Arial" w:hAnsi="Arial" w:cs="Arial"/>
          <w:b/>
          <w:bCs/>
          <w:sz w:val="20"/>
          <w:szCs w:val="20"/>
        </w:rPr>
        <w:t xml:space="preserve"> </w:t>
      </w:r>
      <w:r w:rsidRPr="00AB7107">
        <w:rPr>
          <w:rStyle w:val="Strong"/>
          <w:rFonts w:ascii="Arial" w:hAnsi="Arial" w:cs="Arial"/>
          <w:b w:val="0"/>
          <w:bCs w:val="0"/>
          <w:sz w:val="20"/>
          <w:szCs w:val="20"/>
        </w:rPr>
        <w:t xml:space="preserve">lower organic carbon and lower CEC (15.91 </w:t>
      </w:r>
      <w:proofErr w:type="spellStart"/>
      <w:r w:rsidRPr="00AB7107">
        <w:rPr>
          <w:rStyle w:val="Strong"/>
          <w:rFonts w:ascii="Arial" w:hAnsi="Arial" w:cs="Arial"/>
          <w:b w:val="0"/>
          <w:bCs w:val="0"/>
          <w:sz w:val="20"/>
          <w:szCs w:val="20"/>
        </w:rPr>
        <w:t>cmol</w:t>
      </w:r>
      <w:proofErr w:type="spellEnd"/>
      <w:r w:rsidRPr="00AB7107">
        <w:rPr>
          <w:rStyle w:val="Strong"/>
          <w:rFonts w:ascii="Arial" w:hAnsi="Arial" w:cs="Arial"/>
          <w:b w:val="0"/>
          <w:bCs w:val="0"/>
          <w:sz w:val="20"/>
          <w:szCs w:val="20"/>
        </w:rPr>
        <w:t>(p</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 kg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exhibited weaker adsorption potential. These findings are consistent with earlier reports indicating that </w:t>
      </w:r>
      <w:r w:rsidRPr="00AB7107">
        <w:rPr>
          <w:rStyle w:val="Strong"/>
          <w:rFonts w:ascii="Arial" w:hAnsi="Arial" w:cs="Arial"/>
          <w:b w:val="0"/>
          <w:bCs w:val="0"/>
          <w:sz w:val="20"/>
          <w:szCs w:val="20"/>
        </w:rPr>
        <w:t>sorption of pyrithiobac-sodium and similar weakly acidic herbicides</w:t>
      </w:r>
      <w:r w:rsidRPr="00AB7107">
        <w:rPr>
          <w:rFonts w:ascii="Arial" w:hAnsi="Arial" w:cs="Arial"/>
          <w:sz w:val="20"/>
          <w:szCs w:val="20"/>
        </w:rPr>
        <w:t xml:space="preserve"> increases with soil clay and organic matter content but decreases under higher pH conditions </w:t>
      </w:r>
      <w:r w:rsidR="003A667A">
        <w:rPr>
          <w:rFonts w:ascii="Arial" w:hAnsi="Arial" w:cs="Arial"/>
          <w:sz w:val="20"/>
          <w:szCs w:val="20"/>
        </w:rPr>
        <w:t>[2]</w:t>
      </w:r>
      <w:r w:rsidRPr="00AB7107">
        <w:rPr>
          <w:rFonts w:ascii="Arial" w:hAnsi="Arial" w:cs="Arial"/>
          <w:sz w:val="20"/>
          <w:szCs w:val="20"/>
        </w:rPr>
        <w:t xml:space="preserve">; </w:t>
      </w:r>
      <w:r w:rsidR="003A667A">
        <w:rPr>
          <w:rFonts w:ascii="Arial" w:hAnsi="Arial" w:cs="Arial"/>
          <w:sz w:val="20"/>
          <w:szCs w:val="20"/>
        </w:rPr>
        <w:t>[3]</w:t>
      </w:r>
      <w:r w:rsidRPr="00AB7107">
        <w:rPr>
          <w:rFonts w:ascii="Arial" w:hAnsi="Arial" w:cs="Arial"/>
          <w:sz w:val="20"/>
          <w:szCs w:val="20"/>
        </w:rPr>
        <w:t xml:space="preserve">; </w:t>
      </w:r>
      <w:r w:rsidR="003A667A">
        <w:rPr>
          <w:rFonts w:ascii="Arial" w:hAnsi="Arial" w:cs="Arial"/>
          <w:sz w:val="20"/>
          <w:szCs w:val="20"/>
        </w:rPr>
        <w:t xml:space="preserve">[4]. </w:t>
      </w:r>
      <w:r w:rsidR="00506F88">
        <w:rPr>
          <w:rFonts w:ascii="Arial" w:hAnsi="Arial" w:cs="Arial"/>
          <w:sz w:val="20"/>
          <w:szCs w:val="20"/>
        </w:rPr>
        <w:t xml:space="preserve">[11] </w:t>
      </w:r>
      <w:r w:rsidRPr="00AB7107">
        <w:rPr>
          <w:rFonts w:ascii="Arial" w:hAnsi="Arial" w:cs="Arial"/>
          <w:sz w:val="20"/>
          <w:szCs w:val="20"/>
        </w:rPr>
        <w:t>reported similar influence of soil properties in their study on bispyribac sodium in rice growing soils of Telangana state.</w:t>
      </w:r>
    </w:p>
    <w:p w14:paraId="278B34C5" w14:textId="77777777" w:rsidR="00415622" w:rsidRPr="00AB7107" w:rsidRDefault="00415622" w:rsidP="00415622">
      <w:pPr>
        <w:pStyle w:val="NormalWeb"/>
        <w:ind w:firstLine="720"/>
        <w:jc w:val="both"/>
        <w:rPr>
          <w:rFonts w:ascii="Arial" w:hAnsi="Arial" w:cs="Arial"/>
          <w:sz w:val="20"/>
          <w:szCs w:val="20"/>
        </w:rPr>
      </w:pPr>
      <w:r w:rsidRPr="00AB7107">
        <w:rPr>
          <w:rFonts w:ascii="Arial" w:hAnsi="Arial" w:cs="Arial"/>
          <w:sz w:val="20"/>
          <w:szCs w:val="20"/>
        </w:rPr>
        <w:t xml:space="preserve">At </w:t>
      </w:r>
      <w:r w:rsidRPr="00AB7107">
        <w:rPr>
          <w:rStyle w:val="Strong"/>
          <w:rFonts w:ascii="Arial" w:hAnsi="Arial" w:cs="Arial"/>
          <w:b w:val="0"/>
          <w:bCs w:val="0"/>
          <w:sz w:val="20"/>
          <w:szCs w:val="20"/>
        </w:rPr>
        <w:t>lower equilibrium concentrations (&lt;15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adsorption increased slowly, probably due to initial occupation of a limited number of high-affinity sorption sites. As concentration increased (15–40 µg mL</w:t>
      </w:r>
      <w:r w:rsidRPr="00AB7107">
        <w:rPr>
          <w:rFonts w:ascii="Cambria Math" w:hAnsi="Cambria Math" w:cs="Cambria Math"/>
          <w:sz w:val="20"/>
          <w:szCs w:val="20"/>
        </w:rPr>
        <w:t>⁻</w:t>
      </w:r>
      <w:r w:rsidRPr="00AB7107">
        <w:rPr>
          <w:rFonts w:ascii="Arial" w:hAnsi="Arial" w:cs="Arial"/>
          <w:sz w:val="20"/>
          <w:szCs w:val="20"/>
        </w:rPr>
        <w:t xml:space="preserve">¹), the rate of adsorption accelerated markedly, suggesting progressive occupation of available sorption sites. Beyond </w:t>
      </w:r>
      <w:r w:rsidRPr="00AB7107">
        <w:rPr>
          <w:rStyle w:val="Strong"/>
          <w:rFonts w:ascii="Arial" w:hAnsi="Arial" w:cs="Arial"/>
          <w:b w:val="0"/>
          <w:bCs w:val="0"/>
          <w:sz w:val="20"/>
          <w:szCs w:val="20"/>
        </w:rPr>
        <w:t>40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adsorption approached a plateau, indicating </w:t>
      </w:r>
      <w:r w:rsidRPr="00AB7107">
        <w:rPr>
          <w:rStyle w:val="Strong"/>
          <w:rFonts w:ascii="Arial" w:hAnsi="Arial" w:cs="Arial"/>
          <w:b w:val="0"/>
          <w:bCs w:val="0"/>
          <w:sz w:val="20"/>
          <w:szCs w:val="20"/>
        </w:rPr>
        <w:t>saturation of binding sites</w:t>
      </w:r>
      <w:r w:rsidRPr="00AB7107">
        <w:rPr>
          <w:rFonts w:ascii="Arial" w:hAnsi="Arial" w:cs="Arial"/>
          <w:b/>
          <w:bCs/>
          <w:sz w:val="20"/>
          <w:szCs w:val="20"/>
        </w:rPr>
        <w:t xml:space="preserve"> </w:t>
      </w:r>
      <w:r w:rsidRPr="00506F88">
        <w:rPr>
          <w:rFonts w:ascii="Arial" w:hAnsi="Arial" w:cs="Arial"/>
          <w:sz w:val="20"/>
          <w:szCs w:val="20"/>
        </w:rPr>
        <w:t>or</w:t>
      </w:r>
      <w:r w:rsidRPr="00AB7107">
        <w:rPr>
          <w:rFonts w:ascii="Arial" w:hAnsi="Arial" w:cs="Arial"/>
          <w:b/>
          <w:bCs/>
          <w:sz w:val="20"/>
          <w:szCs w:val="20"/>
        </w:rPr>
        <w:t xml:space="preserve"> </w:t>
      </w:r>
      <w:r w:rsidRPr="00AB7107">
        <w:rPr>
          <w:rStyle w:val="Strong"/>
          <w:rFonts w:ascii="Arial" w:hAnsi="Arial" w:cs="Arial"/>
          <w:b w:val="0"/>
          <w:bCs w:val="0"/>
          <w:sz w:val="20"/>
          <w:szCs w:val="20"/>
        </w:rPr>
        <w:t>competitive displacement of herbicide molecules by water</w:t>
      </w:r>
      <w:r w:rsidRPr="00AB7107">
        <w:rPr>
          <w:rFonts w:ascii="Arial" w:hAnsi="Arial" w:cs="Arial"/>
          <w:sz w:val="20"/>
          <w:szCs w:val="20"/>
        </w:rPr>
        <w:t xml:space="preserve"> at higher solute concentrations. Such </w:t>
      </w:r>
      <w:r w:rsidRPr="00AB7107">
        <w:rPr>
          <w:rStyle w:val="Strong"/>
          <w:rFonts w:ascii="Arial" w:hAnsi="Arial" w:cs="Arial"/>
          <w:b w:val="0"/>
          <w:bCs w:val="0"/>
          <w:sz w:val="20"/>
          <w:szCs w:val="20"/>
        </w:rPr>
        <w:t>nonlinear, concentration-dependent sorption</w:t>
      </w:r>
      <w:r w:rsidRPr="00AB7107">
        <w:rPr>
          <w:rFonts w:ascii="Arial" w:hAnsi="Arial" w:cs="Arial"/>
          <w:sz w:val="20"/>
          <w:szCs w:val="20"/>
        </w:rPr>
        <w:t xml:space="preserve"> behaviour is typical of ionic herbicides in heterogeneous soils, reflecting variable energy interactions between herbicide molecules and soil colloids.</w:t>
      </w:r>
    </w:p>
    <w:p w14:paraId="5706F5ED" w14:textId="6BD8F800" w:rsidR="00AB7107" w:rsidRDefault="00415622" w:rsidP="00AB7107">
      <w:pPr>
        <w:pStyle w:val="NormalWeb"/>
        <w:ind w:firstLine="720"/>
        <w:jc w:val="both"/>
        <w:rPr>
          <w:rFonts w:ascii="Arial" w:hAnsi="Arial" w:cs="Arial"/>
          <w:sz w:val="20"/>
          <w:szCs w:val="20"/>
        </w:rPr>
      </w:pPr>
      <w:r w:rsidRPr="00AB7107">
        <w:rPr>
          <w:rFonts w:ascii="Arial" w:hAnsi="Arial" w:cs="Arial"/>
          <w:sz w:val="20"/>
          <w:szCs w:val="20"/>
        </w:rPr>
        <w:t xml:space="preserve">The </w:t>
      </w:r>
      <w:r w:rsidRPr="00AB7107">
        <w:rPr>
          <w:rStyle w:val="Strong"/>
          <w:rFonts w:ascii="Arial" w:hAnsi="Arial" w:cs="Arial"/>
          <w:b w:val="0"/>
          <w:bCs w:val="0"/>
          <w:sz w:val="20"/>
          <w:szCs w:val="20"/>
        </w:rPr>
        <w:t>adsorption isotherms</w:t>
      </w:r>
      <w:r w:rsidRPr="00AB7107">
        <w:rPr>
          <w:rFonts w:ascii="Arial" w:hAnsi="Arial" w:cs="Arial"/>
          <w:sz w:val="20"/>
          <w:szCs w:val="20"/>
        </w:rPr>
        <w:t>, plotted between the amount of herbicide adsorbed (</w:t>
      </w:r>
      <w:r w:rsidRPr="00AB7107">
        <w:rPr>
          <w:rStyle w:val="Emphasis"/>
          <w:rFonts w:ascii="Arial" w:hAnsi="Arial" w:cs="Arial"/>
          <w:sz w:val="20"/>
          <w:szCs w:val="20"/>
        </w:rPr>
        <w:t>x/m</w:t>
      </w:r>
      <w:r w:rsidRPr="00AB7107">
        <w:rPr>
          <w:rFonts w:ascii="Arial" w:hAnsi="Arial" w:cs="Arial"/>
          <w:sz w:val="20"/>
          <w:szCs w:val="20"/>
        </w:rPr>
        <w:t>) and equilibrium concentration (</w:t>
      </w:r>
      <w:r w:rsidRPr="00AB7107">
        <w:rPr>
          <w:rStyle w:val="Emphasis"/>
          <w:rFonts w:ascii="Arial" w:hAnsi="Arial" w:cs="Arial"/>
          <w:sz w:val="20"/>
          <w:szCs w:val="20"/>
        </w:rPr>
        <w:t>Cₑ</w:t>
      </w:r>
      <w:r w:rsidRPr="00AB7107">
        <w:rPr>
          <w:rFonts w:ascii="Arial" w:hAnsi="Arial" w:cs="Arial"/>
          <w:sz w:val="20"/>
          <w:szCs w:val="20"/>
        </w:rPr>
        <w:t xml:space="preserve">), were </w:t>
      </w:r>
      <w:r w:rsidRPr="00AB7107">
        <w:rPr>
          <w:rStyle w:val="Strong"/>
          <w:rFonts w:ascii="Arial" w:hAnsi="Arial" w:cs="Arial"/>
          <w:b w:val="0"/>
          <w:bCs w:val="0"/>
          <w:sz w:val="20"/>
          <w:szCs w:val="20"/>
        </w:rPr>
        <w:t>parabolic with a characteristic “S” shaped curve</w:t>
      </w:r>
      <w:r w:rsidRPr="00AB7107">
        <w:rPr>
          <w:rFonts w:ascii="Arial" w:hAnsi="Arial" w:cs="Arial"/>
          <w:sz w:val="20"/>
          <w:szCs w:val="20"/>
        </w:rPr>
        <w:t xml:space="preserve"> in both soils, suggesting </w:t>
      </w:r>
      <w:r w:rsidRPr="00AB7107">
        <w:rPr>
          <w:rStyle w:val="Strong"/>
          <w:rFonts w:ascii="Arial" w:hAnsi="Arial" w:cs="Arial"/>
          <w:b w:val="0"/>
          <w:bCs w:val="0"/>
          <w:sz w:val="20"/>
          <w:szCs w:val="20"/>
        </w:rPr>
        <w:t>cooperative adsorption on heterogeneous</w:t>
      </w:r>
      <w:r w:rsidRPr="00AB7107">
        <w:rPr>
          <w:rStyle w:val="Strong"/>
          <w:rFonts w:ascii="Arial" w:hAnsi="Arial" w:cs="Arial"/>
          <w:sz w:val="20"/>
          <w:szCs w:val="20"/>
        </w:rPr>
        <w:t xml:space="preserve"> </w:t>
      </w:r>
      <w:r w:rsidRPr="00AB7107">
        <w:rPr>
          <w:rStyle w:val="Strong"/>
          <w:rFonts w:ascii="Arial" w:hAnsi="Arial" w:cs="Arial"/>
          <w:b w:val="0"/>
          <w:bCs w:val="0"/>
          <w:sz w:val="20"/>
          <w:szCs w:val="20"/>
        </w:rPr>
        <w:t>surfaces</w:t>
      </w:r>
      <w:r w:rsidRPr="00AB7107">
        <w:rPr>
          <w:rFonts w:ascii="Arial" w:hAnsi="Arial" w:cs="Arial"/>
          <w:sz w:val="20"/>
          <w:szCs w:val="20"/>
        </w:rPr>
        <w:t xml:space="preserve"> (Fig. 1 &amp; 2). The experimental data conformed well to the </w:t>
      </w:r>
      <w:r w:rsidRPr="00AB7107">
        <w:rPr>
          <w:rStyle w:val="Strong"/>
          <w:rFonts w:ascii="Arial" w:hAnsi="Arial" w:cs="Arial"/>
          <w:b w:val="0"/>
          <w:bCs w:val="0"/>
          <w:sz w:val="20"/>
          <w:szCs w:val="20"/>
        </w:rPr>
        <w:t>Freundlich adsorption isotherm</w:t>
      </w:r>
      <w:r w:rsidRPr="00AB7107">
        <w:rPr>
          <w:rFonts w:ascii="Arial" w:hAnsi="Arial" w:cs="Arial"/>
          <w:sz w:val="20"/>
          <w:szCs w:val="20"/>
        </w:rPr>
        <w:t xml:space="preserve">, with correlation coefficients </w:t>
      </w:r>
      <w:r w:rsidRPr="00AB7107">
        <w:rPr>
          <w:rFonts w:ascii="Arial" w:hAnsi="Arial" w:cs="Arial"/>
          <w:b/>
          <w:bCs/>
          <w:sz w:val="20"/>
          <w:szCs w:val="20"/>
        </w:rPr>
        <w:t>(</w:t>
      </w:r>
      <w:r w:rsidRPr="00AB7107">
        <w:rPr>
          <w:rStyle w:val="Strong"/>
          <w:rFonts w:ascii="Arial" w:hAnsi="Arial" w:cs="Arial"/>
          <w:b w:val="0"/>
          <w:bCs w:val="0"/>
          <w:sz w:val="20"/>
          <w:szCs w:val="20"/>
        </w:rPr>
        <w:t>R² &gt; 0.95</w:t>
      </w:r>
      <w:r w:rsidRPr="00AB7107">
        <w:rPr>
          <w:rFonts w:ascii="Arial" w:hAnsi="Arial" w:cs="Arial"/>
          <w:b/>
          <w:bCs/>
          <w:sz w:val="20"/>
          <w:szCs w:val="20"/>
        </w:rPr>
        <w:t>),</w:t>
      </w:r>
      <w:r w:rsidRPr="00AB7107">
        <w:rPr>
          <w:rFonts w:ascii="Arial" w:hAnsi="Arial" w:cs="Arial"/>
          <w:sz w:val="20"/>
          <w:szCs w:val="20"/>
        </w:rPr>
        <w:t xml:space="preserve"> confirming that the sorption process was heterogeneous. The </w:t>
      </w:r>
      <w:r w:rsidRPr="00AB7107">
        <w:rPr>
          <w:rStyle w:val="Strong"/>
          <w:rFonts w:ascii="Arial" w:hAnsi="Arial" w:cs="Arial"/>
          <w:b w:val="0"/>
          <w:bCs w:val="0"/>
          <w:sz w:val="20"/>
          <w:szCs w:val="20"/>
        </w:rPr>
        <w:t>Freundlich constants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Style w:val="Strong"/>
          <w:rFonts w:ascii="Arial" w:hAnsi="Arial" w:cs="Arial"/>
          <w:b w:val="0"/>
          <w:bCs w:val="0"/>
          <w:sz w:val="20"/>
          <w:szCs w:val="20"/>
          <w:vertAlign w:val="subscript"/>
        </w:rPr>
        <w:t xml:space="preserve"> </w:t>
      </w:r>
      <w:r w:rsidRPr="00AB7107">
        <w:rPr>
          <w:rStyle w:val="Strong"/>
          <w:rFonts w:ascii="Arial" w:hAnsi="Arial" w:cs="Arial"/>
          <w:b w:val="0"/>
          <w:bCs w:val="0"/>
          <w:sz w:val="20"/>
          <w:szCs w:val="20"/>
        </w:rPr>
        <w:t>and 1/n)</w:t>
      </w:r>
      <w:r w:rsidRPr="00AB7107">
        <w:rPr>
          <w:rFonts w:ascii="Arial" w:hAnsi="Arial" w:cs="Arial"/>
          <w:b/>
          <w:bCs/>
          <w:sz w:val="20"/>
          <w:szCs w:val="20"/>
        </w:rPr>
        <w:t>,</w:t>
      </w:r>
      <w:r w:rsidRPr="00AB7107">
        <w:rPr>
          <w:rFonts w:ascii="Arial" w:hAnsi="Arial" w:cs="Arial"/>
          <w:sz w:val="20"/>
          <w:szCs w:val="20"/>
        </w:rPr>
        <w:t xml:space="preserve"> derived from the logarithmic form (Table</w:t>
      </w:r>
      <w:r w:rsidR="00506F88">
        <w:rPr>
          <w:rFonts w:ascii="Arial" w:hAnsi="Arial" w:cs="Arial"/>
          <w:sz w:val="20"/>
          <w:szCs w:val="20"/>
        </w:rPr>
        <w:t xml:space="preserve"> </w:t>
      </w:r>
      <w:r w:rsidRPr="00AB7107">
        <w:rPr>
          <w:rFonts w:ascii="Arial" w:hAnsi="Arial" w:cs="Arial"/>
          <w:sz w:val="20"/>
          <w:szCs w:val="20"/>
        </w:rPr>
        <w:t>2</w:t>
      </w:r>
      <w:r w:rsidR="00506F88">
        <w:rPr>
          <w:rFonts w:ascii="Arial" w:hAnsi="Arial" w:cs="Arial"/>
          <w:sz w:val="20"/>
          <w:szCs w:val="20"/>
        </w:rPr>
        <w:t>.</w:t>
      </w:r>
      <w:r w:rsidRPr="00AB7107">
        <w:rPr>
          <w:rFonts w:ascii="Arial" w:hAnsi="Arial" w:cs="Arial"/>
          <w:sz w:val="20"/>
          <w:szCs w:val="20"/>
        </w:rPr>
        <w:t xml:space="preserve">), indicated that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Fonts w:ascii="Arial" w:hAnsi="Arial" w:cs="Arial"/>
          <w:b/>
          <w:bCs/>
          <w:sz w:val="20"/>
          <w:szCs w:val="20"/>
        </w:rPr>
        <w:t xml:space="preserve"> </w:t>
      </w:r>
      <w:r w:rsidRPr="00AB7107">
        <w:rPr>
          <w:rFonts w:ascii="Arial" w:hAnsi="Arial" w:cs="Arial"/>
          <w:sz w:val="20"/>
          <w:szCs w:val="20"/>
        </w:rPr>
        <w:t xml:space="preserve">was higher for the black soil </w:t>
      </w:r>
      <w:r w:rsidRPr="00506F88">
        <w:rPr>
          <w:rFonts w:ascii="Arial" w:hAnsi="Arial" w:cs="Arial"/>
          <w:sz w:val="20"/>
          <w:szCs w:val="20"/>
        </w:rPr>
        <w:t>(</w:t>
      </w:r>
      <w:r w:rsidRPr="00AB7107">
        <w:rPr>
          <w:rStyle w:val="Strong"/>
          <w:rFonts w:ascii="Arial" w:hAnsi="Arial" w:cs="Arial"/>
          <w:b w:val="0"/>
          <w:bCs w:val="0"/>
          <w:sz w:val="20"/>
          <w:szCs w:val="20"/>
        </w:rPr>
        <w:t>0.36</w:t>
      </w:r>
      <w:r w:rsidRPr="00506F88">
        <w:rPr>
          <w:rFonts w:ascii="Arial" w:hAnsi="Arial" w:cs="Arial"/>
          <w:sz w:val="20"/>
          <w:szCs w:val="20"/>
        </w:rPr>
        <w:t>)</w:t>
      </w:r>
      <w:r w:rsidRPr="00AB7107">
        <w:rPr>
          <w:rFonts w:ascii="Arial" w:hAnsi="Arial" w:cs="Arial"/>
          <w:sz w:val="20"/>
          <w:szCs w:val="20"/>
        </w:rPr>
        <w:t xml:space="preserve"> than for the red soil</w:t>
      </w:r>
      <w:r w:rsidR="00506F88">
        <w:rPr>
          <w:rFonts w:ascii="Arial" w:hAnsi="Arial" w:cs="Arial"/>
          <w:sz w:val="20"/>
          <w:szCs w:val="20"/>
        </w:rPr>
        <w:t xml:space="preserve"> (</w:t>
      </w:r>
      <w:r w:rsidRPr="00AB7107">
        <w:rPr>
          <w:rStyle w:val="Strong"/>
          <w:rFonts w:ascii="Arial" w:hAnsi="Arial" w:cs="Arial"/>
          <w:b w:val="0"/>
          <w:bCs w:val="0"/>
          <w:sz w:val="20"/>
          <w:szCs w:val="20"/>
        </w:rPr>
        <w:t>0.2</w:t>
      </w:r>
      <w:r w:rsidR="00506F88">
        <w:rPr>
          <w:rStyle w:val="Strong"/>
          <w:rFonts w:ascii="Arial" w:hAnsi="Arial" w:cs="Arial"/>
          <w:b w:val="0"/>
          <w:bCs w:val="0"/>
          <w:sz w:val="20"/>
          <w:szCs w:val="20"/>
        </w:rPr>
        <w:t>6),</w:t>
      </w:r>
      <w:r w:rsidRPr="00AB7107">
        <w:rPr>
          <w:rFonts w:ascii="Arial" w:hAnsi="Arial" w:cs="Arial"/>
          <w:sz w:val="20"/>
          <w:szCs w:val="20"/>
        </w:rPr>
        <w:t xml:space="preserve"> reflecting greater sorption capacity. The </w:t>
      </w:r>
      <w:r w:rsidRPr="00AB7107">
        <w:rPr>
          <w:rStyle w:val="Strong"/>
          <w:rFonts w:ascii="Arial" w:hAnsi="Arial" w:cs="Arial"/>
          <w:b w:val="0"/>
          <w:bCs w:val="0"/>
          <w:i/>
          <w:sz w:val="20"/>
          <w:szCs w:val="20"/>
        </w:rPr>
        <w:t>1/n</w:t>
      </w:r>
      <w:r w:rsidRPr="00AB7107">
        <w:rPr>
          <w:rFonts w:ascii="Arial" w:hAnsi="Arial" w:cs="Arial"/>
          <w:sz w:val="20"/>
          <w:szCs w:val="20"/>
        </w:rPr>
        <w:t xml:space="preserve"> values were less than unity in both soils, signifying </w:t>
      </w:r>
      <w:r w:rsidRPr="00AB7107">
        <w:rPr>
          <w:rStyle w:val="Strong"/>
          <w:rFonts w:ascii="Arial" w:hAnsi="Arial" w:cs="Arial"/>
          <w:b w:val="0"/>
          <w:bCs w:val="0"/>
          <w:sz w:val="20"/>
          <w:szCs w:val="20"/>
        </w:rPr>
        <w:t>favourable and nonlinear adsorption</w:t>
      </w:r>
      <w:r w:rsidRPr="00AB7107">
        <w:rPr>
          <w:rFonts w:ascii="Arial" w:hAnsi="Arial" w:cs="Arial"/>
          <w:b/>
          <w:bCs/>
          <w:sz w:val="20"/>
          <w:szCs w:val="20"/>
        </w:rPr>
        <w:t>,</w:t>
      </w:r>
      <w:r w:rsidRPr="00AB7107">
        <w:rPr>
          <w:rFonts w:ascii="Arial" w:hAnsi="Arial" w:cs="Arial"/>
          <w:sz w:val="20"/>
          <w:szCs w:val="20"/>
        </w:rPr>
        <w:t xml:space="preserve"> wherein sorption sites of differing affinities contribute variably to total adsorption as concentration increases.</w:t>
      </w:r>
    </w:p>
    <w:p w14:paraId="59F41F2C" w14:textId="49854A01" w:rsidR="00415622" w:rsidRPr="00AB7107" w:rsidRDefault="00415622" w:rsidP="00AB7107">
      <w:pPr>
        <w:pStyle w:val="NormalWeb"/>
        <w:spacing w:after="0" w:afterAutospacing="0"/>
        <w:jc w:val="both"/>
        <w:rPr>
          <w:rFonts w:ascii="Arial" w:hAnsi="Arial" w:cs="Arial"/>
          <w:b/>
          <w:bCs/>
          <w:sz w:val="20"/>
          <w:szCs w:val="20"/>
        </w:rPr>
      </w:pPr>
      <w:r w:rsidRPr="00AB7107">
        <w:rPr>
          <w:rFonts w:ascii="Arial" w:hAnsi="Arial" w:cs="Arial"/>
          <w:b/>
          <w:bCs/>
          <w:sz w:val="20"/>
          <w:szCs w:val="20"/>
        </w:rPr>
        <w:lastRenderedPageBreak/>
        <w:t>Table 2. Adsorption of pyrithiobac sodium in red and black soil samples</w:t>
      </w:r>
      <w:r w:rsidR="00AB7107" w:rsidRPr="00AB7107">
        <w:rPr>
          <w:rFonts w:ascii="Arial" w:hAnsi="Arial" w:cs="Arial"/>
          <w:b/>
          <w:bCs/>
          <w:sz w:val="20"/>
          <w:szCs w:val="20"/>
        </w:rPr>
        <w:t xml:space="preserve"> </w:t>
      </w:r>
      <w:r w:rsidRPr="00AB7107">
        <w:rPr>
          <w:rFonts w:ascii="Arial" w:hAnsi="Arial" w:cs="Arial"/>
          <w:b/>
          <w:bCs/>
          <w:sz w:val="20"/>
          <w:szCs w:val="20"/>
        </w:rPr>
        <w:t xml:space="preserve">(2 </w:t>
      </w:r>
      <w:proofErr w:type="gramStart"/>
      <w:r w:rsidRPr="00AB7107">
        <w:rPr>
          <w:rFonts w:ascii="Arial" w:hAnsi="Arial" w:cs="Arial"/>
          <w:b/>
          <w:bCs/>
          <w:sz w:val="20"/>
          <w:szCs w:val="20"/>
        </w:rPr>
        <w:t xml:space="preserve">mm </w:t>
      </w:r>
      <w:r w:rsidR="00AB7107">
        <w:rPr>
          <w:rFonts w:ascii="Arial" w:hAnsi="Arial" w:cs="Arial"/>
          <w:b/>
          <w:bCs/>
          <w:sz w:val="20"/>
          <w:szCs w:val="20"/>
        </w:rPr>
        <w:t xml:space="preserve"> </w:t>
      </w:r>
      <w:r w:rsidRPr="00AB7107">
        <w:rPr>
          <w:rFonts w:ascii="Arial" w:hAnsi="Arial" w:cs="Arial"/>
          <w:b/>
          <w:bCs/>
          <w:sz w:val="20"/>
          <w:szCs w:val="20"/>
        </w:rPr>
        <w:t>sieved</w:t>
      </w:r>
      <w:proofErr w:type="gramEnd"/>
      <w:r w:rsidRPr="00AB7107">
        <w:rPr>
          <w:rFonts w:ascii="Arial" w:hAnsi="Arial" w:cs="Arial"/>
          <w:b/>
          <w:bCs/>
          <w:sz w:val="20"/>
          <w:szCs w:val="20"/>
        </w:rPr>
        <w:t>)</w:t>
      </w:r>
    </w:p>
    <w:tbl>
      <w:tblPr>
        <w:tblStyle w:val="TableGrid"/>
        <w:tblW w:w="9243" w:type="dxa"/>
        <w:tblLook w:val="04A0" w:firstRow="1" w:lastRow="0" w:firstColumn="1" w:lastColumn="0" w:noHBand="0" w:noVBand="1"/>
      </w:tblPr>
      <w:tblGrid>
        <w:gridCol w:w="960"/>
        <w:gridCol w:w="960"/>
        <w:gridCol w:w="1117"/>
        <w:gridCol w:w="960"/>
        <w:gridCol w:w="1000"/>
        <w:gridCol w:w="943"/>
        <w:gridCol w:w="943"/>
        <w:gridCol w:w="1117"/>
        <w:gridCol w:w="717"/>
        <w:gridCol w:w="717"/>
      </w:tblGrid>
      <w:tr w:rsidR="00415622" w:rsidRPr="00AB7107" w14:paraId="1890362F" w14:textId="77777777" w:rsidTr="000470C0">
        <w:trPr>
          <w:trHeight w:val="296"/>
        </w:trPr>
        <w:tc>
          <w:tcPr>
            <w:tcW w:w="4876" w:type="dxa"/>
            <w:gridSpan w:val="5"/>
            <w:noWrap/>
            <w:hideMark/>
          </w:tcPr>
          <w:p w14:paraId="055CCFCD" w14:textId="77777777" w:rsidR="00415622" w:rsidRPr="00AB7107" w:rsidRDefault="00415622" w:rsidP="000470C0">
            <w:pPr>
              <w:jc w:val="center"/>
              <w:rPr>
                <w:rFonts w:ascii="Arial" w:hAnsi="Arial" w:cs="Arial"/>
                <w:b/>
                <w:sz w:val="20"/>
                <w:szCs w:val="20"/>
                <w:lang w:bidi="hi-IN"/>
              </w:rPr>
            </w:pPr>
            <w:r w:rsidRPr="00AB7107">
              <w:rPr>
                <w:rFonts w:ascii="Arial" w:hAnsi="Arial" w:cs="Arial"/>
                <w:b/>
                <w:sz w:val="20"/>
                <w:szCs w:val="20"/>
                <w:lang w:bidi="hi-IN"/>
              </w:rPr>
              <w:t>Red soil</w:t>
            </w:r>
          </w:p>
        </w:tc>
        <w:tc>
          <w:tcPr>
            <w:tcW w:w="4367" w:type="dxa"/>
            <w:gridSpan w:val="5"/>
          </w:tcPr>
          <w:p w14:paraId="549CA5C4" w14:textId="77777777" w:rsidR="00415622" w:rsidRPr="00AB7107" w:rsidRDefault="00415622" w:rsidP="000470C0">
            <w:pPr>
              <w:jc w:val="center"/>
              <w:rPr>
                <w:rFonts w:ascii="Arial" w:hAnsi="Arial" w:cs="Arial"/>
                <w:b/>
                <w:sz w:val="20"/>
                <w:szCs w:val="20"/>
                <w:lang w:bidi="hi-IN"/>
              </w:rPr>
            </w:pPr>
            <w:r w:rsidRPr="00AB7107">
              <w:rPr>
                <w:rFonts w:ascii="Arial" w:hAnsi="Arial" w:cs="Arial"/>
                <w:b/>
                <w:sz w:val="20"/>
                <w:szCs w:val="20"/>
                <w:lang w:bidi="hi-IN"/>
              </w:rPr>
              <w:t>Black soil</w:t>
            </w:r>
          </w:p>
        </w:tc>
      </w:tr>
      <w:tr w:rsidR="00415622" w:rsidRPr="00AB7107" w14:paraId="6D755A7C" w14:textId="77777777" w:rsidTr="000470C0">
        <w:trPr>
          <w:trHeight w:val="300"/>
        </w:trPr>
        <w:tc>
          <w:tcPr>
            <w:tcW w:w="960" w:type="dxa"/>
            <w:noWrap/>
          </w:tcPr>
          <w:p w14:paraId="6F7B64B7"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Initial Conc.</w:t>
            </w:r>
          </w:p>
          <w:p w14:paraId="6BD3B0C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60" w:type="dxa"/>
            <w:noWrap/>
          </w:tcPr>
          <w:p w14:paraId="333266B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Ce</w:t>
            </w:r>
          </w:p>
          <w:p w14:paraId="2F9C3867"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Eq. Conc</w:t>
            </w:r>
          </w:p>
          <w:p w14:paraId="172C95C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96" w:type="dxa"/>
            <w:noWrap/>
          </w:tcPr>
          <w:p w14:paraId="247B6670"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x/m</w:t>
            </w:r>
          </w:p>
          <w:p w14:paraId="2D159A6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Amount adsorbed</w:t>
            </w:r>
          </w:p>
          <w:p w14:paraId="30D202DE"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(µg/g)</w:t>
            </w:r>
          </w:p>
        </w:tc>
        <w:tc>
          <w:tcPr>
            <w:tcW w:w="960" w:type="dxa"/>
            <w:noWrap/>
          </w:tcPr>
          <w:p w14:paraId="03C4CC21"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Ce</w:t>
            </w:r>
          </w:p>
        </w:tc>
        <w:tc>
          <w:tcPr>
            <w:tcW w:w="1000" w:type="dxa"/>
            <w:noWrap/>
          </w:tcPr>
          <w:p w14:paraId="2FD7BA6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x/m</w:t>
            </w:r>
          </w:p>
        </w:tc>
        <w:tc>
          <w:tcPr>
            <w:tcW w:w="837" w:type="dxa"/>
          </w:tcPr>
          <w:p w14:paraId="02179010"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Initial Conc. (µg/mL)</w:t>
            </w:r>
          </w:p>
        </w:tc>
        <w:tc>
          <w:tcPr>
            <w:tcW w:w="965" w:type="dxa"/>
          </w:tcPr>
          <w:p w14:paraId="5CFE6C95"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Ce</w:t>
            </w:r>
          </w:p>
          <w:p w14:paraId="279887DE"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Eq. Conc</w:t>
            </w:r>
          </w:p>
          <w:p w14:paraId="21A1242B"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01" w:type="dxa"/>
          </w:tcPr>
          <w:p w14:paraId="3DF55B44"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x/m</w:t>
            </w:r>
          </w:p>
          <w:p w14:paraId="08BB0AC9"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Amount adsorbed</w:t>
            </w:r>
          </w:p>
          <w:p w14:paraId="0A9974A6"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(µg/g)</w:t>
            </w:r>
          </w:p>
        </w:tc>
        <w:tc>
          <w:tcPr>
            <w:tcW w:w="832" w:type="dxa"/>
          </w:tcPr>
          <w:p w14:paraId="3C1CBD8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Ce</w:t>
            </w:r>
          </w:p>
        </w:tc>
        <w:tc>
          <w:tcPr>
            <w:tcW w:w="832" w:type="dxa"/>
          </w:tcPr>
          <w:p w14:paraId="35A09B5F"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x/m</w:t>
            </w:r>
          </w:p>
        </w:tc>
      </w:tr>
      <w:tr w:rsidR="00415622" w:rsidRPr="00AB7107" w14:paraId="109304D5" w14:textId="77777777" w:rsidTr="000470C0">
        <w:trPr>
          <w:trHeight w:val="300"/>
        </w:trPr>
        <w:tc>
          <w:tcPr>
            <w:tcW w:w="960" w:type="dxa"/>
            <w:noWrap/>
            <w:hideMark/>
          </w:tcPr>
          <w:p w14:paraId="4A1D321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w:t>
            </w:r>
          </w:p>
        </w:tc>
        <w:tc>
          <w:tcPr>
            <w:tcW w:w="960" w:type="dxa"/>
            <w:noWrap/>
            <w:hideMark/>
          </w:tcPr>
          <w:p w14:paraId="5D18987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4.51</w:t>
            </w:r>
          </w:p>
        </w:tc>
        <w:tc>
          <w:tcPr>
            <w:tcW w:w="996" w:type="dxa"/>
            <w:noWrap/>
            <w:hideMark/>
          </w:tcPr>
          <w:p w14:paraId="139DF8D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1.21</w:t>
            </w:r>
          </w:p>
        </w:tc>
        <w:tc>
          <w:tcPr>
            <w:tcW w:w="960" w:type="dxa"/>
            <w:noWrap/>
            <w:hideMark/>
          </w:tcPr>
          <w:p w14:paraId="2E5FB0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0.654</w:t>
            </w:r>
          </w:p>
        </w:tc>
        <w:tc>
          <w:tcPr>
            <w:tcW w:w="1000" w:type="dxa"/>
            <w:noWrap/>
            <w:hideMark/>
          </w:tcPr>
          <w:p w14:paraId="28054C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0.083</w:t>
            </w:r>
          </w:p>
        </w:tc>
        <w:tc>
          <w:tcPr>
            <w:tcW w:w="837" w:type="dxa"/>
          </w:tcPr>
          <w:p w14:paraId="6E450F0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w:t>
            </w:r>
          </w:p>
        </w:tc>
        <w:tc>
          <w:tcPr>
            <w:tcW w:w="965" w:type="dxa"/>
          </w:tcPr>
          <w:p w14:paraId="6A5D94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4.18</w:t>
            </w:r>
          </w:p>
        </w:tc>
        <w:tc>
          <w:tcPr>
            <w:tcW w:w="901" w:type="dxa"/>
          </w:tcPr>
          <w:p w14:paraId="2324097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1.57</w:t>
            </w:r>
          </w:p>
        </w:tc>
        <w:tc>
          <w:tcPr>
            <w:tcW w:w="832" w:type="dxa"/>
          </w:tcPr>
          <w:p w14:paraId="388D1D9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0.621</w:t>
            </w:r>
          </w:p>
        </w:tc>
        <w:tc>
          <w:tcPr>
            <w:tcW w:w="832" w:type="dxa"/>
          </w:tcPr>
          <w:p w14:paraId="18B5C6A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0.196</w:t>
            </w:r>
          </w:p>
        </w:tc>
      </w:tr>
      <w:tr w:rsidR="00415622" w:rsidRPr="00AB7107" w14:paraId="25E20911" w14:textId="77777777" w:rsidTr="000470C0">
        <w:trPr>
          <w:trHeight w:val="300"/>
        </w:trPr>
        <w:tc>
          <w:tcPr>
            <w:tcW w:w="960" w:type="dxa"/>
            <w:noWrap/>
            <w:hideMark/>
          </w:tcPr>
          <w:p w14:paraId="732D252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w:t>
            </w:r>
          </w:p>
        </w:tc>
        <w:tc>
          <w:tcPr>
            <w:tcW w:w="960" w:type="dxa"/>
            <w:noWrap/>
            <w:hideMark/>
          </w:tcPr>
          <w:p w14:paraId="25F68DA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9.28</w:t>
            </w:r>
          </w:p>
        </w:tc>
        <w:tc>
          <w:tcPr>
            <w:tcW w:w="996" w:type="dxa"/>
            <w:noWrap/>
            <w:hideMark/>
          </w:tcPr>
          <w:p w14:paraId="7EA5F74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1.81</w:t>
            </w:r>
          </w:p>
        </w:tc>
        <w:tc>
          <w:tcPr>
            <w:tcW w:w="960" w:type="dxa"/>
            <w:noWrap/>
            <w:hideMark/>
          </w:tcPr>
          <w:p w14:paraId="400CE3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0.968</w:t>
            </w:r>
          </w:p>
        </w:tc>
        <w:tc>
          <w:tcPr>
            <w:tcW w:w="1000" w:type="dxa"/>
            <w:noWrap/>
            <w:hideMark/>
          </w:tcPr>
          <w:p w14:paraId="4970EA7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0.258</w:t>
            </w:r>
          </w:p>
        </w:tc>
        <w:tc>
          <w:tcPr>
            <w:tcW w:w="837" w:type="dxa"/>
          </w:tcPr>
          <w:p w14:paraId="0BDF631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w:t>
            </w:r>
          </w:p>
        </w:tc>
        <w:tc>
          <w:tcPr>
            <w:tcW w:w="965" w:type="dxa"/>
          </w:tcPr>
          <w:p w14:paraId="13E877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8.63</w:t>
            </w:r>
          </w:p>
        </w:tc>
        <w:tc>
          <w:tcPr>
            <w:tcW w:w="901" w:type="dxa"/>
          </w:tcPr>
          <w:p w14:paraId="584A45D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2.57</w:t>
            </w:r>
          </w:p>
        </w:tc>
        <w:tc>
          <w:tcPr>
            <w:tcW w:w="832" w:type="dxa"/>
          </w:tcPr>
          <w:p w14:paraId="34659DD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0.936</w:t>
            </w:r>
          </w:p>
        </w:tc>
        <w:tc>
          <w:tcPr>
            <w:tcW w:w="832" w:type="dxa"/>
          </w:tcPr>
          <w:p w14:paraId="3966554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0.410</w:t>
            </w:r>
          </w:p>
        </w:tc>
      </w:tr>
      <w:tr w:rsidR="00415622" w:rsidRPr="00AB7107" w14:paraId="0B5A08AE" w14:textId="77777777" w:rsidTr="000470C0">
        <w:trPr>
          <w:trHeight w:val="300"/>
        </w:trPr>
        <w:tc>
          <w:tcPr>
            <w:tcW w:w="960" w:type="dxa"/>
            <w:noWrap/>
            <w:hideMark/>
          </w:tcPr>
          <w:p w14:paraId="6B82923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w:t>
            </w:r>
          </w:p>
        </w:tc>
        <w:tc>
          <w:tcPr>
            <w:tcW w:w="960" w:type="dxa"/>
            <w:noWrap/>
            <w:hideMark/>
          </w:tcPr>
          <w:p w14:paraId="0B3014E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996" w:type="dxa"/>
            <w:noWrap/>
            <w:hideMark/>
          </w:tcPr>
          <w:p w14:paraId="4E9FDD4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2.61</w:t>
            </w:r>
          </w:p>
        </w:tc>
        <w:tc>
          <w:tcPr>
            <w:tcW w:w="960" w:type="dxa"/>
            <w:noWrap/>
            <w:hideMark/>
          </w:tcPr>
          <w:p w14:paraId="65F8DF6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1.149</w:t>
            </w:r>
          </w:p>
        </w:tc>
        <w:tc>
          <w:tcPr>
            <w:tcW w:w="1000" w:type="dxa"/>
            <w:noWrap/>
            <w:hideMark/>
          </w:tcPr>
          <w:p w14:paraId="17A07BB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0.417</w:t>
            </w:r>
          </w:p>
        </w:tc>
        <w:tc>
          <w:tcPr>
            <w:tcW w:w="837" w:type="dxa"/>
          </w:tcPr>
          <w:p w14:paraId="02B705E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w:t>
            </w:r>
          </w:p>
        </w:tc>
        <w:tc>
          <w:tcPr>
            <w:tcW w:w="965" w:type="dxa"/>
          </w:tcPr>
          <w:p w14:paraId="42695FE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13.04</w:t>
            </w:r>
          </w:p>
        </w:tc>
        <w:tc>
          <w:tcPr>
            <w:tcW w:w="901" w:type="dxa"/>
          </w:tcPr>
          <w:p w14:paraId="5F901E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4.24</w:t>
            </w:r>
          </w:p>
        </w:tc>
        <w:tc>
          <w:tcPr>
            <w:tcW w:w="832" w:type="dxa"/>
          </w:tcPr>
          <w:p w14:paraId="36DF6A0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1.115</w:t>
            </w:r>
          </w:p>
        </w:tc>
        <w:tc>
          <w:tcPr>
            <w:tcW w:w="832" w:type="dxa"/>
          </w:tcPr>
          <w:p w14:paraId="33F2F97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0.627</w:t>
            </w:r>
          </w:p>
        </w:tc>
      </w:tr>
      <w:tr w:rsidR="00415622" w:rsidRPr="00AB7107" w14:paraId="7C5665D7" w14:textId="77777777" w:rsidTr="000470C0">
        <w:trPr>
          <w:trHeight w:val="300"/>
        </w:trPr>
        <w:tc>
          <w:tcPr>
            <w:tcW w:w="960" w:type="dxa"/>
            <w:noWrap/>
            <w:hideMark/>
          </w:tcPr>
          <w:p w14:paraId="180BADA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20</w:t>
            </w:r>
          </w:p>
        </w:tc>
        <w:tc>
          <w:tcPr>
            <w:tcW w:w="960" w:type="dxa"/>
            <w:noWrap/>
            <w:hideMark/>
          </w:tcPr>
          <w:p w14:paraId="1311296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19.02</w:t>
            </w:r>
          </w:p>
        </w:tc>
        <w:tc>
          <w:tcPr>
            <w:tcW w:w="996" w:type="dxa"/>
            <w:noWrap/>
            <w:hideMark/>
          </w:tcPr>
          <w:p w14:paraId="146EDA9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3.64</w:t>
            </w:r>
          </w:p>
        </w:tc>
        <w:tc>
          <w:tcPr>
            <w:tcW w:w="960" w:type="dxa"/>
            <w:noWrap/>
            <w:hideMark/>
          </w:tcPr>
          <w:p w14:paraId="7BC4C23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1.279</w:t>
            </w:r>
          </w:p>
        </w:tc>
        <w:tc>
          <w:tcPr>
            <w:tcW w:w="1000" w:type="dxa"/>
            <w:noWrap/>
            <w:hideMark/>
          </w:tcPr>
          <w:p w14:paraId="465AF53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0.561</w:t>
            </w:r>
          </w:p>
        </w:tc>
        <w:tc>
          <w:tcPr>
            <w:tcW w:w="837" w:type="dxa"/>
          </w:tcPr>
          <w:p w14:paraId="2A7E455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20</w:t>
            </w:r>
          </w:p>
        </w:tc>
        <w:tc>
          <w:tcPr>
            <w:tcW w:w="965" w:type="dxa"/>
          </w:tcPr>
          <w:p w14:paraId="4936752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17.21</w:t>
            </w:r>
          </w:p>
        </w:tc>
        <w:tc>
          <w:tcPr>
            <w:tcW w:w="901" w:type="dxa"/>
          </w:tcPr>
          <w:p w14:paraId="4938C6C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6.88</w:t>
            </w:r>
          </w:p>
        </w:tc>
        <w:tc>
          <w:tcPr>
            <w:tcW w:w="832" w:type="dxa"/>
          </w:tcPr>
          <w:p w14:paraId="222FE02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1.236</w:t>
            </w:r>
          </w:p>
        </w:tc>
        <w:tc>
          <w:tcPr>
            <w:tcW w:w="832" w:type="dxa"/>
          </w:tcPr>
          <w:p w14:paraId="21B6C95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0.838</w:t>
            </w:r>
          </w:p>
        </w:tc>
      </w:tr>
      <w:tr w:rsidR="00415622" w:rsidRPr="00AB7107" w14:paraId="79728026" w14:textId="77777777" w:rsidTr="000470C0">
        <w:trPr>
          <w:trHeight w:val="300"/>
        </w:trPr>
        <w:tc>
          <w:tcPr>
            <w:tcW w:w="960" w:type="dxa"/>
            <w:noWrap/>
            <w:hideMark/>
          </w:tcPr>
          <w:p w14:paraId="198DF08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w:t>
            </w:r>
          </w:p>
        </w:tc>
        <w:tc>
          <w:tcPr>
            <w:tcW w:w="960" w:type="dxa"/>
            <w:noWrap/>
            <w:hideMark/>
          </w:tcPr>
          <w:p w14:paraId="7550410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23.61</w:t>
            </w:r>
          </w:p>
        </w:tc>
        <w:tc>
          <w:tcPr>
            <w:tcW w:w="996" w:type="dxa"/>
            <w:noWrap/>
            <w:hideMark/>
          </w:tcPr>
          <w:p w14:paraId="22DBA44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5.12</w:t>
            </w:r>
          </w:p>
        </w:tc>
        <w:tc>
          <w:tcPr>
            <w:tcW w:w="960" w:type="dxa"/>
            <w:noWrap/>
            <w:hideMark/>
          </w:tcPr>
          <w:p w14:paraId="5F39FFA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1.373</w:t>
            </w:r>
          </w:p>
        </w:tc>
        <w:tc>
          <w:tcPr>
            <w:tcW w:w="1000" w:type="dxa"/>
            <w:noWrap/>
            <w:hideMark/>
          </w:tcPr>
          <w:p w14:paraId="4F1164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0.709</w:t>
            </w:r>
          </w:p>
        </w:tc>
        <w:tc>
          <w:tcPr>
            <w:tcW w:w="837" w:type="dxa"/>
          </w:tcPr>
          <w:p w14:paraId="694BB94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w:t>
            </w:r>
          </w:p>
        </w:tc>
        <w:tc>
          <w:tcPr>
            <w:tcW w:w="965" w:type="dxa"/>
          </w:tcPr>
          <w:p w14:paraId="1910F31A"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21.40</w:t>
            </w:r>
          </w:p>
        </w:tc>
        <w:tc>
          <w:tcPr>
            <w:tcW w:w="901" w:type="dxa"/>
          </w:tcPr>
          <w:p w14:paraId="3A4AF96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8.86</w:t>
            </w:r>
          </w:p>
        </w:tc>
        <w:tc>
          <w:tcPr>
            <w:tcW w:w="832" w:type="dxa"/>
          </w:tcPr>
          <w:p w14:paraId="694E866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1.330</w:t>
            </w:r>
          </w:p>
        </w:tc>
        <w:tc>
          <w:tcPr>
            <w:tcW w:w="832" w:type="dxa"/>
          </w:tcPr>
          <w:p w14:paraId="04883C0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0.947</w:t>
            </w:r>
          </w:p>
        </w:tc>
      </w:tr>
      <w:tr w:rsidR="00415622" w:rsidRPr="00AB7107" w14:paraId="0AFF9651" w14:textId="77777777" w:rsidTr="000470C0">
        <w:trPr>
          <w:trHeight w:val="300"/>
        </w:trPr>
        <w:tc>
          <w:tcPr>
            <w:tcW w:w="960" w:type="dxa"/>
            <w:noWrap/>
            <w:hideMark/>
          </w:tcPr>
          <w:p w14:paraId="38AB1BD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30</w:t>
            </w:r>
          </w:p>
        </w:tc>
        <w:tc>
          <w:tcPr>
            <w:tcW w:w="960" w:type="dxa"/>
            <w:noWrap/>
            <w:hideMark/>
          </w:tcPr>
          <w:p w14:paraId="17576EC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28.12</w:t>
            </w:r>
          </w:p>
        </w:tc>
        <w:tc>
          <w:tcPr>
            <w:tcW w:w="996" w:type="dxa"/>
            <w:noWrap/>
            <w:hideMark/>
          </w:tcPr>
          <w:p w14:paraId="1040BAA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5.71</w:t>
            </w:r>
          </w:p>
        </w:tc>
        <w:tc>
          <w:tcPr>
            <w:tcW w:w="960" w:type="dxa"/>
            <w:noWrap/>
            <w:hideMark/>
          </w:tcPr>
          <w:p w14:paraId="1E46738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1.449</w:t>
            </w:r>
          </w:p>
        </w:tc>
        <w:tc>
          <w:tcPr>
            <w:tcW w:w="1000" w:type="dxa"/>
            <w:noWrap/>
            <w:hideMark/>
          </w:tcPr>
          <w:p w14:paraId="0FCA3B5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0.757</w:t>
            </w:r>
          </w:p>
        </w:tc>
        <w:tc>
          <w:tcPr>
            <w:tcW w:w="837" w:type="dxa"/>
          </w:tcPr>
          <w:p w14:paraId="5C5233E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30</w:t>
            </w:r>
          </w:p>
        </w:tc>
        <w:tc>
          <w:tcPr>
            <w:tcW w:w="965" w:type="dxa"/>
          </w:tcPr>
          <w:p w14:paraId="589E9FA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25.56</w:t>
            </w:r>
          </w:p>
        </w:tc>
        <w:tc>
          <w:tcPr>
            <w:tcW w:w="901" w:type="dxa"/>
          </w:tcPr>
          <w:p w14:paraId="585EB47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11.00</w:t>
            </w:r>
          </w:p>
        </w:tc>
        <w:tc>
          <w:tcPr>
            <w:tcW w:w="832" w:type="dxa"/>
          </w:tcPr>
          <w:p w14:paraId="443EE07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832" w:type="dxa"/>
          </w:tcPr>
          <w:p w14:paraId="3B3568B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1.041</w:t>
            </w:r>
          </w:p>
        </w:tc>
      </w:tr>
      <w:tr w:rsidR="00415622" w:rsidRPr="00AB7107" w14:paraId="77F4F5D3" w14:textId="77777777" w:rsidTr="000470C0">
        <w:trPr>
          <w:trHeight w:val="300"/>
        </w:trPr>
        <w:tc>
          <w:tcPr>
            <w:tcW w:w="960" w:type="dxa"/>
            <w:noWrap/>
            <w:hideMark/>
          </w:tcPr>
          <w:p w14:paraId="0A3666B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35</w:t>
            </w:r>
          </w:p>
        </w:tc>
        <w:tc>
          <w:tcPr>
            <w:tcW w:w="960" w:type="dxa"/>
            <w:noWrap/>
            <w:hideMark/>
          </w:tcPr>
          <w:p w14:paraId="641014C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33.34</w:t>
            </w:r>
          </w:p>
        </w:tc>
        <w:tc>
          <w:tcPr>
            <w:tcW w:w="996" w:type="dxa"/>
            <w:noWrap/>
            <w:hideMark/>
          </w:tcPr>
          <w:p w14:paraId="57FB333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6.32</w:t>
            </w:r>
          </w:p>
        </w:tc>
        <w:tc>
          <w:tcPr>
            <w:tcW w:w="960" w:type="dxa"/>
            <w:noWrap/>
            <w:hideMark/>
          </w:tcPr>
          <w:p w14:paraId="5AE8EC5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1.523</w:t>
            </w:r>
          </w:p>
        </w:tc>
        <w:tc>
          <w:tcPr>
            <w:tcW w:w="1000" w:type="dxa"/>
            <w:noWrap/>
            <w:hideMark/>
          </w:tcPr>
          <w:p w14:paraId="34C0CA1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0.801</w:t>
            </w:r>
          </w:p>
        </w:tc>
        <w:tc>
          <w:tcPr>
            <w:tcW w:w="837" w:type="dxa"/>
          </w:tcPr>
          <w:p w14:paraId="6316669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35</w:t>
            </w:r>
          </w:p>
        </w:tc>
        <w:tc>
          <w:tcPr>
            <w:tcW w:w="965" w:type="dxa"/>
          </w:tcPr>
          <w:p w14:paraId="6D6AA7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29.70</w:t>
            </w:r>
          </w:p>
        </w:tc>
        <w:tc>
          <w:tcPr>
            <w:tcW w:w="901" w:type="dxa"/>
          </w:tcPr>
          <w:p w14:paraId="2FAB310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13.14</w:t>
            </w:r>
          </w:p>
        </w:tc>
        <w:tc>
          <w:tcPr>
            <w:tcW w:w="832" w:type="dxa"/>
          </w:tcPr>
          <w:p w14:paraId="5585B5B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1.473</w:t>
            </w:r>
          </w:p>
        </w:tc>
        <w:tc>
          <w:tcPr>
            <w:tcW w:w="832" w:type="dxa"/>
          </w:tcPr>
          <w:p w14:paraId="0599CA5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1.119</w:t>
            </w:r>
          </w:p>
        </w:tc>
      </w:tr>
      <w:tr w:rsidR="00415622" w:rsidRPr="00AB7107" w14:paraId="50570FC7" w14:textId="77777777" w:rsidTr="000470C0">
        <w:trPr>
          <w:trHeight w:val="300"/>
        </w:trPr>
        <w:tc>
          <w:tcPr>
            <w:tcW w:w="960" w:type="dxa"/>
            <w:noWrap/>
            <w:hideMark/>
          </w:tcPr>
          <w:p w14:paraId="0B8787A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40</w:t>
            </w:r>
          </w:p>
        </w:tc>
        <w:tc>
          <w:tcPr>
            <w:tcW w:w="960" w:type="dxa"/>
            <w:noWrap/>
            <w:hideMark/>
          </w:tcPr>
          <w:p w14:paraId="696BF00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38.65</w:t>
            </w:r>
          </w:p>
        </w:tc>
        <w:tc>
          <w:tcPr>
            <w:tcW w:w="996" w:type="dxa"/>
            <w:noWrap/>
            <w:hideMark/>
          </w:tcPr>
          <w:p w14:paraId="6CE3242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6.67</w:t>
            </w:r>
          </w:p>
        </w:tc>
        <w:tc>
          <w:tcPr>
            <w:tcW w:w="960" w:type="dxa"/>
            <w:noWrap/>
            <w:hideMark/>
          </w:tcPr>
          <w:p w14:paraId="60EE416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1.587</w:t>
            </w:r>
          </w:p>
        </w:tc>
        <w:tc>
          <w:tcPr>
            <w:tcW w:w="1000" w:type="dxa"/>
            <w:noWrap/>
            <w:hideMark/>
          </w:tcPr>
          <w:p w14:paraId="2F4F316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0.824</w:t>
            </w:r>
          </w:p>
        </w:tc>
        <w:tc>
          <w:tcPr>
            <w:tcW w:w="837" w:type="dxa"/>
          </w:tcPr>
          <w:p w14:paraId="0C263B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40</w:t>
            </w:r>
          </w:p>
        </w:tc>
        <w:tc>
          <w:tcPr>
            <w:tcW w:w="965" w:type="dxa"/>
          </w:tcPr>
          <w:p w14:paraId="31D28CA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34.16</w:t>
            </w:r>
          </w:p>
        </w:tc>
        <w:tc>
          <w:tcPr>
            <w:tcW w:w="901" w:type="dxa"/>
          </w:tcPr>
          <w:p w14:paraId="756A016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832" w:type="dxa"/>
          </w:tcPr>
          <w:p w14:paraId="7EC4FBD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1.534</w:t>
            </w:r>
          </w:p>
        </w:tc>
        <w:tc>
          <w:tcPr>
            <w:tcW w:w="832" w:type="dxa"/>
          </w:tcPr>
          <w:p w14:paraId="65FDB00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1.149</w:t>
            </w:r>
          </w:p>
        </w:tc>
      </w:tr>
      <w:tr w:rsidR="00415622" w:rsidRPr="00AB7107" w14:paraId="1BA7C68B" w14:textId="77777777" w:rsidTr="000470C0">
        <w:trPr>
          <w:trHeight w:val="300"/>
        </w:trPr>
        <w:tc>
          <w:tcPr>
            <w:tcW w:w="960" w:type="dxa"/>
            <w:noWrap/>
            <w:hideMark/>
          </w:tcPr>
          <w:p w14:paraId="37051C3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w:t>
            </w:r>
          </w:p>
        </w:tc>
        <w:tc>
          <w:tcPr>
            <w:tcW w:w="960" w:type="dxa"/>
            <w:noWrap/>
            <w:hideMark/>
          </w:tcPr>
          <w:p w14:paraId="5A18121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43.44</w:t>
            </w:r>
          </w:p>
        </w:tc>
        <w:tc>
          <w:tcPr>
            <w:tcW w:w="996" w:type="dxa"/>
            <w:noWrap/>
            <w:hideMark/>
          </w:tcPr>
          <w:p w14:paraId="6879F6D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7.02</w:t>
            </w:r>
          </w:p>
        </w:tc>
        <w:tc>
          <w:tcPr>
            <w:tcW w:w="960" w:type="dxa"/>
            <w:noWrap/>
            <w:hideMark/>
          </w:tcPr>
          <w:p w14:paraId="29FF2F5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1.638</w:t>
            </w:r>
          </w:p>
        </w:tc>
        <w:tc>
          <w:tcPr>
            <w:tcW w:w="1000" w:type="dxa"/>
            <w:noWrap/>
            <w:hideMark/>
          </w:tcPr>
          <w:p w14:paraId="3DC8981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0.846</w:t>
            </w:r>
          </w:p>
        </w:tc>
        <w:tc>
          <w:tcPr>
            <w:tcW w:w="837" w:type="dxa"/>
          </w:tcPr>
          <w:p w14:paraId="537E8E2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w:t>
            </w:r>
          </w:p>
        </w:tc>
        <w:tc>
          <w:tcPr>
            <w:tcW w:w="965" w:type="dxa"/>
          </w:tcPr>
          <w:p w14:paraId="391F6C8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38.85</w:t>
            </w:r>
          </w:p>
        </w:tc>
        <w:tc>
          <w:tcPr>
            <w:tcW w:w="901" w:type="dxa"/>
          </w:tcPr>
          <w:p w14:paraId="0593E13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14.98</w:t>
            </w:r>
          </w:p>
        </w:tc>
        <w:tc>
          <w:tcPr>
            <w:tcW w:w="832" w:type="dxa"/>
          </w:tcPr>
          <w:p w14:paraId="153306B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1.589</w:t>
            </w:r>
          </w:p>
        </w:tc>
        <w:tc>
          <w:tcPr>
            <w:tcW w:w="832" w:type="dxa"/>
          </w:tcPr>
          <w:p w14:paraId="619491B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1.176</w:t>
            </w:r>
          </w:p>
        </w:tc>
      </w:tr>
      <w:tr w:rsidR="00415622" w:rsidRPr="00AB7107" w14:paraId="46E0D93C" w14:textId="77777777" w:rsidTr="000470C0">
        <w:trPr>
          <w:trHeight w:val="300"/>
        </w:trPr>
        <w:tc>
          <w:tcPr>
            <w:tcW w:w="960" w:type="dxa"/>
            <w:noWrap/>
            <w:hideMark/>
          </w:tcPr>
          <w:p w14:paraId="0E7895E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50</w:t>
            </w:r>
          </w:p>
        </w:tc>
        <w:tc>
          <w:tcPr>
            <w:tcW w:w="960" w:type="dxa"/>
            <w:noWrap/>
            <w:hideMark/>
          </w:tcPr>
          <w:p w14:paraId="431B2C0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48.12</w:t>
            </w:r>
          </w:p>
        </w:tc>
        <w:tc>
          <w:tcPr>
            <w:tcW w:w="996" w:type="dxa"/>
            <w:noWrap/>
            <w:hideMark/>
          </w:tcPr>
          <w:p w14:paraId="047537C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7.22</w:t>
            </w:r>
          </w:p>
        </w:tc>
        <w:tc>
          <w:tcPr>
            <w:tcW w:w="960" w:type="dxa"/>
            <w:noWrap/>
            <w:hideMark/>
          </w:tcPr>
          <w:p w14:paraId="1FEA87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1.682</w:t>
            </w:r>
          </w:p>
        </w:tc>
        <w:tc>
          <w:tcPr>
            <w:tcW w:w="1000" w:type="dxa"/>
            <w:noWrap/>
            <w:hideMark/>
          </w:tcPr>
          <w:p w14:paraId="036A312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0.859</w:t>
            </w:r>
          </w:p>
        </w:tc>
        <w:tc>
          <w:tcPr>
            <w:tcW w:w="837" w:type="dxa"/>
          </w:tcPr>
          <w:p w14:paraId="1BED5EA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50</w:t>
            </w:r>
          </w:p>
        </w:tc>
        <w:tc>
          <w:tcPr>
            <w:tcW w:w="965" w:type="dxa"/>
          </w:tcPr>
          <w:p w14:paraId="7C559F5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43.54</w:t>
            </w:r>
          </w:p>
        </w:tc>
        <w:tc>
          <w:tcPr>
            <w:tcW w:w="901" w:type="dxa"/>
          </w:tcPr>
          <w:p w14:paraId="7BCF731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15.66</w:t>
            </w:r>
          </w:p>
        </w:tc>
        <w:tc>
          <w:tcPr>
            <w:tcW w:w="832" w:type="dxa"/>
          </w:tcPr>
          <w:p w14:paraId="607E740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1.639</w:t>
            </w:r>
          </w:p>
        </w:tc>
        <w:tc>
          <w:tcPr>
            <w:tcW w:w="832" w:type="dxa"/>
          </w:tcPr>
          <w:p w14:paraId="6E36C99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1.195</w:t>
            </w:r>
          </w:p>
        </w:tc>
      </w:tr>
    </w:tbl>
    <w:p w14:paraId="3AFAA6F1" w14:textId="77777777" w:rsidR="00415622" w:rsidRPr="00AB7107" w:rsidRDefault="00415622" w:rsidP="00415622">
      <w:pPr>
        <w:ind w:right="720"/>
        <w:rPr>
          <w:rFonts w:ascii="Arial" w:hAnsi="Arial" w:cs="Arial"/>
        </w:rPr>
      </w:pPr>
    </w:p>
    <w:tbl>
      <w:tblPr>
        <w:tblStyle w:val="TableGrid"/>
        <w:tblW w:w="0" w:type="auto"/>
        <w:tblLook w:val="04A0" w:firstRow="1" w:lastRow="0" w:firstColumn="1" w:lastColumn="0" w:noHBand="0" w:noVBand="1"/>
      </w:tblPr>
      <w:tblGrid>
        <w:gridCol w:w="4158"/>
        <w:gridCol w:w="4266"/>
      </w:tblGrid>
      <w:tr w:rsidR="00415622" w:rsidRPr="00AB7107" w14:paraId="47A32360" w14:textId="77777777" w:rsidTr="00AB7107">
        <w:tc>
          <w:tcPr>
            <w:tcW w:w="4450" w:type="dxa"/>
          </w:tcPr>
          <w:p w14:paraId="3CE344B7"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2E736A1E" wp14:editId="1CBACE14">
                  <wp:extent cx="2729552" cy="1501140"/>
                  <wp:effectExtent l="0" t="0" r="1397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66" w:type="dxa"/>
          </w:tcPr>
          <w:p w14:paraId="75D00029"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45808C30" wp14:editId="6F8EECBE">
                  <wp:extent cx="2634018" cy="1541780"/>
                  <wp:effectExtent l="0" t="0" r="1397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15622" w:rsidRPr="00AB7107" w14:paraId="49A39F04" w14:textId="77777777" w:rsidTr="00AB7107">
        <w:tc>
          <w:tcPr>
            <w:tcW w:w="9016" w:type="dxa"/>
            <w:gridSpan w:val="2"/>
          </w:tcPr>
          <w:p w14:paraId="5890E4BA" w14:textId="4CF3D715" w:rsidR="00415622" w:rsidRPr="00AB7107" w:rsidRDefault="00415622" w:rsidP="000470C0">
            <w:pPr>
              <w:jc w:val="center"/>
              <w:rPr>
                <w:rFonts w:ascii="Arial" w:hAnsi="Arial" w:cs="Arial"/>
                <w:bCs/>
                <w:sz w:val="20"/>
                <w:szCs w:val="20"/>
              </w:rPr>
            </w:pPr>
            <w:r w:rsidRPr="00AB7107">
              <w:rPr>
                <w:rFonts w:ascii="Arial" w:hAnsi="Arial" w:cs="Arial"/>
                <w:bCs/>
                <w:sz w:val="20"/>
                <w:szCs w:val="20"/>
              </w:rPr>
              <w:t>Fig</w:t>
            </w:r>
            <w:r w:rsidR="00AB7107" w:rsidRPr="00AB7107">
              <w:rPr>
                <w:rFonts w:ascii="Arial" w:hAnsi="Arial" w:cs="Arial"/>
                <w:bCs/>
                <w:sz w:val="20"/>
                <w:szCs w:val="20"/>
              </w:rPr>
              <w:t>.</w:t>
            </w:r>
            <w:r w:rsidRPr="00AB7107">
              <w:rPr>
                <w:rFonts w:ascii="Arial" w:hAnsi="Arial" w:cs="Arial"/>
                <w:bCs/>
                <w:sz w:val="20"/>
                <w:szCs w:val="20"/>
              </w:rPr>
              <w:t xml:space="preserve"> 1. Adsorption isotherms of pyrithiobac sodium on red soil (2 mm sieved)</w:t>
            </w:r>
          </w:p>
        </w:tc>
      </w:tr>
      <w:tr w:rsidR="00415622" w:rsidRPr="00AB7107" w14:paraId="0D71A64E" w14:textId="77777777" w:rsidTr="00AB7107">
        <w:tc>
          <w:tcPr>
            <w:tcW w:w="4450" w:type="dxa"/>
          </w:tcPr>
          <w:p w14:paraId="2518486D"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591D3706" wp14:editId="50D4C0B6">
                  <wp:extent cx="2756847" cy="1924334"/>
                  <wp:effectExtent l="0" t="0" r="571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66" w:type="dxa"/>
          </w:tcPr>
          <w:p w14:paraId="2F9F4D9F"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0CF1F6AA" wp14:editId="3990847E">
                  <wp:extent cx="2838734" cy="1958454"/>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415622" w:rsidRPr="00AB7107" w14:paraId="61DC6639" w14:textId="77777777" w:rsidTr="00AB7107">
        <w:tc>
          <w:tcPr>
            <w:tcW w:w="9016" w:type="dxa"/>
            <w:gridSpan w:val="2"/>
          </w:tcPr>
          <w:p w14:paraId="5C05B422" w14:textId="77777777" w:rsidR="00415622" w:rsidRPr="00AB7107" w:rsidRDefault="00415622" w:rsidP="000470C0">
            <w:pPr>
              <w:jc w:val="center"/>
              <w:rPr>
                <w:rFonts w:ascii="Arial" w:hAnsi="Arial" w:cs="Arial"/>
                <w:bCs/>
                <w:sz w:val="20"/>
                <w:szCs w:val="20"/>
              </w:rPr>
            </w:pPr>
            <w:r w:rsidRPr="00AB7107">
              <w:rPr>
                <w:rFonts w:ascii="Arial" w:hAnsi="Arial" w:cs="Arial"/>
                <w:bCs/>
                <w:sz w:val="20"/>
                <w:szCs w:val="20"/>
              </w:rPr>
              <w:t>Fig.2. Adsorption isotherms of pyrithiobac sodium on black soil (2 mm sieved)</w:t>
            </w:r>
          </w:p>
        </w:tc>
      </w:tr>
    </w:tbl>
    <w:p w14:paraId="5F4A8BCC" w14:textId="77777777" w:rsidR="00415622" w:rsidRPr="00AB7107" w:rsidRDefault="00415622" w:rsidP="00415622">
      <w:pPr>
        <w:rPr>
          <w:rFonts w:ascii="Arial" w:hAnsi="Arial" w:cs="Arial"/>
          <w:b/>
          <w:bCs/>
        </w:rPr>
      </w:pPr>
    </w:p>
    <w:p w14:paraId="49E1EAF3" w14:textId="77777777" w:rsidR="00415622" w:rsidRPr="00AB7107" w:rsidRDefault="00415622" w:rsidP="00415622">
      <w:pPr>
        <w:rPr>
          <w:rFonts w:ascii="Arial" w:hAnsi="Arial" w:cs="Arial"/>
          <w:b/>
          <w:bCs/>
        </w:rPr>
      </w:pPr>
    </w:p>
    <w:p w14:paraId="7AFF3DF2" w14:textId="77777777" w:rsidR="00415622" w:rsidRPr="00AB7107" w:rsidRDefault="00415622" w:rsidP="00415622">
      <w:pPr>
        <w:rPr>
          <w:rFonts w:ascii="Arial" w:hAnsi="Arial" w:cs="Arial"/>
          <w:b/>
          <w:bCs/>
        </w:rPr>
      </w:pPr>
    </w:p>
    <w:p w14:paraId="6FFA0365" w14:textId="77777777" w:rsidR="00AB7107" w:rsidRDefault="00AB7107" w:rsidP="00415622">
      <w:pPr>
        <w:rPr>
          <w:rFonts w:ascii="Arial" w:hAnsi="Arial" w:cs="Arial"/>
          <w:b/>
          <w:bCs/>
        </w:rPr>
      </w:pPr>
    </w:p>
    <w:p w14:paraId="2CF86CAB" w14:textId="4FD9C226" w:rsidR="00415622" w:rsidRPr="00AB7107" w:rsidRDefault="00415622" w:rsidP="00415622">
      <w:pPr>
        <w:rPr>
          <w:rFonts w:ascii="Arial" w:hAnsi="Arial" w:cs="Arial"/>
          <w:b/>
          <w:bCs/>
        </w:rPr>
      </w:pPr>
      <w:r w:rsidRPr="00AB7107">
        <w:rPr>
          <w:rFonts w:ascii="Arial" w:hAnsi="Arial" w:cs="Arial"/>
          <w:b/>
          <w:bCs/>
        </w:rPr>
        <w:lastRenderedPageBreak/>
        <w:t xml:space="preserve">Table </w:t>
      </w:r>
      <w:r w:rsidR="00AB7107" w:rsidRPr="00AB7107">
        <w:rPr>
          <w:rFonts w:ascii="Arial" w:hAnsi="Arial" w:cs="Arial"/>
          <w:b/>
          <w:bCs/>
        </w:rPr>
        <w:t>3.</w:t>
      </w:r>
      <w:r w:rsidRPr="00AB7107">
        <w:rPr>
          <w:rFonts w:ascii="Arial" w:hAnsi="Arial" w:cs="Arial"/>
          <w:b/>
          <w:bCs/>
        </w:rPr>
        <w:t xml:space="preserve"> </w:t>
      </w:r>
      <w:proofErr w:type="spellStart"/>
      <w:r w:rsidRPr="00AB7107">
        <w:rPr>
          <w:rFonts w:ascii="Arial" w:hAnsi="Arial" w:cs="Arial"/>
          <w:b/>
        </w:rPr>
        <w:t>K</w:t>
      </w:r>
      <w:r w:rsidRPr="00AB7107">
        <w:rPr>
          <w:rFonts w:ascii="Arial" w:hAnsi="Arial" w:cs="Arial"/>
          <w:b/>
          <w:vertAlign w:val="subscript"/>
        </w:rPr>
        <w:t>d</w:t>
      </w:r>
      <w:proofErr w:type="spellEnd"/>
      <w:r w:rsidRPr="00AB7107">
        <w:rPr>
          <w:rFonts w:ascii="Arial" w:hAnsi="Arial" w:cs="Arial"/>
          <w:b/>
        </w:rPr>
        <w:t xml:space="preserve"> and K </w:t>
      </w:r>
      <w:r w:rsidRPr="00AB7107">
        <w:rPr>
          <w:rFonts w:ascii="Arial" w:hAnsi="Arial" w:cs="Arial"/>
          <w:b/>
          <w:vertAlign w:val="subscript"/>
        </w:rPr>
        <w:t>doc</w:t>
      </w:r>
      <w:r w:rsidRPr="00AB7107">
        <w:rPr>
          <w:rFonts w:ascii="Arial" w:hAnsi="Arial" w:cs="Arial"/>
          <w:b/>
        </w:rPr>
        <w:t xml:space="preserve">, Freundlich constants (K </w:t>
      </w:r>
      <w:r w:rsidR="00AB7107" w:rsidRPr="00AB7107">
        <w:rPr>
          <w:rFonts w:ascii="Arial" w:hAnsi="Arial" w:cs="Arial"/>
          <w:b/>
          <w:vertAlign w:val="subscript"/>
        </w:rPr>
        <w:t>f, n</w:t>
      </w:r>
      <w:r w:rsidRPr="00AB7107">
        <w:rPr>
          <w:rFonts w:ascii="Arial" w:hAnsi="Arial" w:cs="Arial"/>
          <w:b/>
        </w:rPr>
        <w:t xml:space="preserve"> and K </w:t>
      </w:r>
      <w:proofErr w:type="spellStart"/>
      <w:r w:rsidR="00AB7107" w:rsidRPr="00AB7107">
        <w:rPr>
          <w:rFonts w:ascii="Arial" w:hAnsi="Arial" w:cs="Arial"/>
          <w:b/>
          <w:vertAlign w:val="subscript"/>
        </w:rPr>
        <w:t>foc</w:t>
      </w:r>
      <w:proofErr w:type="spellEnd"/>
      <w:r w:rsidR="00AB7107" w:rsidRPr="00AB7107">
        <w:rPr>
          <w:rFonts w:ascii="Arial" w:hAnsi="Arial" w:cs="Arial"/>
          <w:b/>
          <w:vertAlign w:val="subscript"/>
        </w:rPr>
        <w:t>)</w:t>
      </w:r>
      <w:r w:rsidR="00AB7107" w:rsidRPr="00AB7107">
        <w:rPr>
          <w:rFonts w:ascii="Arial" w:hAnsi="Arial" w:cs="Arial"/>
          <w:b/>
        </w:rPr>
        <w:t xml:space="preserve"> values</w:t>
      </w:r>
      <w:r w:rsidRPr="00AB7107">
        <w:rPr>
          <w:rFonts w:ascii="Arial" w:hAnsi="Arial" w:cs="Arial"/>
          <w:b/>
        </w:rPr>
        <w:t xml:space="preserve"> for adsorption of pyrithiobac sodium on </w:t>
      </w:r>
      <w:r w:rsidRPr="00AB7107">
        <w:rPr>
          <w:rFonts w:ascii="Arial" w:hAnsi="Arial" w:cs="Arial"/>
          <w:b/>
          <w:bCs/>
        </w:rPr>
        <w:t>2 mm soil samples (Red and Black soils)</w:t>
      </w:r>
    </w:p>
    <w:p w14:paraId="516DAA6C" w14:textId="77777777" w:rsidR="00415622" w:rsidRPr="00AB7107" w:rsidRDefault="00415622" w:rsidP="00415622">
      <w:pPr>
        <w:rPr>
          <w:rFonts w:ascii="Arial" w:hAnsi="Arial" w:cs="Arial"/>
          <w:b/>
          <w:bCs/>
        </w:rPr>
      </w:pPr>
    </w:p>
    <w:tbl>
      <w:tblPr>
        <w:tblStyle w:val="TableGrid"/>
        <w:tblW w:w="5013" w:type="dxa"/>
        <w:jc w:val="center"/>
        <w:tblLook w:val="04A0" w:firstRow="1" w:lastRow="0" w:firstColumn="1" w:lastColumn="0" w:noHBand="0" w:noVBand="1"/>
      </w:tblPr>
      <w:tblGrid>
        <w:gridCol w:w="1283"/>
        <w:gridCol w:w="1615"/>
        <w:gridCol w:w="2115"/>
      </w:tblGrid>
      <w:tr w:rsidR="00415622" w:rsidRPr="00AB7107" w14:paraId="0C1D27A8" w14:textId="77777777" w:rsidTr="000470C0">
        <w:trPr>
          <w:trHeight w:val="300"/>
          <w:jc w:val="center"/>
        </w:trPr>
        <w:tc>
          <w:tcPr>
            <w:tcW w:w="1283" w:type="dxa"/>
            <w:noWrap/>
          </w:tcPr>
          <w:p w14:paraId="772FC3F4" w14:textId="77777777" w:rsidR="00415622" w:rsidRPr="00AB7107" w:rsidRDefault="00415622" w:rsidP="000470C0">
            <w:pPr>
              <w:rPr>
                <w:rFonts w:ascii="Arial" w:hAnsi="Arial" w:cs="Arial"/>
                <w:b/>
                <w:bCs/>
                <w:sz w:val="20"/>
                <w:szCs w:val="20"/>
                <w:lang w:bidi="hi-IN"/>
              </w:rPr>
            </w:pPr>
            <w:r w:rsidRPr="00AB7107">
              <w:rPr>
                <w:rFonts w:ascii="Arial" w:hAnsi="Arial" w:cs="Arial"/>
                <w:b/>
                <w:bCs/>
                <w:sz w:val="20"/>
                <w:szCs w:val="20"/>
                <w:lang w:bidi="hi-IN"/>
              </w:rPr>
              <w:t>Adsorption parameter</w:t>
            </w:r>
          </w:p>
        </w:tc>
        <w:tc>
          <w:tcPr>
            <w:tcW w:w="1615" w:type="dxa"/>
            <w:noWrap/>
          </w:tcPr>
          <w:p w14:paraId="7E7D55DB"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Red soil</w:t>
            </w:r>
          </w:p>
        </w:tc>
        <w:tc>
          <w:tcPr>
            <w:tcW w:w="2115" w:type="dxa"/>
          </w:tcPr>
          <w:p w14:paraId="2953BA41"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Black soil</w:t>
            </w:r>
          </w:p>
        </w:tc>
      </w:tr>
      <w:tr w:rsidR="00415622" w:rsidRPr="00AB7107" w14:paraId="693CA18B" w14:textId="77777777" w:rsidTr="000470C0">
        <w:trPr>
          <w:trHeight w:val="300"/>
          <w:jc w:val="center"/>
        </w:trPr>
        <w:tc>
          <w:tcPr>
            <w:tcW w:w="1283" w:type="dxa"/>
            <w:noWrap/>
            <w:hideMark/>
          </w:tcPr>
          <w:p w14:paraId="55871BEA"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Slope</w:t>
            </w:r>
          </w:p>
        </w:tc>
        <w:tc>
          <w:tcPr>
            <w:tcW w:w="1615" w:type="dxa"/>
            <w:noWrap/>
            <w:hideMark/>
          </w:tcPr>
          <w:p w14:paraId="3B46CF94"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0.894</w:t>
            </w:r>
          </w:p>
        </w:tc>
        <w:tc>
          <w:tcPr>
            <w:tcW w:w="2115" w:type="dxa"/>
          </w:tcPr>
          <w:p w14:paraId="2696260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1.026</w:t>
            </w:r>
          </w:p>
        </w:tc>
      </w:tr>
      <w:tr w:rsidR="00415622" w:rsidRPr="00AB7107" w14:paraId="53FA2B3B" w14:textId="77777777" w:rsidTr="000470C0">
        <w:trPr>
          <w:trHeight w:val="300"/>
          <w:jc w:val="center"/>
        </w:trPr>
        <w:tc>
          <w:tcPr>
            <w:tcW w:w="1283" w:type="dxa"/>
            <w:noWrap/>
            <w:hideMark/>
          </w:tcPr>
          <w:p w14:paraId="560E3FA4"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Intercept</w:t>
            </w:r>
          </w:p>
        </w:tc>
        <w:tc>
          <w:tcPr>
            <w:tcW w:w="1615" w:type="dxa"/>
            <w:noWrap/>
            <w:hideMark/>
          </w:tcPr>
          <w:p w14:paraId="7BAC50DD"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-0.575</w:t>
            </w:r>
          </w:p>
        </w:tc>
        <w:tc>
          <w:tcPr>
            <w:tcW w:w="2115" w:type="dxa"/>
          </w:tcPr>
          <w:p w14:paraId="1CA729C5"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-0.448</w:t>
            </w:r>
          </w:p>
        </w:tc>
      </w:tr>
      <w:tr w:rsidR="00415622" w:rsidRPr="00AB7107" w14:paraId="2F11539F" w14:textId="77777777" w:rsidTr="000470C0">
        <w:trPr>
          <w:trHeight w:val="300"/>
          <w:jc w:val="center"/>
        </w:trPr>
        <w:tc>
          <w:tcPr>
            <w:tcW w:w="1283" w:type="dxa"/>
            <w:noWrap/>
            <w:hideMark/>
          </w:tcPr>
          <w:p w14:paraId="3F5946E8"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OC (%)</w:t>
            </w:r>
          </w:p>
        </w:tc>
        <w:tc>
          <w:tcPr>
            <w:tcW w:w="1615" w:type="dxa"/>
            <w:noWrap/>
            <w:hideMark/>
          </w:tcPr>
          <w:p w14:paraId="5F020F44"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0.39</w:t>
            </w:r>
          </w:p>
        </w:tc>
        <w:tc>
          <w:tcPr>
            <w:tcW w:w="2115" w:type="dxa"/>
          </w:tcPr>
          <w:p w14:paraId="6D108D8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0.44</w:t>
            </w:r>
          </w:p>
        </w:tc>
      </w:tr>
      <w:tr w:rsidR="00415622" w:rsidRPr="00AB7107" w14:paraId="51AE3DF6" w14:textId="77777777" w:rsidTr="000470C0">
        <w:trPr>
          <w:trHeight w:val="300"/>
          <w:jc w:val="center"/>
        </w:trPr>
        <w:tc>
          <w:tcPr>
            <w:tcW w:w="1283" w:type="dxa"/>
            <w:noWrap/>
            <w:hideMark/>
          </w:tcPr>
          <w:p w14:paraId="46C1D8CC"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Nn</w:t>
            </w:r>
            <w:proofErr w:type="spellEnd"/>
          </w:p>
        </w:tc>
        <w:tc>
          <w:tcPr>
            <w:tcW w:w="1615" w:type="dxa"/>
            <w:noWrap/>
            <w:hideMark/>
          </w:tcPr>
          <w:p w14:paraId="15A6E261"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1.12</w:t>
            </w:r>
          </w:p>
        </w:tc>
        <w:tc>
          <w:tcPr>
            <w:tcW w:w="2115" w:type="dxa"/>
          </w:tcPr>
          <w:p w14:paraId="3E4755AA"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0.97</w:t>
            </w:r>
          </w:p>
        </w:tc>
      </w:tr>
      <w:tr w:rsidR="00415622" w:rsidRPr="00AB7107" w14:paraId="5ADFF7BB" w14:textId="77777777" w:rsidTr="000470C0">
        <w:trPr>
          <w:trHeight w:val="300"/>
          <w:jc w:val="center"/>
        </w:trPr>
        <w:tc>
          <w:tcPr>
            <w:tcW w:w="1283" w:type="dxa"/>
            <w:noWrap/>
            <w:hideMark/>
          </w:tcPr>
          <w:p w14:paraId="248BF317"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f</w:t>
            </w:r>
            <w:proofErr w:type="spellEnd"/>
          </w:p>
        </w:tc>
        <w:tc>
          <w:tcPr>
            <w:tcW w:w="1615" w:type="dxa"/>
            <w:noWrap/>
            <w:hideMark/>
          </w:tcPr>
          <w:p w14:paraId="27F98256"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0.26</w:t>
            </w:r>
          </w:p>
        </w:tc>
        <w:tc>
          <w:tcPr>
            <w:tcW w:w="2115" w:type="dxa"/>
          </w:tcPr>
          <w:p w14:paraId="2A09F3F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0.36</w:t>
            </w:r>
          </w:p>
        </w:tc>
      </w:tr>
      <w:tr w:rsidR="00415622" w:rsidRPr="00AB7107" w14:paraId="7E88255F" w14:textId="77777777" w:rsidTr="000470C0">
        <w:trPr>
          <w:trHeight w:val="300"/>
          <w:jc w:val="center"/>
        </w:trPr>
        <w:tc>
          <w:tcPr>
            <w:tcW w:w="1283" w:type="dxa"/>
            <w:noWrap/>
            <w:hideMark/>
          </w:tcPr>
          <w:p w14:paraId="5D2FADF4"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rPr>
              <w:t>K</w:t>
            </w:r>
            <w:r w:rsidRPr="00AB7107">
              <w:rPr>
                <w:rFonts w:ascii="Arial" w:hAnsi="Arial" w:cs="Arial"/>
                <w:sz w:val="20"/>
                <w:szCs w:val="20"/>
                <w:vertAlign w:val="subscript"/>
              </w:rPr>
              <w:t>foc</w:t>
            </w:r>
            <w:proofErr w:type="spellEnd"/>
          </w:p>
        </w:tc>
        <w:tc>
          <w:tcPr>
            <w:tcW w:w="1615" w:type="dxa"/>
            <w:noWrap/>
            <w:hideMark/>
          </w:tcPr>
          <w:p w14:paraId="09314E7F"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66.67</w:t>
            </w:r>
          </w:p>
        </w:tc>
        <w:tc>
          <w:tcPr>
            <w:tcW w:w="2115" w:type="dxa"/>
          </w:tcPr>
          <w:p w14:paraId="439D2458"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80.91</w:t>
            </w:r>
          </w:p>
        </w:tc>
      </w:tr>
      <w:tr w:rsidR="00415622" w:rsidRPr="00AB7107" w14:paraId="468E5001" w14:textId="77777777" w:rsidTr="000470C0">
        <w:trPr>
          <w:trHeight w:val="300"/>
          <w:jc w:val="center"/>
        </w:trPr>
        <w:tc>
          <w:tcPr>
            <w:tcW w:w="1283" w:type="dxa"/>
            <w:noWrap/>
            <w:hideMark/>
          </w:tcPr>
          <w:p w14:paraId="480EB2CF" w14:textId="77777777" w:rsidR="00415622" w:rsidRPr="00AB7107" w:rsidRDefault="00415622" w:rsidP="000470C0">
            <w:pPr>
              <w:rPr>
                <w:rFonts w:ascii="Arial" w:eastAsiaTheme="minorEastAsia"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d</w:t>
            </w:r>
            <w:proofErr w:type="spellEnd"/>
          </w:p>
        </w:tc>
        <w:tc>
          <w:tcPr>
            <w:tcW w:w="1615" w:type="dxa"/>
            <w:noWrap/>
            <w:hideMark/>
          </w:tcPr>
          <w:p w14:paraId="76EE8E6E"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0.19</w:t>
            </w:r>
          </w:p>
        </w:tc>
        <w:tc>
          <w:tcPr>
            <w:tcW w:w="2115" w:type="dxa"/>
          </w:tcPr>
          <w:p w14:paraId="38DB0CFE"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0.39</w:t>
            </w:r>
          </w:p>
        </w:tc>
      </w:tr>
      <w:tr w:rsidR="00415622" w:rsidRPr="00AB7107" w14:paraId="6DC04415" w14:textId="77777777" w:rsidTr="000470C0">
        <w:trPr>
          <w:trHeight w:val="300"/>
          <w:jc w:val="center"/>
        </w:trPr>
        <w:tc>
          <w:tcPr>
            <w:tcW w:w="1283" w:type="dxa"/>
            <w:noWrap/>
            <w:hideMark/>
          </w:tcPr>
          <w:p w14:paraId="5CA00722"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doc</w:t>
            </w:r>
            <w:proofErr w:type="spellEnd"/>
          </w:p>
        </w:tc>
        <w:tc>
          <w:tcPr>
            <w:tcW w:w="1615" w:type="dxa"/>
            <w:noWrap/>
            <w:hideMark/>
          </w:tcPr>
          <w:p w14:paraId="023E9C37"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47.62</w:t>
            </w:r>
          </w:p>
        </w:tc>
        <w:tc>
          <w:tcPr>
            <w:tcW w:w="2115" w:type="dxa"/>
          </w:tcPr>
          <w:p w14:paraId="36FB9CEF"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88.35</w:t>
            </w:r>
          </w:p>
        </w:tc>
      </w:tr>
    </w:tbl>
    <w:p w14:paraId="38A6B598" w14:textId="38237DC7" w:rsidR="00790ADA" w:rsidRPr="00AB7107" w:rsidRDefault="00415622" w:rsidP="00AB7107">
      <w:pPr>
        <w:pStyle w:val="NormalWeb"/>
        <w:ind w:firstLine="720"/>
        <w:jc w:val="both"/>
        <w:rPr>
          <w:rFonts w:ascii="Arial" w:hAnsi="Arial" w:cs="Arial"/>
          <w:sz w:val="20"/>
          <w:szCs w:val="20"/>
        </w:rPr>
      </w:pPr>
      <w:r w:rsidRPr="00AB7107">
        <w:rPr>
          <w:rFonts w:ascii="Arial" w:hAnsi="Arial" w:cs="Arial"/>
          <w:sz w:val="20"/>
          <w:szCs w:val="20"/>
        </w:rPr>
        <w:t xml:space="preserve">The </w:t>
      </w:r>
      <w:r w:rsidRPr="00AB7107">
        <w:rPr>
          <w:rStyle w:val="Strong"/>
          <w:rFonts w:ascii="Arial" w:hAnsi="Arial" w:cs="Arial"/>
          <w:b w:val="0"/>
          <w:bCs w:val="0"/>
          <w:sz w:val="20"/>
          <w:szCs w:val="20"/>
        </w:rPr>
        <w:t>distribution coefficient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w:t>
      </w:r>
      <w:proofErr w:type="spellEnd"/>
      <w:r w:rsidRPr="00AB7107">
        <w:rPr>
          <w:rStyle w:val="Strong"/>
          <w:rFonts w:ascii="Arial" w:hAnsi="Arial" w:cs="Arial"/>
          <w:b w:val="0"/>
          <w:bCs w:val="0"/>
          <w:sz w:val="20"/>
          <w:szCs w:val="20"/>
        </w:rPr>
        <w:t>)</w:t>
      </w:r>
      <w:r w:rsidRPr="00AB7107">
        <w:rPr>
          <w:rFonts w:ascii="Arial" w:hAnsi="Arial" w:cs="Arial"/>
          <w:b/>
          <w:sz w:val="20"/>
          <w:szCs w:val="20"/>
        </w:rPr>
        <w:t xml:space="preserve"> </w:t>
      </w:r>
      <w:r w:rsidRPr="00AB7107">
        <w:rPr>
          <w:rFonts w:ascii="Arial" w:hAnsi="Arial" w:cs="Arial"/>
          <w:sz w:val="20"/>
          <w:szCs w:val="20"/>
        </w:rPr>
        <w:t>and</w:t>
      </w:r>
      <w:r w:rsidRPr="00AB7107">
        <w:rPr>
          <w:rFonts w:ascii="Arial" w:hAnsi="Arial" w:cs="Arial"/>
          <w:b/>
          <w:sz w:val="20"/>
          <w:szCs w:val="20"/>
        </w:rPr>
        <w:t xml:space="preserve"> </w:t>
      </w:r>
      <w:r w:rsidRPr="00AB7107">
        <w:rPr>
          <w:rStyle w:val="Strong"/>
          <w:rFonts w:ascii="Arial" w:hAnsi="Arial" w:cs="Arial"/>
          <w:b w:val="0"/>
          <w:bCs w:val="0"/>
          <w:sz w:val="20"/>
          <w:szCs w:val="20"/>
        </w:rPr>
        <w:t>organic carbon-normalized adsorption coefficient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doc</w:t>
      </w:r>
      <w:proofErr w:type="spellEnd"/>
      <w:r w:rsidRPr="00AB7107">
        <w:rPr>
          <w:rStyle w:val="Strong"/>
          <w:rFonts w:ascii="Arial" w:hAnsi="Arial" w:cs="Arial"/>
          <w:b w:val="0"/>
          <w:bCs w:val="0"/>
          <w:sz w:val="20"/>
          <w:szCs w:val="20"/>
        </w:rPr>
        <w:t>)</w:t>
      </w:r>
      <w:r w:rsidRPr="00AB7107">
        <w:rPr>
          <w:rFonts w:ascii="Arial" w:hAnsi="Arial" w:cs="Arial"/>
          <w:sz w:val="20"/>
          <w:szCs w:val="20"/>
        </w:rPr>
        <w:t xml:space="preserve"> further substantiated these findings. The </w:t>
      </w:r>
      <w:proofErr w:type="spellStart"/>
      <w:r w:rsidRPr="00AB7107">
        <w:rPr>
          <w:rFonts w:ascii="Arial" w:hAnsi="Arial" w:cs="Arial"/>
          <w:i/>
          <w:sz w:val="20"/>
          <w:szCs w:val="20"/>
        </w:rPr>
        <w:t>k</w:t>
      </w:r>
      <w:r w:rsidRPr="00AB7107">
        <w:rPr>
          <w:rFonts w:ascii="Arial" w:hAnsi="Arial" w:cs="Arial"/>
          <w:i/>
          <w:sz w:val="20"/>
          <w:szCs w:val="20"/>
          <w:vertAlign w:val="subscript"/>
        </w:rPr>
        <w:t>d</w:t>
      </w:r>
      <w:proofErr w:type="spellEnd"/>
      <w:r w:rsidRPr="00AB7107">
        <w:rPr>
          <w:rFonts w:ascii="Arial" w:hAnsi="Arial" w:cs="Arial"/>
          <w:sz w:val="20"/>
          <w:szCs w:val="20"/>
        </w:rPr>
        <w:t xml:space="preserve"> and </w:t>
      </w:r>
      <w:proofErr w:type="spellStart"/>
      <w:r w:rsidRPr="00AB7107">
        <w:rPr>
          <w:rFonts w:ascii="Arial" w:hAnsi="Arial" w:cs="Arial"/>
          <w:i/>
          <w:sz w:val="20"/>
          <w:szCs w:val="20"/>
        </w:rPr>
        <w:t>k</w:t>
      </w:r>
      <w:r w:rsidRPr="00AB7107">
        <w:rPr>
          <w:rFonts w:ascii="Arial" w:hAnsi="Arial" w:cs="Arial"/>
          <w:i/>
          <w:sz w:val="20"/>
          <w:szCs w:val="20"/>
          <w:vertAlign w:val="subscript"/>
        </w:rPr>
        <w:t>doc</w:t>
      </w:r>
      <w:proofErr w:type="spellEnd"/>
      <w:r w:rsidRPr="00AB7107">
        <w:rPr>
          <w:rFonts w:ascii="Arial" w:hAnsi="Arial" w:cs="Arial"/>
          <w:sz w:val="20"/>
          <w:szCs w:val="20"/>
        </w:rPr>
        <w:t xml:space="preserve"> values for red soil were </w:t>
      </w:r>
      <w:r w:rsidRPr="00AB7107">
        <w:rPr>
          <w:rStyle w:val="Strong"/>
          <w:rFonts w:ascii="Arial" w:hAnsi="Arial" w:cs="Arial"/>
          <w:b w:val="0"/>
          <w:bCs w:val="0"/>
          <w:sz w:val="20"/>
          <w:szCs w:val="20"/>
        </w:rPr>
        <w:t>0.19</w:t>
      </w:r>
      <w:r w:rsidRPr="00AB7107">
        <w:rPr>
          <w:rFonts w:ascii="Arial" w:hAnsi="Arial" w:cs="Arial"/>
          <w:sz w:val="20"/>
          <w:szCs w:val="20"/>
        </w:rPr>
        <w:t xml:space="preserve"> and </w:t>
      </w:r>
      <w:r w:rsidRPr="00AB7107">
        <w:rPr>
          <w:rStyle w:val="Strong"/>
          <w:rFonts w:ascii="Arial" w:hAnsi="Arial" w:cs="Arial"/>
          <w:b w:val="0"/>
          <w:bCs w:val="0"/>
          <w:sz w:val="20"/>
          <w:szCs w:val="20"/>
        </w:rPr>
        <w:t>47.62</w:t>
      </w:r>
      <w:r w:rsidRPr="00AB7107">
        <w:rPr>
          <w:rFonts w:ascii="Arial" w:hAnsi="Arial" w:cs="Arial"/>
          <w:b/>
          <w:bCs/>
          <w:sz w:val="20"/>
          <w:szCs w:val="20"/>
        </w:rPr>
        <w:t>,</w:t>
      </w:r>
      <w:r w:rsidRPr="00AB7107">
        <w:rPr>
          <w:rFonts w:ascii="Arial" w:hAnsi="Arial" w:cs="Arial"/>
          <w:sz w:val="20"/>
          <w:szCs w:val="20"/>
        </w:rPr>
        <w:t xml:space="preserve"> respectively, while those for black soil were </w:t>
      </w:r>
      <w:r w:rsidRPr="00AB7107">
        <w:rPr>
          <w:rStyle w:val="Strong"/>
          <w:rFonts w:ascii="Arial" w:hAnsi="Arial" w:cs="Arial"/>
          <w:b w:val="0"/>
          <w:bCs w:val="0"/>
          <w:sz w:val="20"/>
          <w:szCs w:val="20"/>
        </w:rPr>
        <w:t>0.39</w:t>
      </w:r>
      <w:r w:rsidRPr="00AB7107">
        <w:rPr>
          <w:rFonts w:ascii="Arial" w:hAnsi="Arial" w:cs="Arial"/>
          <w:sz w:val="20"/>
          <w:szCs w:val="20"/>
        </w:rPr>
        <w:t xml:space="preserve"> and </w:t>
      </w:r>
      <w:r w:rsidRPr="00AB7107">
        <w:rPr>
          <w:rStyle w:val="Strong"/>
          <w:rFonts w:ascii="Arial" w:hAnsi="Arial" w:cs="Arial"/>
          <w:b w:val="0"/>
          <w:bCs w:val="0"/>
          <w:sz w:val="20"/>
          <w:szCs w:val="20"/>
        </w:rPr>
        <w:t>88.35</w:t>
      </w:r>
      <w:r w:rsidRPr="00AB7107">
        <w:rPr>
          <w:rFonts w:ascii="Arial" w:hAnsi="Arial" w:cs="Arial"/>
          <w:b/>
          <w:bCs/>
          <w:sz w:val="20"/>
          <w:szCs w:val="20"/>
        </w:rPr>
        <w:t>.</w:t>
      </w:r>
      <w:r w:rsidRPr="00AB7107">
        <w:rPr>
          <w:rFonts w:ascii="Arial" w:hAnsi="Arial" w:cs="Arial"/>
          <w:sz w:val="20"/>
          <w:szCs w:val="20"/>
        </w:rPr>
        <w:t xml:space="preserve"> The relatively </w:t>
      </w:r>
      <w:r w:rsidRPr="00AB7107">
        <w:rPr>
          <w:rStyle w:val="Strong"/>
          <w:rFonts w:ascii="Arial" w:hAnsi="Arial" w:cs="Arial"/>
          <w:b w:val="0"/>
          <w:bCs w:val="0"/>
          <w:sz w:val="20"/>
          <w:szCs w:val="20"/>
        </w:rPr>
        <w:t xml:space="preserve">low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w:t>
      </w:r>
      <w:proofErr w:type="spellEnd"/>
      <w:r w:rsidRPr="00AB7107">
        <w:rPr>
          <w:rStyle w:val="Strong"/>
          <w:rFonts w:ascii="Arial" w:hAnsi="Arial" w:cs="Arial"/>
          <w:b w:val="0"/>
          <w:bCs w:val="0"/>
          <w:sz w:val="20"/>
          <w:szCs w:val="20"/>
        </w:rPr>
        <w:t xml:space="preserve"> and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Style w:val="Strong"/>
          <w:rFonts w:ascii="Arial" w:hAnsi="Arial" w:cs="Arial"/>
          <w:b w:val="0"/>
          <w:bCs w:val="0"/>
          <w:sz w:val="20"/>
          <w:szCs w:val="20"/>
        </w:rPr>
        <w:t xml:space="preserve"> values</w:t>
      </w:r>
      <w:r w:rsidRPr="00AB7107">
        <w:rPr>
          <w:rFonts w:ascii="Arial" w:hAnsi="Arial" w:cs="Arial"/>
          <w:sz w:val="20"/>
          <w:szCs w:val="20"/>
        </w:rPr>
        <w:t xml:space="preserve"> suggest that pyrithiobac-sodium exhibits </w:t>
      </w:r>
      <w:r w:rsidRPr="00AB7107">
        <w:rPr>
          <w:rStyle w:val="Strong"/>
          <w:rFonts w:ascii="Arial" w:hAnsi="Arial" w:cs="Arial"/>
          <w:b w:val="0"/>
          <w:bCs w:val="0"/>
          <w:sz w:val="20"/>
          <w:szCs w:val="20"/>
        </w:rPr>
        <w:t>weak sorption affinity</w:t>
      </w:r>
      <w:r w:rsidRPr="00AB7107">
        <w:rPr>
          <w:rFonts w:ascii="Arial" w:hAnsi="Arial" w:cs="Arial"/>
          <w:sz w:val="20"/>
          <w:szCs w:val="20"/>
        </w:rPr>
        <w:t xml:space="preserve"> and therefore </w:t>
      </w:r>
      <w:r w:rsidRPr="00AB7107">
        <w:rPr>
          <w:rStyle w:val="Strong"/>
          <w:rFonts w:ascii="Arial" w:hAnsi="Arial" w:cs="Arial"/>
          <w:b w:val="0"/>
          <w:bCs w:val="0"/>
          <w:sz w:val="20"/>
          <w:szCs w:val="20"/>
        </w:rPr>
        <w:t>higher mobility potential</w:t>
      </w:r>
      <w:r w:rsidRPr="00AB7107">
        <w:rPr>
          <w:rFonts w:ascii="Arial" w:hAnsi="Arial" w:cs="Arial"/>
          <w:b/>
          <w:bCs/>
          <w:sz w:val="20"/>
          <w:szCs w:val="20"/>
        </w:rPr>
        <w:t>,</w:t>
      </w:r>
      <w:r w:rsidRPr="00AB7107">
        <w:rPr>
          <w:rFonts w:ascii="Arial" w:hAnsi="Arial" w:cs="Arial"/>
          <w:sz w:val="20"/>
          <w:szCs w:val="20"/>
        </w:rPr>
        <w:t xml:space="preserve"> especially in coarse-textured, low-organic soils. Conversely, the higher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doc</w:t>
      </w:r>
      <w:proofErr w:type="spellEnd"/>
      <w:r w:rsidRPr="00AB7107">
        <w:rPr>
          <w:rFonts w:ascii="Arial" w:hAnsi="Arial" w:cs="Arial"/>
          <w:sz w:val="20"/>
          <w:szCs w:val="20"/>
        </w:rPr>
        <w:t xml:space="preserve"> in black soil reflects stronger interactions between pyrithiobac-sodium and </w:t>
      </w:r>
      <w:r w:rsidRPr="00AB7107">
        <w:rPr>
          <w:rStyle w:val="Strong"/>
          <w:rFonts w:ascii="Arial" w:hAnsi="Arial" w:cs="Arial"/>
          <w:b w:val="0"/>
          <w:bCs w:val="0"/>
          <w:sz w:val="20"/>
          <w:szCs w:val="20"/>
        </w:rPr>
        <w:t>clay–humus complexes</w:t>
      </w:r>
      <w:r w:rsidRPr="00AB7107">
        <w:rPr>
          <w:rFonts w:ascii="Arial" w:hAnsi="Arial" w:cs="Arial"/>
          <w:b/>
          <w:bCs/>
          <w:sz w:val="20"/>
          <w:szCs w:val="20"/>
        </w:rPr>
        <w:t xml:space="preserve">, </w:t>
      </w:r>
      <w:r w:rsidRPr="00AB7107">
        <w:rPr>
          <w:rFonts w:ascii="Arial" w:hAnsi="Arial" w:cs="Arial"/>
          <w:sz w:val="20"/>
          <w:szCs w:val="20"/>
        </w:rPr>
        <w:t xml:space="preserve">which are more abundant and stable in </w:t>
      </w:r>
      <w:proofErr w:type="spellStart"/>
      <w:r w:rsidRPr="00AB7107">
        <w:rPr>
          <w:rFonts w:ascii="Arial" w:hAnsi="Arial" w:cs="Arial"/>
          <w:sz w:val="20"/>
          <w:szCs w:val="20"/>
        </w:rPr>
        <w:t>smectitic</w:t>
      </w:r>
      <w:proofErr w:type="spellEnd"/>
      <w:r w:rsidRPr="00AB7107">
        <w:rPr>
          <w:rFonts w:ascii="Arial" w:hAnsi="Arial" w:cs="Arial"/>
          <w:sz w:val="20"/>
          <w:szCs w:val="20"/>
        </w:rPr>
        <w:t xml:space="preserve"> black soils than in low-activity kaolinitic red soils. Thus, </w:t>
      </w:r>
      <w:r w:rsidRPr="00AB7107">
        <w:rPr>
          <w:rStyle w:val="Strong"/>
          <w:rFonts w:ascii="Arial" w:hAnsi="Arial" w:cs="Arial"/>
          <w:b w:val="0"/>
          <w:bCs w:val="0"/>
          <w:sz w:val="20"/>
          <w:szCs w:val="20"/>
        </w:rPr>
        <w:t>higher clay content, greater CEC, and the presence of active 2:1 clay</w:t>
      </w:r>
      <w:r w:rsidRPr="00AB7107">
        <w:rPr>
          <w:rFonts w:ascii="Arial" w:hAnsi="Arial" w:cs="Arial"/>
          <w:sz w:val="20"/>
          <w:szCs w:val="20"/>
        </w:rPr>
        <w:t xml:space="preserve"> in black soils collectively enhanced the retention of pyrithiobac-sodium, reducing its potential mobility compared to red soils. These results are in close agreement with the observations of </w:t>
      </w:r>
      <w:r w:rsidR="00506F88">
        <w:rPr>
          <w:rFonts w:ascii="Arial" w:hAnsi="Arial" w:cs="Arial"/>
          <w:sz w:val="20"/>
          <w:szCs w:val="20"/>
        </w:rPr>
        <w:t>[2]</w:t>
      </w:r>
      <w:r w:rsidRPr="00AB7107">
        <w:rPr>
          <w:rFonts w:ascii="Arial" w:hAnsi="Arial" w:cs="Arial"/>
          <w:sz w:val="20"/>
          <w:szCs w:val="20"/>
        </w:rPr>
        <w:t>,</w:t>
      </w:r>
      <w:r w:rsidR="00506F88">
        <w:rPr>
          <w:rFonts w:ascii="Arial" w:hAnsi="Arial" w:cs="Arial"/>
          <w:sz w:val="20"/>
          <w:szCs w:val="20"/>
        </w:rPr>
        <w:t xml:space="preserve"> [3]</w:t>
      </w:r>
      <w:r w:rsidRPr="00AB7107">
        <w:rPr>
          <w:rFonts w:ascii="Arial" w:hAnsi="Arial" w:cs="Arial"/>
          <w:sz w:val="20"/>
          <w:szCs w:val="20"/>
        </w:rPr>
        <w:t>, and</w:t>
      </w:r>
      <w:r w:rsidR="00506F88">
        <w:rPr>
          <w:rFonts w:ascii="Arial" w:hAnsi="Arial" w:cs="Arial"/>
          <w:sz w:val="20"/>
          <w:szCs w:val="20"/>
        </w:rPr>
        <w:t xml:space="preserve"> [4]</w:t>
      </w:r>
      <w:r w:rsidRPr="00AB7107">
        <w:rPr>
          <w:rFonts w:ascii="Arial" w:hAnsi="Arial" w:cs="Arial"/>
          <w:sz w:val="20"/>
          <w:szCs w:val="20"/>
        </w:rPr>
        <w:t>, who reported that adsorption of pyrithiobac-sodium was primarily governed by soil mineralogy, organic matter, and surface charge properties. Similar results were reported in tomato growing soils of Telangana state for adsorption of metribuzin</w:t>
      </w:r>
      <w:r w:rsidR="00506F88">
        <w:rPr>
          <w:rFonts w:ascii="Arial" w:hAnsi="Arial" w:cs="Arial"/>
          <w:sz w:val="20"/>
          <w:szCs w:val="20"/>
        </w:rPr>
        <w:t xml:space="preserve"> [12].</w:t>
      </w:r>
    </w:p>
    <w:p w14:paraId="6E916B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DE7A70" w14:textId="77777777" w:rsidR="00790ADA" w:rsidRPr="00FB3A86" w:rsidRDefault="00790ADA" w:rsidP="00441B6F">
      <w:pPr>
        <w:pStyle w:val="ConcHead"/>
        <w:spacing w:after="0"/>
        <w:jc w:val="both"/>
        <w:rPr>
          <w:rFonts w:ascii="Arial" w:hAnsi="Arial" w:cs="Arial"/>
        </w:rPr>
      </w:pPr>
    </w:p>
    <w:p w14:paraId="74E7CC80" w14:textId="77777777" w:rsidR="00AB7107" w:rsidRPr="005A4171" w:rsidRDefault="00AB7107" w:rsidP="00AB7107">
      <w:pPr>
        <w:pStyle w:val="NormalWeb"/>
        <w:jc w:val="both"/>
        <w:rPr>
          <w:rFonts w:ascii="Arial" w:hAnsi="Arial" w:cs="Arial"/>
          <w:sz w:val="20"/>
          <w:szCs w:val="20"/>
        </w:rPr>
      </w:pPr>
      <w:r w:rsidRPr="005A4171">
        <w:rPr>
          <w:rFonts w:ascii="Arial" w:hAnsi="Arial" w:cs="Arial"/>
          <w:sz w:val="20"/>
          <w:szCs w:val="20"/>
        </w:rPr>
        <w:t>Pyrithiobac-sodium displayed weak overall sorption, suggesting higher leaching potential in coarse-textured soils. However, stronger adsorption in clay-rich black soils indicates lower mobility but possible persistence. These results highlight the significance of soil properties in predicting herbicide fate and guiding site-specific management in Telangana’s cotton-growing regions</w:t>
      </w:r>
    </w:p>
    <w:p w14:paraId="5A2C566F" w14:textId="440A524B" w:rsidR="00B01FCD" w:rsidRDefault="00B01FCD" w:rsidP="00441B6F">
      <w:pPr>
        <w:pStyle w:val="AcknHead"/>
        <w:spacing w:after="0"/>
        <w:jc w:val="both"/>
        <w:rPr>
          <w:rFonts w:ascii="Arial" w:hAnsi="Arial" w:cs="Arial"/>
        </w:rPr>
      </w:pPr>
    </w:p>
    <w:p w14:paraId="71FCD37C" w14:textId="77777777" w:rsidR="00790ADA" w:rsidRPr="00FB3A86" w:rsidRDefault="00790ADA" w:rsidP="00441B6F">
      <w:pPr>
        <w:pStyle w:val="AcknHead"/>
        <w:spacing w:after="0"/>
        <w:jc w:val="both"/>
        <w:rPr>
          <w:rFonts w:ascii="Arial" w:hAnsi="Arial" w:cs="Arial"/>
        </w:rPr>
      </w:pPr>
    </w:p>
    <w:p w14:paraId="3A129069" w14:textId="77777777" w:rsidR="00860000" w:rsidRDefault="00860000" w:rsidP="00441B6F">
      <w:pPr>
        <w:pStyle w:val="ReferHead"/>
        <w:spacing w:after="0"/>
        <w:jc w:val="both"/>
        <w:rPr>
          <w:rFonts w:ascii="Arial" w:hAnsi="Arial" w:cs="Arial"/>
        </w:rPr>
      </w:pPr>
    </w:p>
    <w:p w14:paraId="753ADF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8A723E" w14:textId="77777777" w:rsidR="00790ADA" w:rsidRPr="00507E57" w:rsidRDefault="00790ADA" w:rsidP="00441B6F">
      <w:pPr>
        <w:pStyle w:val="ReferHead"/>
        <w:spacing w:after="0"/>
        <w:jc w:val="both"/>
        <w:rPr>
          <w:rFonts w:ascii="Arial" w:hAnsi="Arial" w:cs="Arial"/>
          <w:b w:val="0"/>
          <w:bCs/>
          <w:sz w:val="20"/>
        </w:rPr>
      </w:pPr>
    </w:p>
    <w:p w14:paraId="68795FC2"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 xml:space="preserve">Khan, M.A. (2016). Environmental </w:t>
      </w:r>
      <w:proofErr w:type="spellStart"/>
      <w:r w:rsidRPr="00507E57">
        <w:rPr>
          <w:rFonts w:ascii="Arial" w:hAnsi="Arial" w:cs="Arial"/>
          <w:bCs/>
          <w:sz w:val="20"/>
          <w:szCs w:val="20"/>
          <w:lang w:val="en-IN" w:eastAsia="en-IN"/>
        </w:rPr>
        <w:t>behavior</w:t>
      </w:r>
      <w:proofErr w:type="spellEnd"/>
      <w:r w:rsidRPr="00507E57">
        <w:rPr>
          <w:rFonts w:ascii="Arial" w:hAnsi="Arial" w:cs="Arial"/>
          <w:bCs/>
          <w:sz w:val="20"/>
          <w:szCs w:val="20"/>
          <w:lang w:val="en-IN" w:eastAsia="en-IN"/>
        </w:rPr>
        <w:t xml:space="preserve"> of herbicides in soil: adsorption, persistence, and degradation. Environmental Chemistry Letters, 14, 327–338.</w:t>
      </w:r>
    </w:p>
    <w:p w14:paraId="135B8F17"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de-DE" w:eastAsia="en-IN"/>
        </w:rPr>
        <w:t xml:space="preserve">Baskaran, S., &amp; Kennedy, I.R. (1999). </w:t>
      </w:r>
      <w:r w:rsidRPr="00507E57">
        <w:rPr>
          <w:rFonts w:ascii="Arial" w:hAnsi="Arial" w:cs="Arial"/>
          <w:bCs/>
          <w:sz w:val="20"/>
          <w:szCs w:val="20"/>
          <w:lang w:val="en-IN" w:eastAsia="en-IN"/>
        </w:rPr>
        <w:t xml:space="preserve">Sorption and desorption kinetics of diuron, fluometuron, </w:t>
      </w:r>
      <w:proofErr w:type="spellStart"/>
      <w:r w:rsidRPr="00507E57">
        <w:rPr>
          <w:rFonts w:ascii="Arial" w:hAnsi="Arial" w:cs="Arial"/>
          <w:bCs/>
          <w:sz w:val="20"/>
          <w:szCs w:val="20"/>
          <w:lang w:val="en-IN" w:eastAsia="en-IN"/>
        </w:rPr>
        <w:t>prometryn</w:t>
      </w:r>
      <w:proofErr w:type="spellEnd"/>
      <w:r w:rsidRPr="00507E57">
        <w:rPr>
          <w:rFonts w:ascii="Arial" w:hAnsi="Arial" w:cs="Arial"/>
          <w:bCs/>
          <w:sz w:val="20"/>
          <w:szCs w:val="20"/>
          <w:lang w:val="en-IN" w:eastAsia="en-IN"/>
        </w:rPr>
        <w:t xml:space="preserve"> and </w:t>
      </w:r>
      <w:proofErr w:type="spellStart"/>
      <w:r w:rsidRPr="00507E57">
        <w:rPr>
          <w:rFonts w:ascii="Arial" w:hAnsi="Arial" w:cs="Arial"/>
          <w:bCs/>
          <w:sz w:val="20"/>
          <w:szCs w:val="20"/>
          <w:lang w:val="en-IN" w:eastAsia="en-IN"/>
        </w:rPr>
        <w:t>pyrithiobac</w:t>
      </w:r>
      <w:proofErr w:type="spellEnd"/>
      <w:r w:rsidRPr="00507E57">
        <w:rPr>
          <w:rFonts w:ascii="Arial" w:hAnsi="Arial" w:cs="Arial"/>
          <w:bCs/>
          <w:sz w:val="20"/>
          <w:szCs w:val="20"/>
          <w:lang w:val="en-IN" w:eastAsia="en-IN"/>
        </w:rPr>
        <w:t>-sodium in soils. Journal of Environmental Science and Health, Part B, 34(6), 943–963.</w:t>
      </w:r>
    </w:p>
    <w:p w14:paraId="3A8D1144"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lastRenderedPageBreak/>
        <w:t>Matocha, C.J., Senseman, S.A., &amp; Bovey, R.W. (1999). Mobility of the herbicide pyrithiobac through intact soil columns. Journal of Agricultural and Food Chemistry, 47(11), 4699–4703.</w:t>
      </w:r>
    </w:p>
    <w:p w14:paraId="50DC221D"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 xml:space="preserve">Guerra, N., Velini, E.D., Carbonari, C.A., &amp; Trindade, M.L.B. (2013). Leaching of </w:t>
      </w:r>
      <w:proofErr w:type="spellStart"/>
      <w:r w:rsidRPr="00507E57">
        <w:rPr>
          <w:rFonts w:ascii="Arial" w:hAnsi="Arial" w:cs="Arial"/>
          <w:bCs/>
          <w:sz w:val="20"/>
          <w:szCs w:val="20"/>
          <w:lang w:val="en-IN" w:eastAsia="en-IN"/>
        </w:rPr>
        <w:t>trifloxysulfuron</w:t>
      </w:r>
      <w:proofErr w:type="spellEnd"/>
      <w:r w:rsidRPr="00507E57">
        <w:rPr>
          <w:rFonts w:ascii="Arial" w:hAnsi="Arial" w:cs="Arial"/>
          <w:bCs/>
          <w:sz w:val="20"/>
          <w:szCs w:val="20"/>
          <w:lang w:val="en-IN" w:eastAsia="en-IN"/>
        </w:rPr>
        <w:t xml:space="preserve">-sodium and </w:t>
      </w:r>
      <w:proofErr w:type="spellStart"/>
      <w:r w:rsidRPr="00507E57">
        <w:rPr>
          <w:rFonts w:ascii="Arial" w:hAnsi="Arial" w:cs="Arial"/>
          <w:bCs/>
          <w:sz w:val="20"/>
          <w:szCs w:val="20"/>
          <w:lang w:val="en-IN" w:eastAsia="en-IN"/>
        </w:rPr>
        <w:t>pyrithiobac</w:t>
      </w:r>
      <w:proofErr w:type="spellEnd"/>
      <w:r w:rsidRPr="00507E57">
        <w:rPr>
          <w:rFonts w:ascii="Arial" w:hAnsi="Arial" w:cs="Arial"/>
          <w:bCs/>
          <w:sz w:val="20"/>
          <w:szCs w:val="20"/>
          <w:lang w:val="en-IN" w:eastAsia="en-IN"/>
        </w:rPr>
        <w:t xml:space="preserve">-sodium in soil columns as a function of liming. Acta </w:t>
      </w:r>
      <w:proofErr w:type="spellStart"/>
      <w:r w:rsidRPr="00507E57">
        <w:rPr>
          <w:rFonts w:ascii="Arial" w:hAnsi="Arial" w:cs="Arial"/>
          <w:bCs/>
          <w:sz w:val="20"/>
          <w:szCs w:val="20"/>
          <w:lang w:val="en-IN" w:eastAsia="en-IN"/>
        </w:rPr>
        <w:t>Scientiarum</w:t>
      </w:r>
      <w:proofErr w:type="spellEnd"/>
      <w:r w:rsidRPr="00507E57">
        <w:rPr>
          <w:rFonts w:ascii="Arial" w:hAnsi="Arial" w:cs="Arial"/>
          <w:bCs/>
          <w:sz w:val="20"/>
          <w:szCs w:val="20"/>
          <w:lang w:val="en-IN" w:eastAsia="en-IN"/>
        </w:rPr>
        <w:t xml:space="preserve"> Agronomy, 35(2), 197–204.</w:t>
      </w:r>
    </w:p>
    <w:p w14:paraId="28158628"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Sharma, A.K., Kaushik, G., &amp; Singh, R. (2016). Metabolism and dissipation of pyrithiobac sodium in soil and sediment under laboratory conditions. Journal of Agricultural and Food Chemistry, 64(12), 2431–2438.</w:t>
      </w:r>
    </w:p>
    <w:p w14:paraId="5CC87B48"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U.S. EPA (2017). Pyrithiobac-sodium: Tier I Drinking Water Assessment. Environmental Fate and Effects Division, Office of Pesticide Programs, Washington, DC.</w:t>
      </w:r>
    </w:p>
    <w:p w14:paraId="122E4F54"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APVMA (1996). Public Release Summary on the Evaluation of the New Active Pyrithiobac-sodium in the Product Staple Herbicide. Australian Pesticides and Veterinary Medicines Authority, Canberra, Australia</w:t>
      </w:r>
    </w:p>
    <w:p w14:paraId="15A5F8A6"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rPr>
        <w:t xml:space="preserve">Adare, Z. M., Srinivas, A., Rao, V. P., Ramprakash T., &amp; </w:t>
      </w:r>
      <w:proofErr w:type="spellStart"/>
      <w:r w:rsidRPr="00507E57">
        <w:rPr>
          <w:rFonts w:ascii="Arial" w:hAnsi="Arial" w:cs="Arial"/>
          <w:bCs/>
          <w:sz w:val="20"/>
          <w:szCs w:val="20"/>
        </w:rPr>
        <w:t>Thatikunta</w:t>
      </w:r>
      <w:proofErr w:type="spellEnd"/>
      <w:r w:rsidRPr="00507E57">
        <w:rPr>
          <w:rFonts w:ascii="Arial" w:hAnsi="Arial" w:cs="Arial"/>
          <w:bCs/>
          <w:sz w:val="20"/>
          <w:szCs w:val="20"/>
        </w:rPr>
        <w:t>, T. R. (2016). Association of weather variables with yield and yield components of cotton (</w:t>
      </w:r>
      <w:r w:rsidRPr="00507E57">
        <w:rPr>
          <w:rFonts w:ascii="Arial" w:hAnsi="Arial" w:cs="Arial"/>
          <w:bCs/>
          <w:i/>
          <w:iCs/>
          <w:sz w:val="20"/>
          <w:szCs w:val="20"/>
        </w:rPr>
        <w:t>Gossypium hirsutum</w:t>
      </w:r>
      <w:r w:rsidRPr="00507E57">
        <w:rPr>
          <w:rFonts w:ascii="Arial" w:hAnsi="Arial" w:cs="Arial"/>
          <w:bCs/>
          <w:sz w:val="20"/>
          <w:szCs w:val="20"/>
        </w:rPr>
        <w:t xml:space="preserve"> L.) at reproductive </w:t>
      </w:r>
      <w:proofErr w:type="spellStart"/>
      <w:r w:rsidRPr="00507E57">
        <w:rPr>
          <w:rFonts w:ascii="Arial" w:hAnsi="Arial" w:cs="Arial"/>
          <w:bCs/>
          <w:sz w:val="20"/>
          <w:szCs w:val="20"/>
        </w:rPr>
        <w:t>phenophase</w:t>
      </w:r>
      <w:proofErr w:type="spellEnd"/>
      <w:r w:rsidRPr="00507E57">
        <w:rPr>
          <w:rFonts w:ascii="Arial" w:hAnsi="Arial" w:cs="Arial"/>
          <w:bCs/>
          <w:sz w:val="20"/>
          <w:szCs w:val="20"/>
        </w:rPr>
        <w:t xml:space="preserve">. African Journal of Agricultural Research, 11(29), 2555–2561. </w:t>
      </w:r>
      <w:hyperlink r:id="rId22" w:history="1">
        <w:r w:rsidRPr="00507E57">
          <w:rPr>
            <w:rStyle w:val="Hyperlink"/>
            <w:rFonts w:ascii="Arial" w:hAnsi="Arial" w:cs="Arial"/>
            <w:bCs/>
            <w:sz w:val="20"/>
            <w:szCs w:val="20"/>
          </w:rPr>
          <w:t>https://doi.org/10.5897/ajar2016.11090</w:t>
        </w:r>
      </w:hyperlink>
    </w:p>
    <w:p w14:paraId="1B40B573" w14:textId="77777777" w:rsidR="00507E57" w:rsidRPr="00507E57" w:rsidRDefault="00507E57" w:rsidP="00507E57">
      <w:pPr>
        <w:pStyle w:val="ListParagraph"/>
        <w:numPr>
          <w:ilvl w:val="0"/>
          <w:numId w:val="31"/>
        </w:numPr>
        <w:spacing w:before="100" w:beforeAutospacing="1" w:after="100" w:afterAutospacing="1" w:line="240" w:lineRule="auto"/>
        <w:jc w:val="both"/>
        <w:rPr>
          <w:rFonts w:ascii="Arial" w:hAnsi="Arial" w:cs="Arial"/>
          <w:bCs/>
          <w:sz w:val="20"/>
          <w:szCs w:val="20"/>
          <w:shd w:val="clear" w:color="auto" w:fill="FFFFFF"/>
        </w:rPr>
      </w:pPr>
      <w:r w:rsidRPr="00507E57">
        <w:rPr>
          <w:rFonts w:ascii="Arial" w:hAnsi="Arial" w:cs="Arial"/>
          <w:bCs/>
          <w:sz w:val="20"/>
          <w:szCs w:val="20"/>
          <w:shd w:val="clear" w:color="auto" w:fill="FFFFFF"/>
        </w:rPr>
        <w:t>Walkley, A.J. and Black, I.A. (1934) Estimation of soil organic carbon by the chromic acid titration method. Soil Sci. 37, 29-38.</w:t>
      </w:r>
    </w:p>
    <w:p w14:paraId="1C7DB8A6" w14:textId="77777777" w:rsidR="00507E57" w:rsidRPr="00507E57" w:rsidRDefault="00507E57" w:rsidP="00507E57">
      <w:pPr>
        <w:pStyle w:val="NormalWeb"/>
        <w:numPr>
          <w:ilvl w:val="0"/>
          <w:numId w:val="31"/>
        </w:numPr>
        <w:spacing w:before="0" w:beforeAutospacing="0" w:after="0" w:afterAutospacing="0"/>
        <w:jc w:val="both"/>
        <w:rPr>
          <w:rStyle w:val="Strong"/>
          <w:rFonts w:ascii="Arial" w:eastAsiaTheme="majorEastAsia" w:hAnsi="Arial" w:cs="Arial"/>
          <w:b w:val="0"/>
          <w:sz w:val="20"/>
          <w:szCs w:val="20"/>
        </w:rPr>
      </w:pPr>
      <w:r w:rsidRPr="00507E57">
        <w:rPr>
          <w:rStyle w:val="Strong"/>
          <w:rFonts w:ascii="Arial" w:eastAsiaTheme="majorEastAsia" w:hAnsi="Arial" w:cs="Arial"/>
          <w:b w:val="0"/>
          <w:sz w:val="20"/>
          <w:szCs w:val="20"/>
        </w:rPr>
        <w:t xml:space="preserve">Sumpter SR and Peterson BA (1994). Analytical method for </w:t>
      </w:r>
      <w:proofErr w:type="spellStart"/>
      <w:r w:rsidRPr="00507E57">
        <w:rPr>
          <w:rStyle w:val="Strong"/>
          <w:rFonts w:ascii="Arial" w:eastAsiaTheme="majorEastAsia" w:hAnsi="Arial" w:cs="Arial"/>
          <w:b w:val="0"/>
          <w:sz w:val="20"/>
          <w:szCs w:val="20"/>
        </w:rPr>
        <w:t>Purithiobac</w:t>
      </w:r>
      <w:proofErr w:type="spellEnd"/>
      <w:r w:rsidRPr="00507E57">
        <w:rPr>
          <w:rStyle w:val="Strong"/>
          <w:rFonts w:ascii="Arial" w:eastAsiaTheme="majorEastAsia" w:hAnsi="Arial" w:cs="Arial"/>
          <w:b w:val="0"/>
          <w:sz w:val="20"/>
          <w:szCs w:val="20"/>
        </w:rPr>
        <w:t xml:space="preserve"> sodium using HPLC-UV. Dupont limited. AMR 2743-94</w:t>
      </w:r>
    </w:p>
    <w:p w14:paraId="1E2170CE" w14:textId="77777777" w:rsidR="00507E57" w:rsidRPr="00507E57" w:rsidRDefault="00507E57" w:rsidP="00507E57">
      <w:pPr>
        <w:pStyle w:val="NormalWeb"/>
        <w:numPr>
          <w:ilvl w:val="0"/>
          <w:numId w:val="31"/>
        </w:numPr>
        <w:spacing w:before="0" w:beforeAutospacing="0" w:after="0" w:afterAutospacing="0"/>
        <w:jc w:val="both"/>
        <w:rPr>
          <w:rFonts w:ascii="Arial" w:eastAsiaTheme="majorEastAsia" w:hAnsi="Arial" w:cs="Arial"/>
          <w:bCs/>
          <w:sz w:val="20"/>
          <w:szCs w:val="20"/>
        </w:rPr>
      </w:pPr>
      <w:r w:rsidRPr="00507E57">
        <w:rPr>
          <w:rFonts w:ascii="Arial" w:hAnsi="Arial" w:cs="Arial"/>
          <w:bCs/>
          <w:sz w:val="20"/>
          <w:szCs w:val="20"/>
        </w:rPr>
        <w:t>Ramprakash, T., et al., 2015. Bispyribac sodium persistence in soil, plant and grain in direct seeded rice and its effect on soil properties. </w:t>
      </w:r>
      <w:r w:rsidRPr="00507E57">
        <w:rPr>
          <w:rStyle w:val="citationsource-journal"/>
          <w:rFonts w:ascii="Arial" w:hAnsi="Arial" w:cs="Arial"/>
          <w:bCs/>
          <w:sz w:val="20"/>
          <w:szCs w:val="20"/>
        </w:rPr>
        <w:t>Nature Environment and Pollution Technology</w:t>
      </w:r>
      <w:r w:rsidRPr="00507E57">
        <w:rPr>
          <w:rFonts w:ascii="Arial" w:hAnsi="Arial" w:cs="Arial"/>
          <w:bCs/>
          <w:sz w:val="20"/>
          <w:szCs w:val="20"/>
        </w:rPr>
        <w:t>, 14 (3), 605–609.</w:t>
      </w:r>
    </w:p>
    <w:p w14:paraId="594A8B94" w14:textId="6A179AAE" w:rsidR="00507E57" w:rsidRPr="00507E57" w:rsidRDefault="00507E57" w:rsidP="00507E57">
      <w:pPr>
        <w:pStyle w:val="NormalWeb"/>
        <w:numPr>
          <w:ilvl w:val="0"/>
          <w:numId w:val="31"/>
        </w:numPr>
        <w:spacing w:before="0" w:beforeAutospacing="0" w:after="0" w:afterAutospacing="0"/>
        <w:jc w:val="both"/>
        <w:rPr>
          <w:rStyle w:val="Strong"/>
          <w:rFonts w:ascii="Arial" w:eastAsiaTheme="majorEastAsia" w:hAnsi="Arial" w:cs="Arial"/>
          <w:b w:val="0"/>
          <w:sz w:val="20"/>
          <w:szCs w:val="20"/>
        </w:rPr>
      </w:pPr>
      <w:r w:rsidRPr="00507E57">
        <w:rPr>
          <w:rStyle w:val="nlmstring-name"/>
          <w:rFonts w:ascii="Arial" w:hAnsi="Arial" w:cs="Arial"/>
          <w:bCs/>
          <w:sz w:val="20"/>
          <w:szCs w:val="20"/>
          <w:shd w:val="clear" w:color="auto" w:fill="FFFFFF"/>
        </w:rPr>
        <w:t>Saritha, J. D.</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Ramprakash, T.</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Rao, P. C.</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Madhavi, M.</w:t>
      </w:r>
      <w:r w:rsidRPr="00507E57">
        <w:rPr>
          <w:rFonts w:ascii="Arial" w:hAnsi="Arial" w:cs="Arial"/>
          <w:bCs/>
          <w:sz w:val="20"/>
          <w:szCs w:val="20"/>
          <w:shd w:val="clear" w:color="auto" w:fill="FFFFFF"/>
        </w:rPr>
        <w:t> </w:t>
      </w:r>
      <w:r w:rsidRPr="00507E57">
        <w:rPr>
          <w:rStyle w:val="nlmarticle-title"/>
          <w:rFonts w:ascii="Arial" w:hAnsi="Arial" w:cs="Arial"/>
          <w:bCs/>
          <w:sz w:val="20"/>
          <w:szCs w:val="20"/>
          <w:shd w:val="clear" w:color="auto" w:fill="FFFFFF"/>
        </w:rPr>
        <w:t>Persistence of Metribuzin in Tomato Growing Soils and Tomato Fruits</w:t>
      </w:r>
      <w:r w:rsidRPr="00507E57">
        <w:rPr>
          <w:rFonts w:ascii="Arial" w:hAnsi="Arial" w:cs="Arial"/>
          <w:bCs/>
          <w:sz w:val="20"/>
          <w:szCs w:val="20"/>
          <w:shd w:val="clear" w:color="auto" w:fill="FFFFFF"/>
        </w:rPr>
        <w:t xml:space="preserve">. Nat. Environ. </w:t>
      </w:r>
      <w:proofErr w:type="spellStart"/>
      <w:r w:rsidRPr="00507E57">
        <w:rPr>
          <w:rFonts w:ascii="Arial" w:hAnsi="Arial" w:cs="Arial"/>
          <w:bCs/>
          <w:sz w:val="20"/>
          <w:szCs w:val="20"/>
          <w:shd w:val="clear" w:color="auto" w:fill="FFFFFF"/>
        </w:rPr>
        <w:t>Pollut</w:t>
      </w:r>
      <w:proofErr w:type="spellEnd"/>
      <w:r w:rsidRPr="00507E57">
        <w:rPr>
          <w:rFonts w:ascii="Arial" w:hAnsi="Arial" w:cs="Arial"/>
          <w:bCs/>
          <w:sz w:val="20"/>
          <w:szCs w:val="20"/>
          <w:shd w:val="clear" w:color="auto" w:fill="FFFFFF"/>
        </w:rPr>
        <w:t>. Technol. </w:t>
      </w:r>
      <w:r w:rsidRPr="00507E57">
        <w:rPr>
          <w:rStyle w:val="nlmyear"/>
          <w:rFonts w:ascii="Arial" w:hAnsi="Arial" w:cs="Arial"/>
          <w:bCs/>
          <w:sz w:val="20"/>
          <w:szCs w:val="20"/>
          <w:shd w:val="clear" w:color="auto" w:fill="FFFFFF"/>
        </w:rPr>
        <w:t>2017</w:t>
      </w:r>
      <w:r w:rsidRPr="00507E57">
        <w:rPr>
          <w:rFonts w:ascii="Arial" w:hAnsi="Arial" w:cs="Arial"/>
          <w:bCs/>
          <w:sz w:val="20"/>
          <w:szCs w:val="20"/>
          <w:shd w:val="clear" w:color="auto" w:fill="FFFFFF"/>
        </w:rPr>
        <w:t>, </w:t>
      </w:r>
      <w:r w:rsidRPr="00507E57">
        <w:rPr>
          <w:rStyle w:val="nlmvolume"/>
          <w:rFonts w:ascii="Arial" w:hAnsi="Arial" w:cs="Arial"/>
          <w:bCs/>
          <w:sz w:val="20"/>
          <w:szCs w:val="20"/>
          <w:shd w:val="clear" w:color="auto" w:fill="FFFFFF"/>
        </w:rPr>
        <w:t>16</w:t>
      </w:r>
      <w:r w:rsidRPr="00507E57">
        <w:rPr>
          <w:rFonts w:ascii="Arial" w:hAnsi="Arial" w:cs="Arial"/>
          <w:bCs/>
          <w:sz w:val="20"/>
          <w:szCs w:val="20"/>
          <w:shd w:val="clear" w:color="auto" w:fill="FFFFFF"/>
        </w:rPr>
        <w:t>, </w:t>
      </w:r>
      <w:r w:rsidRPr="00507E57">
        <w:rPr>
          <w:rStyle w:val="nlmfpage"/>
          <w:rFonts w:ascii="Arial" w:hAnsi="Arial" w:cs="Arial"/>
          <w:bCs/>
          <w:sz w:val="20"/>
          <w:szCs w:val="20"/>
          <w:shd w:val="clear" w:color="auto" w:fill="FFFFFF"/>
        </w:rPr>
        <w:t>505</w:t>
      </w:r>
      <w:r w:rsidRPr="00507E57">
        <w:rPr>
          <w:rFonts w:ascii="Arial" w:hAnsi="Arial" w:cs="Arial"/>
          <w:bCs/>
          <w:sz w:val="20"/>
          <w:szCs w:val="20"/>
          <w:shd w:val="clear" w:color="auto" w:fill="FFFFFF"/>
        </w:rPr>
        <w:t>– </w:t>
      </w:r>
      <w:r w:rsidRPr="00507E57">
        <w:rPr>
          <w:rStyle w:val="nlmlpage"/>
          <w:rFonts w:ascii="Arial" w:hAnsi="Arial" w:cs="Arial"/>
          <w:bCs/>
          <w:sz w:val="20"/>
          <w:szCs w:val="20"/>
          <w:shd w:val="clear" w:color="auto" w:fill="FFFFFF"/>
        </w:rPr>
        <w:t>50.</w:t>
      </w:r>
    </w:p>
    <w:sectPr w:rsidR="00507E57" w:rsidRPr="00507E57" w:rsidSect="00D8415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xtus E. Alexander" w:date="2025-10-13T11:42:00Z" w:initials="SEA">
    <w:p w14:paraId="2BC188D8" w14:textId="77777777" w:rsidR="006E3A1D" w:rsidRDefault="006E3A1D" w:rsidP="006E3A1D">
      <w:pPr>
        <w:pStyle w:val="CommentText"/>
      </w:pPr>
      <w:r>
        <w:rPr>
          <w:rStyle w:val="CommentReference"/>
        </w:rPr>
        <w:annotationRef/>
      </w:r>
      <w:r>
        <w:rPr>
          <w:lang w:val="en-US"/>
        </w:rPr>
        <w:t>Cite</w:t>
      </w:r>
    </w:p>
  </w:comment>
  <w:comment w:id="2" w:author="Sixtus E. Alexander" w:date="2025-10-13T11:43:00Z" w:initials="SEA">
    <w:p w14:paraId="6DE4A888" w14:textId="77777777" w:rsidR="006E3A1D" w:rsidRDefault="006E3A1D" w:rsidP="006E3A1D">
      <w:pPr>
        <w:pStyle w:val="CommentText"/>
      </w:pPr>
      <w:r>
        <w:rPr>
          <w:rStyle w:val="CommentReference"/>
        </w:rPr>
        <w:annotationRef/>
      </w:r>
      <w:r>
        <w:rPr>
          <w:lang w:val="en-US"/>
        </w:rPr>
        <w:t>Baskaran and Kennedy [2]</w:t>
      </w:r>
    </w:p>
  </w:comment>
  <w:comment w:id="3" w:author="Sixtus E. Alexander" w:date="2025-10-13T11:44:00Z" w:initials="SEA">
    <w:p w14:paraId="64092D3F" w14:textId="77777777" w:rsidR="006E3A1D" w:rsidRDefault="006E3A1D" w:rsidP="006E3A1D">
      <w:pPr>
        <w:pStyle w:val="CommentText"/>
      </w:pPr>
      <w:r>
        <w:rPr>
          <w:rStyle w:val="CommentReference"/>
        </w:rPr>
        <w:annotationRef/>
      </w:r>
      <w:r>
        <w:rPr>
          <w:lang w:val="en-US"/>
        </w:rPr>
        <w:t xml:space="preserve">Motocha </w:t>
      </w:r>
      <w:r>
        <w:rPr>
          <w:i/>
          <w:iCs/>
          <w:lang w:val="en-US"/>
        </w:rPr>
        <w:t xml:space="preserve">et al. </w:t>
      </w:r>
      <w:r>
        <w:rPr>
          <w:lang w:val="en-US"/>
        </w:rPr>
        <w:t>[3]</w:t>
      </w:r>
    </w:p>
  </w:comment>
  <w:comment w:id="4" w:author="Sixtus E. Alexander" w:date="2025-10-13T11:46:00Z" w:initials="SEA">
    <w:p w14:paraId="158A0A44" w14:textId="77777777" w:rsidR="006E3A1D" w:rsidRDefault="006E3A1D" w:rsidP="006E3A1D">
      <w:pPr>
        <w:pStyle w:val="CommentText"/>
      </w:pPr>
      <w:r>
        <w:rPr>
          <w:rStyle w:val="CommentReference"/>
        </w:rPr>
        <w:annotationRef/>
      </w:r>
      <w:r>
        <w:rPr>
          <w:lang w:val="en-US"/>
        </w:rPr>
        <w:t>Cite as shown in [2] and [3]. Do this for [4] and [5]. also</w:t>
      </w:r>
    </w:p>
  </w:comment>
  <w:comment w:id="5" w:author="Sixtus E. Alexander" w:date="2025-10-13T11:48:00Z" w:initials="SEA">
    <w:p w14:paraId="0CE4C22A" w14:textId="77777777" w:rsidR="006E3A1D" w:rsidRDefault="006E3A1D" w:rsidP="006E3A1D">
      <w:pPr>
        <w:pStyle w:val="CommentText"/>
      </w:pPr>
      <w:r>
        <w:rPr>
          <w:rStyle w:val="CommentReference"/>
        </w:rPr>
        <w:annotationRef/>
      </w:r>
      <w:r>
        <w:rPr>
          <w:lang w:val="en-US"/>
        </w:rPr>
        <w:t>Determined by the method of Walkey and Black [9].</w:t>
      </w:r>
    </w:p>
  </w:comment>
  <w:comment w:id="6" w:author="Sixtus E. Alexander" w:date="2025-10-13T11:49:00Z" w:initials="SEA">
    <w:p w14:paraId="1B6768A9" w14:textId="77777777" w:rsidR="006E3A1D" w:rsidRDefault="006E3A1D" w:rsidP="006E3A1D">
      <w:pPr>
        <w:pStyle w:val="CommentText"/>
      </w:pPr>
      <w:r>
        <w:rPr>
          <w:rStyle w:val="CommentReference"/>
        </w:rPr>
        <w:annotationRef/>
      </w:r>
      <w:r>
        <w:t>Walkey and Black [9].</w:t>
      </w:r>
    </w:p>
  </w:comment>
  <w:comment w:id="7" w:author="Sixtus E. Alexander" w:date="2025-10-13T11:50:00Z" w:initials="SEA">
    <w:p w14:paraId="56C2025C" w14:textId="77777777" w:rsidR="006E3A1D" w:rsidRDefault="006E3A1D" w:rsidP="006E3A1D">
      <w:pPr>
        <w:pStyle w:val="CommentText"/>
      </w:pPr>
      <w:r>
        <w:rPr>
          <w:rStyle w:val="CommentReference"/>
        </w:rPr>
        <w:annotationRef/>
      </w:r>
      <w:r>
        <w:rPr>
          <w:lang w:val="en-US"/>
        </w:rPr>
        <w:t>Cite the paper</w:t>
      </w:r>
    </w:p>
  </w:comment>
  <w:comment w:id="8" w:author="Sixtus E. Alexander" w:date="2025-10-13T11:52:00Z" w:initials="SEA">
    <w:p w14:paraId="0D0EAF05" w14:textId="77777777" w:rsidR="00FE7D02" w:rsidRDefault="00FE7D02" w:rsidP="00FE7D02">
      <w:pPr>
        <w:pStyle w:val="CommentText"/>
      </w:pPr>
      <w:r>
        <w:rPr>
          <w:rStyle w:val="CommentReference"/>
        </w:rPr>
        <w:annotationRef/>
      </w:r>
      <w:r>
        <w:rPr>
          <w:lang w:val="en-US"/>
        </w:rPr>
        <w:t>Sumpter and Peterson [10]</w:t>
      </w:r>
    </w:p>
  </w:comment>
  <w:comment w:id="9" w:author="Sixtus E. Alexander" w:date="2025-10-13T11:53:00Z" w:initials="SEA">
    <w:p w14:paraId="735A08D6" w14:textId="77777777" w:rsidR="00FE7D02" w:rsidRDefault="00FE7D02" w:rsidP="00FE7D02">
      <w:pPr>
        <w:pStyle w:val="CommentText"/>
      </w:pPr>
      <w:r>
        <w:rPr>
          <w:rStyle w:val="CommentReference"/>
        </w:rPr>
        <w:annotationRef/>
      </w:r>
      <w:r>
        <w:t>Number equation for easy reference.</w:t>
      </w:r>
    </w:p>
  </w:comment>
  <w:comment w:id="10" w:author="Sixtus E. Alexander" w:date="2025-10-13T11:53:00Z" w:initials="SEA">
    <w:p w14:paraId="58F62354" w14:textId="6EA0CDFC" w:rsidR="00FE7D02" w:rsidRDefault="00FE7D02" w:rsidP="00FE7D02">
      <w:pPr>
        <w:pStyle w:val="CommentText"/>
      </w:pPr>
      <w:r>
        <w:rPr>
          <w:rStyle w:val="CommentReference"/>
        </w:rPr>
        <w:annotationRef/>
      </w:r>
      <w:r>
        <w:rPr>
          <w:lang w:val="en-US"/>
        </w:rPr>
        <w:t>Number equation for easy reference</w:t>
      </w:r>
    </w:p>
  </w:comment>
  <w:comment w:id="11" w:author="Sixtus E. Alexander" w:date="2025-10-13T11:59:00Z" w:initials="SEA">
    <w:p w14:paraId="4C5BA475" w14:textId="77777777" w:rsidR="00FE7D02" w:rsidRDefault="00FE7D02" w:rsidP="00FE7D02">
      <w:pPr>
        <w:pStyle w:val="CommentText"/>
      </w:pPr>
      <w:r>
        <w:rPr>
          <w:rStyle w:val="CommentReference"/>
        </w:rPr>
        <w:annotationRef/>
      </w:r>
      <w:r>
        <w:rPr>
          <w:lang w:val="en-US"/>
        </w:rPr>
        <w:t>Telangana is a great region. It will be best to specify the region where the particular soil was gotten from for better reference and identification of research gaps.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C188D8" w15:done="0"/>
  <w15:commentEx w15:paraId="6DE4A888" w15:done="0"/>
  <w15:commentEx w15:paraId="64092D3F" w15:done="0"/>
  <w15:commentEx w15:paraId="158A0A44" w15:done="0"/>
  <w15:commentEx w15:paraId="0CE4C22A" w15:done="0"/>
  <w15:commentEx w15:paraId="1B6768A9" w15:done="0"/>
  <w15:commentEx w15:paraId="56C2025C" w15:done="0"/>
  <w15:commentEx w15:paraId="0D0EAF05" w15:done="0"/>
  <w15:commentEx w15:paraId="735A08D6" w15:done="0"/>
  <w15:commentEx w15:paraId="58F62354" w15:done="0"/>
  <w15:commentEx w15:paraId="4C5BA4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72EDB" w16cex:dateUtc="2025-10-13T10:42:00Z"/>
  <w16cex:commentExtensible w16cex:durableId="41E5C292" w16cex:dateUtc="2025-10-13T10:43:00Z"/>
  <w16cex:commentExtensible w16cex:durableId="6BF79DD2" w16cex:dateUtc="2025-10-13T10:44:00Z"/>
  <w16cex:commentExtensible w16cex:durableId="303292AE" w16cex:dateUtc="2025-10-13T10:46:00Z"/>
  <w16cex:commentExtensible w16cex:durableId="2E6D6995" w16cex:dateUtc="2025-10-13T10:48:00Z"/>
  <w16cex:commentExtensible w16cex:durableId="3EA0618D" w16cex:dateUtc="2025-10-13T10:49:00Z"/>
  <w16cex:commentExtensible w16cex:durableId="456D0D1C" w16cex:dateUtc="2025-10-13T10:50:00Z"/>
  <w16cex:commentExtensible w16cex:durableId="34B0EC07" w16cex:dateUtc="2025-10-13T10:52:00Z"/>
  <w16cex:commentExtensible w16cex:durableId="0E3A52A4" w16cex:dateUtc="2025-10-13T10:53:00Z"/>
  <w16cex:commentExtensible w16cex:durableId="7A50FBF1" w16cex:dateUtc="2025-10-13T10:53:00Z"/>
  <w16cex:commentExtensible w16cex:durableId="3B3822F6" w16cex:dateUtc="2025-10-1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188D8" w16cid:durableId="62472EDB"/>
  <w16cid:commentId w16cid:paraId="6DE4A888" w16cid:durableId="41E5C292"/>
  <w16cid:commentId w16cid:paraId="64092D3F" w16cid:durableId="6BF79DD2"/>
  <w16cid:commentId w16cid:paraId="158A0A44" w16cid:durableId="303292AE"/>
  <w16cid:commentId w16cid:paraId="0CE4C22A" w16cid:durableId="2E6D6995"/>
  <w16cid:commentId w16cid:paraId="1B6768A9" w16cid:durableId="3EA0618D"/>
  <w16cid:commentId w16cid:paraId="56C2025C" w16cid:durableId="456D0D1C"/>
  <w16cid:commentId w16cid:paraId="0D0EAF05" w16cid:durableId="34B0EC07"/>
  <w16cid:commentId w16cid:paraId="735A08D6" w16cid:durableId="0E3A52A4"/>
  <w16cid:commentId w16cid:paraId="58F62354" w16cid:durableId="7A50FBF1"/>
  <w16cid:commentId w16cid:paraId="4C5BA475" w16cid:durableId="3B3822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1742" w14:textId="77777777" w:rsidR="00970228" w:rsidRDefault="00970228" w:rsidP="00C37E61">
      <w:r>
        <w:separator/>
      </w:r>
    </w:p>
  </w:endnote>
  <w:endnote w:type="continuationSeparator" w:id="0">
    <w:p w14:paraId="195D416D" w14:textId="77777777" w:rsidR="00970228" w:rsidRDefault="009702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6DA2" w14:textId="77777777" w:rsidR="00D63D82" w:rsidRDefault="00D6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9761" w14:textId="77777777" w:rsidR="00D63D82" w:rsidRDefault="00D63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9753" w14:textId="00B0FC91" w:rsidR="00754C9A" w:rsidRPr="005B720C" w:rsidRDefault="00754C9A" w:rsidP="005B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90DE" w14:textId="77777777" w:rsidR="00970228" w:rsidRDefault="00970228" w:rsidP="00C37E61">
      <w:r>
        <w:separator/>
      </w:r>
    </w:p>
  </w:footnote>
  <w:footnote w:type="continuationSeparator" w:id="0">
    <w:p w14:paraId="72C2BC56" w14:textId="77777777" w:rsidR="00970228" w:rsidRDefault="009702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AEED" w14:textId="06A1E155" w:rsidR="00D63D82" w:rsidRDefault="00FE7D02">
    <w:pPr>
      <w:pStyle w:val="Header"/>
    </w:pPr>
    <w:r>
      <w:rPr>
        <w:noProof/>
      </w:rPr>
      <w:pict w14:anchorId="390B6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208B" w14:textId="0399F942" w:rsidR="00D63D82" w:rsidRDefault="00FE7D02">
    <w:pPr>
      <w:pStyle w:val="Header"/>
    </w:pPr>
    <w:r>
      <w:rPr>
        <w:noProof/>
      </w:rPr>
      <w:pict w14:anchorId="37604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9AE2" w14:textId="55937B7F" w:rsidR="00296529" w:rsidRPr="00296529" w:rsidRDefault="00FE7D02" w:rsidP="00296529">
    <w:pPr>
      <w:ind w:left="2160"/>
      <w:jc w:val="center"/>
      <w:rPr>
        <w:rFonts w:ascii="Times New Roman" w:eastAsia="Calibri" w:hAnsi="Times New Roman"/>
        <w:i/>
        <w:sz w:val="18"/>
        <w:szCs w:val="22"/>
      </w:rPr>
    </w:pPr>
    <w:r>
      <w:rPr>
        <w:noProof/>
      </w:rPr>
      <w:pict w14:anchorId="501B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1AA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4F9B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15EA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FA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838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7B1C8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CE142A"/>
    <w:multiLevelType w:val="hybridMultilevel"/>
    <w:tmpl w:val="0C5EDE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11334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158250">
    <w:abstractNumId w:val="15"/>
  </w:num>
  <w:num w:numId="3" w16cid:durableId="431632242">
    <w:abstractNumId w:val="24"/>
  </w:num>
  <w:num w:numId="4" w16cid:durableId="7804186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3353506">
    <w:abstractNumId w:val="7"/>
  </w:num>
  <w:num w:numId="6" w16cid:durableId="1959412791">
    <w:abstractNumId w:val="6"/>
  </w:num>
  <w:num w:numId="7" w16cid:durableId="303123528">
    <w:abstractNumId w:val="1"/>
  </w:num>
  <w:num w:numId="8" w16cid:durableId="707337692">
    <w:abstractNumId w:val="12"/>
  </w:num>
  <w:num w:numId="9" w16cid:durableId="1633243332">
    <w:abstractNumId w:val="26"/>
  </w:num>
  <w:num w:numId="10" w16cid:durableId="2133204212">
    <w:abstractNumId w:val="2"/>
  </w:num>
  <w:num w:numId="11" w16cid:durableId="514883581">
    <w:abstractNumId w:val="19"/>
  </w:num>
  <w:num w:numId="12" w16cid:durableId="1689983354">
    <w:abstractNumId w:val="3"/>
  </w:num>
  <w:num w:numId="13" w16cid:durableId="278341992">
    <w:abstractNumId w:val="18"/>
  </w:num>
  <w:num w:numId="14" w16cid:durableId="1881358949">
    <w:abstractNumId w:val="8"/>
  </w:num>
  <w:num w:numId="15" w16cid:durableId="92480446">
    <w:abstractNumId w:val="22"/>
  </w:num>
  <w:num w:numId="16" w16cid:durableId="1682857932">
    <w:abstractNumId w:val="5"/>
  </w:num>
  <w:num w:numId="17" w16cid:durableId="987326559">
    <w:abstractNumId w:val="23"/>
  </w:num>
  <w:num w:numId="18" w16cid:durableId="97724645">
    <w:abstractNumId w:val="14"/>
  </w:num>
  <w:num w:numId="19" w16cid:durableId="404650007">
    <w:abstractNumId w:val="29"/>
  </w:num>
  <w:num w:numId="20" w16cid:durableId="1452818081">
    <w:abstractNumId w:val="11"/>
  </w:num>
  <w:num w:numId="21" w16cid:durableId="1751271321">
    <w:abstractNumId w:val="9"/>
  </w:num>
  <w:num w:numId="22" w16cid:durableId="1824395987">
    <w:abstractNumId w:val="13"/>
  </w:num>
  <w:num w:numId="23" w16cid:durableId="1905331684">
    <w:abstractNumId w:val="20"/>
  </w:num>
  <w:num w:numId="24" w16cid:durableId="2106458263">
    <w:abstractNumId w:val="27"/>
  </w:num>
  <w:num w:numId="25" w16cid:durableId="2113158907">
    <w:abstractNumId w:val="4"/>
  </w:num>
  <w:num w:numId="26" w16cid:durableId="1907063267">
    <w:abstractNumId w:val="17"/>
  </w:num>
  <w:num w:numId="27" w16cid:durableId="60174630">
    <w:abstractNumId w:val="21"/>
  </w:num>
  <w:num w:numId="28" w16cid:durableId="1010714424">
    <w:abstractNumId w:val="28"/>
  </w:num>
  <w:num w:numId="29" w16cid:durableId="1729499123">
    <w:abstractNumId w:val="25"/>
  </w:num>
  <w:num w:numId="30" w16cid:durableId="116484511">
    <w:abstractNumId w:val="10"/>
  </w:num>
  <w:num w:numId="31" w16cid:durableId="14394515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xtus E. Alexander">
    <w15:presenceInfo w15:providerId="None" w15:userId="Sixtus E. Alex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7951"/>
    <w:rsid w:val="00103357"/>
    <w:rsid w:val="00123C9F"/>
    <w:rsid w:val="00126190"/>
    <w:rsid w:val="00130F17"/>
    <w:rsid w:val="001320BF"/>
    <w:rsid w:val="00147EC4"/>
    <w:rsid w:val="00163BC4"/>
    <w:rsid w:val="001645A9"/>
    <w:rsid w:val="00191062"/>
    <w:rsid w:val="00192B72"/>
    <w:rsid w:val="001A29D8"/>
    <w:rsid w:val="001A5CAA"/>
    <w:rsid w:val="001B0427"/>
    <w:rsid w:val="001D3A51"/>
    <w:rsid w:val="001E10D2"/>
    <w:rsid w:val="001E25B4"/>
    <w:rsid w:val="001E44FE"/>
    <w:rsid w:val="00200595"/>
    <w:rsid w:val="00202260"/>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667A"/>
    <w:rsid w:val="003A7E18"/>
    <w:rsid w:val="003C4C86"/>
    <w:rsid w:val="003C6258"/>
    <w:rsid w:val="003E2904"/>
    <w:rsid w:val="00401927"/>
    <w:rsid w:val="0041027F"/>
    <w:rsid w:val="00412475"/>
    <w:rsid w:val="00415622"/>
    <w:rsid w:val="00423789"/>
    <w:rsid w:val="00440F43"/>
    <w:rsid w:val="00441B6F"/>
    <w:rsid w:val="00446221"/>
    <w:rsid w:val="00450E62"/>
    <w:rsid w:val="004539DB"/>
    <w:rsid w:val="00471A80"/>
    <w:rsid w:val="004D305E"/>
    <w:rsid w:val="004D4277"/>
    <w:rsid w:val="004D7AEA"/>
    <w:rsid w:val="00502516"/>
    <w:rsid w:val="00505F06"/>
    <w:rsid w:val="00506828"/>
    <w:rsid w:val="00506F88"/>
    <w:rsid w:val="00507E57"/>
    <w:rsid w:val="0053056E"/>
    <w:rsid w:val="00547EB9"/>
    <w:rsid w:val="00554FDA"/>
    <w:rsid w:val="005A4171"/>
    <w:rsid w:val="005B720C"/>
    <w:rsid w:val="005C784C"/>
    <w:rsid w:val="005D17F6"/>
    <w:rsid w:val="005E5539"/>
    <w:rsid w:val="006016E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A1D"/>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671"/>
    <w:rsid w:val="008B459E"/>
    <w:rsid w:val="008E13AE"/>
    <w:rsid w:val="008E1506"/>
    <w:rsid w:val="008E710C"/>
    <w:rsid w:val="008F69D6"/>
    <w:rsid w:val="00902823"/>
    <w:rsid w:val="00915CA6"/>
    <w:rsid w:val="00927834"/>
    <w:rsid w:val="009500A6"/>
    <w:rsid w:val="00957C18"/>
    <w:rsid w:val="009659BA"/>
    <w:rsid w:val="009671EB"/>
    <w:rsid w:val="0097022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A75"/>
    <w:rsid w:val="00AA6219"/>
    <w:rsid w:val="00AA74E0"/>
    <w:rsid w:val="00AB703F"/>
    <w:rsid w:val="00AB7107"/>
    <w:rsid w:val="00AC6BB8"/>
    <w:rsid w:val="00AE008F"/>
    <w:rsid w:val="00B01FCD"/>
    <w:rsid w:val="00B1776C"/>
    <w:rsid w:val="00B33B40"/>
    <w:rsid w:val="00B52583"/>
    <w:rsid w:val="00B52896"/>
    <w:rsid w:val="00B95236"/>
    <w:rsid w:val="00B96BD9"/>
    <w:rsid w:val="00BA1B01"/>
    <w:rsid w:val="00BA2641"/>
    <w:rsid w:val="00BB37AA"/>
    <w:rsid w:val="00BC53A0"/>
    <w:rsid w:val="00BE62AD"/>
    <w:rsid w:val="00BF121F"/>
    <w:rsid w:val="00BF1F80"/>
    <w:rsid w:val="00C0699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726C"/>
    <w:rsid w:val="00D173F1"/>
    <w:rsid w:val="00D63D82"/>
    <w:rsid w:val="00D74CB0"/>
    <w:rsid w:val="00D8295D"/>
    <w:rsid w:val="00D8415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B17"/>
    <w:rsid w:val="00FB3A86"/>
    <w:rsid w:val="00FD36C8"/>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49390F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156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15622"/>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15622"/>
    <w:rPr>
      <w:b/>
      <w:bCs/>
    </w:rPr>
  </w:style>
  <w:style w:type="paragraph" w:customStyle="1" w:styleId="Default">
    <w:name w:val="Default"/>
    <w:rsid w:val="00415622"/>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semiHidden/>
    <w:rsid w:val="0041562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07E57"/>
    <w:pPr>
      <w:spacing w:after="200" w:line="276" w:lineRule="auto"/>
      <w:ind w:left="720"/>
      <w:contextualSpacing/>
    </w:pPr>
    <w:rPr>
      <w:rFonts w:ascii="Calibri" w:eastAsia="Calibri" w:hAnsi="Calibri"/>
      <w:sz w:val="22"/>
      <w:szCs w:val="22"/>
    </w:rPr>
  </w:style>
  <w:style w:type="character" w:customStyle="1" w:styleId="citationsource-journal">
    <w:name w:val="citation_source-journal"/>
    <w:basedOn w:val="DefaultParagraphFont"/>
    <w:rsid w:val="00507E57"/>
  </w:style>
  <w:style w:type="character" w:customStyle="1" w:styleId="nlmstring-name">
    <w:name w:val="nlm_string-name"/>
    <w:basedOn w:val="DefaultParagraphFont"/>
    <w:rsid w:val="00507E57"/>
  </w:style>
  <w:style w:type="character" w:customStyle="1" w:styleId="nlmarticle-title">
    <w:name w:val="nlm_article-title"/>
    <w:basedOn w:val="DefaultParagraphFont"/>
    <w:rsid w:val="00507E57"/>
  </w:style>
  <w:style w:type="character" w:customStyle="1" w:styleId="nlmyear">
    <w:name w:val="nlm_year"/>
    <w:basedOn w:val="DefaultParagraphFont"/>
    <w:rsid w:val="00507E57"/>
  </w:style>
  <w:style w:type="character" w:customStyle="1" w:styleId="nlmvolume">
    <w:name w:val="nlm_volume"/>
    <w:basedOn w:val="DefaultParagraphFont"/>
    <w:rsid w:val="00507E57"/>
  </w:style>
  <w:style w:type="character" w:customStyle="1" w:styleId="nlmfpage">
    <w:name w:val="nlm_fpage"/>
    <w:basedOn w:val="DefaultParagraphFont"/>
    <w:rsid w:val="00507E57"/>
  </w:style>
  <w:style w:type="character" w:customStyle="1" w:styleId="nlmlpage">
    <w:name w:val="nlm_lpage"/>
    <w:basedOn w:val="DefaultParagraphFont"/>
    <w:rsid w:val="00507E57"/>
  </w:style>
  <w:style w:type="paragraph" w:styleId="CommentSubject">
    <w:name w:val="annotation subject"/>
    <w:basedOn w:val="CommentText"/>
    <w:next w:val="CommentText"/>
    <w:link w:val="CommentSubjectChar"/>
    <w:semiHidden/>
    <w:unhideWhenUsed/>
    <w:rsid w:val="006E3A1D"/>
    <w:rPr>
      <w:rFonts w:ascii="Helvetica" w:hAnsi="Helvetica"/>
      <w:b/>
      <w:bCs/>
      <w:lang w:val="en-US" w:eastAsia="en-US"/>
    </w:rPr>
  </w:style>
  <w:style w:type="character" w:customStyle="1" w:styleId="CommentSubjectChar">
    <w:name w:val="Comment Subject Char"/>
    <w:basedOn w:val="CommentTextChar"/>
    <w:link w:val="CommentSubject"/>
    <w:semiHidden/>
    <w:rsid w:val="006E3A1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5897/ajar2016.110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9103410119339"/>
          <c:y val="9.3062605752961089E-2"/>
          <c:w val="0.7386031957731668"/>
          <c:h val="0.59895679283744352"/>
        </c:manualLayout>
      </c:layout>
      <c:scatterChart>
        <c:scatterStyle val="lineMarker"/>
        <c:varyColors val="0"/>
        <c:ser>
          <c:idx val="0"/>
          <c:order val="0"/>
          <c:tx>
            <c:strRef>
              <c:f>'Red soil'!$F$6</c:f>
              <c:strCache>
                <c:ptCount val="1"/>
                <c:pt idx="0">
                  <c:v>x/m</c:v>
                </c:pt>
              </c:strCache>
            </c:strRef>
          </c:tx>
          <c:spPr>
            <a:ln w="19050" cap="rnd">
              <a:solidFill>
                <a:sysClr val="windowText" lastClr="000000"/>
              </a:solidFill>
              <a:round/>
            </a:ln>
            <a:effectLst/>
          </c:spPr>
          <c:marker>
            <c:symbol val="circle"/>
            <c:size val="5"/>
            <c:spPr>
              <a:solidFill>
                <a:schemeClr val="accent1"/>
              </a:solidFill>
              <a:ln w="9525">
                <a:solidFill>
                  <a:sysClr val="windowText" lastClr="000000"/>
                </a:solidFill>
              </a:ln>
              <a:effectLst/>
            </c:spPr>
          </c:marker>
          <c:xVal>
            <c:numRef>
              <c:f>'Red soil'!$E$7:$E$16</c:f>
              <c:numCache>
                <c:formatCode>General</c:formatCode>
                <c:ptCount val="10"/>
                <c:pt idx="0">
                  <c:v>4.51</c:v>
                </c:pt>
                <c:pt idx="1">
                  <c:v>9.2799999999999994</c:v>
                </c:pt>
                <c:pt idx="2">
                  <c:v>14.08</c:v>
                </c:pt>
                <c:pt idx="3">
                  <c:v>19.02</c:v>
                </c:pt>
                <c:pt idx="4">
                  <c:v>23.61</c:v>
                </c:pt>
                <c:pt idx="5">
                  <c:v>28.12</c:v>
                </c:pt>
                <c:pt idx="6">
                  <c:v>33.340000000000003</c:v>
                </c:pt>
                <c:pt idx="7">
                  <c:v>38.65</c:v>
                </c:pt>
                <c:pt idx="8">
                  <c:v>43.44</c:v>
                </c:pt>
                <c:pt idx="9">
                  <c:v>48.12</c:v>
                </c:pt>
              </c:numCache>
            </c:numRef>
          </c:xVal>
          <c:yVal>
            <c:numRef>
              <c:f>'Red soil'!$F$7:$F$16</c:f>
              <c:numCache>
                <c:formatCode>General</c:formatCode>
                <c:ptCount val="10"/>
                <c:pt idx="0">
                  <c:v>1.21</c:v>
                </c:pt>
                <c:pt idx="1">
                  <c:v>1.81</c:v>
                </c:pt>
                <c:pt idx="2">
                  <c:v>2.61</c:v>
                </c:pt>
                <c:pt idx="3">
                  <c:v>3.64</c:v>
                </c:pt>
                <c:pt idx="4">
                  <c:v>5.12</c:v>
                </c:pt>
                <c:pt idx="5">
                  <c:v>5.71</c:v>
                </c:pt>
                <c:pt idx="6">
                  <c:v>6.32</c:v>
                </c:pt>
                <c:pt idx="7">
                  <c:v>6.67</c:v>
                </c:pt>
                <c:pt idx="8">
                  <c:v>7.02</c:v>
                </c:pt>
                <c:pt idx="9">
                  <c:v>7.22</c:v>
                </c:pt>
              </c:numCache>
            </c:numRef>
          </c:yVal>
          <c:smooth val="0"/>
          <c:extLst>
            <c:ext xmlns:c16="http://schemas.microsoft.com/office/drawing/2014/chart" uri="{C3380CC4-5D6E-409C-BE32-E72D297353CC}">
              <c16:uniqueId val="{00000000-52DE-4CCF-AE15-C78CAC37AABB}"/>
            </c:ext>
          </c:extLst>
        </c:ser>
        <c:dLbls>
          <c:showLegendKey val="0"/>
          <c:showVal val="0"/>
          <c:showCatName val="0"/>
          <c:showSerName val="0"/>
          <c:showPercent val="0"/>
          <c:showBubbleSize val="0"/>
        </c:dLbls>
        <c:axId val="1363339359"/>
        <c:axId val="1363341855"/>
      </c:scatterChart>
      <c:valAx>
        <c:axId val="13633393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Eq.</a:t>
                </a:r>
                <a:r>
                  <a:rPr lang="en-IN" baseline="0">
                    <a:solidFill>
                      <a:sysClr val="windowText" lastClr="000000"/>
                    </a:solidFill>
                  </a:rPr>
                  <a:t> Conc. (µg/ml)</a:t>
                </a:r>
                <a:endParaRPr lang="en-IN">
                  <a:solidFill>
                    <a:sysClr val="windowText" lastClr="000000"/>
                  </a:solidFill>
                </a:endParaRPr>
              </a:p>
            </c:rich>
          </c:tx>
          <c:layout>
            <c:manualLayout>
              <c:xMode val="edge"/>
              <c:yMode val="edge"/>
              <c:x val="0.3763240914103978"/>
              <c:y val="0.8629015281719227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3341855"/>
        <c:crosses val="autoZero"/>
        <c:crossBetween val="midCat"/>
      </c:valAx>
      <c:valAx>
        <c:axId val="136334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x/m</a:t>
                </a:r>
                <a:r>
                  <a:rPr lang="en-IN" baseline="0">
                    <a:solidFill>
                      <a:sysClr val="windowText" lastClr="000000"/>
                    </a:solidFill>
                  </a:rPr>
                  <a:t> (µg/g)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633393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7777431871160758E-2"/>
          <c:y val="9.0609555189456348E-2"/>
          <c:w val="0.84819170988390191"/>
          <c:h val="0.82532916499111419"/>
        </c:manualLayout>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28575" cap="rnd">
                <a:solidFill>
                  <a:schemeClr val="dk1">
                    <a:tint val="88500"/>
                  </a:schemeClr>
                </a:solidFill>
                <a:prstDash val="sysDot"/>
              </a:ln>
              <a:effectLst/>
            </c:spPr>
            <c:trendlineType val="linear"/>
            <c:backward val="1"/>
            <c:dispRSqr val="1"/>
            <c:dispEq val="1"/>
            <c:trendlineLbl>
              <c:layout>
                <c:manualLayout>
                  <c:x val="8.1311171686952829E-2"/>
                  <c:y val="0.38714991762767709"/>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rendlineLbl>
          </c:trendline>
          <c:xVal>
            <c:numRef>
              <c:f>'Red soil'!$E$22:$E$31</c:f>
              <c:numCache>
                <c:formatCode>General</c:formatCode>
                <c:ptCount val="10"/>
                <c:pt idx="0">
                  <c:v>0.65400000000000003</c:v>
                </c:pt>
                <c:pt idx="1">
                  <c:v>0.96799999999999997</c:v>
                </c:pt>
                <c:pt idx="2">
                  <c:v>1.149</c:v>
                </c:pt>
                <c:pt idx="3">
                  <c:v>1.2789999999999999</c:v>
                </c:pt>
                <c:pt idx="4">
                  <c:v>1.373</c:v>
                </c:pt>
                <c:pt idx="5">
                  <c:v>1.4490000000000001</c:v>
                </c:pt>
                <c:pt idx="6">
                  <c:v>1.5229999999999999</c:v>
                </c:pt>
                <c:pt idx="7">
                  <c:v>1.587</c:v>
                </c:pt>
                <c:pt idx="8">
                  <c:v>1.6379999999999999</c:v>
                </c:pt>
                <c:pt idx="9">
                  <c:v>1.6819999999999999</c:v>
                </c:pt>
              </c:numCache>
            </c:numRef>
          </c:xVal>
          <c:yVal>
            <c:numRef>
              <c:f>'Red soil'!$F$22:$F$31</c:f>
              <c:numCache>
                <c:formatCode>General</c:formatCode>
                <c:ptCount val="10"/>
                <c:pt idx="0">
                  <c:v>8.3000000000000004E-2</c:v>
                </c:pt>
                <c:pt idx="1">
                  <c:v>0.25800000000000001</c:v>
                </c:pt>
                <c:pt idx="2">
                  <c:v>0.41699999999999998</c:v>
                </c:pt>
                <c:pt idx="3">
                  <c:v>0.56100000000000005</c:v>
                </c:pt>
                <c:pt idx="4">
                  <c:v>0.70899999999999996</c:v>
                </c:pt>
                <c:pt idx="5">
                  <c:v>0.75700000000000001</c:v>
                </c:pt>
                <c:pt idx="6">
                  <c:v>0.80100000000000005</c:v>
                </c:pt>
                <c:pt idx="7">
                  <c:v>0.82399999999999995</c:v>
                </c:pt>
                <c:pt idx="8">
                  <c:v>0.84599999999999997</c:v>
                </c:pt>
                <c:pt idx="9">
                  <c:v>0.85899999999999999</c:v>
                </c:pt>
              </c:numCache>
            </c:numRef>
          </c:yVal>
          <c:smooth val="0"/>
          <c:extLst>
            <c:ext xmlns:c16="http://schemas.microsoft.com/office/drawing/2014/chart" uri="{C3380CC4-5D6E-409C-BE32-E72D297353CC}">
              <c16:uniqueId val="{00000001-C0A3-4C1B-851D-90D66F491747}"/>
            </c:ext>
          </c:extLst>
        </c:ser>
        <c:dLbls>
          <c:showLegendKey val="0"/>
          <c:showVal val="0"/>
          <c:showCatName val="0"/>
          <c:showSerName val="0"/>
          <c:showPercent val="0"/>
          <c:showBubbleSize val="0"/>
        </c:dLbls>
        <c:axId val="1361596767"/>
        <c:axId val="1361588447"/>
      </c:scatterChart>
      <c:valAx>
        <c:axId val="1361596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i="0">
                    <a:solidFill>
                      <a:sysClr val="windowText" lastClr="000000"/>
                    </a:solidFill>
                  </a:rPr>
                  <a:t>log</a:t>
                </a:r>
                <a:r>
                  <a:rPr lang="en-US" b="1">
                    <a:solidFill>
                      <a:sysClr val="windowText" lastClr="000000"/>
                    </a:solidFill>
                  </a:rPr>
                  <a:t> </a:t>
                </a:r>
                <a:r>
                  <a:rPr lang="en-US" b="1" i="1">
                    <a:solidFill>
                      <a:sysClr val="windowText" lastClr="000000"/>
                    </a:solidFill>
                  </a:rPr>
                  <a:t>C</a:t>
                </a:r>
                <a:r>
                  <a:rPr lang="en-US" b="1" i="1" baseline="-25000">
                    <a:solidFill>
                      <a:sysClr val="windowText" lastClr="000000"/>
                    </a:solidFill>
                  </a:rPr>
                  <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88447"/>
        <c:crosses val="autoZero"/>
        <c:crossBetween val="midCat"/>
      </c:valAx>
      <c:valAx>
        <c:axId val="136158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Log</a:t>
                </a:r>
                <a:r>
                  <a:rPr lang="en-IN" baseline="0">
                    <a:solidFill>
                      <a:sysClr val="windowText" lastClr="000000"/>
                    </a:solidFill>
                  </a:rPr>
                  <a:t> </a:t>
                </a:r>
                <a:r>
                  <a:rPr lang="en-IN" i="1" baseline="0">
                    <a:solidFill>
                      <a:sysClr val="windowText" lastClr="000000"/>
                    </a:solidFill>
                  </a:rPr>
                  <a:t>x/m</a:t>
                </a:r>
                <a:endParaRPr lang="en-IN" i="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96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'Black soil'!$F$6</c:f>
              <c:strCache>
                <c:ptCount val="1"/>
                <c:pt idx="0">
                  <c:v>x/m</c:v>
                </c:pt>
              </c:strCache>
            </c:strRef>
          </c:tx>
          <c:spPr>
            <a:ln w="19050" cap="rnd">
              <a:solidFill>
                <a:sysClr val="windowText" lastClr="000000"/>
              </a:solidFill>
              <a:round/>
            </a:ln>
            <a:effectLst/>
          </c:spPr>
          <c:marker>
            <c:symbol val="circle"/>
            <c:size val="5"/>
            <c:spPr>
              <a:solidFill>
                <a:schemeClr val="accent1"/>
              </a:solidFill>
              <a:ln w="9525">
                <a:solidFill>
                  <a:sysClr val="windowText" lastClr="000000"/>
                </a:solidFill>
              </a:ln>
              <a:effectLst/>
            </c:spPr>
          </c:marker>
          <c:xVal>
            <c:numRef>
              <c:f>'Black soil'!$E$7:$E$16</c:f>
              <c:numCache>
                <c:formatCode>General</c:formatCode>
                <c:ptCount val="10"/>
                <c:pt idx="0">
                  <c:v>4.18</c:v>
                </c:pt>
                <c:pt idx="1">
                  <c:v>8.6300000000000008</c:v>
                </c:pt>
                <c:pt idx="2">
                  <c:v>13.04</c:v>
                </c:pt>
                <c:pt idx="3">
                  <c:v>17.21</c:v>
                </c:pt>
                <c:pt idx="4">
                  <c:v>21.4</c:v>
                </c:pt>
                <c:pt idx="5">
                  <c:v>25.56</c:v>
                </c:pt>
                <c:pt idx="6">
                  <c:v>29.7</c:v>
                </c:pt>
                <c:pt idx="7">
                  <c:v>34.159999999999997</c:v>
                </c:pt>
                <c:pt idx="8">
                  <c:v>38.85</c:v>
                </c:pt>
                <c:pt idx="9">
                  <c:v>43.54</c:v>
                </c:pt>
              </c:numCache>
            </c:numRef>
          </c:xVal>
          <c:yVal>
            <c:numRef>
              <c:f>'Black soil'!$F$7:$F$16</c:f>
              <c:numCache>
                <c:formatCode>General</c:formatCode>
                <c:ptCount val="10"/>
                <c:pt idx="0">
                  <c:v>1.57</c:v>
                </c:pt>
                <c:pt idx="1">
                  <c:v>2.57</c:v>
                </c:pt>
                <c:pt idx="2">
                  <c:v>4.24</c:v>
                </c:pt>
                <c:pt idx="3">
                  <c:v>6.88</c:v>
                </c:pt>
                <c:pt idx="4">
                  <c:v>8.86</c:v>
                </c:pt>
                <c:pt idx="5">
                  <c:v>11</c:v>
                </c:pt>
                <c:pt idx="6">
                  <c:v>13.14</c:v>
                </c:pt>
                <c:pt idx="7">
                  <c:v>14.08</c:v>
                </c:pt>
                <c:pt idx="8">
                  <c:v>14.98</c:v>
                </c:pt>
                <c:pt idx="9">
                  <c:v>15.66</c:v>
                </c:pt>
              </c:numCache>
            </c:numRef>
          </c:yVal>
          <c:smooth val="0"/>
          <c:extLst>
            <c:ext xmlns:c16="http://schemas.microsoft.com/office/drawing/2014/chart" uri="{C3380CC4-5D6E-409C-BE32-E72D297353CC}">
              <c16:uniqueId val="{00000000-C31F-4DF3-8826-29126044DE25}"/>
            </c:ext>
          </c:extLst>
        </c:ser>
        <c:dLbls>
          <c:showLegendKey val="0"/>
          <c:showVal val="0"/>
          <c:showCatName val="0"/>
          <c:showSerName val="0"/>
          <c:showPercent val="0"/>
          <c:showBubbleSize val="0"/>
        </c:dLbls>
        <c:axId val="1363339359"/>
        <c:axId val="1363341855"/>
      </c:scatterChart>
      <c:valAx>
        <c:axId val="13633393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Eq.</a:t>
                </a:r>
                <a:r>
                  <a:rPr lang="en-IN" baseline="0">
                    <a:solidFill>
                      <a:sysClr val="windowText" lastClr="000000"/>
                    </a:solidFill>
                  </a:rPr>
                  <a:t> Conc. (µg/ml)</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3341855"/>
        <c:crosses val="autoZero"/>
        <c:crossBetween val="midCat"/>
      </c:valAx>
      <c:valAx>
        <c:axId val="136334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x/m</a:t>
                </a:r>
                <a:r>
                  <a:rPr lang="en-IN" baseline="0">
                    <a:solidFill>
                      <a:sysClr val="windowText" lastClr="000000"/>
                    </a:solidFill>
                  </a:rPr>
                  <a:t> (µg/g)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633393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28575" cap="rnd">
                <a:solidFill>
                  <a:schemeClr val="dk1">
                    <a:tint val="88500"/>
                  </a:schemeClr>
                </a:solidFill>
                <a:prstDash val="sysDot"/>
              </a:ln>
              <a:effectLst/>
            </c:spPr>
            <c:trendlineType val="linear"/>
            <c:backward val="1"/>
            <c:dispRSqr val="1"/>
            <c:dispEq val="1"/>
            <c:trendlineLbl>
              <c:layout>
                <c:manualLayout>
                  <c:x val="-0.16688262960418537"/>
                  <c:y val="1.945525291828793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rendlineLbl>
          </c:trendline>
          <c:xVal>
            <c:numRef>
              <c:f>'Black soil'!$E$22:$E$31</c:f>
              <c:numCache>
                <c:formatCode>General</c:formatCode>
                <c:ptCount val="10"/>
                <c:pt idx="0">
                  <c:v>0.621</c:v>
                </c:pt>
                <c:pt idx="1">
                  <c:v>0.93600000000000005</c:v>
                </c:pt>
                <c:pt idx="2">
                  <c:v>1.115</c:v>
                </c:pt>
                <c:pt idx="3">
                  <c:v>1.236</c:v>
                </c:pt>
                <c:pt idx="4">
                  <c:v>1.33</c:v>
                </c:pt>
                <c:pt idx="5">
                  <c:v>1.4079999999999999</c:v>
                </c:pt>
                <c:pt idx="6">
                  <c:v>1.4730000000000001</c:v>
                </c:pt>
                <c:pt idx="7">
                  <c:v>1.534</c:v>
                </c:pt>
                <c:pt idx="8">
                  <c:v>1.589</c:v>
                </c:pt>
                <c:pt idx="9">
                  <c:v>1.639</c:v>
                </c:pt>
              </c:numCache>
            </c:numRef>
          </c:xVal>
          <c:yVal>
            <c:numRef>
              <c:f>'Black soil'!$F$22:$F$31</c:f>
              <c:numCache>
                <c:formatCode>General</c:formatCode>
                <c:ptCount val="10"/>
                <c:pt idx="0">
                  <c:v>0.19600000000000001</c:v>
                </c:pt>
                <c:pt idx="1">
                  <c:v>0.41</c:v>
                </c:pt>
                <c:pt idx="2">
                  <c:v>0.627</c:v>
                </c:pt>
                <c:pt idx="3">
                  <c:v>0.83799999999999997</c:v>
                </c:pt>
                <c:pt idx="4">
                  <c:v>0.94699999999999995</c:v>
                </c:pt>
                <c:pt idx="5">
                  <c:v>1.0409999999999999</c:v>
                </c:pt>
                <c:pt idx="6">
                  <c:v>1.119</c:v>
                </c:pt>
                <c:pt idx="7">
                  <c:v>1.149</c:v>
                </c:pt>
                <c:pt idx="8">
                  <c:v>1.1759999999999999</c:v>
                </c:pt>
                <c:pt idx="9">
                  <c:v>1.1950000000000001</c:v>
                </c:pt>
              </c:numCache>
            </c:numRef>
          </c:yVal>
          <c:smooth val="0"/>
          <c:extLst>
            <c:ext xmlns:c16="http://schemas.microsoft.com/office/drawing/2014/chart" uri="{C3380CC4-5D6E-409C-BE32-E72D297353CC}">
              <c16:uniqueId val="{00000001-F0F9-4EEA-B514-070BB6390184}"/>
            </c:ext>
          </c:extLst>
        </c:ser>
        <c:dLbls>
          <c:showLegendKey val="0"/>
          <c:showVal val="0"/>
          <c:showCatName val="0"/>
          <c:showSerName val="0"/>
          <c:showPercent val="0"/>
          <c:showBubbleSize val="0"/>
        </c:dLbls>
        <c:axId val="1361596767"/>
        <c:axId val="1361588447"/>
      </c:scatterChart>
      <c:valAx>
        <c:axId val="1361596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i="0">
                    <a:solidFill>
                      <a:sysClr val="windowText" lastClr="000000"/>
                    </a:solidFill>
                  </a:rPr>
                  <a:t>log</a:t>
                </a:r>
                <a:r>
                  <a:rPr lang="en-US" b="1">
                    <a:solidFill>
                      <a:sysClr val="windowText" lastClr="000000"/>
                    </a:solidFill>
                  </a:rPr>
                  <a:t> </a:t>
                </a:r>
                <a:r>
                  <a:rPr lang="en-US" b="1" i="1">
                    <a:solidFill>
                      <a:sysClr val="windowText" lastClr="000000"/>
                    </a:solidFill>
                  </a:rPr>
                  <a:t>C</a:t>
                </a:r>
                <a:r>
                  <a:rPr lang="en-US" b="1" i="1" baseline="-25000">
                    <a:solidFill>
                      <a:sysClr val="windowText" lastClr="000000"/>
                    </a:solidFill>
                  </a:rPr>
                  <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88447"/>
        <c:crosses val="autoZero"/>
        <c:crossBetween val="midCat"/>
      </c:valAx>
      <c:valAx>
        <c:axId val="136158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Log</a:t>
                </a:r>
                <a:r>
                  <a:rPr lang="en-IN" baseline="0">
                    <a:solidFill>
                      <a:sysClr val="windowText" lastClr="000000"/>
                    </a:solidFill>
                  </a:rPr>
                  <a:t> </a:t>
                </a:r>
                <a:r>
                  <a:rPr lang="en-IN" i="1" baseline="0">
                    <a:solidFill>
                      <a:sysClr val="windowText" lastClr="000000"/>
                    </a:solidFill>
                  </a:rPr>
                  <a:t>x/m</a:t>
                </a:r>
                <a:endParaRPr lang="en-IN" i="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96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7270-85C4-435F-9C62-13CA49EC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93</TotalTime>
  <Pages>7</Pages>
  <Words>2613</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Sixtus E. Alexander</cp:lastModifiedBy>
  <cp:revision>17</cp:revision>
  <cp:lastPrinted>1999-07-06T11:00:00Z</cp:lastPrinted>
  <dcterms:created xsi:type="dcterms:W3CDTF">2014-10-25T14:34:00Z</dcterms:created>
  <dcterms:modified xsi:type="dcterms:W3CDTF">2025-10-13T10:59:00Z</dcterms:modified>
</cp:coreProperties>
</file>