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04B6D">
      <w:pPr>
        <w:keepNext/>
        <w:keepLines/>
        <w:spacing w:before="240" w:after="0" w:line="240" w:lineRule="auto"/>
        <w:jc w:val="right"/>
        <w:outlineLvl w:val="0"/>
        <w:rPr>
          <w:rFonts w:ascii="Times New Roman" w:hAnsi="Times New Roman" w:cs="Times New Roman" w:eastAsiaTheme="majorEastAsia"/>
          <w:b/>
          <w:bCs/>
          <w:i/>
          <w:iCs/>
          <w:sz w:val="32"/>
          <w:szCs w:val="32"/>
          <w:u w:val="single"/>
          <w:lang w:val="en-US"/>
        </w:rPr>
      </w:pPr>
      <w:r>
        <w:rPr>
          <w:rFonts w:ascii="Times New Roman" w:hAnsi="Times New Roman" w:cs="Times New Roman" w:eastAsiaTheme="majorEastAsia"/>
          <w:b/>
          <w:bCs/>
          <w:i/>
          <w:iCs/>
          <w:sz w:val="32"/>
          <w:szCs w:val="32"/>
          <w:u w:val="single"/>
          <w:lang w:val="en-US"/>
        </w:rPr>
        <w:t xml:space="preserve">Original Research Article </w:t>
      </w:r>
    </w:p>
    <w:p w14:paraId="7C15DD9F">
      <w:pPr>
        <w:keepNext/>
        <w:keepLines/>
        <w:spacing w:before="240" w:after="0" w:line="240" w:lineRule="auto"/>
        <w:outlineLvl w:val="0"/>
        <w:rPr>
          <w:rFonts w:ascii="Times New Roman" w:hAnsi="Times New Roman" w:cs="Times New Roman" w:eastAsiaTheme="majorEastAsia"/>
          <w:sz w:val="24"/>
          <w:szCs w:val="24"/>
          <w:lang w:val="en-US"/>
        </w:rPr>
      </w:pPr>
      <w:r>
        <w:rPr>
          <w:rFonts w:ascii="Times New Roman" w:hAnsi="Times New Roman" w:cs="Times New Roman" w:eastAsiaTheme="majorEastAsia"/>
          <w:sz w:val="24"/>
          <w:szCs w:val="24"/>
          <w:lang w:val="en-US"/>
        </w:rPr>
        <w:t>The effects of patient-directed education in Laos on the glycemic control and life style in</w:t>
      </w:r>
    </w:p>
    <w:p w14:paraId="23EF0C8A">
      <w:pPr>
        <w:keepNext/>
        <w:keepLines/>
        <w:spacing w:before="240" w:after="0" w:line="240" w:lineRule="auto"/>
        <w:outlineLvl w:val="0"/>
        <w:rPr>
          <w:rFonts w:ascii="Times New Roman" w:hAnsi="Times New Roman" w:cs="Times New Roman" w:eastAsiaTheme="majorEastAsia"/>
          <w:sz w:val="24"/>
          <w:szCs w:val="24"/>
        </w:rPr>
      </w:pPr>
      <w:r>
        <w:rPr>
          <w:rFonts w:ascii="Times New Roman" w:hAnsi="Times New Roman" w:cs="Times New Roman" w:eastAsiaTheme="majorEastAsia"/>
          <w:sz w:val="24"/>
          <w:szCs w:val="24"/>
          <w:lang w:val="en-US"/>
        </w:rPr>
        <w:t xml:space="preserve"> </w:t>
      </w:r>
      <w:r>
        <w:rPr>
          <w:rFonts w:ascii="Times New Roman" w:hAnsi="Times New Roman" w:cs="Times New Roman" w:eastAsiaTheme="majorEastAsia"/>
          <w:sz w:val="24"/>
          <w:szCs w:val="24"/>
        </w:rPr>
        <w:t>type-2-diabetics</w:t>
      </w:r>
    </w:p>
    <w:p w14:paraId="24C0C4CE">
      <w:pPr>
        <w:keepNext/>
        <w:keepLines/>
        <w:spacing w:before="240" w:after="0" w:line="240" w:lineRule="auto"/>
        <w:outlineLvl w:val="0"/>
        <w:rPr>
          <w:rFonts w:ascii="Times New Roman" w:hAnsi="Times New Roman" w:cs="Times New Roman" w:eastAsiaTheme="majorEastAsia"/>
          <w:sz w:val="24"/>
          <w:szCs w:val="24"/>
        </w:rPr>
      </w:pPr>
    </w:p>
    <w:p w14:paraId="089B552C">
      <w:pPr>
        <w:spacing w:after="0" w:line="480" w:lineRule="auto"/>
        <w:rPr>
          <w:rFonts w:ascii="Times New Roman" w:hAnsi="Times New Roman" w:eastAsia="Times New Roman" w:cs="Times New Roman"/>
          <w:b/>
          <w:bCs/>
          <w:sz w:val="24"/>
          <w:szCs w:val="24"/>
          <w:lang w:val="en-US" w:eastAsia="da-DK" w:bidi="lo-LA"/>
        </w:rPr>
      </w:pPr>
    </w:p>
    <w:p w14:paraId="203BDE40">
      <w:pPr>
        <w:spacing w:after="0" w:line="480" w:lineRule="auto"/>
        <w:rPr>
          <w:rFonts w:ascii="Times New Roman" w:hAnsi="Times New Roman" w:eastAsia="Times New Roman" w:cs="Times New Roman"/>
          <w:b/>
          <w:bCs/>
          <w:sz w:val="24"/>
          <w:szCs w:val="24"/>
          <w:lang w:val="en-US" w:eastAsia="da-DK" w:bidi="lo-LA"/>
        </w:rPr>
      </w:pPr>
      <w:r>
        <w:rPr>
          <w:rFonts w:ascii="Times New Roman" w:hAnsi="Times New Roman" w:eastAsia="Times New Roman" w:cs="Times New Roman"/>
          <w:b/>
          <w:bCs/>
          <w:sz w:val="24"/>
          <w:szCs w:val="24"/>
          <w:lang w:val="en-US" w:eastAsia="da-DK" w:bidi="lo-LA"/>
        </w:rPr>
        <w:t>Abstract:</w:t>
      </w:r>
    </w:p>
    <w:p w14:paraId="33C9EEC7">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b/>
          <w:bCs/>
          <w:sz w:val="24"/>
          <w:szCs w:val="24"/>
          <w:lang w:val="en-US" w:eastAsia="da-DK" w:bidi="lo-LA"/>
        </w:rPr>
        <w:t>Background and purpose</w:t>
      </w:r>
    </w:p>
    <w:p w14:paraId="64DA249A">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The number of diabetic patients in the Laotian population is sharply rising. Therefore, there is an increased need for innovative thinking and effective treatment of diabetes. In Laos, diabetes schools have not previously been developed and implemented as part of the treatment. The aim of the study was to implement a 12-week diabetes school for adults with type 2 diabetes and investigate the effects primarily on fasting plasma glucose (FPG). Secondarily, to evaluated effects on body weight, body mass index (BMI), waist to hip ratio (WHR), blood pressure, lipid profile, HbA1c and on the quality of life and the effects on the patient's own perception of the disease. </w:t>
      </w:r>
    </w:p>
    <w:p w14:paraId="1FBB1FC2">
      <w:pPr>
        <w:spacing w:after="0" w:line="480" w:lineRule="auto"/>
        <w:rPr>
          <w:rFonts w:ascii="Times New Roman" w:hAnsi="Times New Roman" w:eastAsia="Times New Roman" w:cs="Times New Roman"/>
          <w:b/>
          <w:bCs/>
          <w:sz w:val="24"/>
          <w:szCs w:val="24"/>
          <w:lang w:val="en-US" w:eastAsia="da-DK" w:bidi="lo-LA"/>
        </w:rPr>
      </w:pPr>
      <w:r>
        <w:rPr>
          <w:rFonts w:ascii="Times New Roman" w:hAnsi="Times New Roman" w:eastAsia="Times New Roman" w:cs="Times New Roman"/>
          <w:b/>
          <w:bCs/>
          <w:sz w:val="24"/>
          <w:szCs w:val="24"/>
          <w:lang w:val="en-US" w:eastAsia="da-DK" w:bidi="lo-LA"/>
        </w:rPr>
        <w:t>Material and Methods</w:t>
      </w:r>
    </w:p>
    <w:p w14:paraId="68BE19F5">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One hundred patients with type 2 diabetes (≥18 years) were randomized, 50 patients  participated in a newly developed 3-day a week diabetes school, teaching nutrition, physical activity and understanding of the disease as well as knowledge about the management of late diabetic complications. The 50 patients in the control group received the usual treatment. The study was not blinded. Quality of life and the patient's own perception of their disease was evaluated using the questionnaire EQ-5D and semi-structured interviews by the staff. </w:t>
      </w:r>
    </w:p>
    <w:p w14:paraId="5FF6CCF4">
      <w:pPr>
        <w:spacing w:after="0" w:line="480" w:lineRule="auto"/>
        <w:rPr>
          <w:rFonts w:ascii="Times New Roman" w:hAnsi="Times New Roman" w:eastAsia="Times New Roman" w:cs="Times New Roman"/>
          <w:b/>
          <w:bCs/>
          <w:sz w:val="24"/>
          <w:szCs w:val="24"/>
          <w:lang w:val="en-US" w:eastAsia="da-DK" w:bidi="lo-LA"/>
        </w:rPr>
      </w:pPr>
      <w:r>
        <w:rPr>
          <w:rFonts w:ascii="Times New Roman" w:hAnsi="Times New Roman" w:eastAsia="Times New Roman" w:cs="Times New Roman"/>
          <w:b/>
          <w:bCs/>
          <w:sz w:val="24"/>
          <w:szCs w:val="24"/>
          <w:lang w:val="en-US" w:eastAsia="da-DK" w:bidi="lo-LA"/>
        </w:rPr>
        <w:t>Results</w:t>
      </w:r>
    </w:p>
    <w:p w14:paraId="1A219DA3">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Twelve weeks of diabetic school reduced FPG significantly (intervention: -21.0 mg / dl (SD 88.8) versus control: (+18.6 mg / dl (SD 48.8) (P = 0.02), and BMI was significantly reduced in the intervention group (-0.3681 kg / m² (SD 0.62) versus controls (+0.1042 kg / m² (SD 0.90). There were no significant effects of the intervention on HbA1c, blood pressure, WHR or lipid profile.</w:t>
      </w:r>
    </w:p>
    <w:p w14:paraId="16A92666">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The focus group interviews clearly demonstrated, that most of the patients had very little insight in the consequences of their type 2 diabetes, and they do not think about the complications before these are a reality. Dietary treatment and physical activity are not established parts of the treatment of diabetes in Laos, so most health professionals know very little about the prevention of diabetic complications. </w:t>
      </w:r>
    </w:p>
    <w:p w14:paraId="7232C2A9">
      <w:pPr>
        <w:spacing w:after="0" w:line="480" w:lineRule="auto"/>
        <w:rPr>
          <w:rFonts w:ascii="Times New Roman" w:hAnsi="Times New Roman" w:eastAsia="Times New Roman" w:cs="Times New Roman"/>
          <w:b/>
          <w:sz w:val="24"/>
          <w:szCs w:val="24"/>
          <w:lang w:val="en-US" w:eastAsia="da-DK" w:bidi="lo-LA"/>
        </w:rPr>
      </w:pPr>
      <w:r>
        <w:rPr>
          <w:rFonts w:ascii="Times New Roman" w:hAnsi="Times New Roman" w:eastAsia="Times New Roman" w:cs="Times New Roman"/>
          <w:b/>
          <w:sz w:val="24"/>
          <w:szCs w:val="24"/>
          <w:lang w:val="en-US" w:eastAsia="da-DK" w:bidi="lo-LA"/>
        </w:rPr>
        <w:t>Conclusions</w:t>
      </w:r>
    </w:p>
    <w:p w14:paraId="2062C2A9">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The 12-week diabetes school significantly reduced fasting blood glucose and BMI. Disease insight is modest in the Laotian patients with type 2 diabetes as well as in health professionals, but it was evident, that structured education of the patients have beneficial effects for the patients and probably for health professionals too. </w:t>
      </w:r>
    </w:p>
    <w:p w14:paraId="201D6AC0">
      <w:pPr>
        <w:spacing w:after="0" w:line="480" w:lineRule="auto"/>
        <w:rPr>
          <w:rFonts w:ascii="Times New Roman" w:hAnsi="Times New Roman" w:eastAsia="Times New Roman" w:cs="Times New Roman"/>
          <w:sz w:val="24"/>
          <w:szCs w:val="24"/>
          <w:lang w:val="en-US" w:eastAsia="da-DK" w:bidi="lo-LA"/>
        </w:rPr>
      </w:pPr>
    </w:p>
    <w:p w14:paraId="6D5506AB">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Key words: Diabetes mellitus, education, training, glycemic control</w:t>
      </w:r>
    </w:p>
    <w:p w14:paraId="64E833EF">
      <w:pPr>
        <w:spacing w:after="0" w:line="480" w:lineRule="auto"/>
        <w:rPr>
          <w:rFonts w:ascii="Times New Roman" w:hAnsi="Times New Roman" w:eastAsia="Times New Roman" w:cs="Times New Roman"/>
          <w:sz w:val="24"/>
          <w:szCs w:val="24"/>
          <w:lang w:val="en-US" w:eastAsia="da-DK" w:bidi="lo-LA"/>
        </w:rPr>
      </w:pPr>
    </w:p>
    <w:p w14:paraId="3B1D56AE">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Introduction</w:t>
      </w:r>
      <w:r>
        <w:commentReference w:id="0"/>
      </w:r>
    </w:p>
    <w:p w14:paraId="7A879324">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The prevalence-rate of diabetes mellitus (DM) are steadily increasing all over the world for the past three decades and dominantly so in low- and middle-income countries (1), where the growth are expected to be the highest the coming decades. Globally, the greatest decline in deaths from major NCDs (non communicable diseases) between 2000 and 2019 were from chronic respiratory disease (a 37% drop in age-standardized rates for all ages combined), followed by cardiovascular disease (27%) and cancer (16%). Deaths due to diabetes, however, increased slightly by 3% over the same period (2). Epidemiological data are varying for South-East Asia as the region is defined differently by health organizations, but they all agree that the prevalence- and incidence rates of DM are increasing. In the WHO South-East Asia Region, more than 96 million people are estimated to have diabetes, and another 96 million to be pre-diabetic, causing at least 600 000 deaths annually. Half of all adults with type 2 diabetes are undiagnosed (3). Most of diabetic patients in the developing countries are between 45 - 64 years old, much younger than in developed countries, and the prevalence-rate of diabetic complications are higher. Asian populations have a strong ethnic and genetic predisposition for diabetes and have lower thresholds for the environmental risk factors, which is air pollution, walkability, food environment, physical activity resources, and roadways proximity </w:t>
      </w:r>
      <w:r>
        <w:rPr>
          <w:rFonts w:ascii="Times New Roman" w:hAnsi="Times New Roman" w:eastAsia="Times New Roman" w:cs="Times New Roman"/>
          <w:sz w:val="24"/>
          <w:szCs w:val="24"/>
          <w:lang w:val="en-US" w:eastAsia="da-DK" w:bidi="lo-LA"/>
        </w:rPr>
        <w:fldChar w:fldCharType="begin"/>
      </w:r>
      <w:r>
        <w:rPr>
          <w:rFonts w:ascii="Times New Roman" w:hAnsi="Times New Roman" w:eastAsia="Times New Roman" w:cs="Times New Roman"/>
          <w:sz w:val="24"/>
          <w:szCs w:val="24"/>
          <w:lang w:val="en-US" w:eastAsia="da-DK" w:bidi="lo-LA"/>
        </w:rPr>
        <w:instrText xml:space="preserve"> ADDIN ZOTERO_ITEM CSL_CITATION {"citationID":"yBPjBwGu","properties":{"formattedCitation":"(11)","plainCitation":"(11)","noteIndex":0},"citationItems":[{"id":36,"uris":["http://zotero.org/users/local/PN0CPJUW/items/VXT6S8L6"],"uri":["http://zotero.org/users/local/PN0CPJUW/items/VXT6S8L6"],"itemData":{"id":36,"type":"report","title":"Environmental Risk Factors for Developing Type 2 Diabetes Mellitus: A Systematic Review.","publisher":"Environmental Research And Public Health, 15(1) .","author":[{"family":"Dendrup","given":"T"},{"family":"Feng","given":"X"},{"family":"Clingan","given":"S"},{"family":"Astell-Burt","given":"T"}]}}],"schema":"https://github.com/citation-style-language/schema/raw/master/csl-citation.json"} </w:instrText>
      </w:r>
      <w:r>
        <w:rPr>
          <w:rFonts w:ascii="Times New Roman" w:hAnsi="Times New Roman" w:eastAsia="Times New Roman" w:cs="Times New Roman"/>
          <w:sz w:val="24"/>
          <w:szCs w:val="24"/>
          <w:lang w:val="en-US" w:eastAsia="da-DK" w:bidi="lo-LA"/>
        </w:rPr>
        <w:fldChar w:fldCharType="separate"/>
      </w:r>
      <w:r>
        <w:rPr>
          <w:rFonts w:ascii="Times New Roman" w:hAnsi="Times New Roman" w:eastAsia="Times New Roman" w:cs="Times New Roman"/>
          <w:sz w:val="24"/>
          <w:szCs w:val="24"/>
          <w:lang w:val="en-US" w:eastAsia="da-DK" w:bidi="lo-LA"/>
        </w:rPr>
        <w:t>(4)</w:t>
      </w:r>
      <w:r>
        <w:rPr>
          <w:rFonts w:ascii="Times New Roman" w:hAnsi="Times New Roman" w:eastAsia="Times New Roman" w:cs="Times New Roman"/>
          <w:sz w:val="24"/>
          <w:szCs w:val="24"/>
          <w:lang w:val="en-US" w:eastAsia="da-DK" w:bidi="lo-LA"/>
        </w:rPr>
        <w:fldChar w:fldCharType="end"/>
      </w:r>
      <w:r>
        <w:rPr>
          <w:rFonts w:ascii="Times New Roman" w:hAnsi="Times New Roman" w:eastAsia="Times New Roman" w:cs="Times New Roman"/>
          <w:sz w:val="24"/>
          <w:szCs w:val="24"/>
          <w:lang w:val="en-US" w:eastAsia="da-DK" w:bidi="lo-LA"/>
        </w:rPr>
        <w:t xml:space="preserve">. Probably due to a combination of genetics and environmental factors, South-East Asians have up to four times higher risk of developing type 2 diabetes than other ethnic groups </w:t>
      </w:r>
      <w:r>
        <w:rPr>
          <w:rFonts w:ascii="Times New Roman" w:hAnsi="Times New Roman" w:eastAsia="Times New Roman" w:cs="Times New Roman"/>
          <w:sz w:val="24"/>
          <w:szCs w:val="24"/>
          <w:lang w:val="en-US" w:eastAsia="da-DK" w:bidi="lo-LA"/>
        </w:rPr>
        <w:fldChar w:fldCharType="begin"/>
      </w:r>
      <w:r>
        <w:rPr>
          <w:rFonts w:ascii="Times New Roman" w:hAnsi="Times New Roman" w:eastAsia="Times New Roman" w:cs="Times New Roman"/>
          <w:sz w:val="24"/>
          <w:szCs w:val="24"/>
          <w:lang w:val="en-US" w:eastAsia="da-DK" w:bidi="lo-LA"/>
        </w:rPr>
        <w:instrText xml:space="preserve"> ADDIN ZOTERO_ITEM CSL_CITATION {"citationID":"jBgFS1pG","properties":{"formattedCitation":"(14)","plainCitation":"(14)","noteIndex":0},"citationItems":[{"id":112,"uris":["http://zotero.org/users/local/PN0CPJUW/items/MUXY8YXY"],"uri":["http://zotero.org/users/local/PN0CPJUW/items/MUXY8YXY"],"itemData":{"id":112,"type":"article-journal","title":"Type 2 diabetes in East Asians: similarities and differences with populations in Europe and the United States","container-title":"ANNALS OF THE NEW YORK ACADEMY OF SCIENCES","issue":"Department of Medicine and Therapeutics, Hong Kong Institute of Diabetes and Obesity, and Li Ka Shing Institute of Health Sciences, The Chinese University of Hong Kong, The Prince of Wales Hospital, Hong Kong, China","author":[{"family":"Ma","given":"RCW"},{"family":"Chan","given":"JCN"}]}}],"schema":"https://github.com/citation-style-language/schema/raw/master/csl-citation.json"} </w:instrText>
      </w:r>
      <w:r>
        <w:rPr>
          <w:rFonts w:ascii="Times New Roman" w:hAnsi="Times New Roman" w:eastAsia="Times New Roman" w:cs="Times New Roman"/>
          <w:sz w:val="24"/>
          <w:szCs w:val="24"/>
          <w:lang w:val="en-US" w:eastAsia="da-DK" w:bidi="lo-LA"/>
        </w:rPr>
        <w:fldChar w:fldCharType="separate"/>
      </w:r>
      <w:r>
        <w:rPr>
          <w:rFonts w:ascii="Times New Roman" w:hAnsi="Times New Roman" w:eastAsia="Times New Roman" w:cs="Times New Roman"/>
          <w:sz w:val="24"/>
          <w:szCs w:val="24"/>
          <w:lang w:val="en-US" w:eastAsia="da-DK" w:bidi="lo-LA"/>
        </w:rPr>
        <w:t>(5)</w:t>
      </w:r>
      <w:r>
        <w:rPr>
          <w:rFonts w:ascii="Times New Roman" w:hAnsi="Times New Roman" w:eastAsia="Times New Roman" w:cs="Times New Roman"/>
          <w:sz w:val="24"/>
          <w:szCs w:val="24"/>
          <w:lang w:val="en-US" w:eastAsia="da-DK" w:bidi="lo-LA"/>
        </w:rPr>
        <w:fldChar w:fldCharType="end"/>
      </w:r>
      <w:r>
        <w:rPr>
          <w:rFonts w:ascii="Times New Roman" w:hAnsi="Times New Roman" w:eastAsia="Times New Roman" w:cs="Times New Roman"/>
          <w:sz w:val="24"/>
          <w:szCs w:val="24"/>
          <w:lang w:val="en-US" w:eastAsia="da-DK" w:bidi="lo-LA"/>
        </w:rPr>
        <w:t xml:space="preserve">. In addition, the South-East Asians diet is associated with diabetes risk factors </w:t>
      </w:r>
      <w:r>
        <w:rPr>
          <w:rFonts w:ascii="Times New Roman" w:hAnsi="Times New Roman" w:eastAsia="Times New Roman" w:cs="Times New Roman"/>
          <w:sz w:val="24"/>
          <w:szCs w:val="24"/>
          <w:lang w:val="en-US" w:eastAsia="da-DK" w:bidi="lo-LA"/>
        </w:rPr>
        <w:fldChar w:fldCharType="begin"/>
      </w:r>
      <w:r>
        <w:rPr>
          <w:rFonts w:ascii="Times New Roman" w:hAnsi="Times New Roman" w:eastAsia="Times New Roman" w:cs="Times New Roman"/>
          <w:sz w:val="24"/>
          <w:szCs w:val="24"/>
          <w:lang w:val="en-US" w:eastAsia="da-DK" w:bidi="lo-LA"/>
        </w:rPr>
        <w:instrText xml:space="preserve"> ADDIN ZOTERO_ITEM CSL_CITATION {"citationID":"u5iJwcXL","properties":{"formattedCitation":"(15)","plainCitation":"(15)","noteIndex":0},"citationItems":[{"id":20,"uris":["http://zotero.org/users/local/PN0CPJUW/items/LR72Q6QQ"],"uri":["http://zotero.org/users/local/PN0CPJUW/items/LR72Q6QQ"],"itemData":{"id":20,"type":"report","title":"Backgrounder Series Diabetes.","publisher":"Health Research and Social Development Forum (HERD)","publisher-place":"Thapathali, Kathmandu, Nepal, February 2016","event-place":"Thapathali, Kathmandu, Nepal, February 2016","author":[{"family":"Baral","given":"S"},{"family":"Uprety","given":"S"},{"family":"Limichhane","given":"B"}]}}],"schema":"https://github.com/citation-style-language/schema/raw/master/csl-citation.json"} </w:instrText>
      </w:r>
      <w:r>
        <w:rPr>
          <w:rFonts w:ascii="Times New Roman" w:hAnsi="Times New Roman" w:eastAsia="Times New Roman" w:cs="Times New Roman"/>
          <w:sz w:val="24"/>
          <w:szCs w:val="24"/>
          <w:lang w:val="en-US" w:eastAsia="da-DK" w:bidi="lo-LA"/>
        </w:rPr>
        <w:fldChar w:fldCharType="separate"/>
      </w:r>
      <w:r>
        <w:rPr>
          <w:rFonts w:ascii="Times New Roman" w:hAnsi="Times New Roman" w:eastAsia="Times New Roman" w:cs="Times New Roman"/>
          <w:sz w:val="24"/>
          <w:szCs w:val="24"/>
          <w:lang w:val="en-US" w:eastAsia="da-DK" w:bidi="lo-LA"/>
        </w:rPr>
        <w:t>(6)</w:t>
      </w:r>
      <w:r>
        <w:rPr>
          <w:rFonts w:ascii="Times New Roman" w:hAnsi="Times New Roman" w:eastAsia="Times New Roman" w:cs="Times New Roman"/>
          <w:sz w:val="24"/>
          <w:szCs w:val="24"/>
          <w:lang w:val="en-US" w:eastAsia="da-DK" w:bidi="lo-LA"/>
        </w:rPr>
        <w:fldChar w:fldCharType="end"/>
      </w:r>
      <w:r>
        <w:rPr>
          <w:rFonts w:ascii="Times New Roman" w:hAnsi="Times New Roman" w:eastAsia="Times New Roman" w:cs="Times New Roman"/>
          <w:sz w:val="24"/>
          <w:szCs w:val="24"/>
          <w:lang w:val="en-US" w:eastAsia="da-DK" w:bidi="lo-LA"/>
        </w:rPr>
        <w:t xml:space="preserve">. </w:t>
      </w:r>
    </w:p>
    <w:p w14:paraId="06517CF5">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On top of all these problems, we lack the experience in how to prevent and treat the patients with type 2 diabetes in the developing countries, although some experience is published in reviews from Malaysia (7) and the African Region (8).  Even in the western countries the methods are heterogeneous and the results debatable in a meta-analysis (9).  </w:t>
      </w:r>
    </w:p>
    <w:p w14:paraId="79216356">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In this study, we </w:t>
      </w:r>
      <w:commentRangeStart w:id="1"/>
      <w:r>
        <w:rPr>
          <w:rFonts w:ascii="Times New Roman" w:hAnsi="Times New Roman" w:eastAsia="Times New Roman" w:cs="Times New Roman"/>
          <w:sz w:val="24"/>
          <w:szCs w:val="24"/>
          <w:lang w:val="en-US" w:eastAsia="da-DK" w:bidi="lo-LA"/>
        </w:rPr>
        <w:t>aimed at testing the well-established Danish principles (10) in Laos</w:t>
      </w:r>
      <w:commentRangeEnd w:id="1"/>
      <w:r>
        <w:commentReference w:id="1"/>
      </w:r>
      <w:r>
        <w:rPr>
          <w:rFonts w:ascii="Times New Roman" w:hAnsi="Times New Roman" w:eastAsia="Times New Roman" w:cs="Times New Roman"/>
          <w:sz w:val="24"/>
          <w:szCs w:val="24"/>
          <w:lang w:val="en-US" w:eastAsia="da-DK" w:bidi="lo-LA"/>
        </w:rPr>
        <w:t xml:space="preserve">. </w:t>
      </w:r>
    </w:p>
    <w:p w14:paraId="10ECC82A">
      <w:pPr>
        <w:spacing w:after="0" w:line="480" w:lineRule="auto"/>
        <w:rPr>
          <w:rFonts w:ascii="Times New Roman" w:hAnsi="Times New Roman" w:eastAsia="Times New Roman" w:cs="Times New Roman"/>
          <w:sz w:val="24"/>
          <w:szCs w:val="24"/>
          <w:lang w:val="en-US" w:eastAsia="da-DK" w:bidi="lo-LA"/>
        </w:rPr>
      </w:pPr>
    </w:p>
    <w:p w14:paraId="66C7B8B7">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Material and Methods</w:t>
      </w:r>
      <w:r>
        <w:commentReference w:id="2"/>
      </w:r>
    </w:p>
    <w:p w14:paraId="17062CEF">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One hundred patients with type 2 diabetes (aged ≥18) were included in the study, and randomized by sealed envelopes to 50 in the intervention group (diabetes education) and 50 in the control group (usual care) (Fig 1.). Patients were recruited in relation to a routine check in the department of endocrinology, and the 100 randomly selected Lao patients consisted of 37 males (age 36-78 years) and 63 females (34-78 years) (Table 1). The intervention group at baseline is defined as “Intervention T0”, and intervention group after 12 weeks intervention is defined as “Intervention T12”. Control group at baseline is defined as “Control T0” and control group after 12 weeks is defined as “Control T12”. </w:t>
      </w:r>
    </w:p>
    <w:p w14:paraId="62F6883E">
      <w:pPr>
        <w:widowControl w:val="0"/>
        <w:autoSpaceDE w:val="0"/>
        <w:autoSpaceDN w:val="0"/>
        <w:adjustRightInd w:val="0"/>
        <w:spacing w:after="240" w:line="48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The design was an un-blinded non stratified Randomized Controlled Trial (RCT). The diagnosis of type 2 diabetes and impaired glucose tolerance was based on the WHO-IDF criteria (11). HbA1c, serum total cholesterol, serum low density lipoprotein (S-LDL),  serum high density lipoprotein (S-HDL), serum triglycerides (S-TG), creatinine, blood pressure, anthropometric characteristics, habitual diet, and co-morbidities was registered. Not all patients in the intervention group attended the training intended (Table 2). The effects on self-reported quality of life were evaluated using the EQ-5D questionnaire and VAS. </w:t>
      </w:r>
    </w:p>
    <w:p w14:paraId="26D58DF0">
      <w:pPr>
        <w:widowControl w:val="0"/>
        <w:autoSpaceDE w:val="0"/>
        <w:autoSpaceDN w:val="0"/>
        <w:adjustRightInd w:val="0"/>
        <w:spacing w:after="240" w:line="48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Results</w:t>
      </w:r>
      <w:r>
        <w:commentReference w:id="3"/>
      </w:r>
    </w:p>
    <w:p w14:paraId="69B2FABD">
      <w:pPr>
        <w:spacing w:line="480" w:lineRule="auto"/>
        <w:rPr>
          <w:rFonts w:ascii="Times New Roman" w:hAnsi="Times New Roman" w:cs="Times New Roman"/>
          <w:sz w:val="24"/>
          <w:szCs w:val="24"/>
          <w:lang w:val="en-US"/>
        </w:rPr>
      </w:pPr>
      <w:bookmarkStart w:id="0" w:name="_Toc534797986"/>
      <w:r>
        <w:rPr>
          <w:rFonts w:ascii="Times New Roman" w:hAnsi="Times New Roman" w:cs="Times New Roman"/>
          <w:sz w:val="24"/>
          <w:szCs w:val="24"/>
          <w:lang w:val="en-US"/>
        </w:rPr>
        <w:t xml:space="preserve">Eight patients (two died) corresponding to 16% in the intervention group did not attend any of the educational sessions. Out of the remaining 42 patients 39 (92.9%) attended the nutrition session, 33 (78.6%) attended the exercise and physical activity session, 33 (78.6%) attended the comorbidity session. 30 (71.4%) patients attended all three group sessions. </w:t>
      </w:r>
    </w:p>
    <w:p w14:paraId="13B9A0EA">
      <w:pPr>
        <w:spacing w:after="0" w:line="48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Fasting plasma glucose</w:t>
      </w:r>
      <w:bookmarkEnd w:id="0"/>
      <w:r>
        <w:rPr>
          <w:rFonts w:ascii="Times New Roman" w:hAnsi="Times New Roman" w:cs="Times New Roman"/>
          <w:color w:val="000000" w:themeColor="text1"/>
          <w:sz w:val="24"/>
          <w:szCs w:val="24"/>
          <w:lang w:val="en-US"/>
          <w14:textFill>
            <w14:solidFill>
              <w14:schemeClr w14:val="tx1"/>
            </w14:solidFill>
          </w14:textFill>
        </w:rPr>
        <w:t xml:space="preserve"> was not significantly different between the intervention group and the control group at baseline or after 12 weeks, but the FPG from baseline to 12 weeks was a decrease in the intervention group </w:t>
      </w:r>
      <w:commentRangeStart w:id="4"/>
      <w:r>
        <w:rPr>
          <w:rFonts w:ascii="Times New Roman" w:hAnsi="Times New Roman" w:cs="Times New Roman"/>
          <w:color w:val="000000" w:themeColor="text1"/>
          <w:sz w:val="24"/>
          <w:szCs w:val="24"/>
          <w:lang w:val="en-US"/>
          <w14:textFill>
            <w14:solidFill>
              <w14:schemeClr w14:val="tx1"/>
            </w14:solidFill>
          </w14:textFill>
        </w:rPr>
        <w:t>( 21.0 mg/dl (SD 88.8))</w:t>
      </w:r>
      <w:commentRangeEnd w:id="4"/>
      <w:r>
        <w:commentReference w:id="4"/>
      </w:r>
      <w:r>
        <w:rPr>
          <w:rFonts w:ascii="Times New Roman" w:hAnsi="Times New Roman" w:cs="Times New Roman"/>
          <w:color w:val="000000" w:themeColor="text1"/>
          <w:sz w:val="24"/>
          <w:szCs w:val="24"/>
          <w:lang w:val="en-US"/>
          <w14:textFill>
            <w14:solidFill>
              <w14:schemeClr w14:val="tx1"/>
            </w14:solidFill>
          </w14:textFill>
        </w:rPr>
        <w:t xml:space="preserve">, but an increase in the control group (18.6 mg/dl (SD 48.8 mg/dl)) (p = 0.02) (Fig 2). At the same time, the intervention had a significant weight reducing effect (Fig 3). The waist to hip ratio increased in the intervention group after 12 weeks (0.002 cm (SD - 0.01)), but decreased in the control group by 0.6 cm (SD 2.2) (p= 0.02). </w:t>
      </w:r>
      <w:r>
        <w:rPr>
          <w:rFonts w:ascii="Times New Roman" w:hAnsi="Times New Roman" w:eastAsia="Times New Roman" w:cs="Times New Roman"/>
          <w:lang w:val="en-US" w:eastAsia="da-DK" w:bidi="lo-LA"/>
        </w:rPr>
        <w:t>HbA1c</w:t>
      </w:r>
      <w:r>
        <w:rPr>
          <w:rFonts w:ascii="Times New Roman" w:hAnsi="Times New Roman" w:cs="Times New Roman"/>
          <w:color w:val="000000" w:themeColor="text1"/>
          <w:sz w:val="24"/>
          <w:szCs w:val="24"/>
          <w:lang w:val="en-US"/>
          <w14:textFill>
            <w14:solidFill>
              <w14:schemeClr w14:val="tx1"/>
            </w14:solidFill>
          </w14:textFill>
        </w:rPr>
        <w:t xml:space="preserve"> did not change significantly in any of the groups with a decrease </w:t>
      </w:r>
      <w:r>
        <w:rPr>
          <w:rFonts w:ascii="Times New Roman" w:hAnsi="Times New Roman" w:cs="Times New Roman"/>
          <w:sz w:val="24"/>
          <w:szCs w:val="24"/>
          <w:lang w:val="en-US"/>
        </w:rPr>
        <w:t xml:space="preserve">in the intervention group by 7.7 mmol/mol (SD 5.2) and 13.4 mmol/mol (SD 2.7) in the control group. </w:t>
      </w:r>
    </w:p>
    <w:p w14:paraId="3D76FC5F">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cs="Times New Roman"/>
          <w:color w:val="000000" w:themeColor="text1"/>
          <w:sz w:val="24"/>
          <w:szCs w:val="24"/>
          <w:lang w:val="en-US"/>
          <w14:textFill>
            <w14:solidFill>
              <w14:schemeClr w14:val="tx1"/>
            </w14:solidFill>
          </w14:textFill>
        </w:rPr>
        <w:t xml:space="preserve">The </w:t>
      </w:r>
      <w:r>
        <w:rPr>
          <w:rFonts w:ascii="Times New Roman" w:hAnsi="Times New Roman" w:eastAsia="Times New Roman" w:cs="Times New Roman"/>
          <w:sz w:val="24"/>
          <w:szCs w:val="24"/>
          <w:lang w:val="en-US" w:eastAsia="da-DK" w:bidi="lo-LA"/>
        </w:rPr>
        <w:t xml:space="preserve">mean systolic blood pressure in the intervention group decreased by 5.6 mmHg (SD 17.4 </w:t>
      </w:r>
      <w:r>
        <w:rPr>
          <w:rFonts w:ascii="Times New Roman" w:hAnsi="Times New Roman" w:eastAsia="Times New Roman" w:cs="Times New Roman"/>
          <w:color w:val="000000"/>
          <w:sz w:val="24"/>
          <w:szCs w:val="24"/>
          <w:lang w:val="en-US" w:eastAsia="da-DK" w:bidi="lo-LA"/>
        </w:rPr>
        <w:t>mmHg</w:t>
      </w:r>
      <w:r>
        <w:rPr>
          <w:rFonts w:ascii="Times New Roman" w:hAnsi="Times New Roman" w:eastAsia="Times New Roman" w:cs="Times New Roman"/>
          <w:sz w:val="24"/>
          <w:szCs w:val="24"/>
          <w:lang w:val="en-US" w:eastAsia="da-DK" w:bidi="lo-LA"/>
        </w:rPr>
        <w:t>) while it increased in the control group (1.8 mmHg (SD 15.5))(Fig 4). These differences were not significantly different. Neither were the changes in the diastolic pressure.</w:t>
      </w:r>
    </w:p>
    <w:p w14:paraId="18BCB024">
      <w:pPr>
        <w:widowControl w:val="0"/>
        <w:autoSpaceDE w:val="0"/>
        <w:autoSpaceDN w:val="0"/>
        <w:adjustRightInd w:val="0"/>
        <w:spacing w:after="240" w:line="480" w:lineRule="auto"/>
        <w:rPr>
          <w:rFonts w:ascii="Times New Roman" w:hAnsi="Times New Roman" w:cs="Times New Roman"/>
          <w:sz w:val="24"/>
          <w:szCs w:val="24"/>
          <w:lang w:val="en-US"/>
        </w:rPr>
      </w:pPr>
      <w:commentRangeStart w:id="5"/>
      <w:r>
        <w:rPr>
          <w:rFonts w:ascii="Times New Roman" w:hAnsi="Times New Roman" w:cs="Times New Roman"/>
          <w:sz w:val="24"/>
          <w:szCs w:val="24"/>
          <w:lang w:val="en-US"/>
        </w:rPr>
        <w:t>After 12 weeks EQ-5D questionnaire was completed by 45 (90%) patients in the intervention group and by 46 (92%) of the control group (Fig 5)</w:t>
      </w:r>
      <w:commentRangeEnd w:id="5"/>
      <w:r>
        <w:commentReference w:id="5"/>
      </w:r>
    </w:p>
    <w:p w14:paraId="2B8E936C">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Neither plasma creatinine nor plasma lipids changed significantly during the 12 weeks in either group.</w:t>
      </w:r>
    </w:p>
    <w:p w14:paraId="6381DC11">
      <w:pPr>
        <w:widowControl w:val="0"/>
        <w:autoSpaceDE w:val="0"/>
        <w:autoSpaceDN w:val="0"/>
        <w:adjustRightInd w:val="0"/>
        <w:spacing w:after="240" w:line="480" w:lineRule="auto"/>
        <w:rPr>
          <w:rFonts w:ascii="Times New Roman" w:hAnsi="Times New Roman" w:cs="Times New Roman"/>
          <w:sz w:val="24"/>
          <w:szCs w:val="24"/>
          <w:lang w:val="en-US"/>
        </w:rPr>
      </w:pPr>
      <w:commentRangeStart w:id="6"/>
      <w:r>
        <w:rPr>
          <w:rFonts w:ascii="Times New Roman" w:hAnsi="Times New Roman" w:cs="Times New Roman"/>
          <w:sz w:val="24"/>
          <w:szCs w:val="24"/>
          <w:lang w:val="en-US"/>
        </w:rPr>
        <w:t>The patient’s own opinion about their disease during the 12 weeks of observation did not display major differences between the randomization groups (Fig 5) judged by the results of EQ-5D and visual analogue scales (VAS) for patients self-rated health status on a graduated scale (0-100). Both groups reported good mobility. No one reported, “I am confined to bed” in the intervention group, but some had problems with self-care in the control group (Fig 5).  All patients complained about pain discomforts, and the severity increased with age ≥ 60 years. The severity and number of patients reporting anxiety and depression follows the distribution of pain, increasing with age. Quality of life evaluated by VAS the patient’s self-rated health status on a graduated scale (0-100) shows a trend towards decreasing quality of life with age, regardless of sex. The women in general reported lower quality of life than the men in the intervention group, but the opposite in the control group. None of these trends reached statistical significance.</w:t>
      </w:r>
    </w:p>
    <w:p w14:paraId="0816617E">
      <w:pPr>
        <w:widowControl w:val="0"/>
        <w:autoSpaceDE w:val="0"/>
        <w:autoSpaceDN w:val="0"/>
        <w:adjustRightInd w:val="0"/>
        <w:spacing w:after="240" w:line="480" w:lineRule="auto"/>
        <w:rPr>
          <w:rFonts w:ascii="Times New Roman" w:hAnsi="Times New Roman" w:cs="Times New Roman"/>
          <w:sz w:val="24"/>
          <w:szCs w:val="24"/>
          <w:lang w:val="en-US"/>
        </w:rPr>
      </w:pPr>
      <w:bookmarkStart w:id="1" w:name="_Toc534798000"/>
      <w:r>
        <w:rPr>
          <w:rFonts w:ascii="Times New Roman" w:hAnsi="Times New Roman" w:cs="Times New Roman"/>
          <w:sz w:val="24"/>
          <w:szCs w:val="24"/>
          <w:lang w:val="en-US"/>
        </w:rPr>
        <w:t>Results of semi-structured focus group interviews with doctors from the Outpatient Department</w:t>
      </w:r>
      <w:bookmarkEnd w:id="1"/>
      <w:r>
        <w:rPr>
          <w:rFonts w:ascii="Times New Roman" w:hAnsi="Times New Roman" w:cs="Times New Roman"/>
          <w:sz w:val="24"/>
          <w:szCs w:val="24"/>
          <w:lang w:val="en-US"/>
        </w:rPr>
        <w:t xml:space="preserve">:  </w:t>
      </w:r>
      <w:commentRangeEnd w:id="6"/>
      <w:r>
        <w:commentReference w:id="6"/>
      </w:r>
    </w:p>
    <w:p w14:paraId="07E4711D">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In short the dominating opinion among the staff members about the patient’s reactions to type 2 diabetes was, that the patients with type 2 diabetes clearly underestimates the severity of the disease and the risk of complications. The compliance to medication (including insulin) and life style modifications is poor. They feel that the patients believe more in herbs, ayurvedic medicine or advertising seen on Facebook or television. Another problem is that many patients are not referred to the nutrition team. The doctors stated that the patients were not attentive to preventive advices about nutrition and physical activity. Many patients are acutely admitted and recommended to attend the OPD after discharge, but many does not, and if starting at the OPD, the doctors estimated that only about 70% of the patients return for results of tests and follow-up although recommended. Many patients prescribed insulin didn´t know how to inject the drug.</w:t>
      </w:r>
    </w:p>
    <w:p w14:paraId="61D41F74">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bCs/>
          <w:sz w:val="24"/>
          <w:szCs w:val="24"/>
          <w:lang w:val="en-US"/>
        </w:rPr>
        <w:t xml:space="preserve">The </w:t>
      </w:r>
      <w:commentRangeStart w:id="7"/>
      <w:r>
        <w:rPr>
          <w:rFonts w:ascii="Times New Roman" w:hAnsi="Times New Roman" w:cs="Times New Roman"/>
          <w:bCs/>
          <w:sz w:val="24"/>
          <w:szCs w:val="24"/>
          <w:lang w:val="en-US"/>
        </w:rPr>
        <w:t xml:space="preserve">interviews </w:t>
      </w:r>
      <w:commentRangeEnd w:id="7"/>
      <w:r>
        <w:commentReference w:id="7"/>
      </w:r>
      <w:r>
        <w:rPr>
          <w:rFonts w:ascii="Times New Roman" w:hAnsi="Times New Roman" w:cs="Times New Roman"/>
          <w:bCs/>
          <w:sz w:val="24"/>
          <w:szCs w:val="24"/>
          <w:lang w:val="en-US"/>
        </w:rPr>
        <w:t>with doctors and nurses from the nutrition team confirmed, that they considered the knowledge about prevention of complications is very poor, concerning both healthy foods, nutrition and exercise and the effects on blood glucose and atherosclerotic complications.</w:t>
      </w:r>
      <w:r>
        <w:rPr>
          <w:rFonts w:ascii="Times New Roman" w:hAnsi="Times New Roman" w:cs="Times New Roman"/>
          <w:sz w:val="24"/>
          <w:szCs w:val="24"/>
          <w:lang w:val="en-US"/>
        </w:rPr>
        <w:t xml:space="preserve"> One nurse stated that this knowledge had only been in the team for very few years. The team confirmed the lack of referral of patients to the team, and estimated that only 5-10 % of the referred patients show up. In general, all the members of the nutrition team feel, that the patients always believe more in a grandmother, mother or sister and listen more to their advice, than the advices from any doctors or nurses. It is a frequent problem as well as the lack of trust concerning changes in life style. Especially young people with type 2 diabetes have major problems understanding and accepting, that they can`t drink alcohol, can`t eat a lot of fast food and/or drink a lot of cola or juice. The nutrition team explain that it is difficult because the young patients just want the same lifestyle as their friends. </w:t>
      </w:r>
    </w:p>
    <w:p w14:paraId="21C78EA4">
      <w:pPr>
        <w:keepNext/>
        <w:keepLines/>
        <w:spacing w:before="240" w:after="0" w:line="480" w:lineRule="auto"/>
        <w:outlineLvl w:val="0"/>
        <w:rPr>
          <w:rFonts w:ascii="Times New Roman" w:hAnsi="Times New Roman" w:cs="Times New Roman"/>
          <w:sz w:val="24"/>
          <w:szCs w:val="24"/>
          <w:lang w:val="en-US"/>
        </w:rPr>
      </w:pPr>
      <w:r>
        <w:rPr>
          <w:rFonts w:ascii="Times New Roman" w:hAnsi="Times New Roman" w:cs="Times New Roman"/>
          <w:sz w:val="24"/>
          <w:szCs w:val="24"/>
          <w:lang w:val="en-US"/>
        </w:rPr>
        <w:t>Discussion</w:t>
      </w:r>
      <w:r>
        <w:commentReference w:id="8"/>
      </w:r>
    </w:p>
    <w:p w14:paraId="78754907">
      <w:pPr>
        <w:widowControl w:val="0"/>
        <w:autoSpaceDE w:val="0"/>
        <w:autoSpaceDN w:val="0"/>
        <w:adjustRightInd w:val="0"/>
        <w:spacing w:after="240" w:line="480" w:lineRule="auto"/>
        <w:rPr>
          <w:rFonts w:ascii="Times New Roman" w:hAnsi="Times New Roman" w:cs="Times New Roman"/>
          <w:sz w:val="24"/>
          <w:szCs w:val="24"/>
          <w:lang w:val="en-US"/>
        </w:rPr>
      </w:pPr>
      <w:commentRangeStart w:id="9"/>
      <w:commentRangeStart w:id="10"/>
      <w:r>
        <w:rPr>
          <w:rFonts w:ascii="Times New Roman" w:hAnsi="Times New Roman" w:cs="Times New Roman"/>
          <w:sz w:val="24"/>
          <w:szCs w:val="24"/>
          <w:lang w:val="en-US"/>
        </w:rPr>
        <w:t xml:space="preserve">Only few data were available from baseline, as it is not possible to send out questionnaires to the patients by post or email as many of the patients have troubles with reading and writing. </w:t>
      </w:r>
      <w:commentRangeEnd w:id="9"/>
      <w:r>
        <w:commentReference w:id="9"/>
      </w:r>
      <w:r>
        <w:rPr>
          <w:rFonts w:ascii="Times New Roman" w:hAnsi="Times New Roman" w:cs="Times New Roman"/>
          <w:sz w:val="24"/>
          <w:szCs w:val="24"/>
          <w:lang w:val="en-US"/>
        </w:rPr>
        <w:t>This and other logistic problems constitute a selection bias, as only the best patients were able to participate in the study. Another similar problem was the difficult transport to the clinic, as the patients have to pay themselves. Patients with mobility problems had major problems in that aspect too. This also means that self-care is necessary in many aspects and tight clinical and biochemical control is unrealistic.</w:t>
      </w:r>
      <w:commentRangeEnd w:id="10"/>
      <w:r>
        <w:commentReference w:id="10"/>
      </w:r>
      <w:r>
        <w:rPr>
          <w:rFonts w:ascii="Times New Roman" w:hAnsi="Times New Roman" w:cs="Times New Roman"/>
          <w:sz w:val="24"/>
          <w:szCs w:val="24"/>
          <w:lang w:val="en-US"/>
        </w:rPr>
        <w:t xml:space="preserve"> The nature of EQ-5D leads to a high ceiling effect in the assessment of the health status and contributes to the general overestimation of results obtained (12). It is well documented, that life style interventions are an important part of the treatment of type 2 diabetes among these diabetes self-management education (DSME). DSME can be delivered in many forms, and DSME is important for all individuals with diabetes who want to improve diabetes care and to achieve successful health related outcomes (13). Group based DSME is a cheaper method than individual consultations and another advantage is, that group based DSME allow patients to meet and discuss (14). Steinsbekk et al. showed, that group-based DSME for patients with type 2 diabetes results in improvements in lifestyle, clinical and psychosocial outcomes (15). In the study “Education of type 2 why not in group” Lozano et al. concluded, that group education may be effective, especially because of the increase in knowledge about the disease improves the motivation for a change to a healthier life-style (16). Adachi et al. also demonstrated the effectiveness of lifestyle education for patients with type 2 diabetes in Japan finding a reduction in HbA1c after six months of education (17). Using a 12-weeks education program Tan et al. demonstrated significant results in poorly regulated type 2 diabetes patients on both glycemic control, dietary intake, physical activity, medication adherence rate, and self-monitoring of blood glucose compared to a control group (18).</w:t>
      </w:r>
    </w:p>
    <w:p w14:paraId="467F8A7A">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Conclusions</w:t>
      </w:r>
      <w:r>
        <w:commentReference w:id="11"/>
      </w:r>
    </w:p>
    <w:p w14:paraId="25F04AC1">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The 12-week diabetes school reduces FPG and BMI. Disease insight is modest in the Laotian patients with type 2 diabetes and health professionals, but structured education of the patients have beneficial effects for both groups. This type of patient education is recommended for countries in a similar situation as Laos.</w:t>
      </w:r>
    </w:p>
    <w:p w14:paraId="0E709F30">
      <w:pPr>
        <w:keepNext/>
        <w:keepLines/>
        <w:spacing w:before="240" w:after="0" w:line="480" w:lineRule="auto"/>
        <w:outlineLvl w:val="0"/>
        <w:rPr>
          <w:rFonts w:ascii="Times New Roman" w:hAnsi="Times New Roman" w:cs="Times New Roman"/>
          <w:sz w:val="24"/>
          <w:szCs w:val="24"/>
          <w:lang w:val="en-US"/>
        </w:rPr>
      </w:pPr>
    </w:p>
    <w:p w14:paraId="1197BC7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D54DB0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References</w:t>
      </w:r>
    </w:p>
    <w:p w14:paraId="54CC6C00">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1. OECD-library. Health at a Glance: Asia/Pacific 2020: Measuring Progress towards Universal Health Coverage. Accessed 29.12.2023. </w:t>
      </w:r>
      <w:r>
        <w:fldChar w:fldCharType="begin"/>
      </w:r>
      <w:r>
        <w:instrText xml:space="preserve"> HYPERLINK "https://www.oecd-ilibrary.org/sites/28d8f502-en/index.html?itemId=/content/component/28d8f502-en" \l ":~:text=Among%20the%2027%20Asia-Pacific%20countries%20and%20territories%20and,to%2015.9%25%20in%20Fiji%20%28Figure%203.34%2C%20left%20panel%29" </w:instrText>
      </w:r>
      <w:r>
        <w:fldChar w:fldCharType="separate"/>
      </w:r>
      <w:r>
        <w:rPr>
          <w:rStyle w:val="12"/>
          <w:rFonts w:ascii="Times New Roman" w:hAnsi="Times New Roman" w:eastAsia="Times New Roman" w:cs="Times New Roman"/>
          <w:sz w:val="24"/>
          <w:szCs w:val="24"/>
          <w:lang w:val="en-US" w:eastAsia="da-DK" w:bidi="lo-LA"/>
        </w:rPr>
        <w:t>https://www.oecd-ilibrary.org/sites/28d8f502-en/index.html?itemId=/content/component/28d8f502-en#:~:text=Among%20the%2027%20Asia-Pacific%20countries%20and%20territories%20and,to%2015.9%25%20in%20Fiji%20%28Figure%203.34%2C%20left%20panel%29</w:t>
      </w:r>
      <w:r>
        <w:rPr>
          <w:rStyle w:val="12"/>
          <w:rFonts w:ascii="Times New Roman" w:hAnsi="Times New Roman" w:eastAsia="Times New Roman" w:cs="Times New Roman"/>
          <w:sz w:val="24"/>
          <w:szCs w:val="24"/>
          <w:lang w:val="en-US" w:eastAsia="da-DK" w:bidi="lo-LA"/>
        </w:rPr>
        <w:fldChar w:fldCharType="end"/>
      </w:r>
      <w:r>
        <w:rPr>
          <w:rFonts w:ascii="Times New Roman" w:hAnsi="Times New Roman" w:eastAsia="Times New Roman" w:cs="Times New Roman"/>
          <w:sz w:val="24"/>
          <w:szCs w:val="24"/>
          <w:lang w:val="en-US" w:eastAsia="da-DK" w:bidi="lo-LA"/>
        </w:rPr>
        <w:t xml:space="preserve">  </w:t>
      </w:r>
    </w:p>
    <w:p w14:paraId="0EDE2ABB">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2. World health statistics 2023: monitoring health for the SDGs, Sustainable Development Goals, p. 10. ISBN 978-92-4-007432-3. World Health Organization 2023</w:t>
      </w:r>
    </w:p>
    <w:p w14:paraId="4A27EE9A">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3. WHO health statistics for South East Asia. </w:t>
      </w:r>
      <w:r>
        <w:fldChar w:fldCharType="begin"/>
      </w:r>
      <w:r>
        <w:instrText xml:space="preserve"> HYPERLINK "https://www.who.int/southeastasia/activities/management-of-diabetes" </w:instrText>
      </w:r>
      <w:r>
        <w:fldChar w:fldCharType="separate"/>
      </w:r>
      <w:r>
        <w:rPr>
          <w:rStyle w:val="12"/>
          <w:rFonts w:ascii="Times New Roman" w:hAnsi="Times New Roman" w:eastAsia="Times New Roman" w:cs="Times New Roman"/>
          <w:sz w:val="24"/>
          <w:szCs w:val="24"/>
          <w:lang w:val="en-US" w:eastAsia="da-DK" w:bidi="lo-LA"/>
        </w:rPr>
        <w:t>https://www.who.int/southeastasia/activities/management-of-diabetes#</w:t>
      </w:r>
      <w:r>
        <w:rPr>
          <w:rStyle w:val="12"/>
          <w:rFonts w:ascii="Times New Roman" w:hAnsi="Times New Roman" w:eastAsia="Times New Roman" w:cs="Times New Roman"/>
          <w:sz w:val="24"/>
          <w:szCs w:val="24"/>
          <w:lang w:val="en-US" w:eastAsia="da-DK" w:bidi="lo-LA"/>
        </w:rPr>
        <w:fldChar w:fldCharType="end"/>
      </w:r>
      <w:r>
        <w:rPr>
          <w:rFonts w:ascii="Times New Roman" w:hAnsi="Times New Roman" w:eastAsia="Times New Roman" w:cs="Times New Roman"/>
          <w:sz w:val="24"/>
          <w:szCs w:val="24"/>
          <w:lang w:val="en-US" w:eastAsia="da-DK" w:bidi="lo-LA"/>
        </w:rPr>
        <w:t>. Accessed 03.01.2024.</w:t>
      </w:r>
    </w:p>
    <w:p w14:paraId="39FD394A">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4. Dendrup T, Feng X, Clingan S, Astell-Burt T. Environmental Risk Factors for Developing Type 2 Diabetes Mellitus: A Systematic Review. Int J Environ Res Public Health. 2018;5;15: 78. doi: 10.3390/ijerph15010078.</w:t>
      </w:r>
    </w:p>
    <w:p w14:paraId="57FA7EFF">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5. </w:t>
      </w:r>
      <w:r>
        <w:rPr>
          <w:rFonts w:ascii="Times New Roman" w:hAnsi="Times New Roman" w:eastAsia="Times New Roman" w:cs="Times New Roman"/>
          <w:sz w:val="24"/>
          <w:szCs w:val="24"/>
          <w:highlight w:val="yellow"/>
          <w:lang w:val="en-US" w:eastAsia="da-DK" w:bidi="lo-LA"/>
          <w:rPrChange w:id="0" w:author="chandra garbuja" w:date="2024-07-11T08:17:33Z">
            <w:rPr>
              <w:rFonts w:ascii="Times New Roman" w:hAnsi="Times New Roman" w:eastAsia="Times New Roman" w:cs="Times New Roman"/>
              <w:sz w:val="24"/>
              <w:szCs w:val="24"/>
              <w:lang w:val="en-US" w:eastAsia="da-DK" w:bidi="lo-LA"/>
            </w:rPr>
          </w:rPrChange>
        </w:rPr>
        <w:t>Ma RC, Chan JC. Type 2 diabetes in East Asians: similarities and differences with populations in Europe and the United States. Ann N Y Acad Sci. 2013;1281:64-91.</w:t>
      </w:r>
    </w:p>
    <w:p w14:paraId="0AE95422">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6. Kanaya AM. Diabetes in South Asians: Uncovering Novel Risk Factors With Longitudinal Epidemiologic Data: Kelly West Award Lecture 2023. Rev Diabet Care. 2024;47:7-16. </w:t>
      </w:r>
    </w:p>
    <w:p w14:paraId="7C1411D6">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7. Mustapa A, Justine M, Manaf H. Effects of patient education on the quality of life of patients with type 2 diabetes mellitus: A scoping review. Malays Fam Physician 2022;17:22-32.</w:t>
      </w:r>
    </w:p>
    <w:p w14:paraId="3102C587">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8. Kumah E, Otchere G, Ankomah SE, Fusheini A, Kokuro C, Aduo-Adjei K, Amankwah JA. Diabetes self-management education interventions in the WHO African Region: A scoping review. Plos One 2021;16:e0256123. Doi: 10.1371/journal.pone.0256123.eCollection 2021.</w:t>
      </w:r>
    </w:p>
    <w:p w14:paraId="5AFD9FCB">
      <w:pPr>
        <w:spacing w:after="0" w:line="480" w:lineRule="auto"/>
        <w:rPr>
          <w:rFonts w:ascii="Times New Roman" w:hAnsi="Times New Roman" w:eastAsia="Times New Roman" w:cs="Times New Roman"/>
          <w:sz w:val="24"/>
          <w:szCs w:val="24"/>
          <w:lang w:val="de-DE" w:eastAsia="da-DK" w:bidi="lo-LA"/>
        </w:rPr>
      </w:pPr>
      <w:r>
        <w:rPr>
          <w:rFonts w:ascii="Times New Roman" w:hAnsi="Times New Roman" w:eastAsia="Times New Roman" w:cs="Times New Roman"/>
          <w:sz w:val="24"/>
          <w:szCs w:val="24"/>
          <w:lang w:val="en-US" w:eastAsia="da-DK" w:bidi="lo-LA"/>
        </w:rPr>
        <w:t xml:space="preserve">9.  Correia JC, Waqas A, Huat TS, Gariani K, Jornayvaz FR, Golay A, Patraky Z. Effectiveness of therapeutic patient education interventions in obesity and diabetes: A review and meta-analysis of randomized controlled trials. </w:t>
      </w:r>
      <w:r>
        <w:rPr>
          <w:rFonts w:ascii="Times New Roman" w:hAnsi="Times New Roman" w:eastAsia="Times New Roman" w:cs="Times New Roman"/>
          <w:sz w:val="24"/>
          <w:szCs w:val="24"/>
          <w:lang w:val="de-DE" w:eastAsia="da-DK" w:bidi="lo-LA"/>
        </w:rPr>
        <w:t>Nutrients 2022;14:3807. doi.org/10.3390/nu14183807.</w:t>
      </w:r>
    </w:p>
    <w:p w14:paraId="1B9E06C5">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de-DE" w:eastAsia="da-DK" w:bidi="lo-LA"/>
        </w:rPr>
        <w:t xml:space="preserve">10. </w:t>
      </w:r>
      <w:r>
        <w:rPr>
          <w:rFonts w:ascii="Times New Roman" w:hAnsi="Times New Roman" w:eastAsia="Times New Roman" w:cs="Times New Roman"/>
          <w:sz w:val="24"/>
          <w:szCs w:val="24"/>
          <w:highlight w:val="yellow"/>
          <w:lang w:val="de-DE" w:eastAsia="da-DK" w:bidi="lo-LA"/>
          <w:rPrChange w:id="1" w:author="chandra garbuja" w:date="2024-07-11T08:17:53Z">
            <w:rPr>
              <w:rFonts w:ascii="Times New Roman" w:hAnsi="Times New Roman" w:eastAsia="Times New Roman" w:cs="Times New Roman"/>
              <w:sz w:val="24"/>
              <w:szCs w:val="24"/>
              <w:lang w:val="de-DE" w:eastAsia="da-DK" w:bidi="lo-LA"/>
            </w:rPr>
          </w:rPrChange>
        </w:rPr>
        <w:t xml:space="preserve">Willaing I, Folmann NB, Gisselbæk AB. </w:t>
      </w:r>
      <w:r>
        <w:rPr>
          <w:rFonts w:ascii="Times New Roman" w:hAnsi="Times New Roman" w:eastAsia="Times New Roman" w:cs="Times New Roman"/>
          <w:sz w:val="24"/>
          <w:szCs w:val="24"/>
          <w:highlight w:val="yellow"/>
          <w:lang w:val="en-US" w:eastAsia="da-DK" w:bidi="lo-LA"/>
          <w:rPrChange w:id="2" w:author="chandra garbuja" w:date="2024-07-11T08:17:53Z">
            <w:rPr>
              <w:rFonts w:ascii="Times New Roman" w:hAnsi="Times New Roman" w:eastAsia="Times New Roman" w:cs="Times New Roman"/>
              <w:sz w:val="24"/>
              <w:szCs w:val="24"/>
              <w:lang w:val="en-US" w:eastAsia="da-DK" w:bidi="lo-LA"/>
            </w:rPr>
          </w:rPrChange>
        </w:rPr>
        <w:t xml:space="preserve">Patient schools and group based patient education – a review with focus on methods and effects. The Danish Health Authority, 2005. (In Danish). </w:t>
      </w:r>
      <w:r>
        <w:rPr>
          <w:highlight w:val="yellow"/>
          <w:rPrChange w:id="3" w:author="chandra garbuja" w:date="2024-07-11T08:17:53Z">
            <w:rPr/>
          </w:rPrChange>
        </w:rPr>
        <w:fldChar w:fldCharType="begin"/>
      </w:r>
      <w:r>
        <w:rPr>
          <w:highlight w:val="yellow"/>
          <w:rPrChange w:id="4" w:author="chandra garbuja" w:date="2024-07-11T08:17:53Z">
            <w:rPr/>
          </w:rPrChange>
        </w:rPr>
        <w:instrText xml:space="preserve"> HYPERLINK "https://www.sst.dk/~/media/2092DEA2E1E84A8B8D6F033C49716D9F.ashx" </w:instrText>
      </w:r>
      <w:r>
        <w:rPr>
          <w:highlight w:val="yellow"/>
          <w:rPrChange w:id="5" w:author="chandra garbuja" w:date="2024-07-11T08:17:53Z">
            <w:rPr/>
          </w:rPrChange>
        </w:rPr>
        <w:fldChar w:fldCharType="separate"/>
      </w:r>
      <w:r>
        <w:rPr>
          <w:rStyle w:val="12"/>
          <w:rFonts w:ascii="Times New Roman" w:hAnsi="Times New Roman" w:eastAsia="Times New Roman" w:cs="Times New Roman"/>
          <w:sz w:val="24"/>
          <w:szCs w:val="24"/>
          <w:highlight w:val="yellow"/>
          <w:lang w:val="en-US" w:eastAsia="da-DK" w:bidi="lo-LA"/>
          <w:rPrChange w:id="6" w:author="chandra garbuja" w:date="2024-07-11T08:17:53Z">
            <w:rPr>
              <w:rStyle w:val="12"/>
              <w:rFonts w:ascii="Times New Roman" w:hAnsi="Times New Roman" w:eastAsia="Times New Roman" w:cs="Times New Roman"/>
              <w:sz w:val="24"/>
              <w:szCs w:val="24"/>
              <w:lang w:val="en-US" w:eastAsia="da-DK" w:bidi="lo-LA"/>
            </w:rPr>
          </w:rPrChange>
        </w:rPr>
        <w:t>https://www.sst.dk/~/media/2092DEA2E1E84A8B8D6F033C49716D9F.ashx</w:t>
      </w:r>
      <w:r>
        <w:rPr>
          <w:rStyle w:val="12"/>
          <w:rFonts w:ascii="Times New Roman" w:hAnsi="Times New Roman" w:eastAsia="Times New Roman" w:cs="Times New Roman"/>
          <w:sz w:val="24"/>
          <w:szCs w:val="24"/>
          <w:highlight w:val="yellow"/>
          <w:lang w:val="en-US" w:eastAsia="da-DK" w:bidi="lo-LA"/>
          <w:rPrChange w:id="7" w:author="chandra garbuja" w:date="2024-07-11T08:17:53Z">
            <w:rPr>
              <w:rStyle w:val="12"/>
              <w:rFonts w:ascii="Times New Roman" w:hAnsi="Times New Roman" w:eastAsia="Times New Roman" w:cs="Times New Roman"/>
              <w:sz w:val="24"/>
              <w:szCs w:val="24"/>
              <w:lang w:val="en-US" w:eastAsia="da-DK" w:bidi="lo-LA"/>
            </w:rPr>
          </w:rPrChange>
        </w:rPr>
        <w:fldChar w:fldCharType="end"/>
      </w:r>
      <w:r>
        <w:rPr>
          <w:rFonts w:ascii="Times New Roman" w:hAnsi="Times New Roman" w:eastAsia="Times New Roman" w:cs="Times New Roman"/>
          <w:sz w:val="24"/>
          <w:szCs w:val="24"/>
          <w:lang w:val="en-US" w:eastAsia="da-DK" w:bidi="lo-LA"/>
        </w:rPr>
        <w:t xml:space="preserve"> </w:t>
      </w:r>
    </w:p>
    <w:p w14:paraId="72BD782F">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11. WHO and International Diabetes Federation. Diagnosis and Management of Type 2 Diabetes. 2020. </w:t>
      </w:r>
      <w:r>
        <w:fldChar w:fldCharType="begin"/>
      </w:r>
      <w:r>
        <w:instrText xml:space="preserve"> HYPERLINK "https://iris.who.int/bitstream/handle/10665/331710/WHO-UCN-NCD-20.1-eng.pdf?sequence=1" </w:instrText>
      </w:r>
      <w:r>
        <w:fldChar w:fldCharType="separate"/>
      </w:r>
      <w:r>
        <w:rPr>
          <w:rStyle w:val="12"/>
          <w:rFonts w:ascii="Times New Roman" w:hAnsi="Times New Roman" w:eastAsia="Times New Roman" w:cs="Times New Roman"/>
          <w:sz w:val="24"/>
          <w:szCs w:val="24"/>
          <w:lang w:val="en-US" w:eastAsia="da-DK" w:bidi="lo-LA"/>
        </w:rPr>
        <w:t>https://iris.who.int/bitstream/handle/10665/331710/WHO-UCN-NCD-20.1-eng.pdf?sequence=1</w:t>
      </w:r>
      <w:r>
        <w:rPr>
          <w:rStyle w:val="12"/>
          <w:rFonts w:ascii="Times New Roman" w:hAnsi="Times New Roman" w:eastAsia="Times New Roman" w:cs="Times New Roman"/>
          <w:sz w:val="24"/>
          <w:szCs w:val="24"/>
          <w:lang w:val="en-US" w:eastAsia="da-DK" w:bidi="lo-LA"/>
        </w:rPr>
        <w:fldChar w:fldCharType="end"/>
      </w:r>
      <w:r>
        <w:rPr>
          <w:rFonts w:ascii="Times New Roman" w:hAnsi="Times New Roman" w:eastAsia="Times New Roman" w:cs="Times New Roman"/>
          <w:sz w:val="24"/>
          <w:szCs w:val="24"/>
          <w:lang w:val="en-US" w:eastAsia="da-DK" w:bidi="lo-LA"/>
        </w:rPr>
        <w:t xml:space="preserve"> </w:t>
      </w:r>
    </w:p>
    <w:p w14:paraId="618AAE0E">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12. </w:t>
      </w:r>
      <w:r>
        <w:rPr>
          <w:rFonts w:ascii="Times New Roman" w:hAnsi="Times New Roman" w:eastAsia="Times New Roman" w:cs="Times New Roman"/>
          <w:sz w:val="24"/>
          <w:szCs w:val="24"/>
          <w:highlight w:val="yellow"/>
          <w:lang w:val="en-US" w:eastAsia="da-DK" w:bidi="lo-LA"/>
          <w:rPrChange w:id="8" w:author="chandra garbuja" w:date="2024-07-11T08:18:05Z">
            <w:rPr>
              <w:rFonts w:ascii="Times New Roman" w:hAnsi="Times New Roman" w:eastAsia="Times New Roman" w:cs="Times New Roman"/>
              <w:sz w:val="24"/>
              <w:szCs w:val="24"/>
              <w:lang w:val="en-US" w:eastAsia="da-DK" w:bidi="lo-LA"/>
            </w:rPr>
          </w:rPrChange>
        </w:rPr>
        <w:t>Yang XJ, Zou SF, Xu Y, Li Y, Yang SS. The influence of intensive lifestyle intervention on patients w</w:t>
      </w:r>
      <w:r>
        <w:rPr>
          <w:rFonts w:ascii="Times New Roman" w:hAnsi="Times New Roman" w:eastAsia="Times New Roman" w:cs="Times New Roman"/>
          <w:sz w:val="24"/>
          <w:szCs w:val="24"/>
          <w:lang w:val="en-US" w:eastAsia="da-DK" w:bidi="lo-LA"/>
        </w:rPr>
        <w:t>ith isolated impaired fasting glucose: a meta-analysis. J Adv Nurs 2016; 72: 2587-97.</w:t>
      </w:r>
    </w:p>
    <w:p w14:paraId="099BDFB4">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13. American Diabetes Association. Improving Care and Promoting Health in Populations: Standards of Medical Care in Diabetes-2020. Diabetes Care. 2020;43(Suppl 1):S7-S13.</w:t>
      </w:r>
    </w:p>
    <w:p w14:paraId="798ABA8A">
      <w:pPr>
        <w:spacing w:after="0" w:line="480" w:lineRule="auto"/>
        <w:rPr>
          <w:rFonts w:ascii="Times New Roman" w:hAnsi="Times New Roman" w:eastAsia="Times New Roman" w:cs="Times New Roman"/>
          <w:sz w:val="24"/>
          <w:szCs w:val="24"/>
          <w:highlight w:val="yellow"/>
          <w:lang w:val="en-US" w:eastAsia="da-DK" w:bidi="lo-LA"/>
          <w:rPrChange w:id="9" w:author="chandra garbuja" w:date="2024-07-11T08:18:13Z">
            <w:rPr>
              <w:rFonts w:ascii="Times New Roman" w:hAnsi="Times New Roman" w:eastAsia="Times New Roman" w:cs="Times New Roman"/>
              <w:sz w:val="24"/>
              <w:szCs w:val="24"/>
              <w:lang w:val="en-US" w:eastAsia="da-DK" w:bidi="lo-LA"/>
            </w:rPr>
          </w:rPrChange>
        </w:rPr>
      </w:pPr>
      <w:r>
        <w:rPr>
          <w:rFonts w:ascii="Times New Roman" w:hAnsi="Times New Roman" w:eastAsia="Times New Roman" w:cs="Times New Roman"/>
          <w:sz w:val="24"/>
          <w:szCs w:val="24"/>
          <w:lang w:val="en-US" w:eastAsia="da-DK" w:bidi="lo-LA"/>
        </w:rPr>
        <w:t xml:space="preserve">14. </w:t>
      </w:r>
      <w:r>
        <w:rPr>
          <w:rFonts w:ascii="Times New Roman" w:hAnsi="Times New Roman" w:eastAsia="Times New Roman" w:cs="Times New Roman"/>
          <w:sz w:val="24"/>
          <w:szCs w:val="24"/>
          <w:highlight w:val="yellow"/>
          <w:lang w:val="en-US" w:eastAsia="da-DK" w:bidi="lo-LA"/>
          <w:rPrChange w:id="10" w:author="chandra garbuja" w:date="2024-07-11T08:18:13Z">
            <w:rPr>
              <w:rFonts w:ascii="Times New Roman" w:hAnsi="Times New Roman" w:eastAsia="Times New Roman" w:cs="Times New Roman"/>
              <w:sz w:val="24"/>
              <w:szCs w:val="24"/>
              <w:lang w:val="en-US" w:eastAsia="da-DK" w:bidi="lo-LA"/>
            </w:rPr>
          </w:rPrChange>
        </w:rPr>
        <w:t xml:space="preserve">Mensing C, Boucher J, Cypress M, Weinger K, Mulcahy K, Barta P, Hosey G, Kopher W, Lasichak A, Lamb B, Mangan M, Norman J, Tanja J, Yauk L, Wisdom K, Adams C. </w:t>
      </w:r>
    </w:p>
    <w:p w14:paraId="74419CFD">
      <w:pPr>
        <w:spacing w:after="0" w:line="480" w:lineRule="auto"/>
        <w:rPr>
          <w:rFonts w:ascii="Times New Roman" w:hAnsi="Times New Roman" w:eastAsia="Times New Roman" w:cs="Times New Roman"/>
          <w:sz w:val="24"/>
          <w:szCs w:val="24"/>
          <w:highlight w:val="yellow"/>
          <w:lang w:val="en-US" w:eastAsia="da-DK" w:bidi="lo-LA"/>
          <w:rPrChange w:id="11" w:author="chandra garbuja" w:date="2024-07-11T08:18:13Z">
            <w:rPr>
              <w:rFonts w:ascii="Times New Roman" w:hAnsi="Times New Roman" w:eastAsia="Times New Roman" w:cs="Times New Roman"/>
              <w:sz w:val="24"/>
              <w:szCs w:val="24"/>
              <w:lang w:val="en-US" w:eastAsia="da-DK" w:bidi="lo-LA"/>
            </w:rPr>
          </w:rPrChange>
        </w:rPr>
      </w:pPr>
      <w:r>
        <w:rPr>
          <w:rFonts w:ascii="Times New Roman" w:hAnsi="Times New Roman" w:eastAsia="Times New Roman" w:cs="Times New Roman"/>
          <w:sz w:val="24"/>
          <w:szCs w:val="24"/>
          <w:highlight w:val="yellow"/>
          <w:lang w:val="en-US" w:eastAsia="da-DK" w:bidi="lo-LA"/>
          <w:rPrChange w:id="12" w:author="chandra garbuja" w:date="2024-07-11T08:18:13Z">
            <w:rPr>
              <w:rFonts w:ascii="Times New Roman" w:hAnsi="Times New Roman" w:eastAsia="Times New Roman" w:cs="Times New Roman"/>
              <w:sz w:val="24"/>
              <w:szCs w:val="24"/>
              <w:lang w:val="en-US" w:eastAsia="da-DK" w:bidi="lo-LA"/>
            </w:rPr>
          </w:rPrChange>
        </w:rPr>
        <w:t>National standards for diabetes self-management education. Diabetes Care. 2007;30 (Suppl 1):S96-S103.</w:t>
      </w:r>
    </w:p>
    <w:p w14:paraId="520DBFDF">
      <w:pPr>
        <w:spacing w:after="0" w:line="480" w:lineRule="auto"/>
        <w:rPr>
          <w:rFonts w:ascii="Times New Roman" w:hAnsi="Times New Roman" w:eastAsia="Times New Roman" w:cs="Times New Roman"/>
          <w:sz w:val="24"/>
          <w:szCs w:val="24"/>
          <w:highlight w:val="yellow"/>
          <w:lang w:val="en-US" w:eastAsia="da-DK" w:bidi="lo-LA"/>
          <w:rPrChange w:id="13" w:author="chandra garbuja" w:date="2024-07-11T08:18:27Z">
            <w:rPr>
              <w:rFonts w:ascii="Times New Roman" w:hAnsi="Times New Roman" w:eastAsia="Times New Roman" w:cs="Times New Roman"/>
              <w:sz w:val="24"/>
              <w:szCs w:val="24"/>
              <w:lang w:val="en-US" w:eastAsia="da-DK" w:bidi="lo-LA"/>
            </w:rPr>
          </w:rPrChange>
        </w:rPr>
      </w:pPr>
      <w:r>
        <w:rPr>
          <w:rFonts w:ascii="Times New Roman" w:hAnsi="Times New Roman" w:eastAsia="Times New Roman" w:cs="Times New Roman"/>
          <w:sz w:val="24"/>
          <w:szCs w:val="24"/>
          <w:lang w:val="en-US" w:eastAsia="da-DK" w:bidi="lo-LA"/>
        </w:rPr>
        <w:t xml:space="preserve">15. </w:t>
      </w:r>
      <w:r>
        <w:rPr>
          <w:rFonts w:ascii="Times New Roman" w:hAnsi="Times New Roman" w:eastAsia="Times New Roman" w:cs="Times New Roman"/>
          <w:sz w:val="24"/>
          <w:szCs w:val="24"/>
          <w:highlight w:val="yellow"/>
          <w:lang w:val="en-US" w:eastAsia="da-DK" w:bidi="lo-LA"/>
          <w:rPrChange w:id="14" w:author="chandra garbuja" w:date="2024-07-11T08:18:27Z">
            <w:rPr>
              <w:rFonts w:ascii="Times New Roman" w:hAnsi="Times New Roman" w:eastAsia="Times New Roman" w:cs="Times New Roman"/>
              <w:sz w:val="24"/>
              <w:szCs w:val="24"/>
              <w:lang w:val="en-US" w:eastAsia="da-DK" w:bidi="lo-LA"/>
            </w:rPr>
          </w:rPrChange>
        </w:rPr>
        <w:t>Steinsbekk A, Rygg LØ, Lisulo M, Rise MB, Fretheim A. Group based diabetes self-management education compared to routine treatment for people with type 2 diabetes mellitus. A systematic review with meta-analysis. BMC Health Serv Res. 2012;12:213.</w:t>
      </w:r>
    </w:p>
    <w:p w14:paraId="25817CBE">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highlight w:val="yellow"/>
          <w:lang w:val="en-US" w:eastAsia="da-DK" w:bidi="lo-LA"/>
          <w:rPrChange w:id="15" w:author="chandra garbuja" w:date="2024-07-11T08:18:27Z">
            <w:rPr>
              <w:rFonts w:ascii="Times New Roman" w:hAnsi="Times New Roman" w:eastAsia="Times New Roman" w:cs="Times New Roman"/>
              <w:sz w:val="24"/>
              <w:szCs w:val="24"/>
              <w:lang w:val="en-US" w:eastAsia="da-DK" w:bidi="lo-LA"/>
            </w:rPr>
          </w:rPrChange>
        </w:rPr>
        <w:t>16. Lozano ML, Armale MJ, Tena DI, Nebra CS. The education of type-2 diabetics: why not in groups? Aten Primaria. 1999;23:485-92. In Spanish</w:t>
      </w:r>
      <w:r>
        <w:rPr>
          <w:rFonts w:ascii="Times New Roman" w:hAnsi="Times New Roman" w:eastAsia="Times New Roman" w:cs="Times New Roman"/>
          <w:sz w:val="24"/>
          <w:szCs w:val="24"/>
          <w:lang w:val="en-US" w:eastAsia="da-DK" w:bidi="lo-LA"/>
        </w:rPr>
        <w:t xml:space="preserve">. </w:t>
      </w:r>
    </w:p>
    <w:p w14:paraId="50E7837A">
      <w:pPr>
        <w:spacing w:after="0" w:line="480" w:lineRule="auto"/>
        <w:rPr>
          <w:rFonts w:ascii="Times New Roman" w:hAnsi="Times New Roman" w:eastAsia="Times New Roman" w:cs="Times New Roman"/>
          <w:sz w:val="24"/>
          <w:szCs w:val="24"/>
          <w:highlight w:val="yellow"/>
          <w:lang w:val="en-US" w:eastAsia="da-DK" w:bidi="lo-LA"/>
          <w:rPrChange w:id="16" w:author="chandra garbuja" w:date="2024-07-11T08:18:45Z">
            <w:rPr>
              <w:rFonts w:ascii="Times New Roman" w:hAnsi="Times New Roman" w:eastAsia="Times New Roman" w:cs="Times New Roman"/>
              <w:sz w:val="24"/>
              <w:szCs w:val="24"/>
              <w:lang w:val="en-US" w:eastAsia="da-DK" w:bidi="lo-LA"/>
            </w:rPr>
          </w:rPrChange>
        </w:rPr>
      </w:pPr>
      <w:r>
        <w:rPr>
          <w:rFonts w:ascii="Times New Roman" w:hAnsi="Times New Roman" w:eastAsia="Times New Roman" w:cs="Times New Roman"/>
          <w:sz w:val="24"/>
          <w:szCs w:val="24"/>
          <w:lang w:val="en-US" w:eastAsia="da-DK" w:bidi="lo-LA"/>
        </w:rPr>
        <w:t xml:space="preserve">17. </w:t>
      </w:r>
      <w:r>
        <w:rPr>
          <w:rFonts w:ascii="Times New Roman" w:hAnsi="Times New Roman" w:eastAsia="Times New Roman" w:cs="Times New Roman"/>
          <w:sz w:val="24"/>
          <w:szCs w:val="24"/>
          <w:highlight w:val="yellow"/>
          <w:lang w:val="en-US" w:eastAsia="da-DK" w:bidi="lo-LA"/>
          <w:rPrChange w:id="17" w:author="chandra garbuja" w:date="2024-07-11T08:18:45Z">
            <w:rPr>
              <w:rFonts w:ascii="Times New Roman" w:hAnsi="Times New Roman" w:eastAsia="Times New Roman" w:cs="Times New Roman"/>
              <w:sz w:val="24"/>
              <w:szCs w:val="24"/>
              <w:lang w:val="en-US" w:eastAsia="da-DK" w:bidi="lo-LA"/>
            </w:rPr>
          </w:rPrChange>
        </w:rPr>
        <w:t>Adachi M, Yamaoka K, Watanabe M, Nishikawa M, Kobayashi I, Hida E, Tango T. Effects of lifestyle education program for type 2 diabetes patients in clinics: a cluster randomized controlled trial. BMC Public Health. 2013:13:467. doi: 10.1186/1471-2458-13-467.</w:t>
      </w:r>
    </w:p>
    <w:p w14:paraId="27256491">
      <w:pPr>
        <w:spacing w:after="0" w:line="480" w:lineRule="auto"/>
        <w:rPr>
          <w:rFonts w:ascii="Times New Roman" w:hAnsi="Times New Roman" w:eastAsia="Times New Roman" w:cs="Times New Roman"/>
          <w:sz w:val="24"/>
          <w:szCs w:val="24"/>
          <w:highlight w:val="yellow"/>
          <w:lang w:val="en-US" w:eastAsia="da-DK" w:bidi="lo-LA"/>
          <w:rPrChange w:id="18" w:author="chandra garbuja" w:date="2024-07-11T08:18:45Z">
            <w:rPr>
              <w:rFonts w:ascii="Times New Roman" w:hAnsi="Times New Roman" w:eastAsia="Times New Roman" w:cs="Times New Roman"/>
              <w:sz w:val="24"/>
              <w:szCs w:val="24"/>
              <w:lang w:val="en-US" w:eastAsia="da-DK" w:bidi="lo-LA"/>
            </w:rPr>
          </w:rPrChange>
        </w:rPr>
      </w:pPr>
      <w:r>
        <w:rPr>
          <w:rFonts w:ascii="Times New Roman" w:hAnsi="Times New Roman" w:eastAsia="Times New Roman" w:cs="Times New Roman"/>
          <w:sz w:val="24"/>
          <w:szCs w:val="24"/>
          <w:highlight w:val="yellow"/>
          <w:lang w:val="en-US" w:eastAsia="da-DK" w:bidi="lo-LA"/>
          <w:rPrChange w:id="19" w:author="chandra garbuja" w:date="2024-07-11T08:18:45Z">
            <w:rPr>
              <w:rFonts w:ascii="Times New Roman" w:hAnsi="Times New Roman" w:eastAsia="Times New Roman" w:cs="Times New Roman"/>
              <w:sz w:val="24"/>
              <w:szCs w:val="24"/>
              <w:lang w:val="en-US" w:eastAsia="da-DK" w:bidi="lo-LA"/>
            </w:rPr>
          </w:rPrChange>
        </w:rPr>
        <w:t xml:space="preserve">18. Tan MY, Magarey JM, Chee SS, Lee LF, Tan MH. A brief structured education programme enhances selfcare practices and improves glycaemic control in Malaysians with poorly controlled diabetes. Health Educ Res 2011;26:896–907. </w:t>
      </w:r>
    </w:p>
    <w:p w14:paraId="26EA2D8F">
      <w:pPr>
        <w:spacing w:after="0" w:line="480" w:lineRule="auto"/>
        <w:rPr>
          <w:rFonts w:ascii="Times New Roman" w:hAnsi="Times New Roman" w:eastAsia="Times New Roman" w:cs="Times New Roman"/>
          <w:sz w:val="24"/>
          <w:szCs w:val="24"/>
          <w:lang w:val="en-US" w:eastAsia="da-DK" w:bidi="lo-LA"/>
        </w:rPr>
      </w:pPr>
      <w:bookmarkStart w:id="2" w:name="_GoBack"/>
      <w:bookmarkEnd w:id="2"/>
    </w:p>
    <w:p w14:paraId="5E8F4F62">
      <w:pPr>
        <w:spacing w:after="0" w:line="480" w:lineRule="auto"/>
        <w:rPr>
          <w:rFonts w:ascii="Times New Roman" w:hAnsi="Times New Roman" w:eastAsia="Times New Roman" w:cs="Times New Roman"/>
          <w:sz w:val="24"/>
          <w:szCs w:val="24"/>
          <w:lang w:val="en-US" w:eastAsia="da-DK" w:bidi="lo-LA"/>
        </w:rPr>
      </w:pPr>
    </w:p>
    <w:p w14:paraId="2059E822">
      <w:pPr>
        <w:spacing w:after="0" w:line="480" w:lineRule="auto"/>
        <w:rPr>
          <w:rFonts w:ascii="Times New Roman" w:hAnsi="Times New Roman" w:eastAsia="Times New Roman" w:cs="Times New Roman"/>
          <w:sz w:val="24"/>
          <w:szCs w:val="24"/>
          <w:lang w:val="en-US" w:eastAsia="da-DK" w:bidi="lo-LA"/>
        </w:rPr>
      </w:pPr>
    </w:p>
    <w:p w14:paraId="342B1EB1">
      <w:pPr>
        <w:spacing w:after="0" w:line="480" w:lineRule="auto"/>
        <w:rPr>
          <w:rFonts w:ascii="Times New Roman" w:hAnsi="Times New Roman" w:eastAsia="Times New Roman" w:cs="Times New Roman"/>
          <w:sz w:val="24"/>
          <w:szCs w:val="24"/>
          <w:lang w:val="en-US" w:eastAsia="da-DK" w:bidi="lo-LA"/>
        </w:rPr>
      </w:pPr>
    </w:p>
    <w:p w14:paraId="71F57C9D">
      <w:pPr>
        <w:spacing w:after="0" w:line="480" w:lineRule="auto"/>
        <w:rPr>
          <w:rFonts w:ascii="Times New Roman" w:hAnsi="Times New Roman" w:eastAsia="Times New Roman" w:cs="Times New Roman"/>
          <w:sz w:val="24"/>
          <w:szCs w:val="24"/>
          <w:lang w:val="en-US" w:eastAsia="da-DK" w:bidi="lo-LA"/>
        </w:rPr>
      </w:pPr>
    </w:p>
    <w:p w14:paraId="61F0D471">
      <w:pPr>
        <w:spacing w:after="0" w:line="480" w:lineRule="auto"/>
        <w:rPr>
          <w:rFonts w:ascii="Times New Roman" w:hAnsi="Times New Roman" w:eastAsia="Times New Roman" w:cs="Times New Roman"/>
          <w:sz w:val="24"/>
          <w:szCs w:val="24"/>
          <w:lang w:val="en-US" w:eastAsia="da-DK" w:bidi="lo-LA"/>
        </w:rPr>
      </w:pPr>
    </w:p>
    <w:p w14:paraId="4D12DCCC">
      <w:pPr>
        <w:spacing w:after="0" w:line="480" w:lineRule="auto"/>
        <w:rPr>
          <w:rFonts w:ascii="Times New Roman" w:hAnsi="Times New Roman" w:eastAsia="Times New Roman" w:cs="Times New Roman"/>
          <w:sz w:val="24"/>
          <w:szCs w:val="24"/>
          <w:lang w:val="en-US" w:eastAsia="da-DK" w:bidi="lo-LA"/>
        </w:rPr>
      </w:pPr>
    </w:p>
    <w:p w14:paraId="7434A8DF">
      <w:pPr>
        <w:spacing w:after="0" w:line="480" w:lineRule="auto"/>
        <w:rPr>
          <w:rFonts w:ascii="Times New Roman" w:hAnsi="Times New Roman" w:eastAsia="Times New Roman" w:cs="Times New Roman"/>
          <w:sz w:val="24"/>
          <w:szCs w:val="24"/>
          <w:lang w:val="en-US" w:eastAsia="da-DK" w:bidi="lo-LA"/>
        </w:rPr>
      </w:pPr>
    </w:p>
    <w:p w14:paraId="3A1B4C6D">
      <w:pPr>
        <w:spacing w:after="0" w:line="480" w:lineRule="auto"/>
        <w:rPr>
          <w:rFonts w:ascii="Times New Roman" w:hAnsi="Times New Roman" w:eastAsia="Times New Roman" w:cs="Times New Roman"/>
          <w:sz w:val="24"/>
          <w:szCs w:val="24"/>
          <w:lang w:val="en-US" w:eastAsia="da-DK" w:bidi="lo-LA"/>
        </w:rPr>
      </w:pPr>
    </w:p>
    <w:p w14:paraId="443C920E">
      <w:pPr>
        <w:spacing w:after="0" w:line="480" w:lineRule="auto"/>
        <w:rPr>
          <w:rFonts w:ascii="Times New Roman" w:hAnsi="Times New Roman" w:eastAsia="Times New Roman" w:cs="Times New Roman"/>
          <w:sz w:val="24"/>
          <w:szCs w:val="24"/>
          <w:lang w:val="en-US" w:eastAsia="da-DK" w:bidi="lo-LA"/>
        </w:rPr>
      </w:pPr>
    </w:p>
    <w:p w14:paraId="205B2C8B">
      <w:pPr>
        <w:spacing w:after="0" w:line="480" w:lineRule="auto"/>
        <w:rPr>
          <w:rFonts w:ascii="Times New Roman" w:hAnsi="Times New Roman" w:eastAsia="Times New Roman" w:cs="Times New Roman"/>
          <w:sz w:val="24"/>
          <w:szCs w:val="24"/>
          <w:lang w:val="en-US" w:eastAsia="da-DK" w:bidi="lo-LA"/>
        </w:rPr>
      </w:pPr>
    </w:p>
    <w:p w14:paraId="09185ADA">
      <w:pPr>
        <w:spacing w:after="0" w:line="480" w:lineRule="auto"/>
        <w:rPr>
          <w:rFonts w:ascii="Times New Roman" w:hAnsi="Times New Roman" w:eastAsia="Times New Roman" w:cs="Times New Roman"/>
          <w:sz w:val="24"/>
          <w:szCs w:val="24"/>
          <w:lang w:val="en-US" w:eastAsia="da-DK" w:bidi="lo-LA"/>
        </w:rPr>
      </w:pPr>
    </w:p>
    <w:p w14:paraId="58F6956E">
      <w:pPr>
        <w:spacing w:after="0" w:line="480" w:lineRule="auto"/>
        <w:rPr>
          <w:rFonts w:ascii="Times New Roman" w:hAnsi="Times New Roman" w:eastAsia="Times New Roman" w:cs="Times New Roman"/>
          <w:sz w:val="24"/>
          <w:szCs w:val="24"/>
          <w:lang w:val="en-US" w:eastAsia="da-DK" w:bidi="lo-LA"/>
        </w:rPr>
      </w:pPr>
    </w:p>
    <w:p w14:paraId="5B354BB0">
      <w:pPr>
        <w:spacing w:after="0" w:line="480" w:lineRule="auto"/>
        <w:rPr>
          <w:rFonts w:ascii="Times New Roman" w:hAnsi="Times New Roman" w:eastAsia="Times New Roman" w:cs="Times New Roman"/>
          <w:sz w:val="24"/>
          <w:szCs w:val="24"/>
          <w:lang w:val="en-US" w:eastAsia="da-DK" w:bidi="lo-LA"/>
        </w:rPr>
      </w:pPr>
    </w:p>
    <w:p w14:paraId="635E49D3">
      <w:pPr>
        <w:spacing w:after="0" w:line="480" w:lineRule="auto"/>
        <w:rPr>
          <w:rFonts w:ascii="Times New Roman" w:hAnsi="Times New Roman" w:eastAsia="Times New Roman" w:cs="Times New Roman"/>
          <w:sz w:val="24"/>
          <w:szCs w:val="24"/>
          <w:lang w:val="en-US" w:eastAsia="da-DK" w:bidi="lo-LA"/>
        </w:rPr>
      </w:pPr>
    </w:p>
    <w:p w14:paraId="43F34C00">
      <w:pPr>
        <w:spacing w:after="0" w:line="480" w:lineRule="auto"/>
        <w:rPr>
          <w:rFonts w:ascii="Times New Roman" w:hAnsi="Times New Roman" w:eastAsia="Times New Roman" w:cs="Times New Roman"/>
          <w:sz w:val="24"/>
          <w:szCs w:val="24"/>
          <w:lang w:val="en-US" w:eastAsia="da-DK" w:bidi="lo-LA"/>
        </w:rPr>
      </w:pPr>
    </w:p>
    <w:p w14:paraId="7C5DCCE9">
      <w:pPr>
        <w:spacing w:after="0" w:line="480" w:lineRule="auto"/>
        <w:rPr>
          <w:rFonts w:ascii="Times New Roman" w:hAnsi="Times New Roman" w:eastAsia="Times New Roman" w:cs="Times New Roman"/>
          <w:sz w:val="24"/>
          <w:szCs w:val="24"/>
          <w:lang w:val="en-US" w:eastAsia="da-DK" w:bidi="lo-LA"/>
        </w:rPr>
      </w:pPr>
    </w:p>
    <w:p w14:paraId="297C9B79">
      <w:pPr>
        <w:spacing w:after="0" w:line="480" w:lineRule="auto"/>
        <w:rPr>
          <w:rFonts w:ascii="Times New Roman" w:hAnsi="Times New Roman" w:eastAsia="Times New Roman" w:cs="Times New Roman"/>
          <w:sz w:val="24"/>
          <w:szCs w:val="24"/>
          <w:lang w:val="en-US" w:eastAsia="da-DK" w:bidi="lo-LA"/>
        </w:rPr>
      </w:pPr>
    </w:p>
    <w:p w14:paraId="4E172A82">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Fig 1. Patient flow in a study of the effects of patient education.</w:t>
      </w:r>
      <w:r>
        <w:commentReference w:id="12"/>
      </w:r>
    </w:p>
    <w:p w14:paraId="69C68CCC">
      <w:pPr>
        <w:spacing w:after="0" w:line="480" w:lineRule="auto"/>
        <w:rPr>
          <w:rFonts w:ascii="Times New Roman" w:hAnsi="Times New Roman" w:eastAsia="Times New Roman" w:cs="Times New Roman"/>
          <w:sz w:val="24"/>
          <w:szCs w:val="24"/>
          <w:lang w:val="en-US" w:eastAsia="da-DK" w:bidi="lo-LA"/>
        </w:rPr>
      </w:pPr>
      <w:r>
        <w:rPr>
          <w:lang w:val="en-US"/>
        </w:rPr>
        <w:drawing>
          <wp:inline distT="0" distB="0" distL="0" distR="0">
            <wp:extent cx="4438650" cy="5298440"/>
            <wp:effectExtent l="0" t="0" r="0" b="5461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7A9BBDA">
      <w:pPr>
        <w:spacing w:after="0" w:line="480" w:lineRule="auto"/>
        <w:rPr>
          <w:rFonts w:ascii="Times New Roman" w:hAnsi="Times New Roman" w:eastAsia="Times New Roman" w:cs="Times New Roman"/>
          <w:sz w:val="24"/>
          <w:szCs w:val="24"/>
          <w:lang w:val="en-US" w:eastAsia="da-DK" w:bidi="lo-LA"/>
        </w:rPr>
      </w:pPr>
    </w:p>
    <w:p w14:paraId="12C5C232">
      <w:pPr>
        <w:spacing w:after="0" w:line="480" w:lineRule="auto"/>
        <w:rPr>
          <w:rFonts w:ascii="Times New Roman" w:hAnsi="Times New Roman" w:eastAsia="Times New Roman" w:cs="Times New Roman"/>
          <w:sz w:val="24"/>
          <w:szCs w:val="24"/>
          <w:lang w:val="en-US" w:eastAsia="da-DK" w:bidi="lo-LA"/>
        </w:rPr>
      </w:pPr>
    </w:p>
    <w:p w14:paraId="063CD5DA">
      <w:pPr>
        <w:spacing w:after="0" w:line="480" w:lineRule="auto"/>
        <w:rPr>
          <w:rFonts w:ascii="Times New Roman" w:hAnsi="Times New Roman" w:eastAsia="Times New Roman" w:cs="Times New Roman"/>
          <w:sz w:val="24"/>
          <w:szCs w:val="24"/>
          <w:lang w:val="en-US" w:eastAsia="da-DK" w:bidi="lo-LA"/>
        </w:rPr>
      </w:pPr>
    </w:p>
    <w:p w14:paraId="38C555AD">
      <w:pPr>
        <w:spacing w:after="0" w:line="480" w:lineRule="auto"/>
        <w:rPr>
          <w:rFonts w:ascii="Times New Roman" w:hAnsi="Times New Roman" w:eastAsia="Times New Roman" w:cs="Times New Roman"/>
          <w:sz w:val="24"/>
          <w:szCs w:val="24"/>
          <w:lang w:val="en-US" w:eastAsia="da-DK" w:bidi="lo-LA"/>
        </w:rPr>
      </w:pPr>
    </w:p>
    <w:p w14:paraId="18776085">
      <w:pPr>
        <w:spacing w:after="0" w:line="480" w:lineRule="auto"/>
        <w:rPr>
          <w:rFonts w:ascii="Times New Roman" w:hAnsi="Times New Roman" w:eastAsia="Times New Roman" w:cs="Times New Roman"/>
          <w:sz w:val="24"/>
          <w:szCs w:val="24"/>
          <w:lang w:val="en-US" w:eastAsia="da-DK" w:bidi="lo-LA"/>
        </w:rPr>
      </w:pPr>
    </w:p>
    <w:p w14:paraId="4A0A282B">
      <w:pPr>
        <w:spacing w:after="0" w:line="480" w:lineRule="auto"/>
        <w:rPr>
          <w:rFonts w:ascii="Times New Roman" w:hAnsi="Times New Roman" w:eastAsia="Times New Roman" w:cs="Times New Roman"/>
          <w:sz w:val="24"/>
          <w:szCs w:val="24"/>
          <w:lang w:val="en-US" w:eastAsia="da-DK" w:bidi="lo-LA"/>
        </w:rPr>
      </w:pPr>
    </w:p>
    <w:p w14:paraId="3668632B">
      <w:pPr>
        <w:spacing w:after="0" w:line="480" w:lineRule="auto"/>
        <w:rPr>
          <w:rFonts w:ascii="Times New Roman" w:hAnsi="Times New Roman" w:eastAsia="Times New Roman" w:cs="Times New Roman"/>
          <w:sz w:val="24"/>
          <w:szCs w:val="24"/>
          <w:lang w:val="en-US" w:eastAsia="da-DK" w:bidi="lo-LA"/>
        </w:rPr>
      </w:pPr>
    </w:p>
    <w:p w14:paraId="4E0358BB">
      <w:pPr>
        <w:spacing w:after="0" w:line="480" w:lineRule="auto"/>
        <w:rPr>
          <w:rFonts w:ascii="Times New Roman" w:hAnsi="Times New Roman" w:eastAsia="Times New Roman" w:cs="Times New Roman"/>
          <w:sz w:val="24"/>
          <w:szCs w:val="24"/>
          <w:lang w:val="en-US" w:eastAsia="da-DK" w:bidi="lo-LA"/>
        </w:rPr>
      </w:pPr>
    </w:p>
    <w:p w14:paraId="5B5EC186">
      <w:pPr>
        <w:spacing w:after="0" w:line="480" w:lineRule="auto"/>
        <w:rPr>
          <w:rFonts w:ascii="Times New Roman" w:hAnsi="Times New Roman" w:eastAsia="Times New Roman" w:cs="Times New Roman"/>
          <w:sz w:val="24"/>
          <w:szCs w:val="24"/>
          <w:lang w:val="en-US" w:eastAsia="da-DK" w:bidi="lo-LA"/>
        </w:rPr>
      </w:pPr>
    </w:p>
    <w:p w14:paraId="6F5B655C">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Table 1. Baseline characteristics in the intervention- and control group. Mean values. NS = not significant.</w:t>
      </w:r>
      <w:r>
        <w:commentReference w:id="13"/>
      </w:r>
    </w:p>
    <w:p w14:paraId="204C687E">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Variable </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Intervention group</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 xml:space="preserve">Control group              Significance </w:t>
      </w:r>
    </w:p>
    <w:p w14:paraId="073BBAD5">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Age - Male / Female</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55 / 55</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56 / 57</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197B398D">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Sex - Male / Female</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20 / 30</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17 / 33</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275B843B">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BMI - Male / Female </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23.74 / 26.78</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24.39 / 24.68</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7CEC9323">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Smoking yes or no</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45 non-smoker ≈ 92%</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45 non-smoker ≈ 98%</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1AD59F67">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Alcohol yes or no</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41 no alcohol ≈ 84%</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36 no alcohol ≈ 78%</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0A7954E7">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Diabetes medicine (yes)</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46 ≈ 98%</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36 ≈ 95%</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6BBACF8C">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Other medicine (yes)</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41 ≈ 87%</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34 ≈ 89%</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78B91F73">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Diabetes in the family</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34 ≈ 69%</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30 ≈ 65%</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70F866B3">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Complications to Diabetes:</w:t>
      </w:r>
    </w:p>
    <w:p w14:paraId="0488DED6">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One complication</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 xml:space="preserve">21 ≈ 46% </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20 ≈ 51%</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11D96A52">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More than one </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19 ≈ 41%</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14 ≈ 36%</w:t>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ab/>
      </w:r>
      <w:r>
        <w:rPr>
          <w:rFonts w:ascii="Times New Roman" w:hAnsi="Times New Roman" w:eastAsia="Times New Roman" w:cs="Times New Roman"/>
          <w:sz w:val="24"/>
          <w:szCs w:val="24"/>
          <w:lang w:val="en-US" w:eastAsia="da-DK" w:bidi="lo-LA"/>
        </w:rPr>
        <w:t>NS</w:t>
      </w:r>
    </w:p>
    <w:p w14:paraId="5CD09691">
      <w:pPr>
        <w:spacing w:after="0" w:line="480" w:lineRule="auto"/>
        <w:rPr>
          <w:rFonts w:ascii="Times New Roman" w:hAnsi="Times New Roman" w:eastAsia="Times New Roman" w:cs="Times New Roman"/>
          <w:sz w:val="24"/>
          <w:szCs w:val="24"/>
          <w:lang w:val="en-US" w:eastAsia="da-DK" w:bidi="lo-LA"/>
        </w:rPr>
      </w:pPr>
    </w:p>
    <w:p w14:paraId="492D1D28">
      <w:pPr>
        <w:spacing w:after="0" w:line="480" w:lineRule="auto"/>
        <w:rPr>
          <w:rFonts w:ascii="Times New Roman" w:hAnsi="Times New Roman" w:eastAsia="Times New Roman" w:cs="Times New Roman"/>
          <w:sz w:val="24"/>
          <w:szCs w:val="24"/>
          <w:lang w:val="en-US" w:eastAsia="da-DK" w:bidi="lo-LA"/>
        </w:rPr>
      </w:pPr>
    </w:p>
    <w:p w14:paraId="3A81E8C2">
      <w:pPr>
        <w:spacing w:after="0" w:line="480" w:lineRule="auto"/>
        <w:rPr>
          <w:rFonts w:ascii="Times New Roman" w:hAnsi="Times New Roman" w:eastAsia="Times New Roman" w:cs="Times New Roman"/>
          <w:sz w:val="24"/>
          <w:szCs w:val="24"/>
          <w:lang w:val="en-US" w:eastAsia="da-DK" w:bidi="lo-LA"/>
        </w:rPr>
      </w:pPr>
    </w:p>
    <w:p w14:paraId="27CF9830">
      <w:pPr>
        <w:spacing w:after="0" w:line="480" w:lineRule="auto"/>
        <w:rPr>
          <w:rFonts w:ascii="Times New Roman" w:hAnsi="Times New Roman" w:eastAsia="Times New Roman" w:cs="Times New Roman"/>
          <w:sz w:val="24"/>
          <w:szCs w:val="24"/>
          <w:lang w:val="en-US" w:eastAsia="da-DK" w:bidi="lo-LA"/>
        </w:rPr>
      </w:pPr>
    </w:p>
    <w:p w14:paraId="3F457938">
      <w:pPr>
        <w:spacing w:after="0" w:line="480" w:lineRule="auto"/>
        <w:rPr>
          <w:rFonts w:ascii="Times New Roman" w:hAnsi="Times New Roman" w:eastAsia="Times New Roman" w:cs="Times New Roman"/>
          <w:sz w:val="24"/>
          <w:szCs w:val="24"/>
          <w:lang w:val="en-US" w:eastAsia="da-DK" w:bidi="lo-LA"/>
        </w:rPr>
      </w:pPr>
    </w:p>
    <w:p w14:paraId="232E6923">
      <w:pPr>
        <w:spacing w:after="0" w:line="480" w:lineRule="auto"/>
        <w:rPr>
          <w:rFonts w:ascii="Times New Roman" w:hAnsi="Times New Roman" w:eastAsia="Times New Roman" w:cs="Times New Roman"/>
          <w:sz w:val="24"/>
          <w:szCs w:val="24"/>
          <w:lang w:val="en-US" w:eastAsia="da-DK" w:bidi="lo-LA"/>
        </w:rPr>
      </w:pPr>
    </w:p>
    <w:p w14:paraId="5A6F1AFE">
      <w:pPr>
        <w:spacing w:after="0" w:line="480" w:lineRule="auto"/>
        <w:rPr>
          <w:rFonts w:ascii="Times New Roman" w:hAnsi="Times New Roman" w:eastAsia="Times New Roman" w:cs="Times New Roman"/>
          <w:sz w:val="24"/>
          <w:szCs w:val="24"/>
          <w:lang w:val="en-US" w:eastAsia="da-DK" w:bidi="lo-LA"/>
        </w:rPr>
      </w:pPr>
    </w:p>
    <w:p w14:paraId="45F0D8AF">
      <w:pPr>
        <w:spacing w:after="0" w:line="480" w:lineRule="auto"/>
        <w:rPr>
          <w:rFonts w:ascii="Times New Roman" w:hAnsi="Times New Roman" w:eastAsia="Times New Roman" w:cs="Times New Roman"/>
          <w:sz w:val="24"/>
          <w:szCs w:val="24"/>
          <w:lang w:val="en-US" w:eastAsia="da-DK" w:bidi="lo-LA"/>
        </w:rPr>
      </w:pPr>
    </w:p>
    <w:p w14:paraId="49E28AC2">
      <w:pPr>
        <w:spacing w:after="0" w:line="480" w:lineRule="auto"/>
        <w:rPr>
          <w:rFonts w:ascii="Times New Roman" w:hAnsi="Times New Roman" w:eastAsia="Times New Roman" w:cs="Times New Roman"/>
          <w:sz w:val="24"/>
          <w:szCs w:val="24"/>
          <w:lang w:val="en-US" w:eastAsia="da-DK" w:bidi="lo-LA"/>
        </w:rPr>
      </w:pPr>
    </w:p>
    <w:p w14:paraId="4458D5FA">
      <w:pPr>
        <w:spacing w:after="0" w:line="480" w:lineRule="auto"/>
        <w:rPr>
          <w:rFonts w:ascii="Times New Roman" w:hAnsi="Times New Roman" w:eastAsia="Times New Roman" w:cs="Times New Roman"/>
          <w:sz w:val="24"/>
          <w:szCs w:val="24"/>
          <w:lang w:val="en-US" w:eastAsia="da-DK" w:bidi="lo-LA"/>
        </w:rPr>
      </w:pPr>
    </w:p>
    <w:p w14:paraId="34DFCCE2">
      <w:pPr>
        <w:spacing w:after="0" w:line="480" w:lineRule="auto"/>
        <w:rPr>
          <w:rFonts w:ascii="Times New Roman" w:hAnsi="Times New Roman" w:eastAsia="Times New Roman" w:cs="Times New Roman"/>
          <w:sz w:val="24"/>
          <w:szCs w:val="24"/>
          <w:lang w:val="en-US" w:eastAsia="da-DK" w:bidi="lo-LA"/>
        </w:rPr>
      </w:pPr>
    </w:p>
    <w:p w14:paraId="62C45142">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 xml:space="preserve">Fig 2. </w:t>
      </w:r>
      <w:commentRangeStart w:id="14"/>
      <w:r>
        <w:rPr>
          <w:rFonts w:ascii="Times New Roman" w:hAnsi="Times New Roman" w:eastAsia="Times New Roman" w:cs="Times New Roman"/>
          <w:sz w:val="24"/>
          <w:szCs w:val="24"/>
          <w:lang w:val="en-US" w:eastAsia="da-DK" w:bidi="lo-LA"/>
        </w:rPr>
        <w:t>The effect of patient education on fasting blood glucose. Intervention group n= 35, control group n=33. The decline in the intervention group was significant. T0 = at baseline, T12 = after 12 weeks.</w:t>
      </w:r>
      <w:commentRangeEnd w:id="14"/>
      <w:r>
        <w:commentReference w:id="14"/>
      </w:r>
    </w:p>
    <w:p w14:paraId="525AB79E">
      <w:pPr>
        <w:spacing w:after="0" w:line="480" w:lineRule="auto"/>
        <w:rPr>
          <w:rFonts w:ascii="Times New Roman" w:hAnsi="Times New Roman" w:eastAsia="Times New Roman" w:cs="Times New Roman"/>
          <w:sz w:val="40"/>
          <w:szCs w:val="40"/>
          <w:lang w:val="en-US" w:eastAsia="da-DK" w:bidi="lo-LA"/>
        </w:rPr>
      </w:pPr>
    </w:p>
    <w:p w14:paraId="31203931">
      <w:pPr>
        <w:spacing w:after="0" w:line="480" w:lineRule="auto"/>
        <w:rPr>
          <w:rFonts w:ascii="Times New Roman" w:hAnsi="Times New Roman" w:eastAsia="Times New Roman" w:cs="Times New Roman"/>
          <w:sz w:val="40"/>
          <w:szCs w:val="40"/>
          <w:lang w:val="en-US" w:eastAsia="da-DK" w:bidi="lo-LA"/>
        </w:rPr>
      </w:pPr>
      <w:r>
        <w:rPr>
          <w:rFonts w:ascii="Times New Roman" w:hAnsi="Times New Roman" w:cs="Times New Roman"/>
          <w:sz w:val="24"/>
          <w:szCs w:val="24"/>
          <w:lang w:val="en-US"/>
        </w:rPr>
        <w:drawing>
          <wp:inline distT="0" distB="0" distL="0" distR="0">
            <wp:extent cx="5238750" cy="2146935"/>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4AFEDD">
      <w:pPr>
        <w:spacing w:after="0" w:line="480" w:lineRule="auto"/>
        <w:rPr>
          <w:rFonts w:ascii="Times New Roman" w:hAnsi="Times New Roman" w:eastAsia="Times New Roman" w:cs="Times New Roman"/>
          <w:sz w:val="24"/>
          <w:szCs w:val="24"/>
          <w:lang w:val="en-US" w:eastAsia="da-DK" w:bidi="lo-LA"/>
        </w:rPr>
      </w:pPr>
    </w:p>
    <w:p w14:paraId="045BAD13">
      <w:pPr>
        <w:spacing w:after="0" w:line="480" w:lineRule="auto"/>
        <w:rPr>
          <w:rFonts w:ascii="Times New Roman" w:hAnsi="Times New Roman" w:eastAsia="Times New Roman" w:cs="Times New Roman"/>
          <w:sz w:val="24"/>
          <w:szCs w:val="24"/>
          <w:lang w:val="en-US" w:eastAsia="da-DK" w:bidi="lo-LA"/>
        </w:rPr>
      </w:pPr>
    </w:p>
    <w:p w14:paraId="4C0B5964">
      <w:pPr>
        <w:spacing w:after="0" w:line="480" w:lineRule="auto"/>
        <w:rPr>
          <w:rFonts w:ascii="Times New Roman" w:hAnsi="Times New Roman" w:eastAsia="Times New Roman" w:cs="Times New Roman"/>
          <w:sz w:val="24"/>
          <w:szCs w:val="24"/>
          <w:lang w:val="en-US" w:eastAsia="da-DK" w:bidi="lo-LA"/>
        </w:rPr>
      </w:pPr>
    </w:p>
    <w:p w14:paraId="6A71209A">
      <w:pPr>
        <w:spacing w:after="0" w:line="480" w:lineRule="auto"/>
        <w:rPr>
          <w:rFonts w:ascii="Times New Roman" w:hAnsi="Times New Roman" w:eastAsia="Times New Roman" w:cs="Times New Roman"/>
          <w:sz w:val="24"/>
          <w:szCs w:val="24"/>
          <w:lang w:val="en-US" w:eastAsia="da-DK" w:bidi="lo-LA"/>
        </w:rPr>
      </w:pPr>
    </w:p>
    <w:p w14:paraId="10FC9488">
      <w:pPr>
        <w:spacing w:after="0" w:line="480" w:lineRule="auto"/>
        <w:rPr>
          <w:rFonts w:ascii="Times New Roman" w:hAnsi="Times New Roman" w:eastAsia="Times New Roman" w:cs="Times New Roman"/>
          <w:sz w:val="24"/>
          <w:szCs w:val="24"/>
          <w:lang w:val="en-US" w:eastAsia="da-DK" w:bidi="lo-LA"/>
        </w:rPr>
      </w:pPr>
    </w:p>
    <w:p w14:paraId="44DADE0D">
      <w:pPr>
        <w:spacing w:after="0" w:line="480" w:lineRule="auto"/>
        <w:rPr>
          <w:rFonts w:ascii="Times New Roman" w:hAnsi="Times New Roman" w:eastAsia="Times New Roman" w:cs="Times New Roman"/>
          <w:sz w:val="24"/>
          <w:szCs w:val="24"/>
          <w:lang w:val="en-US" w:eastAsia="da-DK" w:bidi="lo-LA"/>
        </w:rPr>
      </w:pPr>
    </w:p>
    <w:p w14:paraId="1B857EDA">
      <w:pPr>
        <w:spacing w:after="0" w:line="480" w:lineRule="auto"/>
        <w:rPr>
          <w:rFonts w:ascii="Times New Roman" w:hAnsi="Times New Roman" w:eastAsia="Times New Roman" w:cs="Times New Roman"/>
          <w:sz w:val="24"/>
          <w:szCs w:val="24"/>
          <w:lang w:val="en-US" w:eastAsia="da-DK" w:bidi="lo-LA"/>
        </w:rPr>
      </w:pPr>
    </w:p>
    <w:p w14:paraId="6B603AC6">
      <w:pPr>
        <w:spacing w:after="0" w:line="480" w:lineRule="auto"/>
        <w:rPr>
          <w:rFonts w:ascii="Times New Roman" w:hAnsi="Times New Roman" w:eastAsia="Times New Roman" w:cs="Times New Roman"/>
          <w:sz w:val="24"/>
          <w:szCs w:val="24"/>
          <w:lang w:val="en-US" w:eastAsia="da-DK" w:bidi="lo-LA"/>
        </w:rPr>
      </w:pPr>
    </w:p>
    <w:p w14:paraId="65BBA601">
      <w:pPr>
        <w:spacing w:after="0" w:line="480" w:lineRule="auto"/>
        <w:rPr>
          <w:rFonts w:ascii="Times New Roman" w:hAnsi="Times New Roman" w:eastAsia="Times New Roman" w:cs="Times New Roman"/>
          <w:sz w:val="24"/>
          <w:szCs w:val="24"/>
          <w:lang w:val="en-US" w:eastAsia="da-DK" w:bidi="lo-LA"/>
        </w:rPr>
      </w:pPr>
    </w:p>
    <w:p w14:paraId="6ADC59BD">
      <w:pPr>
        <w:spacing w:after="0" w:line="480" w:lineRule="auto"/>
        <w:rPr>
          <w:rFonts w:ascii="Times New Roman" w:hAnsi="Times New Roman" w:eastAsia="Times New Roman" w:cs="Times New Roman"/>
          <w:sz w:val="24"/>
          <w:szCs w:val="24"/>
          <w:lang w:val="en-US" w:eastAsia="da-DK" w:bidi="lo-LA"/>
        </w:rPr>
      </w:pPr>
    </w:p>
    <w:p w14:paraId="7AEB6ACF">
      <w:pPr>
        <w:spacing w:after="0" w:line="480" w:lineRule="auto"/>
        <w:rPr>
          <w:rFonts w:ascii="Times New Roman" w:hAnsi="Times New Roman" w:eastAsia="Times New Roman" w:cs="Times New Roman"/>
          <w:sz w:val="24"/>
          <w:szCs w:val="24"/>
          <w:lang w:val="en-US" w:eastAsia="da-DK" w:bidi="lo-LA"/>
        </w:rPr>
      </w:pPr>
    </w:p>
    <w:p w14:paraId="10DDCC7B">
      <w:pPr>
        <w:spacing w:after="0" w:line="480" w:lineRule="auto"/>
        <w:rPr>
          <w:rFonts w:ascii="Times New Roman" w:hAnsi="Times New Roman" w:eastAsia="Times New Roman" w:cs="Times New Roman"/>
          <w:sz w:val="24"/>
          <w:szCs w:val="24"/>
          <w:lang w:val="en-US" w:eastAsia="da-DK" w:bidi="lo-LA"/>
        </w:rPr>
      </w:pPr>
    </w:p>
    <w:p w14:paraId="226B9EA6">
      <w:pPr>
        <w:spacing w:after="0" w:line="480" w:lineRule="auto"/>
        <w:rPr>
          <w:rFonts w:ascii="Times New Roman" w:hAnsi="Times New Roman" w:eastAsia="Times New Roman" w:cs="Times New Roman"/>
          <w:sz w:val="24"/>
          <w:szCs w:val="24"/>
          <w:lang w:val="en-US" w:eastAsia="da-DK" w:bidi="lo-LA"/>
        </w:rPr>
      </w:pPr>
    </w:p>
    <w:p w14:paraId="15B20ADE">
      <w:pPr>
        <w:spacing w:after="0" w:line="480" w:lineRule="auto"/>
        <w:rPr>
          <w:rFonts w:ascii="Times New Roman" w:hAnsi="Times New Roman" w:eastAsia="Times New Roman" w:cs="Times New Roman"/>
          <w:sz w:val="24"/>
          <w:szCs w:val="24"/>
          <w:lang w:val="en-US" w:eastAsia="da-DK" w:bidi="lo-LA"/>
        </w:rPr>
      </w:pPr>
    </w:p>
    <w:p w14:paraId="6A57A1D7">
      <w:pPr>
        <w:spacing w:after="0" w:line="480" w:lineRule="auto"/>
        <w:rPr>
          <w:rFonts w:ascii="Times New Roman" w:hAnsi="Times New Roman" w:eastAsia="Times New Roman" w:cs="Times New Roman"/>
          <w:sz w:val="24"/>
          <w:szCs w:val="24"/>
          <w:lang w:val="en-US" w:eastAsia="da-DK" w:bidi="lo-LA"/>
        </w:rPr>
      </w:pPr>
      <w:r>
        <w:rPr>
          <w:rFonts w:ascii="Times New Roman" w:hAnsi="Times New Roman" w:eastAsia="Times New Roman" w:cs="Times New Roman"/>
          <w:sz w:val="24"/>
          <w:szCs w:val="24"/>
          <w:lang w:val="en-US" w:eastAsia="da-DK" w:bidi="lo-LA"/>
        </w:rPr>
        <w:t>Fig 3.</w:t>
      </w:r>
      <w:commentRangeStart w:id="15"/>
      <w:r>
        <w:rPr>
          <w:rFonts w:ascii="Times New Roman" w:hAnsi="Times New Roman" w:eastAsia="Times New Roman" w:cs="Times New Roman"/>
          <w:sz w:val="24"/>
          <w:szCs w:val="24"/>
          <w:lang w:val="en-US" w:eastAsia="da-DK" w:bidi="lo-LA"/>
        </w:rPr>
        <w:t xml:space="preserve"> Effect of the diabetes school on BMI compared to a randomized control group without patient education. The intervention group N= 42, control N= 45. T0 = at baseline, T12 = after 12 weeks. Differences were not significant.</w:t>
      </w:r>
      <w:commentRangeEnd w:id="15"/>
      <w:r>
        <w:commentReference w:id="15"/>
      </w:r>
    </w:p>
    <w:p w14:paraId="3EE8A1FA">
      <w:pPr>
        <w:spacing w:after="0" w:line="480" w:lineRule="auto"/>
        <w:rPr>
          <w:rFonts w:ascii="Times New Roman" w:hAnsi="Times New Roman" w:eastAsia="Times New Roman" w:cs="Times New Roman"/>
          <w:sz w:val="24"/>
          <w:szCs w:val="24"/>
          <w:lang w:val="en-US" w:eastAsia="da-DK" w:bidi="lo-LA"/>
        </w:rPr>
      </w:pPr>
    </w:p>
    <w:p w14:paraId="3660831C">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2F92A9E8">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r>
        <w:rPr>
          <w:lang w:val="en-US"/>
        </w:rPr>
        <w:drawing>
          <wp:inline distT="0" distB="0" distL="0" distR="0">
            <wp:extent cx="5362575" cy="2149475"/>
            <wp:effectExtent l="0" t="0" r="952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8CEFDE">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41DACF2C">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024A9551">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024EFF19">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2B9D1E2E">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459B88BF">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7AD9E8DD">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14C7728E">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3B9EC46F">
      <w:pPr>
        <w:widowControl w:val="0"/>
        <w:autoSpaceDE w:val="0"/>
        <w:autoSpaceDN w:val="0"/>
        <w:adjustRightInd w:val="0"/>
        <w:spacing w:after="240" w:line="480" w:lineRule="auto"/>
        <w:rPr>
          <w:rFonts w:ascii="Times New Roman" w:hAnsi="Times New Roman" w:eastAsia="Times New Roman" w:cs="Times New Roman"/>
          <w:sz w:val="24"/>
          <w:szCs w:val="24"/>
          <w:lang w:val="en-US" w:eastAsia="da-DK" w:bidi="lo-LA"/>
        </w:rPr>
      </w:pPr>
    </w:p>
    <w:p w14:paraId="42826643">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 4. </w:t>
      </w:r>
      <w:commentRangeStart w:id="16"/>
      <w:r>
        <w:rPr>
          <w:rFonts w:ascii="Times New Roman" w:hAnsi="Times New Roman" w:cs="Times New Roman"/>
          <w:sz w:val="24"/>
          <w:szCs w:val="24"/>
          <w:lang w:val="en-US"/>
        </w:rPr>
        <w:t>Development in systolic blood pressure before and after a 12 weeks intervention with education, diet and exercise.  (N= 37 in the intervention group, 31 in the control group). T0 = at baseline, T12 = after 12 weeks. The changes were not significant..</w:t>
      </w:r>
      <w:commentRangeEnd w:id="16"/>
      <w:r>
        <w:commentReference w:id="16"/>
      </w:r>
    </w:p>
    <w:p w14:paraId="42A2B828">
      <w:pPr>
        <w:spacing w:after="0" w:line="480" w:lineRule="auto"/>
        <w:rPr>
          <w:rFonts w:ascii="Times New Roman" w:hAnsi="Times New Roman" w:eastAsia="Times New Roman" w:cs="Times New Roman"/>
          <w:b/>
          <w:bCs/>
          <w:sz w:val="24"/>
          <w:szCs w:val="24"/>
          <w:lang w:val="en-US" w:eastAsia="da-DK" w:bidi="lo-LA"/>
        </w:rPr>
      </w:pPr>
    </w:p>
    <w:p w14:paraId="777FB6A9">
      <w:pPr>
        <w:spacing w:after="0" w:line="480" w:lineRule="auto"/>
        <w:rPr>
          <w:rFonts w:ascii="Times New Roman" w:hAnsi="Times New Roman" w:eastAsia="Times New Roman" w:cs="Times New Roman"/>
          <w:bCs/>
          <w:sz w:val="24"/>
          <w:szCs w:val="24"/>
          <w:lang w:val="en-US" w:eastAsia="da-DK" w:bidi="lo-LA"/>
        </w:rPr>
      </w:pPr>
      <w:r>
        <w:rPr>
          <w:lang w:val="en-US"/>
        </w:rPr>
        <w:drawing>
          <wp:inline distT="0" distB="0" distL="0" distR="0">
            <wp:extent cx="5257800" cy="25431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47E96F">
      <w:pPr>
        <w:spacing w:after="0" w:line="480" w:lineRule="auto"/>
        <w:rPr>
          <w:rFonts w:ascii="Times New Roman" w:hAnsi="Times New Roman" w:eastAsia="Times New Roman" w:cs="Times New Roman"/>
          <w:b/>
          <w:bCs/>
          <w:sz w:val="24"/>
          <w:szCs w:val="24"/>
          <w:lang w:val="en-US" w:eastAsia="da-DK" w:bidi="lo-LA"/>
        </w:rPr>
      </w:pPr>
    </w:p>
    <w:p w14:paraId="54D2F64E">
      <w:pPr>
        <w:spacing w:after="0" w:line="480" w:lineRule="auto"/>
        <w:rPr>
          <w:rFonts w:ascii="Times New Roman" w:hAnsi="Times New Roman" w:eastAsia="Times New Roman" w:cs="Times New Roman"/>
          <w:bCs/>
          <w:sz w:val="24"/>
          <w:szCs w:val="24"/>
          <w:lang w:val="en-US" w:eastAsia="da-DK" w:bidi="lo-LA"/>
        </w:rPr>
      </w:pPr>
    </w:p>
    <w:p w14:paraId="3C3FE3E8">
      <w:pPr>
        <w:spacing w:after="0" w:line="480" w:lineRule="auto"/>
        <w:rPr>
          <w:rFonts w:ascii="Times New Roman" w:hAnsi="Times New Roman" w:eastAsia="Times New Roman" w:cs="Times New Roman"/>
          <w:bCs/>
          <w:sz w:val="24"/>
          <w:szCs w:val="24"/>
          <w:lang w:val="en-US" w:eastAsia="da-DK" w:bidi="lo-LA"/>
        </w:rPr>
      </w:pPr>
    </w:p>
    <w:p w14:paraId="7A16FF63">
      <w:pPr>
        <w:spacing w:after="0" w:line="480" w:lineRule="auto"/>
        <w:rPr>
          <w:rFonts w:ascii="Times New Roman" w:hAnsi="Times New Roman" w:eastAsia="Times New Roman" w:cs="Times New Roman"/>
          <w:bCs/>
          <w:sz w:val="24"/>
          <w:szCs w:val="24"/>
          <w:lang w:val="en-US" w:eastAsia="da-DK" w:bidi="lo-LA"/>
        </w:rPr>
      </w:pPr>
    </w:p>
    <w:p w14:paraId="5F507D70">
      <w:pPr>
        <w:spacing w:after="0" w:line="480" w:lineRule="auto"/>
        <w:rPr>
          <w:rFonts w:ascii="Times New Roman" w:hAnsi="Times New Roman" w:eastAsia="Times New Roman" w:cs="Times New Roman"/>
          <w:bCs/>
          <w:sz w:val="24"/>
          <w:szCs w:val="24"/>
          <w:lang w:val="en-US" w:eastAsia="da-DK" w:bidi="lo-LA"/>
        </w:rPr>
      </w:pPr>
    </w:p>
    <w:p w14:paraId="2DE910EC">
      <w:pPr>
        <w:spacing w:after="0" w:line="480" w:lineRule="auto"/>
        <w:rPr>
          <w:rFonts w:ascii="Times New Roman" w:hAnsi="Times New Roman" w:eastAsia="Times New Roman" w:cs="Times New Roman"/>
          <w:bCs/>
          <w:sz w:val="24"/>
          <w:szCs w:val="24"/>
          <w:lang w:val="en-US" w:eastAsia="da-DK" w:bidi="lo-LA"/>
        </w:rPr>
      </w:pPr>
    </w:p>
    <w:p w14:paraId="613B0267">
      <w:pPr>
        <w:spacing w:after="0" w:line="480" w:lineRule="auto"/>
        <w:rPr>
          <w:rFonts w:ascii="Times New Roman" w:hAnsi="Times New Roman" w:eastAsia="Times New Roman" w:cs="Times New Roman"/>
          <w:bCs/>
          <w:sz w:val="24"/>
          <w:szCs w:val="24"/>
          <w:lang w:val="en-US" w:eastAsia="da-DK" w:bidi="lo-LA"/>
        </w:rPr>
      </w:pPr>
    </w:p>
    <w:p w14:paraId="2FD80D00">
      <w:pPr>
        <w:spacing w:after="0" w:line="480" w:lineRule="auto"/>
        <w:rPr>
          <w:rFonts w:ascii="Times New Roman" w:hAnsi="Times New Roman" w:eastAsia="Times New Roman" w:cs="Times New Roman"/>
          <w:bCs/>
          <w:sz w:val="24"/>
          <w:szCs w:val="24"/>
          <w:lang w:val="en-US" w:eastAsia="da-DK" w:bidi="lo-LA"/>
        </w:rPr>
      </w:pPr>
    </w:p>
    <w:p w14:paraId="5542921A">
      <w:pPr>
        <w:spacing w:after="0" w:line="480" w:lineRule="auto"/>
        <w:rPr>
          <w:rFonts w:ascii="Times New Roman" w:hAnsi="Times New Roman" w:eastAsia="Times New Roman" w:cs="Times New Roman"/>
          <w:bCs/>
          <w:sz w:val="24"/>
          <w:szCs w:val="24"/>
          <w:lang w:val="en-US" w:eastAsia="da-DK" w:bidi="lo-LA"/>
        </w:rPr>
      </w:pPr>
    </w:p>
    <w:p w14:paraId="53703235">
      <w:pPr>
        <w:spacing w:after="0" w:line="480" w:lineRule="auto"/>
        <w:rPr>
          <w:rFonts w:ascii="Times New Roman" w:hAnsi="Times New Roman" w:eastAsia="Times New Roman" w:cs="Times New Roman"/>
          <w:bCs/>
          <w:sz w:val="24"/>
          <w:szCs w:val="24"/>
          <w:lang w:val="en-US" w:eastAsia="da-DK" w:bidi="lo-LA"/>
        </w:rPr>
      </w:pPr>
    </w:p>
    <w:p w14:paraId="0E777BD7">
      <w:pPr>
        <w:spacing w:after="0" w:line="480" w:lineRule="auto"/>
        <w:rPr>
          <w:rFonts w:ascii="Times New Roman" w:hAnsi="Times New Roman" w:eastAsia="Times New Roman" w:cs="Times New Roman"/>
          <w:bCs/>
          <w:sz w:val="24"/>
          <w:szCs w:val="24"/>
          <w:lang w:val="en-US" w:eastAsia="da-DK" w:bidi="lo-LA"/>
        </w:rPr>
      </w:pPr>
    </w:p>
    <w:p w14:paraId="18D69B7C">
      <w:pPr>
        <w:spacing w:after="0" w:line="480" w:lineRule="auto"/>
        <w:rPr>
          <w:rFonts w:ascii="Times New Roman" w:hAnsi="Times New Roman" w:eastAsia="Times New Roman" w:cs="Times New Roman"/>
          <w:bCs/>
          <w:sz w:val="24"/>
          <w:szCs w:val="24"/>
          <w:lang w:val="en-US" w:eastAsia="da-DK" w:bidi="lo-LA"/>
        </w:rPr>
      </w:pPr>
    </w:p>
    <w:p w14:paraId="7C17963F">
      <w:pPr>
        <w:spacing w:after="0" w:line="480" w:lineRule="auto"/>
        <w:rPr>
          <w:rFonts w:ascii="Times New Roman" w:hAnsi="Times New Roman" w:eastAsia="Times New Roman" w:cs="Times New Roman"/>
          <w:bCs/>
          <w:sz w:val="24"/>
          <w:szCs w:val="24"/>
          <w:lang w:val="en-US" w:eastAsia="da-DK" w:bidi="lo-LA"/>
        </w:rPr>
      </w:pPr>
      <w:r>
        <w:rPr>
          <w:rFonts w:ascii="Times New Roman" w:hAnsi="Times New Roman" w:eastAsia="Times New Roman" w:cs="Times New Roman"/>
          <w:bCs/>
          <w:sz w:val="24"/>
          <w:szCs w:val="24"/>
          <w:lang w:val="en-US" w:eastAsia="da-DK" w:bidi="lo-LA"/>
        </w:rPr>
        <w:t>Fig 5. The patient´s own opinion about their disease during the 12 weeks of observation. The intervention group had teaching and dietary/training, the control group was only observed.</w:t>
      </w:r>
    </w:p>
    <w:p w14:paraId="2FEBE38D">
      <w:pPr>
        <w:spacing w:after="0" w:line="480" w:lineRule="auto"/>
        <w:rPr>
          <w:rFonts w:ascii="Times New Roman" w:hAnsi="Times New Roman" w:eastAsia="Times New Roman" w:cs="Times New Roman"/>
          <w:bCs/>
          <w:sz w:val="24"/>
          <w:szCs w:val="24"/>
          <w:lang w:val="en-US" w:eastAsia="da-DK" w:bidi="lo-LA"/>
        </w:rPr>
      </w:pPr>
    </w:p>
    <w:p w14:paraId="07856B06">
      <w:pPr>
        <w:spacing w:after="0" w:line="480" w:lineRule="auto"/>
        <w:rPr>
          <w:rFonts w:ascii="Times New Roman" w:hAnsi="Times New Roman" w:eastAsia="Times New Roman" w:cs="Times New Roman"/>
          <w:b/>
          <w:bCs/>
          <w:sz w:val="24"/>
          <w:szCs w:val="24"/>
          <w:lang w:eastAsia="da-DK" w:bidi="lo-LA"/>
        </w:rPr>
      </w:pPr>
      <w:r>
        <w:rPr>
          <w:rFonts w:ascii="Times New Roman" w:hAnsi="Times New Roman" w:eastAsia="Times New Roman" w:cs="Times New Roman"/>
          <w:b/>
          <w:bCs/>
          <w:sz w:val="24"/>
          <w:szCs w:val="24"/>
          <w:lang w:val="en-US"/>
        </w:rPr>
        <w:drawing>
          <wp:inline distT="0" distB="0" distL="0" distR="0">
            <wp:extent cx="6413500" cy="4425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413500" cy="4425950"/>
                    </a:xfrm>
                    <a:prstGeom prst="rect">
                      <a:avLst/>
                    </a:prstGeom>
                    <a:noFill/>
                  </pic:spPr>
                </pic:pic>
              </a:graphicData>
            </a:graphic>
          </wp:inline>
        </w:drawing>
      </w:r>
    </w:p>
    <w:p w14:paraId="24676DA5">
      <w:pPr>
        <w:spacing w:after="0" w:line="480" w:lineRule="auto"/>
        <w:rPr>
          <w:rFonts w:ascii="Times New Roman" w:hAnsi="Times New Roman" w:eastAsia="Times New Roman" w:cs="Times New Roman"/>
          <w:b/>
          <w:bCs/>
          <w:sz w:val="24"/>
          <w:szCs w:val="24"/>
          <w:lang w:eastAsia="da-DK" w:bidi="lo-LA"/>
        </w:rPr>
      </w:pPr>
    </w:p>
    <w:p w14:paraId="2EE609B7">
      <w:pPr>
        <w:spacing w:after="0" w:line="480" w:lineRule="auto"/>
        <w:rPr>
          <w:rFonts w:ascii="Times New Roman" w:hAnsi="Times New Roman" w:eastAsia="Times New Roman" w:cs="Times New Roman"/>
          <w:b/>
          <w:bCs/>
          <w:sz w:val="24"/>
          <w:szCs w:val="24"/>
          <w:lang w:eastAsia="da-DK" w:bidi="lo-LA"/>
        </w:rPr>
      </w:pPr>
    </w:p>
    <w:sectPr>
      <w:headerReference r:id="rId9" w:type="first"/>
      <w:footerReference r:id="rId12" w:type="first"/>
      <w:headerReference r:id="rId7" w:type="default"/>
      <w:footerReference r:id="rId10" w:type="default"/>
      <w:headerReference r:id="rId8" w:type="even"/>
      <w:footerReference r:id="rId11" w:type="even"/>
      <w:pgSz w:w="11906" w:h="16838"/>
      <w:pgMar w:top="1440" w:right="1440" w:bottom="1440" w:left="144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handra garbuja" w:date="2024-07-10T09:35:23Z" w:initials="">
    <w:p w14:paraId="79F9934F">
      <w:pPr>
        <w:pStyle w:val="8"/>
        <w:rPr>
          <w:rFonts w:hint="default"/>
          <w:lang w:val="en-US"/>
        </w:rPr>
      </w:pPr>
      <w:r>
        <w:rPr>
          <w:rFonts w:hint="default"/>
          <w:lang w:val="en-US"/>
        </w:rPr>
        <w:t>Check the citation as per the guidelines throughout the manuscript.</w:t>
      </w:r>
    </w:p>
  </w:comment>
  <w:comment w:id="1" w:author="chandra garbuja" w:date="2024-07-10T13:21:56Z" w:initials="">
    <w:p w14:paraId="12A7E2DE">
      <w:pPr>
        <w:pStyle w:val="8"/>
        <w:rPr>
          <w:rFonts w:hint="default"/>
          <w:lang w:val="en-US"/>
        </w:rPr>
      </w:pPr>
      <w:r>
        <w:rPr>
          <w:rFonts w:hint="default"/>
          <w:lang w:val="en-US"/>
        </w:rPr>
        <w:t xml:space="preserve">Objectives should be similar throughout the studies and even in the abstract. </w:t>
      </w:r>
    </w:p>
  </w:comment>
  <w:comment w:id="2" w:author="chandra garbuja" w:date="2024-07-10T13:22:58Z" w:initials="">
    <w:p w14:paraId="141DB349">
      <w:pPr>
        <w:pStyle w:val="8"/>
        <w:rPr>
          <w:rFonts w:hint="default"/>
          <w:lang w:val="en-US"/>
        </w:rPr>
      </w:pPr>
      <w:r>
        <w:rPr>
          <w:rFonts w:hint="default"/>
          <w:lang w:val="en-US"/>
        </w:rPr>
        <w:t xml:space="preserve">The setting of the study and how the cases were selected in not clear. </w:t>
      </w:r>
    </w:p>
    <w:p w14:paraId="3DCABD4C">
      <w:pPr>
        <w:pStyle w:val="8"/>
        <w:rPr>
          <w:rFonts w:hint="default"/>
          <w:lang w:val="en-US"/>
        </w:rPr>
      </w:pPr>
      <w:r>
        <w:rPr>
          <w:rFonts w:hint="default"/>
          <w:lang w:val="en-US"/>
        </w:rPr>
        <w:t>How the 100 samples were selected? On what basis they were selected? Sample size calculation has not been mentioned.</w:t>
      </w:r>
    </w:p>
    <w:p w14:paraId="185B533D">
      <w:pPr>
        <w:pStyle w:val="8"/>
        <w:rPr>
          <w:rFonts w:hint="default"/>
          <w:lang w:val="en-US"/>
        </w:rPr>
      </w:pPr>
      <w:r>
        <w:rPr>
          <w:rFonts w:hint="default"/>
          <w:lang w:val="en-US"/>
        </w:rPr>
        <w:t>Mention how the ethical clearance was obtained.</w:t>
      </w:r>
    </w:p>
    <w:p w14:paraId="0C0EA76F">
      <w:pPr>
        <w:pStyle w:val="8"/>
        <w:rPr>
          <w:rFonts w:hint="default"/>
          <w:lang w:val="en-US"/>
        </w:rPr>
      </w:pPr>
      <w:r>
        <w:rPr>
          <w:rFonts w:hint="default"/>
          <w:lang w:val="en-US"/>
        </w:rPr>
        <w:t>As the design of the study is RCT, it is required to mention about the registration of the study, where it has been registered?</w:t>
      </w:r>
    </w:p>
    <w:p w14:paraId="2486E695">
      <w:pPr>
        <w:pStyle w:val="8"/>
        <w:rPr>
          <w:rFonts w:hint="default"/>
          <w:lang w:val="en-US"/>
        </w:rPr>
      </w:pPr>
      <w:r>
        <w:rPr>
          <w:rFonts w:hint="default"/>
          <w:lang w:val="en-US"/>
        </w:rPr>
        <w:t xml:space="preserve">The interventions that was included within 12 weeks for cases should be mentioned clearly. </w:t>
      </w:r>
    </w:p>
    <w:p w14:paraId="32EEA61A">
      <w:pPr>
        <w:pStyle w:val="8"/>
        <w:rPr>
          <w:rFonts w:hint="default"/>
          <w:lang w:val="en-US"/>
        </w:rPr>
      </w:pPr>
      <w:r>
        <w:rPr>
          <w:rFonts w:hint="default"/>
          <w:lang w:val="en-US"/>
        </w:rPr>
        <w:t>It would be appropriate to mention what were the routine care for control groups?</w:t>
      </w:r>
    </w:p>
    <w:p w14:paraId="3C6A2E43">
      <w:pPr>
        <w:pStyle w:val="8"/>
        <w:rPr>
          <w:rFonts w:hint="default"/>
          <w:lang w:val="en-US"/>
        </w:rPr>
      </w:pPr>
      <w:r>
        <w:rPr>
          <w:rFonts w:hint="default"/>
          <w:lang w:val="en-US"/>
        </w:rPr>
        <w:t>The inclusion and exclusion criteria should be mentioned clearly.</w:t>
      </w:r>
    </w:p>
    <w:p w14:paraId="4A3008FF">
      <w:pPr>
        <w:pStyle w:val="8"/>
        <w:rPr>
          <w:rFonts w:hint="default"/>
          <w:lang w:val="en-US"/>
        </w:rPr>
      </w:pPr>
      <w:r>
        <w:rPr>
          <w:rFonts w:hint="default"/>
          <w:lang w:val="en-US"/>
        </w:rPr>
        <w:t>Regarding the statistical tests, it is suggested to mention clearly and also the level of significance.</w:t>
      </w:r>
    </w:p>
    <w:p w14:paraId="7F00FD82">
      <w:pPr>
        <w:pStyle w:val="8"/>
        <w:rPr>
          <w:rFonts w:hint="default"/>
          <w:lang w:val="en-US"/>
        </w:rPr>
      </w:pPr>
      <w:r>
        <w:rPr>
          <w:rFonts w:hint="default"/>
          <w:lang w:val="en-US"/>
        </w:rPr>
        <w:t>Who had beared the cost of the laboratory investigations?</w:t>
      </w:r>
    </w:p>
  </w:comment>
  <w:comment w:id="3" w:author="chandra garbuja" w:date="2024-07-10T14:47:20Z" w:initials="">
    <w:p w14:paraId="1706FCEF">
      <w:pPr>
        <w:pStyle w:val="8"/>
        <w:rPr>
          <w:rFonts w:hint="default"/>
          <w:lang w:val="en-US"/>
        </w:rPr>
      </w:pPr>
      <w:r>
        <w:rPr>
          <w:rFonts w:hint="default"/>
          <w:lang w:val="en-US"/>
        </w:rPr>
        <w:t>The result should be written clearly. The figure and the written results does not matches and fig shows in n(%) but here mentioned as Mean</w:t>
      </w:r>
      <w:r>
        <w:rPr>
          <w:rFonts w:hint="default" w:ascii="Calibri" w:hAnsi="Calibri" w:cs="Calibri"/>
          <w:lang w:val="en-US"/>
        </w:rPr>
        <w:t>±</w:t>
      </w:r>
      <w:r>
        <w:rPr>
          <w:rFonts w:hint="default"/>
          <w:lang w:val="en-US"/>
        </w:rPr>
        <w:t>SD.</w:t>
      </w:r>
    </w:p>
    <w:p w14:paraId="63CAC264">
      <w:pPr>
        <w:pStyle w:val="8"/>
        <w:rPr>
          <w:rFonts w:hint="default"/>
          <w:lang w:val="en-US"/>
        </w:rPr>
      </w:pPr>
      <w:r>
        <w:rPr>
          <w:rFonts w:hint="default"/>
          <w:lang w:val="en-US"/>
        </w:rPr>
        <w:t>The result section should include in numerical forms not just by increased/increased, no significant changes etc. Those words can be used but supported by numerical values.</w:t>
      </w:r>
    </w:p>
  </w:comment>
  <w:comment w:id="4" w:author="chandra garbuja" w:date="2024-07-10T14:55:37Z" w:initials="">
    <w:p w14:paraId="1795AE48">
      <w:pPr>
        <w:pStyle w:val="8"/>
        <w:rPr>
          <w:rFonts w:hint="default"/>
          <w:lang w:val="en-US"/>
        </w:rPr>
      </w:pPr>
      <w:r>
        <w:rPr>
          <w:rFonts w:hint="default"/>
          <w:lang w:val="en-US"/>
        </w:rPr>
        <w:t>Does it signify the mean</w:t>
      </w:r>
      <w:r>
        <w:rPr>
          <w:rFonts w:hint="default" w:ascii="Calibri" w:hAnsi="Calibri" w:cs="Calibri"/>
          <w:lang w:val="en-US"/>
        </w:rPr>
        <w:t>±</w:t>
      </w:r>
      <w:r>
        <w:rPr>
          <w:rFonts w:hint="default"/>
          <w:lang w:val="en-US"/>
        </w:rPr>
        <w:t>SD value? Or median?Mention it in materials and method section.</w:t>
      </w:r>
    </w:p>
    <w:p w14:paraId="384606D5">
      <w:pPr>
        <w:pStyle w:val="8"/>
        <w:rPr>
          <w:rFonts w:hint="default"/>
          <w:lang w:val="en-US"/>
        </w:rPr>
      </w:pPr>
      <w:r>
        <w:rPr>
          <w:rFonts w:hint="default"/>
          <w:lang w:val="en-US"/>
        </w:rPr>
        <w:t>In fig. 2, it was mentioned as NA in significance column, but here p=0.02. clarify it.</w:t>
      </w:r>
    </w:p>
  </w:comment>
  <w:comment w:id="5" w:author="chandra garbuja" w:date="2024-07-10T15:25:56Z" w:initials="">
    <w:p w14:paraId="6FC54FF0">
      <w:pPr>
        <w:pStyle w:val="8"/>
        <w:rPr>
          <w:rFonts w:hint="default"/>
          <w:lang w:val="en-US"/>
        </w:rPr>
      </w:pPr>
      <w:r>
        <w:rPr>
          <w:rFonts w:hint="default"/>
          <w:lang w:val="en-US"/>
        </w:rPr>
        <w:t>What about the missing samples’ status?</w:t>
      </w:r>
    </w:p>
  </w:comment>
  <w:comment w:id="6" w:author="chandra garbuja" w:date="2024-07-10T15:32:41Z" w:initials="">
    <w:p w14:paraId="304B054D">
      <w:pPr>
        <w:pStyle w:val="8"/>
        <w:rPr>
          <w:rFonts w:hint="default"/>
          <w:lang w:val="en-US"/>
        </w:rPr>
      </w:pPr>
      <w:r>
        <w:rPr>
          <w:rFonts w:hint="default"/>
          <w:lang w:val="en-US"/>
        </w:rPr>
        <w:t>Do mention in method section about the content of educational packages..</w:t>
      </w:r>
    </w:p>
  </w:comment>
  <w:comment w:id="7" w:author="chandra garbuja" w:date="2024-07-10T15:36:06Z" w:initials="">
    <w:p w14:paraId="5E1E2FAB">
      <w:pPr>
        <w:pStyle w:val="8"/>
        <w:rPr>
          <w:rFonts w:hint="default"/>
          <w:lang w:val="en-US"/>
        </w:rPr>
      </w:pPr>
      <w:r>
        <w:rPr>
          <w:rFonts w:hint="default"/>
          <w:lang w:val="en-US"/>
        </w:rPr>
        <w:t>Do the results are interpreted in qualitative format only, no quantitative values? If yes, then the study has a mixed design which needed to be clearly mention in method section.</w:t>
      </w:r>
    </w:p>
  </w:comment>
  <w:comment w:id="8" w:author="chandra garbuja" w:date="2024-07-10T15:42:11Z" w:initials="">
    <w:p w14:paraId="5EA8A7E9">
      <w:pPr>
        <w:pStyle w:val="8"/>
        <w:rPr>
          <w:rFonts w:hint="default"/>
          <w:lang w:val="en-US"/>
        </w:rPr>
      </w:pPr>
      <w:r>
        <w:rPr>
          <w:rFonts w:hint="default"/>
          <w:lang w:val="en-US"/>
        </w:rPr>
        <w:t>This section need to started with objectives of the study and compare the findings of the study with other studies. Thus, this section need to be restructurized/rewrite.</w:t>
      </w:r>
    </w:p>
    <w:p w14:paraId="2FF0A8FF">
      <w:pPr>
        <w:pStyle w:val="8"/>
        <w:rPr>
          <w:rFonts w:hint="default"/>
          <w:lang w:val="en-US"/>
        </w:rPr>
      </w:pPr>
      <w:r>
        <w:rPr>
          <w:rFonts w:hint="default"/>
          <w:lang w:val="en-US"/>
        </w:rPr>
        <w:t>For comparison start with the findings of the study then compare with other study. If disparities, then the appropriate rationale can be given.</w:t>
      </w:r>
    </w:p>
  </w:comment>
  <w:comment w:id="9" w:author="chandra garbuja" w:date="2024-07-10T15:38:36Z" w:initials="">
    <w:p w14:paraId="05EC8D2F">
      <w:pPr>
        <w:pStyle w:val="8"/>
        <w:rPr>
          <w:rFonts w:hint="default"/>
          <w:lang w:val="en-US"/>
        </w:rPr>
      </w:pPr>
      <w:r>
        <w:rPr>
          <w:rFonts w:hint="default"/>
          <w:lang w:val="en-US"/>
        </w:rPr>
        <w:t>These were the confounding variables which are needd to be controlled by exclusion criteria. If not, the authenticity of the study cannot be ensured.</w:t>
      </w:r>
    </w:p>
  </w:comment>
  <w:comment w:id="10" w:author="chandra garbuja" w:date="2024-07-10T15:40:19Z" w:initials="">
    <w:p w14:paraId="4DEC395F">
      <w:pPr>
        <w:pStyle w:val="8"/>
        <w:rPr>
          <w:rFonts w:hint="default"/>
          <w:lang w:val="en-US"/>
        </w:rPr>
      </w:pPr>
      <w:r>
        <w:rPr>
          <w:rFonts w:hint="default"/>
          <w:lang w:val="en-US"/>
        </w:rPr>
        <w:t>These were the limitations of the study. Thus the researchers need to have a feasibility study prior the conduction of real study. Otherelse, there will be arise of ethical issues for authenticity of the study.</w:t>
      </w:r>
    </w:p>
  </w:comment>
  <w:comment w:id="11" w:author="chandra garbuja" w:date="2024-07-10T15:45:48Z" w:initials="">
    <w:p w14:paraId="64C88440">
      <w:pPr>
        <w:pStyle w:val="8"/>
        <w:rPr>
          <w:rFonts w:hint="default"/>
          <w:lang w:val="en-US"/>
        </w:rPr>
      </w:pPr>
      <w:r>
        <w:rPr>
          <w:rFonts w:hint="default"/>
          <w:lang w:val="en-US"/>
        </w:rPr>
        <w:t>In this section, the answers of the set objectives need to be written in a simple and understandable words/sentences so that even a lay person can understand the result of the study. And recommendation can also be included.</w:t>
      </w:r>
    </w:p>
  </w:comment>
  <w:comment w:id="12" w:author="chandra garbuja" w:date="2024-07-10T14:04:43Z" w:initials="">
    <w:p w14:paraId="419BAE58">
      <w:pPr>
        <w:pStyle w:val="8"/>
        <w:rPr>
          <w:rFonts w:hint="default"/>
          <w:lang w:val="en-US"/>
        </w:rPr>
      </w:pPr>
      <w:r>
        <w:rPr>
          <w:rFonts w:hint="default"/>
          <w:lang w:val="en-US"/>
        </w:rPr>
        <w:t>Out of 50, 2 participants died then out of  remaining 48participants from intervention group only 42 were included after 12 weeks and and it was mentioned EQ-5D questionnaire was given to 45 participants. Where were the remaining 3 participants and why there is a difference in the number of participants?</w:t>
      </w:r>
    </w:p>
    <w:p w14:paraId="157CB6B3">
      <w:pPr>
        <w:pStyle w:val="8"/>
        <w:rPr>
          <w:rFonts w:hint="default"/>
          <w:lang w:val="en-US"/>
        </w:rPr>
      </w:pPr>
      <w:r>
        <w:rPr>
          <w:rFonts w:hint="default"/>
          <w:lang w:val="en-US"/>
        </w:rPr>
        <w:t>The same thing for control group as well. It has to be mentioned in material and method section for the reason of missing of participants from both the groups.</w:t>
      </w:r>
    </w:p>
    <w:p w14:paraId="22A07B68">
      <w:pPr>
        <w:pStyle w:val="8"/>
        <w:rPr>
          <w:rFonts w:hint="default"/>
          <w:lang w:val="en-US"/>
        </w:rPr>
      </w:pPr>
    </w:p>
  </w:comment>
  <w:comment w:id="13" w:author="chandra garbuja" w:date="2024-07-10T14:24:52Z" w:initials="">
    <w:p w14:paraId="211C067C">
      <w:pPr>
        <w:pStyle w:val="8"/>
        <w:rPr>
          <w:rFonts w:hint="default"/>
          <w:lang w:val="en-US"/>
        </w:rPr>
      </w:pPr>
      <w:r>
        <w:rPr>
          <w:rFonts w:hint="default"/>
          <w:lang w:val="en-US"/>
        </w:rPr>
        <w:t>Make the table clearly including the n(%). This table seems to show only the descriptive findings. What does the column of significance shows? If any inferential statistics had been used mention which test was applied and its level of confidence (p)?</w:t>
      </w:r>
    </w:p>
  </w:comment>
  <w:comment w:id="14" w:author="chandra garbuja" w:date="2024-07-10T14:27:56Z" w:initials="">
    <w:p w14:paraId="5A642FAD">
      <w:pPr>
        <w:pStyle w:val="8"/>
        <w:rPr>
          <w:rFonts w:hint="default"/>
          <w:lang w:val="en-US"/>
        </w:rPr>
      </w:pPr>
      <w:r>
        <w:rPr>
          <w:rFonts w:hint="default"/>
          <w:lang w:val="en-US"/>
        </w:rPr>
        <w:t>The title of the figure and table should be short, clear and understandable. There is no need to mention its description. Also mention sample size (n=?) in each tables and figures.</w:t>
      </w:r>
    </w:p>
    <w:p w14:paraId="7B08974B">
      <w:pPr>
        <w:pStyle w:val="8"/>
        <w:rPr>
          <w:rFonts w:hint="default"/>
          <w:lang w:val="en-US"/>
        </w:rPr>
      </w:pPr>
      <w:r>
        <w:rPr>
          <w:rFonts w:hint="default"/>
          <w:lang w:val="en-US"/>
        </w:rPr>
        <w:t>The shade of the fig 2 seems similar. Thus, for clear understanding use the shades appropriately.</w:t>
      </w:r>
    </w:p>
  </w:comment>
  <w:comment w:id="15" w:author="chandra garbuja" w:date="2024-07-10T14:31:26Z" w:initials="">
    <w:p w14:paraId="5DAE40E0">
      <w:pPr>
        <w:pStyle w:val="8"/>
        <w:rPr>
          <w:rFonts w:hint="default"/>
          <w:lang w:val="en-US"/>
        </w:rPr>
      </w:pPr>
      <w:r>
        <w:rPr>
          <w:rFonts w:hint="default"/>
          <w:lang w:val="en-US"/>
        </w:rPr>
        <w:t>Same as above. ANd the title of the fig comes below the figure, not above it.</w:t>
      </w:r>
    </w:p>
  </w:comment>
  <w:comment w:id="16" w:author="chandra garbuja" w:date="2024-07-10T14:32:16Z" w:initials="">
    <w:p w14:paraId="3B4E3194">
      <w:pPr>
        <w:pStyle w:val="8"/>
        <w:rPr>
          <w:rFonts w:hint="default"/>
          <w:lang w:val="en-US"/>
        </w:rPr>
      </w:pPr>
      <w:r>
        <w:rPr>
          <w:rFonts w:hint="default"/>
          <w:lang w:val="en-US"/>
        </w:rPr>
        <w:t>Same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9F9934F" w15:done="0"/>
  <w15:commentEx w15:paraId="12A7E2DE" w15:done="0"/>
  <w15:commentEx w15:paraId="7F00FD82" w15:done="0"/>
  <w15:commentEx w15:paraId="63CAC264" w15:done="0"/>
  <w15:commentEx w15:paraId="384606D5" w15:done="0"/>
  <w15:commentEx w15:paraId="6FC54FF0" w15:done="0"/>
  <w15:commentEx w15:paraId="304B054D" w15:done="0"/>
  <w15:commentEx w15:paraId="5E1E2FAB" w15:done="0"/>
  <w15:commentEx w15:paraId="2FF0A8FF" w15:done="0"/>
  <w15:commentEx w15:paraId="05EC8D2F" w15:done="0"/>
  <w15:commentEx w15:paraId="4DEC395F" w15:done="0"/>
  <w15:commentEx w15:paraId="64C88440" w15:done="0"/>
  <w15:commentEx w15:paraId="22A07B68" w15:done="0"/>
  <w15:commentEx w15:paraId="211C067C" w15:done="0"/>
  <w15:commentEx w15:paraId="7B08974B" w15:done="0"/>
  <w15:commentEx w15:paraId="5DAE40E0" w15:done="0"/>
  <w15:commentEx w15:paraId="3B4E31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DokChampa">
    <w:altName w:val="Microsoft Sans Serif"/>
    <w:panose1 w:val="00000000000000000000"/>
    <w:charset w:val="DE"/>
    <w:family w:val="swiss"/>
    <w:pitch w:val="default"/>
    <w:sig w:usb0="00000000" w:usb1="00000000" w:usb2="00000000" w:usb3="00000000" w:csb0="00010001" w:csb1="00000000"/>
  </w:font>
  <w:font w:name="DokChampa">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3266989"/>
      <w:docPartObj>
        <w:docPartGallery w:val="autotext"/>
      </w:docPartObj>
    </w:sdtPr>
    <w:sdtContent>
      <w:p w14:paraId="7B5FB1E6">
        <w:pPr>
          <w:pStyle w:val="10"/>
          <w:jc w:val="right"/>
        </w:pPr>
        <w:r>
          <w:fldChar w:fldCharType="begin"/>
        </w:r>
        <w:r>
          <w:instrText xml:space="preserve">PAGE   \* MERGEFORMAT</w:instrText>
        </w:r>
        <w:r>
          <w:fldChar w:fldCharType="separate"/>
        </w:r>
        <w:r>
          <w:t>17</w:t>
        </w:r>
        <w:r>
          <w:fldChar w:fldCharType="end"/>
        </w:r>
      </w:p>
    </w:sdtContent>
  </w:sdt>
  <w:p w14:paraId="2138C43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4797A">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D56F">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0159">
    <w:pPr>
      <w:pStyle w:val="11"/>
    </w:pPr>
    <w:r>
      <w:pict>
        <v:shape id="PowerPlusWaterMarkObject1489582533" o:spid="_x0000_s1027" o:spt="136" type="#_x0000_t136" style="position:absolute;left:0pt;height:100.45pt;width:535.8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09FB8">
    <w:pPr>
      <w:pStyle w:val="11"/>
    </w:pPr>
    <w:r>
      <w:pict>
        <v:shape id="PowerPlusWaterMarkObject1489582532" o:spid="_x0000_s1026" o:spt="136" type="#_x0000_t136" style="position:absolute;left:0pt;height:100.45pt;width:535.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D436">
    <w:pPr>
      <w:pStyle w:val="11"/>
    </w:pPr>
    <w:r>
      <w:pict>
        <v:shape id="PowerPlusWaterMarkObject1489582531" o:spid="_x0000_s1025" o:spt="136" type="#_x0000_t136" style="position:absolute;left:0pt;height:100.45pt;width:535.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andra garbuja">
    <w15:presenceInfo w15:providerId="WPS Office" w15:userId="33618076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trackRevisions w:val="1"/>
  <w:documentProtection w:enforcement="0"/>
  <w:defaultTabStop w:val="1304"/>
  <w:hyphenationZone w:val="425"/>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F88"/>
    <w:rsid w:val="000070A6"/>
    <w:rsid w:val="000465ED"/>
    <w:rsid w:val="00054E40"/>
    <w:rsid w:val="000617FB"/>
    <w:rsid w:val="00072C88"/>
    <w:rsid w:val="000767F3"/>
    <w:rsid w:val="000964D1"/>
    <w:rsid w:val="000A2BDB"/>
    <w:rsid w:val="000C42E3"/>
    <w:rsid w:val="000C5CCF"/>
    <w:rsid w:val="000D0FB0"/>
    <w:rsid w:val="000D19F0"/>
    <w:rsid w:val="000D5033"/>
    <w:rsid w:val="000F413B"/>
    <w:rsid w:val="001110F2"/>
    <w:rsid w:val="001238BE"/>
    <w:rsid w:val="00124E13"/>
    <w:rsid w:val="00130A5C"/>
    <w:rsid w:val="00131C34"/>
    <w:rsid w:val="001400DB"/>
    <w:rsid w:val="001450D3"/>
    <w:rsid w:val="00163F96"/>
    <w:rsid w:val="001657E9"/>
    <w:rsid w:val="00183AAA"/>
    <w:rsid w:val="00195F79"/>
    <w:rsid w:val="00196A72"/>
    <w:rsid w:val="001B1C35"/>
    <w:rsid w:val="001B3A87"/>
    <w:rsid w:val="001D3F47"/>
    <w:rsid w:val="00222EB1"/>
    <w:rsid w:val="002274DA"/>
    <w:rsid w:val="00234042"/>
    <w:rsid w:val="00236241"/>
    <w:rsid w:val="00245846"/>
    <w:rsid w:val="0025481C"/>
    <w:rsid w:val="002646E8"/>
    <w:rsid w:val="00272D53"/>
    <w:rsid w:val="00276F45"/>
    <w:rsid w:val="00277333"/>
    <w:rsid w:val="00280223"/>
    <w:rsid w:val="00285997"/>
    <w:rsid w:val="00296BBC"/>
    <w:rsid w:val="002D0B1F"/>
    <w:rsid w:val="002D3636"/>
    <w:rsid w:val="002D78AC"/>
    <w:rsid w:val="0030547C"/>
    <w:rsid w:val="0030563A"/>
    <w:rsid w:val="003319C3"/>
    <w:rsid w:val="003323F7"/>
    <w:rsid w:val="00341ECC"/>
    <w:rsid w:val="00345BDA"/>
    <w:rsid w:val="003516B5"/>
    <w:rsid w:val="00356C3C"/>
    <w:rsid w:val="00377DD8"/>
    <w:rsid w:val="00387B5D"/>
    <w:rsid w:val="0039220A"/>
    <w:rsid w:val="003A3C40"/>
    <w:rsid w:val="003A75E4"/>
    <w:rsid w:val="003B0FCA"/>
    <w:rsid w:val="003C007D"/>
    <w:rsid w:val="003C0D04"/>
    <w:rsid w:val="003D3560"/>
    <w:rsid w:val="00403EA1"/>
    <w:rsid w:val="0043403E"/>
    <w:rsid w:val="004464AE"/>
    <w:rsid w:val="00480562"/>
    <w:rsid w:val="00482343"/>
    <w:rsid w:val="00482C54"/>
    <w:rsid w:val="004A7687"/>
    <w:rsid w:val="004B289E"/>
    <w:rsid w:val="004B3A65"/>
    <w:rsid w:val="004B412B"/>
    <w:rsid w:val="004C4A8D"/>
    <w:rsid w:val="004C6D3E"/>
    <w:rsid w:val="004D067B"/>
    <w:rsid w:val="004D3F81"/>
    <w:rsid w:val="004F0562"/>
    <w:rsid w:val="00500F4B"/>
    <w:rsid w:val="00516A85"/>
    <w:rsid w:val="00516D22"/>
    <w:rsid w:val="0054707D"/>
    <w:rsid w:val="0056094D"/>
    <w:rsid w:val="00573180"/>
    <w:rsid w:val="005822A4"/>
    <w:rsid w:val="00597CEF"/>
    <w:rsid w:val="005A25D8"/>
    <w:rsid w:val="005A6208"/>
    <w:rsid w:val="005F0692"/>
    <w:rsid w:val="00611084"/>
    <w:rsid w:val="00624013"/>
    <w:rsid w:val="0063262F"/>
    <w:rsid w:val="00640368"/>
    <w:rsid w:val="00640A2C"/>
    <w:rsid w:val="00645E8E"/>
    <w:rsid w:val="00665C66"/>
    <w:rsid w:val="006A69A4"/>
    <w:rsid w:val="00701641"/>
    <w:rsid w:val="00701D7C"/>
    <w:rsid w:val="00704094"/>
    <w:rsid w:val="00707EDB"/>
    <w:rsid w:val="00726749"/>
    <w:rsid w:val="00747D13"/>
    <w:rsid w:val="00771337"/>
    <w:rsid w:val="00782798"/>
    <w:rsid w:val="00787785"/>
    <w:rsid w:val="0079302D"/>
    <w:rsid w:val="007A0118"/>
    <w:rsid w:val="007A21C3"/>
    <w:rsid w:val="007C449D"/>
    <w:rsid w:val="007C7287"/>
    <w:rsid w:val="007D0BA2"/>
    <w:rsid w:val="007D6FDD"/>
    <w:rsid w:val="00807C56"/>
    <w:rsid w:val="00822123"/>
    <w:rsid w:val="00834833"/>
    <w:rsid w:val="00850B10"/>
    <w:rsid w:val="0085718B"/>
    <w:rsid w:val="0086420B"/>
    <w:rsid w:val="0086728C"/>
    <w:rsid w:val="008766BF"/>
    <w:rsid w:val="00883C45"/>
    <w:rsid w:val="008B33A6"/>
    <w:rsid w:val="008B4EDA"/>
    <w:rsid w:val="008F53CD"/>
    <w:rsid w:val="00904F88"/>
    <w:rsid w:val="00926612"/>
    <w:rsid w:val="00930D26"/>
    <w:rsid w:val="00994F30"/>
    <w:rsid w:val="00997272"/>
    <w:rsid w:val="009A160F"/>
    <w:rsid w:val="009C5B65"/>
    <w:rsid w:val="009D046A"/>
    <w:rsid w:val="009D0E2C"/>
    <w:rsid w:val="009D424E"/>
    <w:rsid w:val="009E6524"/>
    <w:rsid w:val="009F1D4E"/>
    <w:rsid w:val="00A1142A"/>
    <w:rsid w:val="00A24C49"/>
    <w:rsid w:val="00A2528B"/>
    <w:rsid w:val="00A269D2"/>
    <w:rsid w:val="00A316A4"/>
    <w:rsid w:val="00A36D3B"/>
    <w:rsid w:val="00A634AC"/>
    <w:rsid w:val="00AD49FE"/>
    <w:rsid w:val="00AD6FDA"/>
    <w:rsid w:val="00AE4818"/>
    <w:rsid w:val="00AE5C9B"/>
    <w:rsid w:val="00AE729B"/>
    <w:rsid w:val="00AF05C2"/>
    <w:rsid w:val="00AF3E07"/>
    <w:rsid w:val="00AF4DC8"/>
    <w:rsid w:val="00B138B6"/>
    <w:rsid w:val="00B17AC9"/>
    <w:rsid w:val="00B20D6B"/>
    <w:rsid w:val="00B32BDA"/>
    <w:rsid w:val="00B52836"/>
    <w:rsid w:val="00B53441"/>
    <w:rsid w:val="00B55B22"/>
    <w:rsid w:val="00B67A6D"/>
    <w:rsid w:val="00B75301"/>
    <w:rsid w:val="00B817BE"/>
    <w:rsid w:val="00B90776"/>
    <w:rsid w:val="00B92755"/>
    <w:rsid w:val="00B92BBA"/>
    <w:rsid w:val="00B93E66"/>
    <w:rsid w:val="00B9580D"/>
    <w:rsid w:val="00BA56CE"/>
    <w:rsid w:val="00BC44CE"/>
    <w:rsid w:val="00BC7AE2"/>
    <w:rsid w:val="00BD60B5"/>
    <w:rsid w:val="00C15E5D"/>
    <w:rsid w:val="00C15F88"/>
    <w:rsid w:val="00C16E1C"/>
    <w:rsid w:val="00C320A2"/>
    <w:rsid w:val="00C414FF"/>
    <w:rsid w:val="00C61BE4"/>
    <w:rsid w:val="00C97A5B"/>
    <w:rsid w:val="00CC3DA0"/>
    <w:rsid w:val="00CC73B7"/>
    <w:rsid w:val="00CF1210"/>
    <w:rsid w:val="00CF3B93"/>
    <w:rsid w:val="00D0599D"/>
    <w:rsid w:val="00D1247F"/>
    <w:rsid w:val="00D254DD"/>
    <w:rsid w:val="00D26F70"/>
    <w:rsid w:val="00D5025D"/>
    <w:rsid w:val="00D53B2E"/>
    <w:rsid w:val="00D60FF2"/>
    <w:rsid w:val="00D71440"/>
    <w:rsid w:val="00D81ADA"/>
    <w:rsid w:val="00D8437D"/>
    <w:rsid w:val="00D86A59"/>
    <w:rsid w:val="00DD6D16"/>
    <w:rsid w:val="00DE7C89"/>
    <w:rsid w:val="00DF5E7D"/>
    <w:rsid w:val="00E12CCD"/>
    <w:rsid w:val="00E30C6E"/>
    <w:rsid w:val="00E53DBC"/>
    <w:rsid w:val="00E56B65"/>
    <w:rsid w:val="00E70E2D"/>
    <w:rsid w:val="00E71912"/>
    <w:rsid w:val="00E73AE6"/>
    <w:rsid w:val="00E775E8"/>
    <w:rsid w:val="00E84CB8"/>
    <w:rsid w:val="00EA3201"/>
    <w:rsid w:val="00EA34FF"/>
    <w:rsid w:val="00EB29FF"/>
    <w:rsid w:val="00EB3893"/>
    <w:rsid w:val="00ED55A8"/>
    <w:rsid w:val="00EF3174"/>
    <w:rsid w:val="00EF60F4"/>
    <w:rsid w:val="00F13924"/>
    <w:rsid w:val="00F30AAB"/>
    <w:rsid w:val="00F32992"/>
    <w:rsid w:val="00F34478"/>
    <w:rsid w:val="00F54E8F"/>
    <w:rsid w:val="00F60C4F"/>
    <w:rsid w:val="00F61EFA"/>
    <w:rsid w:val="00F65312"/>
    <w:rsid w:val="00F8702C"/>
    <w:rsid w:val="00F908B4"/>
    <w:rsid w:val="00FB0DE7"/>
    <w:rsid w:val="00FD35C5"/>
    <w:rsid w:val="00FE212B"/>
    <w:rsid w:val="00FE221D"/>
    <w:rsid w:val="00FF63CA"/>
    <w:rsid w:val="00FF7FF0"/>
    <w:rsid w:val="04991A9C"/>
    <w:rsid w:val="279C0604"/>
    <w:rsid w:val="38CD3E1F"/>
    <w:rsid w:val="48573995"/>
    <w:rsid w:val="60E36CD0"/>
    <w:rsid w:val="7C404892"/>
  </w:rsids>
  <m:mathPr>
    <m:mathFont m:val="Cambria Math"/>
    <m:brkBin m:val="before"/>
    <m:brkBinSub m:val="--"/>
    <m:smallFrac m:val="0"/>
    <m:dispDef/>
    <m:lMargin m:val="0"/>
    <m:rMargin m:val="0"/>
    <m:defJc m:val="centerGroup"/>
    <m:wrapIndent m:val="1440"/>
    <m:intLim m:val="subSup"/>
    <m:naryLim m:val="undOvr"/>
  </m:mathPr>
  <w:themeFontLang w:val="da-DK" w:eastAsia="zh-CN" w:bidi="lo-L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da-DK" w:eastAsia="en-US" w:bidi="ar-SA"/>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7"/>
    <w:unhideWhenUsed/>
    <w:qFormat/>
    <w:uiPriority w:val="99"/>
    <w:pPr>
      <w:keepNext/>
      <w:keepLines/>
      <w:spacing w:before="40" w:after="0" w:line="360" w:lineRule="auto"/>
      <w:outlineLvl w:val="1"/>
    </w:pPr>
    <w:rPr>
      <w:rFonts w:ascii="Times New Roman" w:hAnsi="Times New Roman" w:eastAsiaTheme="majorEastAsia" w:cstheme="majorBidi"/>
      <w:color w:val="2E75B6" w:themeColor="accent1" w:themeShade="BF"/>
      <w:lang w:val="en-US"/>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0"/>
    <w:semiHidden/>
    <w:unhideWhenUsed/>
    <w:qFormat/>
    <w:uiPriority w:val="99"/>
    <w:pPr>
      <w:spacing w:after="0" w:line="240" w:lineRule="auto"/>
    </w:pPr>
    <w:rPr>
      <w:rFonts w:ascii="Segoe UI" w:hAnsi="Segoe UI" w:cs="Segoe UI"/>
      <w:sz w:val="18"/>
      <w:szCs w:val="18"/>
    </w:rPr>
  </w:style>
  <w:style w:type="character" w:styleId="7">
    <w:name w:val="annotation reference"/>
    <w:basedOn w:val="4"/>
    <w:semiHidden/>
    <w:unhideWhenUsed/>
    <w:qFormat/>
    <w:uiPriority w:val="99"/>
    <w:rPr>
      <w:sz w:val="16"/>
      <w:szCs w:val="16"/>
    </w:rPr>
  </w:style>
  <w:style w:type="paragraph" w:styleId="8">
    <w:name w:val="annotation text"/>
    <w:basedOn w:val="1"/>
    <w:link w:val="18"/>
    <w:semiHidden/>
    <w:unhideWhenUsed/>
    <w:uiPriority w:val="99"/>
    <w:pPr>
      <w:spacing w:line="240" w:lineRule="auto"/>
    </w:pPr>
    <w:rPr>
      <w:sz w:val="20"/>
      <w:szCs w:val="20"/>
    </w:rPr>
  </w:style>
  <w:style w:type="paragraph" w:styleId="9">
    <w:name w:val="annotation subject"/>
    <w:basedOn w:val="8"/>
    <w:next w:val="8"/>
    <w:link w:val="19"/>
    <w:semiHidden/>
    <w:unhideWhenUsed/>
    <w:qFormat/>
    <w:uiPriority w:val="99"/>
    <w:rPr>
      <w:b/>
      <w:bCs/>
    </w:rPr>
  </w:style>
  <w:style w:type="paragraph" w:styleId="10">
    <w:name w:val="footer"/>
    <w:basedOn w:val="1"/>
    <w:link w:val="15"/>
    <w:unhideWhenUsed/>
    <w:uiPriority w:val="99"/>
    <w:pPr>
      <w:tabs>
        <w:tab w:val="center" w:pos="4513"/>
        <w:tab w:val="right" w:pos="9026"/>
      </w:tabs>
      <w:spacing w:after="0" w:line="240" w:lineRule="auto"/>
    </w:pPr>
  </w:style>
  <w:style w:type="paragraph" w:styleId="11">
    <w:name w:val="header"/>
    <w:basedOn w:val="1"/>
    <w:link w:val="14"/>
    <w:unhideWhenUsed/>
    <w:uiPriority w:val="99"/>
    <w:pPr>
      <w:tabs>
        <w:tab w:val="center" w:pos="4513"/>
        <w:tab w:val="right" w:pos="9026"/>
      </w:tabs>
      <w:spacing w:after="0" w:line="240" w:lineRule="auto"/>
    </w:pPr>
  </w:style>
  <w:style w:type="character" w:styleId="12">
    <w:name w:val="Hyperlink"/>
    <w:basedOn w:val="4"/>
    <w:unhideWhenUsed/>
    <w:qFormat/>
    <w:uiPriority w:val="99"/>
    <w:rPr>
      <w:color w:val="0563C1" w:themeColor="hyperlink"/>
      <w:u w:val="single"/>
      <w14:textFill>
        <w14:solidFill>
          <w14:schemeClr w14:val="hlink"/>
        </w14:solidFill>
      </w14:textFill>
    </w:rPr>
  </w:style>
  <w:style w:type="character" w:styleId="13">
    <w:name w:val="line number"/>
    <w:basedOn w:val="4"/>
    <w:semiHidden/>
    <w:unhideWhenUsed/>
    <w:qFormat/>
    <w:uiPriority w:val="99"/>
  </w:style>
  <w:style w:type="character" w:customStyle="1" w:styleId="14">
    <w:name w:val="Header Char"/>
    <w:basedOn w:val="4"/>
    <w:link w:val="11"/>
    <w:qFormat/>
    <w:uiPriority w:val="99"/>
  </w:style>
  <w:style w:type="character" w:customStyle="1" w:styleId="15">
    <w:name w:val="Footer Char"/>
    <w:basedOn w:val="4"/>
    <w:link w:val="10"/>
    <w:uiPriority w:val="99"/>
  </w:style>
  <w:style w:type="paragraph" w:styleId="16">
    <w:name w:val="List Paragraph"/>
    <w:basedOn w:val="1"/>
    <w:qFormat/>
    <w:uiPriority w:val="34"/>
    <w:pPr>
      <w:spacing w:after="0" w:line="240" w:lineRule="auto"/>
      <w:ind w:left="720"/>
      <w:contextualSpacing/>
    </w:pPr>
    <w:rPr>
      <w:sz w:val="24"/>
      <w:szCs w:val="24"/>
    </w:rPr>
  </w:style>
  <w:style w:type="character" w:customStyle="1" w:styleId="17">
    <w:name w:val="Heading 2 Char"/>
    <w:basedOn w:val="4"/>
    <w:link w:val="3"/>
    <w:uiPriority w:val="99"/>
    <w:rPr>
      <w:rFonts w:ascii="Times New Roman" w:hAnsi="Times New Roman" w:eastAsiaTheme="majorEastAsia" w:cstheme="majorBidi"/>
      <w:color w:val="2E75B6" w:themeColor="accent1" w:themeShade="BF"/>
      <w:lang w:val="en-US"/>
    </w:rPr>
  </w:style>
  <w:style w:type="character" w:customStyle="1" w:styleId="18">
    <w:name w:val="Comment Text Char"/>
    <w:basedOn w:val="4"/>
    <w:link w:val="8"/>
    <w:semiHidden/>
    <w:qFormat/>
    <w:uiPriority w:val="99"/>
    <w:rPr>
      <w:sz w:val="20"/>
      <w:szCs w:val="20"/>
    </w:rPr>
  </w:style>
  <w:style w:type="character" w:customStyle="1" w:styleId="19">
    <w:name w:val="Comment Subject Char"/>
    <w:basedOn w:val="18"/>
    <w:link w:val="9"/>
    <w:semiHidden/>
    <w:uiPriority w:val="99"/>
    <w:rPr>
      <w:b/>
      <w:bCs/>
      <w:sz w:val="20"/>
      <w:szCs w:val="20"/>
    </w:rPr>
  </w:style>
  <w:style w:type="character" w:customStyle="1" w:styleId="20">
    <w:name w:val="Balloon Text Char"/>
    <w:basedOn w:val="4"/>
    <w:link w:val="6"/>
    <w:semiHidden/>
    <w:qFormat/>
    <w:uiPriority w:val="99"/>
    <w:rPr>
      <w:rFonts w:ascii="Segoe UI" w:hAnsi="Segoe UI" w:cs="Segoe UI"/>
      <w:sz w:val="18"/>
      <w:szCs w:val="18"/>
    </w:rPr>
  </w:style>
  <w:style w:type="character" w:customStyle="1" w:styleId="21">
    <w:name w:val="Heading 1 Char"/>
    <w:basedOn w:val="4"/>
    <w:link w:val="2"/>
    <w:uiPriority w:val="9"/>
    <w:rPr>
      <w:rFonts w:asciiTheme="majorHAnsi" w:hAnsiTheme="majorHAnsi" w:eastAsiaTheme="majorEastAsia" w:cstheme="majorBidi"/>
      <w:color w:val="2E75B6" w:themeColor="accent1" w:themeShade="BF"/>
      <w:sz w:val="32"/>
      <w:szCs w:val="32"/>
    </w:rPr>
  </w:style>
  <w:style w:type="character" w:customStyle="1" w:styleId="22">
    <w:name w:val="Unresolved Mention"/>
    <w:basedOn w:val="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microsoft.com/office/2007/relationships/diagramDrawing" Target="diagrams/drawing1.xml"/><Relationship Id="rId17" Type="http://schemas.openxmlformats.org/officeDocument/2006/relationships/diagramColors" Target="diagrams/colors1.xml"/><Relationship Id="rId16" Type="http://schemas.openxmlformats.org/officeDocument/2006/relationships/diagramQuickStyle" Target="diagrams/quickStyle1.xml"/><Relationship Id="rId15" Type="http://schemas.openxmlformats.org/officeDocument/2006/relationships/diagramLayout" Target="diagrams/layout1.xml"/><Relationship Id="rId14" Type="http://schemas.openxmlformats.org/officeDocument/2006/relationships/diagramData" Target="diagrams/data1.xml"/><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'Fasting Blood'!$B$4</c:f>
              <c:strCache>
                <c:ptCount val="1"/>
                <c:pt idx="0">
                  <c:v>Intervention T0</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'Fasting Blood'!$A$5</c:f>
              <c:strCache>
                <c:ptCount val="1"/>
                <c:pt idx="0">
                  <c:v>Fasting blood glucose</c:v>
                </c:pt>
              </c:strCache>
            </c:strRef>
          </c:cat>
          <c:val>
            <c:numRef>
              <c:f>'Fasting Blood'!$B$5</c:f>
              <c:numCache>
                <c:formatCode>_(* #,##0_);_(* \(#,##0\);_(* "-"??_);_(@_)</c:formatCode>
                <c:ptCount val="1"/>
                <c:pt idx="0">
                  <c:v>182.365714285714</c:v>
                </c:pt>
              </c:numCache>
            </c:numRef>
          </c:val>
        </c:ser>
        <c:ser>
          <c:idx val="1"/>
          <c:order val="1"/>
          <c:tx>
            <c:strRef>
              <c:f>'Fasting Blood'!$C$4</c:f>
              <c:strCache>
                <c:ptCount val="1"/>
                <c:pt idx="0">
                  <c:v>Intervention T12</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'Fasting Blood'!$C$5</c:f>
              <c:numCache>
                <c:formatCode>_(* #,##0_);_(* \(#,##0\);_(* "-"??_);_(@_)</c:formatCode>
                <c:ptCount val="1"/>
                <c:pt idx="0">
                  <c:v>161.324285714286</c:v>
                </c:pt>
              </c:numCache>
            </c:numRef>
          </c:val>
        </c:ser>
        <c:ser>
          <c:idx val="2"/>
          <c:order val="2"/>
          <c:tx>
            <c:strRef>
              <c:f>'Fasting Blood'!$D$4</c:f>
              <c:strCache>
                <c:ptCount val="1"/>
                <c:pt idx="0">
                  <c:v>Control T0</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'Fasting Blood'!$D$5</c:f>
              <c:numCache>
                <c:formatCode>_(* #,##0_);_(* \(#,##0\);_(* "-"??_);_(@_)</c:formatCode>
                <c:ptCount val="1"/>
                <c:pt idx="0">
                  <c:v>157.063636363636</c:v>
                </c:pt>
              </c:numCache>
            </c:numRef>
          </c:val>
        </c:ser>
        <c:ser>
          <c:idx val="3"/>
          <c:order val="3"/>
          <c:tx>
            <c:strRef>
              <c:f>'Fasting Blood'!$E$4</c:f>
              <c:strCache>
                <c:ptCount val="1"/>
                <c:pt idx="0">
                  <c:v>Control T12</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'Fasting Blood'!$E$5</c:f>
              <c:numCache>
                <c:formatCode>_(* #,##0_);_(* \(#,##0\);_(* "-"??_);_(@_)</c:formatCode>
                <c:ptCount val="1"/>
                <c:pt idx="0">
                  <c:v>175.666666666667</c:v>
                </c:pt>
              </c:numCache>
            </c:numRef>
          </c:val>
        </c:ser>
        <c:dLbls>
          <c:showLegendKey val="0"/>
          <c:showVal val="1"/>
          <c:showCatName val="0"/>
          <c:showSerName val="0"/>
          <c:showPercent val="0"/>
          <c:showBubbleSize val="0"/>
        </c:dLbls>
        <c:gapWidth val="219"/>
        <c:overlap val="-27"/>
        <c:axId val="984208496"/>
        <c:axId val="984210816"/>
      </c:barChart>
      <c:catAx>
        <c:axId val="984208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984210816"/>
        <c:crosses val="autoZero"/>
        <c:auto val="1"/>
        <c:lblAlgn val="ctr"/>
        <c:lblOffset val="100"/>
        <c:noMultiLvlLbl val="0"/>
      </c:catAx>
      <c:valAx>
        <c:axId val="98421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da-DK"/>
                  <a:t>mg/dL</a:t>
                </a:r>
                <a:endParaRPr lang="da-DK"/>
              </a:p>
            </c:rich>
          </c:tx>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9842084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b="1">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BMI!$B$4</c:f>
              <c:strCache>
                <c:ptCount val="1"/>
                <c:pt idx="0">
                  <c:v>Intervention T0</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BMI!$A$5</c:f>
              <c:strCache>
                <c:ptCount val="1"/>
                <c:pt idx="0">
                  <c:v>Average BMI</c:v>
                </c:pt>
              </c:strCache>
            </c:strRef>
          </c:cat>
          <c:val>
            <c:numRef>
              <c:f>BMI!$B$5</c:f>
              <c:numCache>
                <c:formatCode>_(* #,##0_);_(* \(#,##0\);_(* "-"??_);_(@_)</c:formatCode>
                <c:ptCount val="1"/>
                <c:pt idx="0">
                  <c:v>25.5796575618979</c:v>
                </c:pt>
              </c:numCache>
            </c:numRef>
          </c:val>
        </c:ser>
        <c:ser>
          <c:idx val="1"/>
          <c:order val="1"/>
          <c:tx>
            <c:strRef>
              <c:f>BMI!$C$4</c:f>
              <c:strCache>
                <c:ptCount val="1"/>
                <c:pt idx="0">
                  <c:v>Intervention T12</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BMI!$C$5</c:f>
              <c:numCache>
                <c:formatCode>_(* #,##0_);_(* \(#,##0\);_(* "-"??_);_(@_)</c:formatCode>
                <c:ptCount val="1"/>
                <c:pt idx="0">
                  <c:v>25.2115428963708</c:v>
                </c:pt>
              </c:numCache>
            </c:numRef>
          </c:val>
        </c:ser>
        <c:ser>
          <c:idx val="2"/>
          <c:order val="2"/>
          <c:tx>
            <c:strRef>
              <c:f>BMI!$D$4</c:f>
              <c:strCache>
                <c:ptCount val="1"/>
                <c:pt idx="0">
                  <c:v>Control T0</c:v>
                </c:pt>
              </c:strCache>
            </c:strRef>
          </c:tx>
          <c:spPr>
            <a:solidFill>
              <a:schemeClr val="accent3">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BMI!$D$5</c:f>
              <c:numCache>
                <c:formatCode>_(* #,##0_);_(* \(#,##0\);_(* "-"??_);_(@_)</c:formatCode>
                <c:ptCount val="1"/>
                <c:pt idx="0">
                  <c:v>24.6589520130104</c:v>
                </c:pt>
              </c:numCache>
            </c:numRef>
          </c:val>
        </c:ser>
        <c:ser>
          <c:idx val="3"/>
          <c:order val="3"/>
          <c:tx>
            <c:strRef>
              <c:f>BMI!$E$4</c:f>
              <c:strCache>
                <c:ptCount val="1"/>
                <c:pt idx="0">
                  <c:v>Control T12</c:v>
                </c:pt>
              </c:strCache>
            </c:strRef>
          </c:tx>
          <c:spPr>
            <a:solidFill>
              <a:schemeClr val="accent3">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BMI!$E$5</c:f>
              <c:numCache>
                <c:formatCode>_(* #,##0_);_(* \(#,##0\);_(* "-"??_);_(@_)</c:formatCode>
                <c:ptCount val="1"/>
                <c:pt idx="0">
                  <c:v>24.7532816298652</c:v>
                </c:pt>
              </c:numCache>
            </c:numRef>
          </c:val>
        </c:ser>
        <c:dLbls>
          <c:showLegendKey val="0"/>
          <c:showVal val="1"/>
          <c:showCatName val="0"/>
          <c:showSerName val="0"/>
          <c:showPercent val="0"/>
          <c:showBubbleSize val="0"/>
        </c:dLbls>
        <c:gapWidth val="219"/>
        <c:overlap val="-27"/>
        <c:axId val="1007273360"/>
        <c:axId val="1007276112"/>
      </c:barChart>
      <c:catAx>
        <c:axId val="1007273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07276112"/>
        <c:crosses val="autoZero"/>
        <c:auto val="1"/>
        <c:lblAlgn val="ctr"/>
        <c:lblOffset val="100"/>
        <c:noMultiLvlLbl val="0"/>
      </c:catAx>
      <c:valAx>
        <c:axId val="100727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da-DK"/>
                  <a:t>BMI</a:t>
                </a:r>
                <a:endParaRPr lang="da-DK"/>
              </a:p>
            </c:rich>
          </c:tx>
          <c:layout/>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0072733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b="1">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Systolic!$B$4</c:f>
              <c:strCache>
                <c:ptCount val="1"/>
                <c:pt idx="0">
                  <c:v>Intervention T0</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Systolic!$B$5:$B$6</c:f>
              <c:numCache>
                <c:formatCode>_(* #,##0_);_(* \(#,##0\);_(* "-"??_);_(@_)</c:formatCode>
                <c:ptCount val="1"/>
                <c:pt idx="0">
                  <c:v>134.081081081081</c:v>
                </c:pt>
              </c:numCache>
            </c:numRef>
          </c:val>
        </c:ser>
        <c:ser>
          <c:idx val="1"/>
          <c:order val="1"/>
          <c:tx>
            <c:strRef>
              <c:f>Systolic!$C$4</c:f>
              <c:strCache>
                <c:ptCount val="1"/>
                <c:pt idx="0">
                  <c:v>Intervention T12</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Systolic!$C$5:$C$6</c:f>
              <c:numCache>
                <c:formatCode>_(* #,##0_);_(* \(#,##0\);_(* "-"??_);_(@_)</c:formatCode>
                <c:ptCount val="1"/>
                <c:pt idx="0">
                  <c:v>128.486486486486</c:v>
                </c:pt>
              </c:numCache>
            </c:numRef>
          </c:val>
        </c:ser>
        <c:ser>
          <c:idx val="2"/>
          <c:order val="2"/>
          <c:tx>
            <c:strRef>
              <c:f>Systolic!$D$4</c:f>
              <c:strCache>
                <c:ptCount val="1"/>
                <c:pt idx="0">
                  <c:v>Control T0</c:v>
                </c:pt>
              </c:strCache>
            </c:strRef>
          </c:tx>
          <c:spPr>
            <a:solidFill>
              <a:schemeClr val="accent3">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Systolic!$D$5:$D$6</c:f>
              <c:numCache>
                <c:formatCode>_(* #,##0_);_(* \(#,##0\);_(* "-"??_);_(@_)</c:formatCode>
                <c:ptCount val="1"/>
                <c:pt idx="0">
                  <c:v>134.064516129032</c:v>
                </c:pt>
              </c:numCache>
            </c:numRef>
          </c:val>
        </c:ser>
        <c:ser>
          <c:idx val="3"/>
          <c:order val="3"/>
          <c:tx>
            <c:strRef>
              <c:f>Systolic!$E$4</c:f>
              <c:strCache>
                <c:ptCount val="1"/>
                <c:pt idx="0">
                  <c:v>Control T12</c:v>
                </c:pt>
              </c:strCache>
            </c:strRef>
          </c:tx>
          <c:spPr>
            <a:solidFill>
              <a:schemeClr val="accent3">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Systolic!$E$5:$E$6</c:f>
              <c:numCache>
                <c:formatCode>_(* #,##0_);_(* \(#,##0\);_(* "-"??_);_(@_)</c:formatCode>
                <c:ptCount val="1"/>
                <c:pt idx="0">
                  <c:v>135.903225806452</c:v>
                </c:pt>
              </c:numCache>
            </c:numRef>
          </c:val>
        </c:ser>
        <c:dLbls>
          <c:showLegendKey val="0"/>
          <c:showVal val="1"/>
          <c:showCatName val="0"/>
          <c:showSerName val="0"/>
          <c:showPercent val="0"/>
          <c:showBubbleSize val="0"/>
        </c:dLbls>
        <c:gapWidth val="219"/>
        <c:overlap val="-27"/>
        <c:axId val="1429214816"/>
        <c:axId val="1429217568"/>
      </c:barChart>
      <c:catAx>
        <c:axId val="1429214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429217568"/>
        <c:crosses val="autoZero"/>
        <c:auto val="1"/>
        <c:lblAlgn val="ctr"/>
        <c:lblOffset val="100"/>
        <c:noMultiLvlLbl val="0"/>
      </c:catAx>
      <c:valAx>
        <c:axId val="142921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da-DK"/>
                  <a:t>mmHg</a:t>
                </a:r>
                <a:endParaRPr lang="da-DK"/>
              </a:p>
            </c:rich>
          </c:tx>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4292148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b="1">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579F15C-0DFA-0442-8916-1B0B29A7C76E}" type="doc">
      <dgm:prSet loTypeId="urn:microsoft.com/office/officeart/2005/8/layout/orgChart1" loCatId="hierarchy" qsTypeId="urn:microsoft.com/office/officeart/2005/8/quickstyle/simple4" qsCatId="simple" csTypeId="urn:microsoft.com/office/officeart/2005/8/colors/accent1_2" csCatId="accent1" phldr="1"/>
      <dgm:spPr/>
      <dgm:t>
        <a:bodyPr/>
        <a:p>
          <a:endParaRPr lang="da-DK"/>
        </a:p>
      </dgm:t>
    </dgm:pt>
    <dgm:pt modelId="{7FECED52-2D2A-0C42-9613-F83A11FEC785}">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solidFill>
                <a:schemeClr val="tx1"/>
              </a:solidFill>
            </a:rPr>
            <a:t>Study population</a:t>
          </a:r>
        </a:p>
        <a:p>
          <a:pPr algn="ctr"/>
          <a:r>
            <a:rPr lang="da-DK" sz="1050">
              <a:solidFill>
                <a:schemeClr val="tx1"/>
              </a:solidFill>
            </a:rPr>
            <a:t>n100</a:t>
          </a:r>
        </a:p>
      </dgm:t>
    </dgm:pt>
    <dgm:pt modelId="{8BB797B7-0FEE-8E4B-BF0C-0CBBCAC00072}" cxnId="{299B3438-A43A-504E-AFA9-924A075D1D86}" type="parTrans">
      <dgm:prSet/>
      <dgm:spPr/>
      <dgm:t>
        <a:bodyPr/>
        <a:p>
          <a:pPr algn="ctr"/>
          <a:endParaRPr lang="da-DK" sz="1050"/>
        </a:p>
      </dgm:t>
    </dgm:pt>
    <dgm:pt modelId="{1A3EC55F-D4EF-C146-966A-6AB0CFBCEF7D}" cxnId="{299B3438-A43A-504E-AFA9-924A075D1D86}" type="sibTrans">
      <dgm:prSet/>
      <dgm:spPr/>
      <dgm:t>
        <a:bodyPr/>
        <a:p>
          <a:pPr algn="ctr"/>
          <a:endParaRPr lang="da-DK" sz="1050"/>
        </a:p>
      </dgm:t>
    </dgm:pt>
    <dgm:pt modelId="{AAF8AFFB-D5B2-9B41-90B7-96429551412D}">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t>Baseline Intervention Group (T0)</a:t>
          </a:r>
        </a:p>
        <a:p>
          <a:pPr algn="ctr"/>
          <a:r>
            <a:rPr lang="da-DK" sz="1050"/>
            <a:t>n50</a:t>
          </a:r>
        </a:p>
      </dgm:t>
    </dgm:pt>
    <dgm:pt modelId="{08E6CAC7-2FC6-244F-8023-D35A9CED6C0A}" cxnId="{C0CD661B-C092-D34B-B807-9065593008CB}" type="parTrans">
      <dgm:prSet/>
      <dgm:spPr/>
      <dgm:t>
        <a:bodyPr/>
        <a:p>
          <a:pPr algn="ctr"/>
          <a:endParaRPr lang="da-DK" sz="1050"/>
        </a:p>
      </dgm:t>
    </dgm:pt>
    <dgm:pt modelId="{5151A23F-12A6-9B46-B9C3-1341DEF34314}" cxnId="{C0CD661B-C092-D34B-B807-9065593008CB}" type="sibTrans">
      <dgm:prSet/>
      <dgm:spPr/>
      <dgm:t>
        <a:bodyPr/>
        <a:p>
          <a:pPr algn="ctr"/>
          <a:endParaRPr lang="da-DK" sz="1050"/>
        </a:p>
      </dgm:t>
    </dgm:pt>
    <dgm:pt modelId="{1FFFC5C9-DC2F-074D-9265-DFB5E4319EE7}">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t>Baseline Control Group (T0)</a:t>
          </a:r>
        </a:p>
        <a:p>
          <a:pPr algn="ctr"/>
          <a:r>
            <a:rPr lang="da-DK" sz="1050"/>
            <a:t>n50</a:t>
          </a:r>
        </a:p>
      </dgm:t>
    </dgm:pt>
    <dgm:pt modelId="{E2380140-B4E5-734F-9FBC-D7638F0BC0BC}" cxnId="{664D2B76-E033-4045-8247-7384099FA2F1}" type="parTrans">
      <dgm:prSet/>
      <dgm:spPr/>
      <dgm:t>
        <a:bodyPr/>
        <a:p>
          <a:pPr algn="ctr"/>
          <a:endParaRPr lang="da-DK" sz="1050"/>
        </a:p>
      </dgm:t>
    </dgm:pt>
    <dgm:pt modelId="{FB168E11-66D3-534E-AF80-6A4A558D08B2}" cxnId="{664D2B76-E033-4045-8247-7384099FA2F1}" type="sibTrans">
      <dgm:prSet/>
      <dgm:spPr/>
      <dgm:t>
        <a:bodyPr/>
        <a:p>
          <a:pPr algn="ctr"/>
          <a:endParaRPr lang="da-DK" sz="1050"/>
        </a:p>
      </dgm:t>
    </dgm:pt>
    <dgm:pt modelId="{4C02DF56-2AD8-0A47-965C-6369924E7F49}">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endParaRPr lang="da-DK" sz="1050"/>
        </a:p>
        <a:p>
          <a:pPr algn="ctr"/>
          <a:r>
            <a:rPr lang="da-DK" sz="1050"/>
            <a:t>After 12 weeks Intervention Group (T12)</a:t>
          </a:r>
        </a:p>
        <a:p>
          <a:pPr algn="ctr"/>
          <a:r>
            <a:rPr lang="da-DK" sz="1050"/>
            <a:t>n42</a:t>
          </a:r>
        </a:p>
        <a:p>
          <a:pPr algn="ctr"/>
          <a:endParaRPr lang="da-DK" sz="1050"/>
        </a:p>
      </dgm:t>
    </dgm:pt>
    <dgm:pt modelId="{E1A1AC88-41C8-1344-9189-97F630CA11FF}" cxnId="{7A733FA6-9EFF-7F4E-8B91-31B35D957F22}" type="parTrans">
      <dgm:prSet/>
      <dgm:spPr/>
      <dgm:t>
        <a:bodyPr/>
        <a:p>
          <a:pPr algn="ctr"/>
          <a:endParaRPr lang="da-DK" sz="1050"/>
        </a:p>
      </dgm:t>
    </dgm:pt>
    <dgm:pt modelId="{77BFF371-F92C-6346-B782-9C67FAFDBD85}" cxnId="{7A733FA6-9EFF-7F4E-8B91-31B35D957F22}" type="sibTrans">
      <dgm:prSet/>
      <dgm:spPr/>
      <dgm:t>
        <a:bodyPr/>
        <a:p>
          <a:pPr algn="ctr"/>
          <a:endParaRPr lang="da-DK" sz="1050"/>
        </a:p>
      </dgm:t>
    </dgm:pt>
    <dgm:pt modelId="{FB722EB2-7A47-EF41-90CF-ACDB578A2995}">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t>After 12 weeks Control Group (T12)</a:t>
          </a:r>
        </a:p>
        <a:p>
          <a:pPr algn="ctr"/>
          <a:r>
            <a:rPr lang="da-DK" sz="1050"/>
            <a:t>n45</a:t>
          </a:r>
        </a:p>
      </dgm:t>
    </dgm:pt>
    <dgm:pt modelId="{E1142858-0DD3-D446-B97C-EC076EA93285}" cxnId="{CC8A8B7E-147A-274B-83D6-1A9103463148}" type="parTrans">
      <dgm:prSet/>
      <dgm:spPr/>
      <dgm:t>
        <a:bodyPr/>
        <a:p>
          <a:pPr algn="ctr"/>
          <a:endParaRPr lang="da-DK" sz="1050"/>
        </a:p>
      </dgm:t>
    </dgm:pt>
    <dgm:pt modelId="{F1D4696E-A90E-FB4C-8F60-C9AD34DE5119}" cxnId="{CC8A8B7E-147A-274B-83D6-1A9103463148}" type="sibTrans">
      <dgm:prSet/>
      <dgm:spPr/>
      <dgm:t>
        <a:bodyPr/>
        <a:p>
          <a:pPr algn="ctr"/>
          <a:endParaRPr lang="da-DK" sz="1050"/>
        </a:p>
      </dgm:t>
    </dgm:pt>
    <dgm:pt modelId="{54888557-63F8-4D47-9D0B-B9B8598CB1D7}">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t>Educational sessions</a:t>
          </a:r>
        </a:p>
        <a:p>
          <a:pPr algn="ctr"/>
          <a:r>
            <a:rPr lang="da-DK" sz="1050"/>
            <a:t>Nutrition </a:t>
          </a:r>
        </a:p>
        <a:p>
          <a:pPr algn="ctr"/>
          <a:r>
            <a:rPr lang="da-DK" sz="1050"/>
            <a:t>n39</a:t>
          </a:r>
        </a:p>
      </dgm:t>
    </dgm:pt>
    <dgm:pt modelId="{C3D2C954-6801-0B4C-956A-FBE6200611A6}" cxnId="{E8847654-D8AF-654F-8EFA-94383E26B38D}" type="parTrans">
      <dgm:prSet/>
      <dgm:spPr/>
      <dgm:t>
        <a:bodyPr/>
        <a:p>
          <a:pPr algn="ctr"/>
          <a:endParaRPr lang="da-DK" sz="1050"/>
        </a:p>
      </dgm:t>
    </dgm:pt>
    <dgm:pt modelId="{2AE0E81C-6403-714F-B2A9-43155184D642}" cxnId="{E8847654-D8AF-654F-8EFA-94383E26B38D}" type="sibTrans">
      <dgm:prSet/>
      <dgm:spPr/>
      <dgm:t>
        <a:bodyPr/>
        <a:p>
          <a:pPr algn="ctr"/>
          <a:endParaRPr lang="da-DK" sz="1050"/>
        </a:p>
      </dgm:t>
    </dgm:pt>
    <dgm:pt modelId="{A310BFC1-99DF-E64D-AF84-533224C949FB}">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t>Ecational sessions exercise and physical activity</a:t>
          </a:r>
        </a:p>
        <a:p>
          <a:pPr algn="ctr"/>
          <a:r>
            <a:rPr lang="da-DK" sz="1050"/>
            <a:t>n33</a:t>
          </a:r>
        </a:p>
      </dgm:t>
    </dgm:pt>
    <dgm:pt modelId="{8AFF5279-504B-954E-A5DD-B1B549911B01}" cxnId="{065EA744-302F-C54B-B403-4C446B06C11F}" type="parTrans">
      <dgm:prSet/>
      <dgm:spPr/>
      <dgm:t>
        <a:bodyPr/>
        <a:p>
          <a:pPr algn="ctr"/>
          <a:endParaRPr lang="da-DK" sz="1050"/>
        </a:p>
      </dgm:t>
    </dgm:pt>
    <dgm:pt modelId="{66D4362E-CCAE-C24D-BCB3-AAF9F795FBBD}" cxnId="{065EA744-302F-C54B-B403-4C446B06C11F}" type="sibTrans">
      <dgm:prSet/>
      <dgm:spPr/>
      <dgm:t>
        <a:bodyPr/>
        <a:p>
          <a:pPr algn="ctr"/>
          <a:endParaRPr lang="da-DK" sz="1050"/>
        </a:p>
      </dgm:t>
    </dgm:pt>
    <dgm:pt modelId="{F2B3BEFC-E8E7-9D46-951B-06B507BB32BB}">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endParaRPr lang="da-DK" sz="1000"/>
        </a:p>
        <a:p>
          <a:pPr algn="ctr"/>
          <a:r>
            <a:rPr lang="da-DK" sz="1000"/>
            <a:t>Educational sessions comorbidity</a:t>
          </a:r>
        </a:p>
        <a:p>
          <a:pPr algn="ctr"/>
          <a:r>
            <a:rPr lang="da-DK" sz="1000"/>
            <a:t>n33</a:t>
          </a:r>
        </a:p>
        <a:p>
          <a:pPr algn="ctr"/>
          <a:endParaRPr lang="da-DK" sz="1050"/>
        </a:p>
      </dgm:t>
    </dgm:pt>
    <dgm:pt modelId="{0E8FA95E-A09F-4B41-80BE-2352CA1BFA5C}" cxnId="{EA0AEC68-CF7B-DA40-B223-4431C0BAD965}" type="parTrans">
      <dgm:prSet/>
      <dgm:spPr/>
      <dgm:t>
        <a:bodyPr/>
        <a:p>
          <a:pPr algn="ctr"/>
          <a:endParaRPr lang="da-DK" sz="1050"/>
        </a:p>
      </dgm:t>
    </dgm:pt>
    <dgm:pt modelId="{D5691AE9-B3F6-1F4E-A043-725793E4788B}" cxnId="{EA0AEC68-CF7B-DA40-B223-4431C0BAD965}" type="sibTrans">
      <dgm:prSet/>
      <dgm:spPr/>
      <dgm:t>
        <a:bodyPr/>
        <a:p>
          <a:pPr algn="ctr"/>
          <a:endParaRPr lang="da-DK" sz="1050"/>
        </a:p>
      </dgm:t>
    </dgm:pt>
    <dgm:pt modelId="{FBE0114D-A0A1-604C-AC00-7EAFB25CDFC6}"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50"/>
            <a:t>Patents participated in alle 3 educational sessions</a:t>
          </a:r>
        </a:p>
        <a:p>
          <a:pPr algn="ctr"/>
          <a:r>
            <a:rPr lang="da-DK" sz="1050"/>
            <a:t>n30</a:t>
          </a:r>
        </a:p>
      </dgm:t>
    </dgm:pt>
    <dgm:pt modelId="{3B0CB55F-33EB-6D47-81C1-C362F5C30903}" cxnId="{86341BC7-8812-E04B-93DE-5F919BB34C51}" type="parTrans">
      <dgm:prSet/>
      <dgm:spPr/>
      <dgm:t>
        <a:bodyPr/>
        <a:p>
          <a:pPr algn="ctr"/>
          <a:endParaRPr lang="da-DK" sz="1050"/>
        </a:p>
      </dgm:t>
    </dgm:pt>
    <dgm:pt modelId="{A698977B-4F87-F441-A191-B6BB7CA88B7C}" cxnId="{86341BC7-8812-E04B-93DE-5F919BB34C51}" type="sibTrans">
      <dgm:prSet/>
      <dgm:spPr/>
      <dgm:t>
        <a:bodyPr/>
        <a:p>
          <a:pPr algn="ctr"/>
          <a:endParaRPr lang="da-DK" sz="1050"/>
        </a:p>
      </dgm:t>
    </dgm:pt>
    <dgm:pt modelId="{E5AC82A3-7069-3449-8284-0A4DABBBA483}"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00"/>
            <a:t>EQ-5D questionnarie (T12)</a:t>
          </a:r>
        </a:p>
        <a:p>
          <a:pPr algn="ctr"/>
          <a:r>
            <a:rPr lang="da-DK" sz="1000"/>
            <a:t>n46</a:t>
          </a:r>
        </a:p>
      </dgm:t>
    </dgm:pt>
    <dgm:pt modelId="{98BCA86B-8053-5F4C-A733-6FB0636E1C31}" cxnId="{E3E6C35F-99CB-0442-98E5-B87008DDD08C}" type="parTrans">
      <dgm:prSet/>
      <dgm:spPr/>
      <dgm:t>
        <a:bodyPr/>
        <a:p>
          <a:pPr algn="ctr"/>
          <a:endParaRPr lang="da-DK"/>
        </a:p>
      </dgm:t>
    </dgm:pt>
    <dgm:pt modelId="{EF593703-8520-9A48-9A01-257AFCBA9C30}" cxnId="{E3E6C35F-99CB-0442-98E5-B87008DDD08C}" type="sibTrans">
      <dgm:prSet/>
      <dgm:spPr/>
      <dgm:t>
        <a:bodyPr/>
        <a:p>
          <a:pPr algn="ctr"/>
          <a:endParaRPr lang="da-DK"/>
        </a:p>
      </dgm:t>
    </dgm:pt>
    <dgm:pt modelId="{2A002D03-2FF1-9F47-8B0A-4382D1C27513}"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pPr algn="ctr"/>
          <a:r>
            <a:rPr lang="da-DK" sz="1000"/>
            <a:t>EQ-5D questionnarie (T12)</a:t>
          </a:r>
        </a:p>
        <a:p>
          <a:pPr algn="ctr"/>
          <a:r>
            <a:rPr lang="da-DK" sz="1000"/>
            <a:t>n45</a:t>
          </a:r>
        </a:p>
      </dgm:t>
    </dgm:pt>
    <dgm:pt modelId="{83EC3B66-9833-0B4F-BFB0-C3BAB0E90A6F}" cxnId="{2A126CB5-1FEB-7142-BB65-AEC2BEBDFD13}" type="parTrans">
      <dgm:prSet/>
      <dgm:spPr/>
      <dgm:t>
        <a:bodyPr/>
        <a:p>
          <a:pPr algn="ctr"/>
          <a:endParaRPr lang="da-DK"/>
        </a:p>
      </dgm:t>
    </dgm:pt>
    <dgm:pt modelId="{498EA0EB-BBB4-2541-8AF6-80E42F774FEC}" cxnId="{2A126CB5-1FEB-7142-BB65-AEC2BEBDFD13}" type="sibTrans">
      <dgm:prSet/>
      <dgm:spPr/>
      <dgm:t>
        <a:bodyPr/>
        <a:p>
          <a:pPr algn="ctr"/>
          <a:endParaRPr lang="da-DK"/>
        </a:p>
      </dgm:t>
    </dgm:pt>
    <dgm:pt modelId="{68D85168-5DDB-9A4E-9A79-33539D19C1A3}" type="asst">
      <dgm:prSet>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p>
          <a:r>
            <a:rPr lang="da-DK"/>
            <a:t>2 patiens died during the 12 week</a:t>
          </a:r>
        </a:p>
      </dgm:t>
    </dgm:pt>
    <dgm:pt modelId="{B4112DDC-02FD-B04E-B4C2-0228D24A695B}" cxnId="{F77D81E4-1C0B-7E48-A269-F66C24C1E5DF}" type="parTrans">
      <dgm:prSet/>
      <dgm:spPr/>
      <dgm:t>
        <a:bodyPr/>
        <a:p>
          <a:endParaRPr lang="da-DK"/>
        </a:p>
      </dgm:t>
    </dgm:pt>
    <dgm:pt modelId="{63264966-691E-334C-B6B8-957ED94A9BB7}" cxnId="{F77D81E4-1C0B-7E48-A269-F66C24C1E5DF}" type="sibTrans">
      <dgm:prSet/>
      <dgm:spPr/>
      <dgm:t>
        <a:bodyPr/>
        <a:p>
          <a:endParaRPr lang="da-DK"/>
        </a:p>
      </dgm:t>
    </dgm:pt>
    <dgm:pt modelId="{B7ADDC6F-FFC8-3848-8D23-F6537830A8FF}" type="pres">
      <dgm:prSet presAssocID="{4579F15C-0DFA-0442-8916-1B0B29A7C76E}" presName="hierChild1" presStyleCnt="0">
        <dgm:presLayoutVars>
          <dgm:orgChart val="1"/>
          <dgm:chPref val="1"/>
          <dgm:dir/>
          <dgm:animOne val="branch"/>
          <dgm:animLvl val="lvl"/>
          <dgm:resizeHandles/>
        </dgm:presLayoutVars>
      </dgm:prSet>
      <dgm:spPr/>
    </dgm:pt>
    <dgm:pt modelId="{2E3BF87A-556A-5049-A169-2CFA403E16B8}" type="pres">
      <dgm:prSet presAssocID="{7FECED52-2D2A-0C42-9613-F83A11FEC785}" presName="hierRoot1" presStyleCnt="0">
        <dgm:presLayoutVars>
          <dgm:hierBranch val="init"/>
        </dgm:presLayoutVars>
      </dgm:prSet>
      <dgm:spPr/>
    </dgm:pt>
    <dgm:pt modelId="{FF2AFCCD-92D8-CF41-88E6-7134B8566280}" type="pres">
      <dgm:prSet presAssocID="{7FECED52-2D2A-0C42-9613-F83A11FEC785}" presName="rootComposite1" presStyleCnt="0"/>
      <dgm:spPr/>
    </dgm:pt>
    <dgm:pt modelId="{8CA1CDA4-FD6C-9541-8CFE-1C77DBF8281D}" type="pres">
      <dgm:prSet presAssocID="{7FECED52-2D2A-0C42-9613-F83A11FEC785}" presName="rootText1" presStyleLbl="node0" presStyleIdx="0" presStyleCnt="1" custScaleY="113208">
        <dgm:presLayoutVars>
          <dgm:chPref val="3"/>
        </dgm:presLayoutVars>
      </dgm:prSet>
      <dgm:spPr/>
    </dgm:pt>
    <dgm:pt modelId="{916C1F2C-4C08-2841-B059-7983D13C4022}" type="pres">
      <dgm:prSet presAssocID="{7FECED52-2D2A-0C42-9613-F83A11FEC785}" presName="rootConnector1" presStyleLbl="node1" presStyleIdx="0" presStyleCnt="0"/>
      <dgm:spPr/>
    </dgm:pt>
    <dgm:pt modelId="{3A703FDD-7FEA-4146-A3B5-356729B14729}" type="pres">
      <dgm:prSet presAssocID="{7FECED52-2D2A-0C42-9613-F83A11FEC785}" presName="hierChild2" presStyleCnt="0"/>
      <dgm:spPr/>
    </dgm:pt>
    <dgm:pt modelId="{3CB139E4-6440-E448-BE0B-68D3D2C76BB5}" type="pres">
      <dgm:prSet presAssocID="{08E6CAC7-2FC6-244F-8023-D35A9CED6C0A}" presName="Name37" presStyleLbl="parChTrans1D2" presStyleIdx="0" presStyleCnt="2"/>
      <dgm:spPr/>
    </dgm:pt>
    <dgm:pt modelId="{D6C3C11B-4386-0345-9C47-89667025A18D}" type="pres">
      <dgm:prSet presAssocID="{AAF8AFFB-D5B2-9B41-90B7-96429551412D}" presName="hierRoot2" presStyleCnt="0">
        <dgm:presLayoutVars>
          <dgm:hierBranch val="init"/>
        </dgm:presLayoutVars>
      </dgm:prSet>
      <dgm:spPr/>
    </dgm:pt>
    <dgm:pt modelId="{6B5AC2AA-8CEF-FA46-ADB0-439F94678CA9}" type="pres">
      <dgm:prSet presAssocID="{AAF8AFFB-D5B2-9B41-90B7-96429551412D}" presName="rootComposite" presStyleCnt="0"/>
      <dgm:spPr/>
    </dgm:pt>
    <dgm:pt modelId="{4D0507B8-1897-1E4C-BEBA-C92470FAA23B}" type="pres">
      <dgm:prSet presAssocID="{AAF8AFFB-D5B2-9B41-90B7-96429551412D}" presName="rootText" presStyleLbl="node2" presStyleIdx="0" presStyleCnt="2" custScaleY="134251">
        <dgm:presLayoutVars>
          <dgm:chPref val="3"/>
        </dgm:presLayoutVars>
      </dgm:prSet>
      <dgm:spPr/>
    </dgm:pt>
    <dgm:pt modelId="{0C0E0D57-090D-A44B-9AD2-876D39746377}" type="pres">
      <dgm:prSet presAssocID="{AAF8AFFB-D5B2-9B41-90B7-96429551412D}" presName="rootConnector" presStyleLbl="node2" presStyleIdx="0" presStyleCnt="2"/>
      <dgm:spPr/>
    </dgm:pt>
    <dgm:pt modelId="{D83985A2-9095-C04B-A368-B59377BAF0FA}" type="pres">
      <dgm:prSet presAssocID="{AAF8AFFB-D5B2-9B41-90B7-96429551412D}" presName="hierChild4" presStyleCnt="0"/>
      <dgm:spPr/>
    </dgm:pt>
    <dgm:pt modelId="{AEBD9B55-322D-EE4A-A8FD-10F661F9629E}" type="pres">
      <dgm:prSet presAssocID="{E1A1AC88-41C8-1344-9189-97F630CA11FF}" presName="Name37" presStyleLbl="parChTrans1D3" presStyleIdx="0" presStyleCnt="3"/>
      <dgm:spPr/>
    </dgm:pt>
    <dgm:pt modelId="{FF6573A2-541A-844B-89E9-20B1E47BD355}" type="pres">
      <dgm:prSet presAssocID="{4C02DF56-2AD8-0A47-965C-6369924E7F49}" presName="hierRoot2" presStyleCnt="0">
        <dgm:presLayoutVars>
          <dgm:hierBranch val="init"/>
        </dgm:presLayoutVars>
      </dgm:prSet>
      <dgm:spPr/>
    </dgm:pt>
    <dgm:pt modelId="{B30DD195-4380-9C4B-B742-43A390948F21}" type="pres">
      <dgm:prSet presAssocID="{4C02DF56-2AD8-0A47-965C-6369924E7F49}" presName="rootComposite" presStyleCnt="0"/>
      <dgm:spPr/>
    </dgm:pt>
    <dgm:pt modelId="{89185343-3741-B841-8B5A-2A58498B43F5}" type="pres">
      <dgm:prSet presAssocID="{4C02DF56-2AD8-0A47-965C-6369924E7F49}" presName="rootText" presStyleLbl="node3" presStyleIdx="0" presStyleCnt="2" custScaleX="108903" custScaleY="135441">
        <dgm:presLayoutVars>
          <dgm:chPref val="3"/>
        </dgm:presLayoutVars>
      </dgm:prSet>
      <dgm:spPr/>
    </dgm:pt>
    <dgm:pt modelId="{1606557B-A30E-8C40-AD7F-36381B723A7E}" type="pres">
      <dgm:prSet presAssocID="{4C02DF56-2AD8-0A47-965C-6369924E7F49}" presName="rootConnector" presStyleLbl="node3" presStyleIdx="0" presStyleCnt="2"/>
      <dgm:spPr/>
    </dgm:pt>
    <dgm:pt modelId="{6B47443B-4979-584C-8FF9-B35B705059BF}" type="pres">
      <dgm:prSet presAssocID="{4C02DF56-2AD8-0A47-965C-6369924E7F49}" presName="hierChild4" presStyleCnt="0"/>
      <dgm:spPr/>
    </dgm:pt>
    <dgm:pt modelId="{5567CB8A-BD09-DA4B-BF37-318FB3DC506A}" type="pres">
      <dgm:prSet presAssocID="{C3D2C954-6801-0B4C-956A-FBE6200611A6}" presName="Name37" presStyleLbl="parChTrans1D4" presStyleIdx="0" presStyleCnt="6"/>
      <dgm:spPr/>
    </dgm:pt>
    <dgm:pt modelId="{70C9E275-B47D-3E49-83A6-2CB1C86C7874}" type="pres">
      <dgm:prSet presAssocID="{54888557-63F8-4D47-9D0B-B9B8598CB1D7}" presName="hierRoot2" presStyleCnt="0">
        <dgm:presLayoutVars>
          <dgm:hierBranch val="init"/>
        </dgm:presLayoutVars>
      </dgm:prSet>
      <dgm:spPr/>
    </dgm:pt>
    <dgm:pt modelId="{6296854C-D3F1-5949-A741-0AF9C05280D0}" type="pres">
      <dgm:prSet presAssocID="{54888557-63F8-4D47-9D0B-B9B8598CB1D7}" presName="rootComposite" presStyleCnt="0"/>
      <dgm:spPr/>
    </dgm:pt>
    <dgm:pt modelId="{06D8FC8C-50E3-124E-96A2-2613EE14E99E}" type="pres">
      <dgm:prSet presAssocID="{54888557-63F8-4D47-9D0B-B9B8598CB1D7}" presName="rootText" presStyleLbl="node4" presStyleIdx="0" presStyleCnt="3" custScaleX="103731" custScaleY="154818">
        <dgm:presLayoutVars>
          <dgm:chPref val="3"/>
        </dgm:presLayoutVars>
      </dgm:prSet>
      <dgm:spPr/>
    </dgm:pt>
    <dgm:pt modelId="{EBF6CDBA-4AFC-CA4E-95F7-C39BE3C6A509}" type="pres">
      <dgm:prSet presAssocID="{54888557-63F8-4D47-9D0B-B9B8598CB1D7}" presName="rootConnector" presStyleLbl="node4" presStyleIdx="0" presStyleCnt="3"/>
      <dgm:spPr/>
    </dgm:pt>
    <dgm:pt modelId="{24B1C7AA-F77B-3C4D-AEC3-674BECEA40A3}" type="pres">
      <dgm:prSet presAssocID="{54888557-63F8-4D47-9D0B-B9B8598CB1D7}" presName="hierChild4" presStyleCnt="0"/>
      <dgm:spPr/>
    </dgm:pt>
    <dgm:pt modelId="{E018138B-D080-FF44-A09B-E2859ACE6FBA}" type="pres">
      <dgm:prSet presAssocID="{54888557-63F8-4D47-9D0B-B9B8598CB1D7}" presName="hierChild5" presStyleCnt="0"/>
      <dgm:spPr/>
    </dgm:pt>
    <dgm:pt modelId="{A54BCDB5-01C2-4144-A23E-E2DF5D31C465}" type="pres">
      <dgm:prSet presAssocID="{8AFF5279-504B-954E-A5DD-B1B549911B01}" presName="Name37" presStyleLbl="parChTrans1D4" presStyleIdx="1" presStyleCnt="6"/>
      <dgm:spPr/>
    </dgm:pt>
    <dgm:pt modelId="{290A001D-887A-DD4D-8C2D-DA201B45C9D6}" type="pres">
      <dgm:prSet presAssocID="{A310BFC1-99DF-E64D-AF84-533224C949FB}" presName="hierRoot2" presStyleCnt="0">
        <dgm:presLayoutVars>
          <dgm:hierBranch val="init"/>
        </dgm:presLayoutVars>
      </dgm:prSet>
      <dgm:spPr/>
    </dgm:pt>
    <dgm:pt modelId="{6853929C-90D9-7440-A3B9-8F88B7E14BFF}" type="pres">
      <dgm:prSet presAssocID="{A310BFC1-99DF-E64D-AF84-533224C949FB}" presName="rootComposite" presStyleCnt="0"/>
      <dgm:spPr/>
    </dgm:pt>
    <dgm:pt modelId="{FB11C5E3-69F4-5540-88A1-952431C20DCC}" type="pres">
      <dgm:prSet presAssocID="{A310BFC1-99DF-E64D-AF84-533224C949FB}" presName="rootText" presStyleLbl="node4" presStyleIdx="1" presStyleCnt="3" custScaleX="110523" custScaleY="136083">
        <dgm:presLayoutVars>
          <dgm:chPref val="3"/>
        </dgm:presLayoutVars>
      </dgm:prSet>
      <dgm:spPr/>
    </dgm:pt>
    <dgm:pt modelId="{D3B0ABD9-27B1-E94A-9B30-6015339D5E49}" type="pres">
      <dgm:prSet presAssocID="{A310BFC1-99DF-E64D-AF84-533224C949FB}" presName="rootConnector" presStyleLbl="node4" presStyleIdx="1" presStyleCnt="3"/>
      <dgm:spPr/>
    </dgm:pt>
    <dgm:pt modelId="{A3618E2A-63D1-5845-BBBC-FFBDF176CF11}" type="pres">
      <dgm:prSet presAssocID="{A310BFC1-99DF-E64D-AF84-533224C949FB}" presName="hierChild4" presStyleCnt="0"/>
      <dgm:spPr/>
    </dgm:pt>
    <dgm:pt modelId="{17496E0D-9C39-7E42-8F0B-424E5B4A5E21}" type="pres">
      <dgm:prSet presAssocID="{A310BFC1-99DF-E64D-AF84-533224C949FB}" presName="hierChild5" presStyleCnt="0"/>
      <dgm:spPr/>
    </dgm:pt>
    <dgm:pt modelId="{73F84AA0-D2CC-9845-921E-981BF9A648EF}" type="pres">
      <dgm:prSet presAssocID="{0E8FA95E-A09F-4B41-80BE-2352CA1BFA5C}" presName="Name37" presStyleLbl="parChTrans1D4" presStyleIdx="2" presStyleCnt="6"/>
      <dgm:spPr/>
    </dgm:pt>
    <dgm:pt modelId="{9069AB56-CFF0-5844-8617-D18552661258}" type="pres">
      <dgm:prSet presAssocID="{F2B3BEFC-E8E7-9D46-951B-06B507BB32BB}" presName="hierRoot2" presStyleCnt="0">
        <dgm:presLayoutVars>
          <dgm:hierBranch val="init"/>
        </dgm:presLayoutVars>
      </dgm:prSet>
      <dgm:spPr/>
    </dgm:pt>
    <dgm:pt modelId="{CD1C6727-E166-E54B-B4CE-C09CCDE6B93E}" type="pres">
      <dgm:prSet presAssocID="{F2B3BEFC-E8E7-9D46-951B-06B507BB32BB}" presName="rootComposite" presStyleCnt="0"/>
      <dgm:spPr/>
    </dgm:pt>
    <dgm:pt modelId="{4EE705C9-C70D-614E-A322-3AD83A49DB07}" type="pres">
      <dgm:prSet presAssocID="{F2B3BEFC-E8E7-9D46-951B-06B507BB32BB}" presName="rootText" presStyleLbl="node4" presStyleIdx="2" presStyleCnt="3" custScaleX="116046" custScaleY="111205">
        <dgm:presLayoutVars>
          <dgm:chPref val="3"/>
        </dgm:presLayoutVars>
      </dgm:prSet>
      <dgm:spPr/>
    </dgm:pt>
    <dgm:pt modelId="{7A75D656-353D-6940-8D95-13BC8E2A2C6B}" type="pres">
      <dgm:prSet presAssocID="{F2B3BEFC-E8E7-9D46-951B-06B507BB32BB}" presName="rootConnector" presStyleLbl="node4" presStyleIdx="2" presStyleCnt="3"/>
      <dgm:spPr/>
    </dgm:pt>
    <dgm:pt modelId="{DF741FF0-3971-904B-99C5-7214A65EDAAD}" type="pres">
      <dgm:prSet presAssocID="{F2B3BEFC-E8E7-9D46-951B-06B507BB32BB}" presName="hierChild4" presStyleCnt="0"/>
      <dgm:spPr/>
    </dgm:pt>
    <dgm:pt modelId="{3CCA47B7-A252-7A46-83D1-263852DE9955}" type="pres">
      <dgm:prSet presAssocID="{F2B3BEFC-E8E7-9D46-951B-06B507BB32BB}" presName="hierChild5" presStyleCnt="0"/>
      <dgm:spPr/>
    </dgm:pt>
    <dgm:pt modelId="{D6D2CE04-2338-384C-B010-7807978313EE}" type="pres">
      <dgm:prSet presAssocID="{3B0CB55F-33EB-6D47-81C1-C362F5C30903}" presName="Name111" presStyleLbl="parChTrans1D4" presStyleIdx="3" presStyleCnt="6"/>
      <dgm:spPr/>
    </dgm:pt>
    <dgm:pt modelId="{9DD178D6-224B-7449-B7F5-9DD9EEE8D7AD}" type="pres">
      <dgm:prSet presAssocID="{FBE0114D-A0A1-604C-AC00-7EAFB25CDFC6}" presName="hierRoot3" presStyleCnt="0">
        <dgm:presLayoutVars>
          <dgm:hierBranch val="init"/>
        </dgm:presLayoutVars>
      </dgm:prSet>
      <dgm:spPr/>
    </dgm:pt>
    <dgm:pt modelId="{65822501-6662-E549-9957-191CA5241F9F}" type="pres">
      <dgm:prSet presAssocID="{FBE0114D-A0A1-604C-AC00-7EAFB25CDFC6}" presName="rootComposite3" presStyleCnt="0"/>
      <dgm:spPr/>
    </dgm:pt>
    <dgm:pt modelId="{8A0147C5-9FA4-1C41-B28D-CED3AF795E3E}" type="pres">
      <dgm:prSet presAssocID="{FBE0114D-A0A1-604C-AC00-7EAFB25CDFC6}" presName="rootText3" presStyleLbl="asst4" presStyleIdx="0" presStyleCnt="1" custScaleX="123225" custScaleY="128523">
        <dgm:presLayoutVars>
          <dgm:chPref val="3"/>
        </dgm:presLayoutVars>
      </dgm:prSet>
      <dgm:spPr/>
    </dgm:pt>
    <dgm:pt modelId="{5377D28F-9C39-3445-9172-DF5ABC5D839D}" type="pres">
      <dgm:prSet presAssocID="{FBE0114D-A0A1-604C-AC00-7EAFB25CDFC6}" presName="rootConnector3" presStyleLbl="asst4" presStyleIdx="0" presStyleCnt="1"/>
      <dgm:spPr/>
    </dgm:pt>
    <dgm:pt modelId="{396C48BE-3040-0846-AE5C-E8E3233BD07F}" type="pres">
      <dgm:prSet presAssocID="{FBE0114D-A0A1-604C-AC00-7EAFB25CDFC6}" presName="hierChild6" presStyleCnt="0"/>
      <dgm:spPr/>
    </dgm:pt>
    <dgm:pt modelId="{1D9F9420-2450-4A47-8A55-AA97FEBBA735}" type="pres">
      <dgm:prSet presAssocID="{FBE0114D-A0A1-604C-AC00-7EAFB25CDFC6}" presName="hierChild7" presStyleCnt="0"/>
      <dgm:spPr/>
    </dgm:pt>
    <dgm:pt modelId="{B6E9DD46-6C36-0549-AD02-719AAF75D4AD}" type="pres">
      <dgm:prSet presAssocID="{4C02DF56-2AD8-0A47-965C-6369924E7F49}" presName="hierChild5" presStyleCnt="0"/>
      <dgm:spPr/>
    </dgm:pt>
    <dgm:pt modelId="{DE023F48-D7CE-FD44-BA95-DE2523A12F68}" type="pres">
      <dgm:prSet presAssocID="{83EC3B66-9833-0B4F-BFB0-C3BAB0E90A6F}" presName="Name111" presStyleLbl="parChTrans1D4" presStyleIdx="4" presStyleCnt="6"/>
      <dgm:spPr/>
    </dgm:pt>
    <dgm:pt modelId="{EA2C93F3-934D-E44C-8AA8-E245DF43EA10}" type="pres">
      <dgm:prSet presAssocID="{2A002D03-2FF1-9F47-8B0A-4382D1C27513}" presName="hierRoot3" presStyleCnt="0">
        <dgm:presLayoutVars>
          <dgm:hierBranch val="init"/>
        </dgm:presLayoutVars>
      </dgm:prSet>
      <dgm:spPr/>
    </dgm:pt>
    <dgm:pt modelId="{2C8FBD24-0837-A44F-A8E3-FA25FABC4CDB}" type="pres">
      <dgm:prSet presAssocID="{2A002D03-2FF1-9F47-8B0A-4382D1C27513}" presName="rootComposite3" presStyleCnt="0"/>
      <dgm:spPr/>
    </dgm:pt>
    <dgm:pt modelId="{53C22E94-32A7-9244-B7F2-D53DE552A308}" type="pres">
      <dgm:prSet presAssocID="{2A002D03-2FF1-9F47-8B0A-4382D1C27513}" presName="rootText3" presStyleLbl="asst3" presStyleIdx="0" presStyleCnt="2" custScaleX="104163" custScaleY="137947">
        <dgm:presLayoutVars>
          <dgm:chPref val="3"/>
        </dgm:presLayoutVars>
      </dgm:prSet>
      <dgm:spPr/>
    </dgm:pt>
    <dgm:pt modelId="{CD0B1D08-E45D-2A43-AF26-CF40D311022C}" type="pres">
      <dgm:prSet presAssocID="{2A002D03-2FF1-9F47-8B0A-4382D1C27513}" presName="rootConnector3" presStyleLbl="asst3" presStyleIdx="0" presStyleCnt="2"/>
      <dgm:spPr/>
    </dgm:pt>
    <dgm:pt modelId="{46565CDD-A773-0342-A5F2-1EEC2B208DA2}" type="pres">
      <dgm:prSet presAssocID="{2A002D03-2FF1-9F47-8B0A-4382D1C27513}" presName="hierChild6" presStyleCnt="0"/>
      <dgm:spPr/>
    </dgm:pt>
    <dgm:pt modelId="{5CE89308-65E8-274C-9561-56BA7D914E72}" type="pres">
      <dgm:prSet presAssocID="{2A002D03-2FF1-9F47-8B0A-4382D1C27513}" presName="hierChild7" presStyleCnt="0"/>
      <dgm:spPr/>
    </dgm:pt>
    <dgm:pt modelId="{85A9C9C9-4226-564E-912F-C93B765D113E}" type="pres">
      <dgm:prSet presAssocID="{AAF8AFFB-D5B2-9B41-90B7-96429551412D}" presName="hierChild5" presStyleCnt="0"/>
      <dgm:spPr/>
    </dgm:pt>
    <dgm:pt modelId="{878F13A3-24B3-C74D-B9CB-3BC9992F8060}" type="pres">
      <dgm:prSet presAssocID="{B4112DDC-02FD-B04E-B4C2-0228D24A695B}" presName="Name111" presStyleLbl="parChTrans1D3" presStyleIdx="1" presStyleCnt="3"/>
      <dgm:spPr/>
    </dgm:pt>
    <dgm:pt modelId="{41519C0F-40E9-1B4B-9DEB-0B7D4CD9D983}" type="pres">
      <dgm:prSet presAssocID="{68D85168-5DDB-9A4E-9A79-33539D19C1A3}" presName="hierRoot3" presStyleCnt="0">
        <dgm:presLayoutVars>
          <dgm:hierBranch val="init"/>
        </dgm:presLayoutVars>
      </dgm:prSet>
      <dgm:spPr/>
    </dgm:pt>
    <dgm:pt modelId="{6638B8EB-AA6A-9045-BB5B-AE9ED8450436}" type="pres">
      <dgm:prSet presAssocID="{68D85168-5DDB-9A4E-9A79-33539D19C1A3}" presName="rootComposite3" presStyleCnt="0"/>
      <dgm:spPr/>
    </dgm:pt>
    <dgm:pt modelId="{9FC0F01A-0566-E540-9E8F-66492B80B175}" type="pres">
      <dgm:prSet presAssocID="{68D85168-5DDB-9A4E-9A79-33539D19C1A3}" presName="rootText3" presStyleLbl="asst2" presStyleIdx="0" presStyleCnt="1">
        <dgm:presLayoutVars>
          <dgm:chPref val="3"/>
        </dgm:presLayoutVars>
      </dgm:prSet>
      <dgm:spPr/>
    </dgm:pt>
    <dgm:pt modelId="{021F4834-6BED-4E4F-81F5-F834618E60F2}" type="pres">
      <dgm:prSet presAssocID="{68D85168-5DDB-9A4E-9A79-33539D19C1A3}" presName="rootConnector3" presStyleLbl="asst2" presStyleIdx="0" presStyleCnt="1"/>
      <dgm:spPr/>
    </dgm:pt>
    <dgm:pt modelId="{2D64EDA6-FDFF-C74C-A505-D9B058426A4C}" type="pres">
      <dgm:prSet presAssocID="{68D85168-5DDB-9A4E-9A79-33539D19C1A3}" presName="hierChild6" presStyleCnt="0"/>
      <dgm:spPr/>
    </dgm:pt>
    <dgm:pt modelId="{56B3D7A5-4DF5-4A40-ABFC-D799023CA954}" type="pres">
      <dgm:prSet presAssocID="{68D85168-5DDB-9A4E-9A79-33539D19C1A3}" presName="hierChild7" presStyleCnt="0"/>
      <dgm:spPr/>
    </dgm:pt>
    <dgm:pt modelId="{4E16DB24-9A7F-8C4C-8F43-5248FB97CCB1}" type="pres">
      <dgm:prSet presAssocID="{E2380140-B4E5-734F-9FBC-D7638F0BC0BC}" presName="Name37" presStyleLbl="parChTrans1D2" presStyleIdx="1" presStyleCnt="2"/>
      <dgm:spPr/>
    </dgm:pt>
    <dgm:pt modelId="{130B2EAA-ACF1-E648-9489-09EC95B5DDEE}" type="pres">
      <dgm:prSet presAssocID="{1FFFC5C9-DC2F-074D-9265-DFB5E4319EE7}" presName="hierRoot2" presStyleCnt="0">
        <dgm:presLayoutVars>
          <dgm:hierBranch val="init"/>
        </dgm:presLayoutVars>
      </dgm:prSet>
      <dgm:spPr/>
    </dgm:pt>
    <dgm:pt modelId="{0E78B663-5C12-DE4B-94FB-CA23145F2E67}" type="pres">
      <dgm:prSet presAssocID="{1FFFC5C9-DC2F-074D-9265-DFB5E4319EE7}" presName="rootComposite" presStyleCnt="0"/>
      <dgm:spPr/>
    </dgm:pt>
    <dgm:pt modelId="{08DA97F1-5667-144D-B2A0-CE432546D7F1}" type="pres">
      <dgm:prSet presAssocID="{1FFFC5C9-DC2F-074D-9265-DFB5E4319EE7}" presName="rootText" presStyleLbl="node2" presStyleIdx="1" presStyleCnt="2" custScaleX="101581" custScaleY="143906">
        <dgm:presLayoutVars>
          <dgm:chPref val="3"/>
        </dgm:presLayoutVars>
      </dgm:prSet>
      <dgm:spPr/>
    </dgm:pt>
    <dgm:pt modelId="{0A6CA989-6EAC-0D44-9522-8E6CF23A97DB}" type="pres">
      <dgm:prSet presAssocID="{1FFFC5C9-DC2F-074D-9265-DFB5E4319EE7}" presName="rootConnector" presStyleLbl="node2" presStyleIdx="1" presStyleCnt="2"/>
      <dgm:spPr/>
    </dgm:pt>
    <dgm:pt modelId="{5A830D8D-EA3D-A243-BF9D-E991AD2EF98D}" type="pres">
      <dgm:prSet presAssocID="{1FFFC5C9-DC2F-074D-9265-DFB5E4319EE7}" presName="hierChild4" presStyleCnt="0"/>
      <dgm:spPr/>
    </dgm:pt>
    <dgm:pt modelId="{812759F0-7D14-3C49-8338-BB2EED5066A9}" type="pres">
      <dgm:prSet presAssocID="{E1142858-0DD3-D446-B97C-EC076EA93285}" presName="Name37" presStyleLbl="parChTrans1D3" presStyleIdx="2" presStyleCnt="3"/>
      <dgm:spPr/>
    </dgm:pt>
    <dgm:pt modelId="{507C06BC-1808-0644-964A-BA276AF08CC3}" type="pres">
      <dgm:prSet presAssocID="{FB722EB2-7A47-EF41-90CF-ACDB578A2995}" presName="hierRoot2" presStyleCnt="0">
        <dgm:presLayoutVars>
          <dgm:hierBranch val="init"/>
        </dgm:presLayoutVars>
      </dgm:prSet>
      <dgm:spPr/>
    </dgm:pt>
    <dgm:pt modelId="{6DB4F50D-3791-AE4E-9A8A-F609DDC082B3}" type="pres">
      <dgm:prSet presAssocID="{FB722EB2-7A47-EF41-90CF-ACDB578A2995}" presName="rootComposite" presStyleCnt="0"/>
      <dgm:spPr/>
    </dgm:pt>
    <dgm:pt modelId="{96E3BEDC-1F5E-274F-99A2-D1323D2C3363}" type="pres">
      <dgm:prSet presAssocID="{FB722EB2-7A47-EF41-90CF-ACDB578A2995}" presName="rootText" presStyleLbl="node3" presStyleIdx="1" presStyleCnt="2" custScaleX="110046" custScaleY="133055">
        <dgm:presLayoutVars>
          <dgm:chPref val="3"/>
        </dgm:presLayoutVars>
      </dgm:prSet>
      <dgm:spPr/>
    </dgm:pt>
    <dgm:pt modelId="{0B20C27D-EA0D-BB44-A6B2-F0557273B7E6}" type="pres">
      <dgm:prSet presAssocID="{FB722EB2-7A47-EF41-90CF-ACDB578A2995}" presName="rootConnector" presStyleLbl="node3" presStyleIdx="1" presStyleCnt="2"/>
      <dgm:spPr/>
    </dgm:pt>
    <dgm:pt modelId="{0B826E29-54DE-6046-A207-79A7A58E468A}" type="pres">
      <dgm:prSet presAssocID="{FB722EB2-7A47-EF41-90CF-ACDB578A2995}" presName="hierChild4" presStyleCnt="0"/>
      <dgm:spPr/>
    </dgm:pt>
    <dgm:pt modelId="{C23783B8-7B19-3547-B105-1907FA41E8B0}" type="pres">
      <dgm:prSet presAssocID="{FB722EB2-7A47-EF41-90CF-ACDB578A2995}" presName="hierChild5" presStyleCnt="0"/>
      <dgm:spPr/>
    </dgm:pt>
    <dgm:pt modelId="{B4CB2566-D140-AA44-BC3F-1E0D67C360C8}" type="pres">
      <dgm:prSet presAssocID="{98BCA86B-8053-5F4C-A733-6FB0636E1C31}" presName="Name111" presStyleLbl="parChTrans1D4" presStyleIdx="5" presStyleCnt="6"/>
      <dgm:spPr/>
    </dgm:pt>
    <dgm:pt modelId="{D68202C5-42F2-D849-AE78-D913597433F1}" type="pres">
      <dgm:prSet presAssocID="{E5AC82A3-7069-3449-8284-0A4DABBBA483}" presName="hierRoot3" presStyleCnt="0">
        <dgm:presLayoutVars>
          <dgm:hierBranch val="init"/>
        </dgm:presLayoutVars>
      </dgm:prSet>
      <dgm:spPr/>
    </dgm:pt>
    <dgm:pt modelId="{7DCC2BB8-5AF3-E74E-8BF3-3F0FA262298E}" type="pres">
      <dgm:prSet presAssocID="{E5AC82A3-7069-3449-8284-0A4DABBBA483}" presName="rootComposite3" presStyleCnt="0"/>
      <dgm:spPr/>
    </dgm:pt>
    <dgm:pt modelId="{4052C48F-3120-D74F-9179-0F4D299290D9}" type="pres">
      <dgm:prSet presAssocID="{E5AC82A3-7069-3449-8284-0A4DABBBA483}" presName="rootText3" presStyleLbl="asst3" presStyleIdx="1" presStyleCnt="2" custScaleX="105814" custScaleY="152372">
        <dgm:presLayoutVars>
          <dgm:chPref val="3"/>
        </dgm:presLayoutVars>
      </dgm:prSet>
      <dgm:spPr/>
    </dgm:pt>
    <dgm:pt modelId="{1297DED5-5A61-EC47-A996-CF4E6D77646B}" type="pres">
      <dgm:prSet presAssocID="{E5AC82A3-7069-3449-8284-0A4DABBBA483}" presName="rootConnector3" presStyleLbl="asst3" presStyleIdx="1" presStyleCnt="2"/>
      <dgm:spPr/>
    </dgm:pt>
    <dgm:pt modelId="{606C391A-0035-204C-ACB5-9F9FF070BE7E}" type="pres">
      <dgm:prSet presAssocID="{E5AC82A3-7069-3449-8284-0A4DABBBA483}" presName="hierChild6" presStyleCnt="0"/>
      <dgm:spPr/>
    </dgm:pt>
    <dgm:pt modelId="{4AA8AF71-613E-8245-8146-17FD117E900C}" type="pres">
      <dgm:prSet presAssocID="{E5AC82A3-7069-3449-8284-0A4DABBBA483}" presName="hierChild7" presStyleCnt="0"/>
      <dgm:spPr/>
    </dgm:pt>
    <dgm:pt modelId="{D13D4682-CA99-D94C-9EA6-EDC795D8655D}" type="pres">
      <dgm:prSet presAssocID="{1FFFC5C9-DC2F-074D-9265-DFB5E4319EE7}" presName="hierChild5" presStyleCnt="0"/>
      <dgm:spPr/>
    </dgm:pt>
    <dgm:pt modelId="{D890FE1F-B04F-5F4E-9D92-F34729A52A25}" type="pres">
      <dgm:prSet presAssocID="{7FECED52-2D2A-0C42-9613-F83A11FEC785}" presName="hierChild3" presStyleCnt="0"/>
      <dgm:spPr/>
    </dgm:pt>
  </dgm:ptLst>
  <dgm:cxnLst>
    <dgm:cxn modelId="{2B127B02-B382-6748-ACBD-B72C0063E33C}" type="presOf" srcId="{4C02DF56-2AD8-0A47-965C-6369924E7F49}" destId="{89185343-3741-B841-8B5A-2A58498B43F5}" srcOrd="0" destOrd="0" presId="urn:microsoft.com/office/officeart/2005/8/layout/orgChart1"/>
    <dgm:cxn modelId="{2745C607-566F-194A-8A15-8B5D18A40A4E}" type="presOf" srcId="{54888557-63F8-4D47-9D0B-B9B8598CB1D7}" destId="{EBF6CDBA-4AFC-CA4E-95F7-C39BE3C6A509}" srcOrd="1" destOrd="0" presId="urn:microsoft.com/office/officeart/2005/8/layout/orgChart1"/>
    <dgm:cxn modelId="{7D8AFA16-ED55-F743-BEFE-E2834B4C1234}" type="presOf" srcId="{08E6CAC7-2FC6-244F-8023-D35A9CED6C0A}" destId="{3CB139E4-6440-E448-BE0B-68D3D2C76BB5}" srcOrd="0" destOrd="0" presId="urn:microsoft.com/office/officeart/2005/8/layout/orgChart1"/>
    <dgm:cxn modelId="{C0CD661B-C092-D34B-B807-9065593008CB}" srcId="{7FECED52-2D2A-0C42-9613-F83A11FEC785}" destId="{AAF8AFFB-D5B2-9B41-90B7-96429551412D}" srcOrd="0" destOrd="0" parTransId="{08E6CAC7-2FC6-244F-8023-D35A9CED6C0A}" sibTransId="{5151A23F-12A6-9B46-B9C3-1341DEF34314}"/>
    <dgm:cxn modelId="{0D3FF91B-E51D-8749-9726-94600B9EC37C}" type="presOf" srcId="{8AFF5279-504B-954E-A5DD-B1B549911B01}" destId="{A54BCDB5-01C2-4144-A23E-E2DF5D31C465}" srcOrd="0" destOrd="0" presId="urn:microsoft.com/office/officeart/2005/8/layout/orgChart1"/>
    <dgm:cxn modelId="{875EF333-770F-D047-AB09-DF3590BCB040}" type="presOf" srcId="{4C02DF56-2AD8-0A47-965C-6369924E7F49}" destId="{1606557B-A30E-8C40-AD7F-36381B723A7E}" srcOrd="1" destOrd="0" presId="urn:microsoft.com/office/officeart/2005/8/layout/orgChart1"/>
    <dgm:cxn modelId="{299B3438-A43A-504E-AFA9-924A075D1D86}" srcId="{4579F15C-0DFA-0442-8916-1B0B29A7C76E}" destId="{7FECED52-2D2A-0C42-9613-F83A11FEC785}" srcOrd="0" destOrd="0" parTransId="{8BB797B7-0FEE-8E4B-BF0C-0CBBCAC00072}" sibTransId="{1A3EC55F-D4EF-C146-966A-6AB0CFBCEF7D}"/>
    <dgm:cxn modelId="{9C0BEB5D-2744-B649-8CDC-44F72313797A}" type="presOf" srcId="{54888557-63F8-4D47-9D0B-B9B8598CB1D7}" destId="{06D8FC8C-50E3-124E-96A2-2613EE14E99E}" srcOrd="0" destOrd="0" presId="urn:microsoft.com/office/officeart/2005/8/layout/orgChart1"/>
    <dgm:cxn modelId="{1337245E-38D2-3547-A962-0AC92A827D10}" type="presOf" srcId="{7FECED52-2D2A-0C42-9613-F83A11FEC785}" destId="{916C1F2C-4C08-2841-B059-7983D13C4022}" srcOrd="1" destOrd="0" presId="urn:microsoft.com/office/officeart/2005/8/layout/orgChart1"/>
    <dgm:cxn modelId="{E3E6C35F-99CB-0442-98E5-B87008DDD08C}" srcId="{FB722EB2-7A47-EF41-90CF-ACDB578A2995}" destId="{E5AC82A3-7069-3449-8284-0A4DABBBA483}" srcOrd="0" destOrd="0" parTransId="{98BCA86B-8053-5F4C-A733-6FB0636E1C31}" sibTransId="{EF593703-8520-9A48-9A01-257AFCBA9C30}"/>
    <dgm:cxn modelId="{209D7343-0EE2-E842-A202-4E51D720554E}" type="presOf" srcId="{FBE0114D-A0A1-604C-AC00-7EAFB25CDFC6}" destId="{8A0147C5-9FA4-1C41-B28D-CED3AF795E3E}" srcOrd="0" destOrd="0" presId="urn:microsoft.com/office/officeart/2005/8/layout/orgChart1"/>
    <dgm:cxn modelId="{065EA744-302F-C54B-B403-4C446B06C11F}" srcId="{4C02DF56-2AD8-0A47-965C-6369924E7F49}" destId="{A310BFC1-99DF-E64D-AF84-533224C949FB}" srcOrd="1" destOrd="0" parTransId="{8AFF5279-504B-954E-A5DD-B1B549911B01}" sibTransId="{66D4362E-CCAE-C24D-BCB3-AAF9F795FBBD}"/>
    <dgm:cxn modelId="{EA0AEC68-CF7B-DA40-B223-4431C0BAD965}" srcId="{4C02DF56-2AD8-0A47-965C-6369924E7F49}" destId="{F2B3BEFC-E8E7-9D46-951B-06B507BB32BB}" srcOrd="2" destOrd="0" parTransId="{0E8FA95E-A09F-4B41-80BE-2352CA1BFA5C}" sibTransId="{D5691AE9-B3F6-1F4E-A043-725793E4788B}"/>
    <dgm:cxn modelId="{6FE5654C-DAC7-A54A-9D03-350FE6E1DAA7}" type="presOf" srcId="{AAF8AFFB-D5B2-9B41-90B7-96429551412D}" destId="{4D0507B8-1897-1E4C-BEBA-C92470FAA23B}" srcOrd="0" destOrd="0" presId="urn:microsoft.com/office/officeart/2005/8/layout/orgChart1"/>
    <dgm:cxn modelId="{C7A5E24E-01CF-104D-A5FC-24B0578EFE21}" type="presOf" srcId="{A310BFC1-99DF-E64D-AF84-533224C949FB}" destId="{D3B0ABD9-27B1-E94A-9B30-6015339D5E49}" srcOrd="1" destOrd="0" presId="urn:microsoft.com/office/officeart/2005/8/layout/orgChart1"/>
    <dgm:cxn modelId="{08197D70-684E-9441-87D0-3A7FC2FF27DF}" type="presOf" srcId="{68D85168-5DDB-9A4E-9A79-33539D19C1A3}" destId="{9FC0F01A-0566-E540-9E8F-66492B80B175}" srcOrd="0" destOrd="0" presId="urn:microsoft.com/office/officeart/2005/8/layout/orgChart1"/>
    <dgm:cxn modelId="{E8847654-D8AF-654F-8EFA-94383E26B38D}" srcId="{4C02DF56-2AD8-0A47-965C-6369924E7F49}" destId="{54888557-63F8-4D47-9D0B-B9B8598CB1D7}" srcOrd="0" destOrd="0" parTransId="{C3D2C954-6801-0B4C-956A-FBE6200611A6}" sibTransId="{2AE0E81C-6403-714F-B2A9-43155184D642}"/>
    <dgm:cxn modelId="{664D2B76-E033-4045-8247-7384099FA2F1}" srcId="{7FECED52-2D2A-0C42-9613-F83A11FEC785}" destId="{1FFFC5C9-DC2F-074D-9265-DFB5E4319EE7}" srcOrd="1" destOrd="0" parTransId="{E2380140-B4E5-734F-9FBC-D7638F0BC0BC}" sibTransId="{FB168E11-66D3-534E-AF80-6A4A558D08B2}"/>
    <dgm:cxn modelId="{CC8A8B7E-147A-274B-83D6-1A9103463148}" srcId="{1FFFC5C9-DC2F-074D-9265-DFB5E4319EE7}" destId="{FB722EB2-7A47-EF41-90CF-ACDB578A2995}" srcOrd="0" destOrd="0" parTransId="{E1142858-0DD3-D446-B97C-EC076EA93285}" sibTransId="{F1D4696E-A90E-FB4C-8F60-C9AD34DE5119}"/>
    <dgm:cxn modelId="{74D4F682-6412-0A42-B77F-083B931E2774}" type="presOf" srcId="{7FECED52-2D2A-0C42-9613-F83A11FEC785}" destId="{8CA1CDA4-FD6C-9541-8CFE-1C77DBF8281D}" srcOrd="0" destOrd="0" presId="urn:microsoft.com/office/officeart/2005/8/layout/orgChart1"/>
    <dgm:cxn modelId="{B048E887-498A-014D-ACC7-93483F5F3C67}" type="presOf" srcId="{E2380140-B4E5-734F-9FBC-D7638F0BC0BC}" destId="{4E16DB24-9A7F-8C4C-8F43-5248FB97CCB1}" srcOrd="0" destOrd="0" presId="urn:microsoft.com/office/officeart/2005/8/layout/orgChart1"/>
    <dgm:cxn modelId="{A4A22690-9E0A-7E43-BA7C-7F0DA9C9ABBE}" type="presOf" srcId="{FB722EB2-7A47-EF41-90CF-ACDB578A2995}" destId="{0B20C27D-EA0D-BB44-A6B2-F0557273B7E6}" srcOrd="1" destOrd="0" presId="urn:microsoft.com/office/officeart/2005/8/layout/orgChart1"/>
    <dgm:cxn modelId="{934E1C93-5551-1247-970D-D2FF0DF9ACCC}" type="presOf" srcId="{0E8FA95E-A09F-4B41-80BE-2352CA1BFA5C}" destId="{73F84AA0-D2CC-9845-921E-981BF9A648EF}" srcOrd="0" destOrd="0" presId="urn:microsoft.com/office/officeart/2005/8/layout/orgChart1"/>
    <dgm:cxn modelId="{6421D798-ECD2-A947-8556-47E5EC93C3E0}" type="presOf" srcId="{1FFFC5C9-DC2F-074D-9265-DFB5E4319EE7}" destId="{0A6CA989-6EAC-0D44-9522-8E6CF23A97DB}" srcOrd="1" destOrd="0" presId="urn:microsoft.com/office/officeart/2005/8/layout/orgChart1"/>
    <dgm:cxn modelId="{B05D6F9F-97CC-2E40-8ADD-7304C042E170}" type="presOf" srcId="{FB722EB2-7A47-EF41-90CF-ACDB578A2995}" destId="{96E3BEDC-1F5E-274F-99A2-D1323D2C3363}" srcOrd="0" destOrd="0" presId="urn:microsoft.com/office/officeart/2005/8/layout/orgChart1"/>
    <dgm:cxn modelId="{D3BE949F-F032-4249-AAF1-F760A6BBEBC6}" type="presOf" srcId="{1FFFC5C9-DC2F-074D-9265-DFB5E4319EE7}" destId="{08DA97F1-5667-144D-B2A0-CE432546D7F1}" srcOrd="0" destOrd="0" presId="urn:microsoft.com/office/officeart/2005/8/layout/orgChart1"/>
    <dgm:cxn modelId="{9E7109A1-E3D6-A04D-B6D6-14A0305063F5}" type="presOf" srcId="{F2B3BEFC-E8E7-9D46-951B-06B507BB32BB}" destId="{4EE705C9-C70D-614E-A322-3AD83A49DB07}" srcOrd="0" destOrd="0" presId="urn:microsoft.com/office/officeart/2005/8/layout/orgChart1"/>
    <dgm:cxn modelId="{B51131A2-C6C1-CD40-8CF4-48064F5B6130}" type="presOf" srcId="{A310BFC1-99DF-E64D-AF84-533224C949FB}" destId="{FB11C5E3-69F4-5540-88A1-952431C20DCC}" srcOrd="0" destOrd="0" presId="urn:microsoft.com/office/officeart/2005/8/layout/orgChart1"/>
    <dgm:cxn modelId="{3ED69AA3-A574-4D40-8175-1216059018C0}" type="presOf" srcId="{E5AC82A3-7069-3449-8284-0A4DABBBA483}" destId="{1297DED5-5A61-EC47-A996-CF4E6D77646B}" srcOrd="1" destOrd="0" presId="urn:microsoft.com/office/officeart/2005/8/layout/orgChart1"/>
    <dgm:cxn modelId="{7A733FA6-9EFF-7F4E-8B91-31B35D957F22}" srcId="{AAF8AFFB-D5B2-9B41-90B7-96429551412D}" destId="{4C02DF56-2AD8-0A47-965C-6369924E7F49}" srcOrd="0" destOrd="0" parTransId="{E1A1AC88-41C8-1344-9189-97F630CA11FF}" sibTransId="{77BFF371-F92C-6346-B782-9C67FAFDBD85}"/>
    <dgm:cxn modelId="{F4E07CA9-2CA7-C44A-9AD7-536DE0B3FE36}" type="presOf" srcId="{68D85168-5DDB-9A4E-9A79-33539D19C1A3}" destId="{021F4834-6BED-4E4F-81F5-F834618E60F2}" srcOrd="1" destOrd="0" presId="urn:microsoft.com/office/officeart/2005/8/layout/orgChart1"/>
    <dgm:cxn modelId="{2214E3A9-FB26-B147-AE0A-E557AF091FA0}" type="presOf" srcId="{2A002D03-2FF1-9F47-8B0A-4382D1C27513}" destId="{53C22E94-32A7-9244-B7F2-D53DE552A308}" srcOrd="0" destOrd="0" presId="urn:microsoft.com/office/officeart/2005/8/layout/orgChart1"/>
    <dgm:cxn modelId="{C2DA0FB5-27A9-3245-B31D-09025CEA9461}" type="presOf" srcId="{E1A1AC88-41C8-1344-9189-97F630CA11FF}" destId="{AEBD9B55-322D-EE4A-A8FD-10F661F9629E}" srcOrd="0" destOrd="0" presId="urn:microsoft.com/office/officeart/2005/8/layout/orgChart1"/>
    <dgm:cxn modelId="{2A126CB5-1FEB-7142-BB65-AEC2BEBDFD13}" srcId="{4C02DF56-2AD8-0A47-965C-6369924E7F49}" destId="{2A002D03-2FF1-9F47-8B0A-4382D1C27513}" srcOrd="3" destOrd="0" parTransId="{83EC3B66-9833-0B4F-BFB0-C3BAB0E90A6F}" sibTransId="{498EA0EB-BBB4-2541-8AF6-80E42F774FEC}"/>
    <dgm:cxn modelId="{EB5E33C0-D95E-2241-AB96-8C2849C288A2}" type="presOf" srcId="{C3D2C954-6801-0B4C-956A-FBE6200611A6}" destId="{5567CB8A-BD09-DA4B-BF37-318FB3DC506A}" srcOrd="0" destOrd="0" presId="urn:microsoft.com/office/officeart/2005/8/layout/orgChart1"/>
    <dgm:cxn modelId="{456EB9C2-5E3F-F24A-8C90-F552225D02F5}" type="presOf" srcId="{FBE0114D-A0A1-604C-AC00-7EAFB25CDFC6}" destId="{5377D28F-9C39-3445-9172-DF5ABC5D839D}" srcOrd="1" destOrd="0" presId="urn:microsoft.com/office/officeart/2005/8/layout/orgChart1"/>
    <dgm:cxn modelId="{86341BC7-8812-E04B-93DE-5F919BB34C51}" srcId="{F2B3BEFC-E8E7-9D46-951B-06B507BB32BB}" destId="{FBE0114D-A0A1-604C-AC00-7EAFB25CDFC6}" srcOrd="0" destOrd="0" parTransId="{3B0CB55F-33EB-6D47-81C1-C362F5C30903}" sibTransId="{A698977B-4F87-F441-A191-B6BB7CA88B7C}"/>
    <dgm:cxn modelId="{72929AC9-2E40-8946-A7A3-C19B7F3FA105}" type="presOf" srcId="{3B0CB55F-33EB-6D47-81C1-C362F5C30903}" destId="{D6D2CE04-2338-384C-B010-7807978313EE}" srcOrd="0" destOrd="0" presId="urn:microsoft.com/office/officeart/2005/8/layout/orgChart1"/>
    <dgm:cxn modelId="{AC4E08CB-D007-FD40-9A5F-CBCFF751FB61}" type="presOf" srcId="{B4112DDC-02FD-B04E-B4C2-0228D24A695B}" destId="{878F13A3-24B3-C74D-B9CB-3BC9992F8060}" srcOrd="0" destOrd="0" presId="urn:microsoft.com/office/officeart/2005/8/layout/orgChart1"/>
    <dgm:cxn modelId="{87E8E9D4-4084-CE41-AF1B-8F1084374DD0}" type="presOf" srcId="{83EC3B66-9833-0B4F-BFB0-C3BAB0E90A6F}" destId="{DE023F48-D7CE-FD44-BA95-DE2523A12F68}" srcOrd="0" destOrd="0" presId="urn:microsoft.com/office/officeart/2005/8/layout/orgChart1"/>
    <dgm:cxn modelId="{6986DDD6-B538-F74B-9F49-9EDD6A0037E1}" type="presOf" srcId="{F2B3BEFC-E8E7-9D46-951B-06B507BB32BB}" destId="{7A75D656-353D-6940-8D95-13BC8E2A2C6B}" srcOrd="1" destOrd="0" presId="urn:microsoft.com/office/officeart/2005/8/layout/orgChart1"/>
    <dgm:cxn modelId="{D37DB5D9-13CD-8440-8112-457DD04C626A}" type="presOf" srcId="{E5AC82A3-7069-3449-8284-0A4DABBBA483}" destId="{4052C48F-3120-D74F-9179-0F4D299290D9}" srcOrd="0" destOrd="0" presId="urn:microsoft.com/office/officeart/2005/8/layout/orgChart1"/>
    <dgm:cxn modelId="{F77D81E4-1C0B-7E48-A269-F66C24C1E5DF}" srcId="{AAF8AFFB-D5B2-9B41-90B7-96429551412D}" destId="{68D85168-5DDB-9A4E-9A79-33539D19C1A3}" srcOrd="1" destOrd="0" parTransId="{B4112DDC-02FD-B04E-B4C2-0228D24A695B}" sibTransId="{63264966-691E-334C-B6B8-957ED94A9BB7}"/>
    <dgm:cxn modelId="{7DA810E8-C470-F744-8377-BEB1DFEAE93E}" type="presOf" srcId="{E1142858-0DD3-D446-B97C-EC076EA93285}" destId="{812759F0-7D14-3C49-8338-BB2EED5066A9}" srcOrd="0" destOrd="0" presId="urn:microsoft.com/office/officeart/2005/8/layout/orgChart1"/>
    <dgm:cxn modelId="{00D4C3EA-03FD-7D42-AF53-EE1111A198A6}" type="presOf" srcId="{4579F15C-0DFA-0442-8916-1B0B29A7C76E}" destId="{B7ADDC6F-FFC8-3848-8D23-F6537830A8FF}" srcOrd="0" destOrd="0" presId="urn:microsoft.com/office/officeart/2005/8/layout/orgChart1"/>
    <dgm:cxn modelId="{BA42D1EE-08A8-254A-AC8B-C52E8C16BFC5}" type="presOf" srcId="{98BCA86B-8053-5F4C-A733-6FB0636E1C31}" destId="{B4CB2566-D140-AA44-BC3F-1E0D67C360C8}" srcOrd="0" destOrd="0" presId="urn:microsoft.com/office/officeart/2005/8/layout/orgChart1"/>
    <dgm:cxn modelId="{4A7699F3-D1ED-B34A-8E32-CEF921B23858}" type="presOf" srcId="{AAF8AFFB-D5B2-9B41-90B7-96429551412D}" destId="{0C0E0D57-090D-A44B-9AD2-876D39746377}" srcOrd="1" destOrd="0" presId="urn:microsoft.com/office/officeart/2005/8/layout/orgChart1"/>
    <dgm:cxn modelId="{8CE93FF8-2A8C-D24E-8E0D-56C974EEE97C}" type="presOf" srcId="{2A002D03-2FF1-9F47-8B0A-4382D1C27513}" destId="{CD0B1D08-E45D-2A43-AF26-CF40D311022C}" srcOrd="1" destOrd="0" presId="urn:microsoft.com/office/officeart/2005/8/layout/orgChart1"/>
    <dgm:cxn modelId="{EF709622-CADB-A74D-99F6-2BC70220CB9A}" type="presParOf" srcId="{B7ADDC6F-FFC8-3848-8D23-F6537830A8FF}" destId="{2E3BF87A-556A-5049-A169-2CFA403E16B8}" srcOrd="0" destOrd="0" presId="urn:microsoft.com/office/officeart/2005/8/layout/orgChart1"/>
    <dgm:cxn modelId="{DAB2187B-B0E7-5843-8B53-78AF441CC982}" type="presParOf" srcId="{2E3BF87A-556A-5049-A169-2CFA403E16B8}" destId="{FF2AFCCD-92D8-CF41-88E6-7134B8566280}" srcOrd="0" destOrd="0" presId="urn:microsoft.com/office/officeart/2005/8/layout/orgChart1"/>
    <dgm:cxn modelId="{6F122735-B6C4-0F44-8B4D-A790C2BCEE26}" type="presParOf" srcId="{FF2AFCCD-92D8-CF41-88E6-7134B8566280}" destId="{8CA1CDA4-FD6C-9541-8CFE-1C77DBF8281D}" srcOrd="0" destOrd="0" presId="urn:microsoft.com/office/officeart/2005/8/layout/orgChart1"/>
    <dgm:cxn modelId="{EDADFB5D-8143-4647-B80A-A980B9027D51}" type="presParOf" srcId="{FF2AFCCD-92D8-CF41-88E6-7134B8566280}" destId="{916C1F2C-4C08-2841-B059-7983D13C4022}" srcOrd="1" destOrd="0" presId="urn:microsoft.com/office/officeart/2005/8/layout/orgChart1"/>
    <dgm:cxn modelId="{B33D4CCE-27E5-694D-957C-C80541BD41CB}" type="presParOf" srcId="{2E3BF87A-556A-5049-A169-2CFA403E16B8}" destId="{3A703FDD-7FEA-4146-A3B5-356729B14729}" srcOrd="1" destOrd="0" presId="urn:microsoft.com/office/officeart/2005/8/layout/orgChart1"/>
    <dgm:cxn modelId="{598123FE-9C76-F948-836D-DB56068BD2C2}" type="presParOf" srcId="{3A703FDD-7FEA-4146-A3B5-356729B14729}" destId="{3CB139E4-6440-E448-BE0B-68D3D2C76BB5}" srcOrd="0" destOrd="0" presId="urn:microsoft.com/office/officeart/2005/8/layout/orgChart1"/>
    <dgm:cxn modelId="{D29DD252-BB20-EF43-A6CA-496FE0E58D8B}" type="presParOf" srcId="{3A703FDD-7FEA-4146-A3B5-356729B14729}" destId="{D6C3C11B-4386-0345-9C47-89667025A18D}" srcOrd="1" destOrd="0" presId="urn:microsoft.com/office/officeart/2005/8/layout/orgChart1"/>
    <dgm:cxn modelId="{34CBA41F-52E3-F241-970D-779E1D44FD33}" type="presParOf" srcId="{D6C3C11B-4386-0345-9C47-89667025A18D}" destId="{6B5AC2AA-8CEF-FA46-ADB0-439F94678CA9}" srcOrd="0" destOrd="0" presId="urn:microsoft.com/office/officeart/2005/8/layout/orgChart1"/>
    <dgm:cxn modelId="{2FA49171-A6B0-684A-A4DE-590C854F8A25}" type="presParOf" srcId="{6B5AC2AA-8CEF-FA46-ADB0-439F94678CA9}" destId="{4D0507B8-1897-1E4C-BEBA-C92470FAA23B}" srcOrd="0" destOrd="0" presId="urn:microsoft.com/office/officeart/2005/8/layout/orgChart1"/>
    <dgm:cxn modelId="{140A991F-9955-074C-AA78-3CF203C616E3}" type="presParOf" srcId="{6B5AC2AA-8CEF-FA46-ADB0-439F94678CA9}" destId="{0C0E0D57-090D-A44B-9AD2-876D39746377}" srcOrd="1" destOrd="0" presId="urn:microsoft.com/office/officeart/2005/8/layout/orgChart1"/>
    <dgm:cxn modelId="{89989C00-3F6F-504E-8E36-D28CBD25EF94}" type="presParOf" srcId="{D6C3C11B-4386-0345-9C47-89667025A18D}" destId="{D83985A2-9095-C04B-A368-B59377BAF0FA}" srcOrd="1" destOrd="0" presId="urn:microsoft.com/office/officeart/2005/8/layout/orgChart1"/>
    <dgm:cxn modelId="{1C8F99C3-31B1-534A-844C-F2C9558CED48}" type="presParOf" srcId="{D83985A2-9095-C04B-A368-B59377BAF0FA}" destId="{AEBD9B55-322D-EE4A-A8FD-10F661F9629E}" srcOrd="0" destOrd="0" presId="urn:microsoft.com/office/officeart/2005/8/layout/orgChart1"/>
    <dgm:cxn modelId="{27D7C8DE-60FE-DC43-BC4F-F5D770F4097B}" type="presParOf" srcId="{D83985A2-9095-C04B-A368-B59377BAF0FA}" destId="{FF6573A2-541A-844B-89E9-20B1E47BD355}" srcOrd="1" destOrd="0" presId="urn:microsoft.com/office/officeart/2005/8/layout/orgChart1"/>
    <dgm:cxn modelId="{6D78FF8D-447B-0D44-904E-6FFA03E61512}" type="presParOf" srcId="{FF6573A2-541A-844B-89E9-20B1E47BD355}" destId="{B30DD195-4380-9C4B-B742-43A390948F21}" srcOrd="0" destOrd="0" presId="urn:microsoft.com/office/officeart/2005/8/layout/orgChart1"/>
    <dgm:cxn modelId="{1E1D0096-C6B7-8644-985F-C089A4CE11CA}" type="presParOf" srcId="{B30DD195-4380-9C4B-B742-43A390948F21}" destId="{89185343-3741-B841-8B5A-2A58498B43F5}" srcOrd="0" destOrd="0" presId="urn:microsoft.com/office/officeart/2005/8/layout/orgChart1"/>
    <dgm:cxn modelId="{D4B6F2A9-FE1F-F544-B463-68ECF78707E6}" type="presParOf" srcId="{B30DD195-4380-9C4B-B742-43A390948F21}" destId="{1606557B-A30E-8C40-AD7F-36381B723A7E}" srcOrd="1" destOrd="0" presId="urn:microsoft.com/office/officeart/2005/8/layout/orgChart1"/>
    <dgm:cxn modelId="{EDBAD9D2-CD6B-B447-A28E-E26206C76936}" type="presParOf" srcId="{FF6573A2-541A-844B-89E9-20B1E47BD355}" destId="{6B47443B-4979-584C-8FF9-B35B705059BF}" srcOrd="1" destOrd="0" presId="urn:microsoft.com/office/officeart/2005/8/layout/orgChart1"/>
    <dgm:cxn modelId="{BE0D16E1-AF6F-8642-A586-C4368AEB7A40}" type="presParOf" srcId="{6B47443B-4979-584C-8FF9-B35B705059BF}" destId="{5567CB8A-BD09-DA4B-BF37-318FB3DC506A}" srcOrd="0" destOrd="0" presId="urn:microsoft.com/office/officeart/2005/8/layout/orgChart1"/>
    <dgm:cxn modelId="{501B8EE4-DAE6-004F-A5A3-6CD2F649AE1B}" type="presParOf" srcId="{6B47443B-4979-584C-8FF9-B35B705059BF}" destId="{70C9E275-B47D-3E49-83A6-2CB1C86C7874}" srcOrd="1" destOrd="0" presId="urn:microsoft.com/office/officeart/2005/8/layout/orgChart1"/>
    <dgm:cxn modelId="{CE50D92B-F3EE-754B-A5E6-2B768EE835BB}" type="presParOf" srcId="{70C9E275-B47D-3E49-83A6-2CB1C86C7874}" destId="{6296854C-D3F1-5949-A741-0AF9C05280D0}" srcOrd="0" destOrd="0" presId="urn:microsoft.com/office/officeart/2005/8/layout/orgChart1"/>
    <dgm:cxn modelId="{89799FDA-B73E-C342-8D5B-1406BEC3AA23}" type="presParOf" srcId="{6296854C-D3F1-5949-A741-0AF9C05280D0}" destId="{06D8FC8C-50E3-124E-96A2-2613EE14E99E}" srcOrd="0" destOrd="0" presId="urn:microsoft.com/office/officeart/2005/8/layout/orgChart1"/>
    <dgm:cxn modelId="{885BF4D5-DFED-D84C-B297-743E6341FD1C}" type="presParOf" srcId="{6296854C-D3F1-5949-A741-0AF9C05280D0}" destId="{EBF6CDBA-4AFC-CA4E-95F7-C39BE3C6A509}" srcOrd="1" destOrd="0" presId="urn:microsoft.com/office/officeart/2005/8/layout/orgChart1"/>
    <dgm:cxn modelId="{073F08DD-BE0D-A248-AB47-D93BA9402994}" type="presParOf" srcId="{70C9E275-B47D-3E49-83A6-2CB1C86C7874}" destId="{24B1C7AA-F77B-3C4D-AEC3-674BECEA40A3}" srcOrd="1" destOrd="0" presId="urn:microsoft.com/office/officeart/2005/8/layout/orgChart1"/>
    <dgm:cxn modelId="{207C4113-BA93-0B44-977C-58B3E633C7B6}" type="presParOf" srcId="{70C9E275-B47D-3E49-83A6-2CB1C86C7874}" destId="{E018138B-D080-FF44-A09B-E2859ACE6FBA}" srcOrd="2" destOrd="0" presId="urn:microsoft.com/office/officeart/2005/8/layout/orgChart1"/>
    <dgm:cxn modelId="{EDF982CB-3027-E645-B524-5D1F95358476}" type="presParOf" srcId="{6B47443B-4979-584C-8FF9-B35B705059BF}" destId="{A54BCDB5-01C2-4144-A23E-E2DF5D31C465}" srcOrd="2" destOrd="0" presId="urn:microsoft.com/office/officeart/2005/8/layout/orgChart1"/>
    <dgm:cxn modelId="{DED6D2A9-2F89-1640-9AC6-B52A0435474E}" type="presParOf" srcId="{6B47443B-4979-584C-8FF9-B35B705059BF}" destId="{290A001D-887A-DD4D-8C2D-DA201B45C9D6}" srcOrd="3" destOrd="0" presId="urn:microsoft.com/office/officeart/2005/8/layout/orgChart1"/>
    <dgm:cxn modelId="{A997E157-A195-7645-A7AA-920DC70F909C}" type="presParOf" srcId="{290A001D-887A-DD4D-8C2D-DA201B45C9D6}" destId="{6853929C-90D9-7440-A3B9-8F88B7E14BFF}" srcOrd="0" destOrd="0" presId="urn:microsoft.com/office/officeart/2005/8/layout/orgChart1"/>
    <dgm:cxn modelId="{FE9AAA0E-7B2D-BA43-9763-BEFD15E9B4D3}" type="presParOf" srcId="{6853929C-90D9-7440-A3B9-8F88B7E14BFF}" destId="{FB11C5E3-69F4-5540-88A1-952431C20DCC}" srcOrd="0" destOrd="0" presId="urn:microsoft.com/office/officeart/2005/8/layout/orgChart1"/>
    <dgm:cxn modelId="{21895E50-2CE5-934A-ABBF-1A2EF8085BE2}" type="presParOf" srcId="{6853929C-90D9-7440-A3B9-8F88B7E14BFF}" destId="{D3B0ABD9-27B1-E94A-9B30-6015339D5E49}" srcOrd="1" destOrd="0" presId="urn:microsoft.com/office/officeart/2005/8/layout/orgChart1"/>
    <dgm:cxn modelId="{F4C13766-5336-8146-B1EC-F968B997FA46}" type="presParOf" srcId="{290A001D-887A-DD4D-8C2D-DA201B45C9D6}" destId="{A3618E2A-63D1-5845-BBBC-FFBDF176CF11}" srcOrd="1" destOrd="0" presId="urn:microsoft.com/office/officeart/2005/8/layout/orgChart1"/>
    <dgm:cxn modelId="{3AE07FF2-9310-8042-B223-41275AB25DE3}" type="presParOf" srcId="{290A001D-887A-DD4D-8C2D-DA201B45C9D6}" destId="{17496E0D-9C39-7E42-8F0B-424E5B4A5E21}" srcOrd="2" destOrd="0" presId="urn:microsoft.com/office/officeart/2005/8/layout/orgChart1"/>
    <dgm:cxn modelId="{E46394F8-3011-8048-B074-208BAB5EE7E9}" type="presParOf" srcId="{6B47443B-4979-584C-8FF9-B35B705059BF}" destId="{73F84AA0-D2CC-9845-921E-981BF9A648EF}" srcOrd="4" destOrd="0" presId="urn:microsoft.com/office/officeart/2005/8/layout/orgChart1"/>
    <dgm:cxn modelId="{4018ACAC-5AD8-AF44-9053-D995BDAA7CFD}" type="presParOf" srcId="{6B47443B-4979-584C-8FF9-B35B705059BF}" destId="{9069AB56-CFF0-5844-8617-D18552661258}" srcOrd="5" destOrd="0" presId="urn:microsoft.com/office/officeart/2005/8/layout/orgChart1"/>
    <dgm:cxn modelId="{33BE2E27-4093-BB44-9199-AEBB73E29B03}" type="presParOf" srcId="{9069AB56-CFF0-5844-8617-D18552661258}" destId="{CD1C6727-E166-E54B-B4CE-C09CCDE6B93E}" srcOrd="0" destOrd="0" presId="urn:microsoft.com/office/officeart/2005/8/layout/orgChart1"/>
    <dgm:cxn modelId="{01444222-1702-5A45-9B6B-0E9A4CEED7E5}" type="presParOf" srcId="{CD1C6727-E166-E54B-B4CE-C09CCDE6B93E}" destId="{4EE705C9-C70D-614E-A322-3AD83A49DB07}" srcOrd="0" destOrd="0" presId="urn:microsoft.com/office/officeart/2005/8/layout/orgChart1"/>
    <dgm:cxn modelId="{5F25C6B2-1FB0-5042-992F-2650915F57EB}" type="presParOf" srcId="{CD1C6727-E166-E54B-B4CE-C09CCDE6B93E}" destId="{7A75D656-353D-6940-8D95-13BC8E2A2C6B}" srcOrd="1" destOrd="0" presId="urn:microsoft.com/office/officeart/2005/8/layout/orgChart1"/>
    <dgm:cxn modelId="{1DE26A65-B665-9B49-A412-E146EEAF118F}" type="presParOf" srcId="{9069AB56-CFF0-5844-8617-D18552661258}" destId="{DF741FF0-3971-904B-99C5-7214A65EDAAD}" srcOrd="1" destOrd="0" presId="urn:microsoft.com/office/officeart/2005/8/layout/orgChart1"/>
    <dgm:cxn modelId="{926C0F5D-A6CE-DD4B-B956-62009DFD29B4}" type="presParOf" srcId="{9069AB56-CFF0-5844-8617-D18552661258}" destId="{3CCA47B7-A252-7A46-83D1-263852DE9955}" srcOrd="2" destOrd="0" presId="urn:microsoft.com/office/officeart/2005/8/layout/orgChart1"/>
    <dgm:cxn modelId="{9D0A4E5B-3451-634E-AA3A-A2708C9329B8}" type="presParOf" srcId="{3CCA47B7-A252-7A46-83D1-263852DE9955}" destId="{D6D2CE04-2338-384C-B010-7807978313EE}" srcOrd="0" destOrd="0" presId="urn:microsoft.com/office/officeart/2005/8/layout/orgChart1"/>
    <dgm:cxn modelId="{69DFA319-E7F9-D249-B889-13851A27F899}" type="presParOf" srcId="{3CCA47B7-A252-7A46-83D1-263852DE9955}" destId="{9DD178D6-224B-7449-B7F5-9DD9EEE8D7AD}" srcOrd="1" destOrd="0" presId="urn:microsoft.com/office/officeart/2005/8/layout/orgChart1"/>
    <dgm:cxn modelId="{EF993644-130F-8D43-B02C-0016B42B39FB}" type="presParOf" srcId="{9DD178D6-224B-7449-B7F5-9DD9EEE8D7AD}" destId="{65822501-6662-E549-9957-191CA5241F9F}" srcOrd="0" destOrd="0" presId="urn:microsoft.com/office/officeart/2005/8/layout/orgChart1"/>
    <dgm:cxn modelId="{1CCB40E3-59B3-D640-820B-5FBCFDFDA585}" type="presParOf" srcId="{65822501-6662-E549-9957-191CA5241F9F}" destId="{8A0147C5-9FA4-1C41-B28D-CED3AF795E3E}" srcOrd="0" destOrd="0" presId="urn:microsoft.com/office/officeart/2005/8/layout/orgChart1"/>
    <dgm:cxn modelId="{5C9D9902-7D38-BC4E-B3D5-E94CCC941211}" type="presParOf" srcId="{65822501-6662-E549-9957-191CA5241F9F}" destId="{5377D28F-9C39-3445-9172-DF5ABC5D839D}" srcOrd="1" destOrd="0" presId="urn:microsoft.com/office/officeart/2005/8/layout/orgChart1"/>
    <dgm:cxn modelId="{C2FCB390-7AC2-034D-91ED-76FC17DC09BE}" type="presParOf" srcId="{9DD178D6-224B-7449-B7F5-9DD9EEE8D7AD}" destId="{396C48BE-3040-0846-AE5C-E8E3233BD07F}" srcOrd="1" destOrd="0" presId="urn:microsoft.com/office/officeart/2005/8/layout/orgChart1"/>
    <dgm:cxn modelId="{1BF7B96F-E96B-AF45-969F-57B49DF13CF6}" type="presParOf" srcId="{9DD178D6-224B-7449-B7F5-9DD9EEE8D7AD}" destId="{1D9F9420-2450-4A47-8A55-AA97FEBBA735}" srcOrd="2" destOrd="0" presId="urn:microsoft.com/office/officeart/2005/8/layout/orgChart1"/>
    <dgm:cxn modelId="{7887AF3E-0230-F844-8640-DCBE7E15C242}" type="presParOf" srcId="{FF6573A2-541A-844B-89E9-20B1E47BD355}" destId="{B6E9DD46-6C36-0549-AD02-719AAF75D4AD}" srcOrd="2" destOrd="0" presId="urn:microsoft.com/office/officeart/2005/8/layout/orgChart1"/>
    <dgm:cxn modelId="{4000255F-562A-144A-A826-B81CCD91D294}" type="presParOf" srcId="{B6E9DD46-6C36-0549-AD02-719AAF75D4AD}" destId="{DE023F48-D7CE-FD44-BA95-DE2523A12F68}" srcOrd="0" destOrd="0" presId="urn:microsoft.com/office/officeart/2005/8/layout/orgChart1"/>
    <dgm:cxn modelId="{40423273-C794-0647-ABDE-9DE042D665D7}" type="presParOf" srcId="{B6E9DD46-6C36-0549-AD02-719AAF75D4AD}" destId="{EA2C93F3-934D-E44C-8AA8-E245DF43EA10}" srcOrd="1" destOrd="0" presId="urn:microsoft.com/office/officeart/2005/8/layout/orgChart1"/>
    <dgm:cxn modelId="{9A972EB4-5F56-F041-BF9C-5E709E89DA65}" type="presParOf" srcId="{EA2C93F3-934D-E44C-8AA8-E245DF43EA10}" destId="{2C8FBD24-0837-A44F-A8E3-FA25FABC4CDB}" srcOrd="0" destOrd="0" presId="urn:microsoft.com/office/officeart/2005/8/layout/orgChart1"/>
    <dgm:cxn modelId="{E5A21895-86FB-284F-8983-B526566E1911}" type="presParOf" srcId="{2C8FBD24-0837-A44F-A8E3-FA25FABC4CDB}" destId="{53C22E94-32A7-9244-B7F2-D53DE552A308}" srcOrd="0" destOrd="0" presId="urn:microsoft.com/office/officeart/2005/8/layout/orgChart1"/>
    <dgm:cxn modelId="{004A9754-F3F9-FC47-9DDA-14C34150F453}" type="presParOf" srcId="{2C8FBD24-0837-A44F-A8E3-FA25FABC4CDB}" destId="{CD0B1D08-E45D-2A43-AF26-CF40D311022C}" srcOrd="1" destOrd="0" presId="urn:microsoft.com/office/officeart/2005/8/layout/orgChart1"/>
    <dgm:cxn modelId="{5E32379B-30DC-2441-B4AE-F048FF4AD147}" type="presParOf" srcId="{EA2C93F3-934D-E44C-8AA8-E245DF43EA10}" destId="{46565CDD-A773-0342-A5F2-1EEC2B208DA2}" srcOrd="1" destOrd="0" presId="urn:microsoft.com/office/officeart/2005/8/layout/orgChart1"/>
    <dgm:cxn modelId="{FD60CF31-383B-6848-8F64-49203E5611B4}" type="presParOf" srcId="{EA2C93F3-934D-E44C-8AA8-E245DF43EA10}" destId="{5CE89308-65E8-274C-9561-56BA7D914E72}" srcOrd="2" destOrd="0" presId="urn:microsoft.com/office/officeart/2005/8/layout/orgChart1"/>
    <dgm:cxn modelId="{3CC84ADD-A64A-394A-ADF4-73A91F7C4138}" type="presParOf" srcId="{D6C3C11B-4386-0345-9C47-89667025A18D}" destId="{85A9C9C9-4226-564E-912F-C93B765D113E}" srcOrd="2" destOrd="0" presId="urn:microsoft.com/office/officeart/2005/8/layout/orgChart1"/>
    <dgm:cxn modelId="{08B4C678-D84F-6E46-A01C-62B2FEB4F88A}" type="presParOf" srcId="{85A9C9C9-4226-564E-912F-C93B765D113E}" destId="{878F13A3-24B3-C74D-B9CB-3BC9992F8060}" srcOrd="0" destOrd="0" presId="urn:microsoft.com/office/officeart/2005/8/layout/orgChart1"/>
    <dgm:cxn modelId="{4C75741A-BDC3-F046-8D6B-19EC2EE805C9}" type="presParOf" srcId="{85A9C9C9-4226-564E-912F-C93B765D113E}" destId="{41519C0F-40E9-1B4B-9DEB-0B7D4CD9D983}" srcOrd="1" destOrd="0" presId="urn:microsoft.com/office/officeart/2005/8/layout/orgChart1"/>
    <dgm:cxn modelId="{997A6E19-D432-F74E-812A-61650F6B9680}" type="presParOf" srcId="{41519C0F-40E9-1B4B-9DEB-0B7D4CD9D983}" destId="{6638B8EB-AA6A-9045-BB5B-AE9ED8450436}" srcOrd="0" destOrd="0" presId="urn:microsoft.com/office/officeart/2005/8/layout/orgChart1"/>
    <dgm:cxn modelId="{5C3E082F-9FD0-D543-A946-58CB5B70304D}" type="presParOf" srcId="{6638B8EB-AA6A-9045-BB5B-AE9ED8450436}" destId="{9FC0F01A-0566-E540-9E8F-66492B80B175}" srcOrd="0" destOrd="0" presId="urn:microsoft.com/office/officeart/2005/8/layout/orgChart1"/>
    <dgm:cxn modelId="{2F719C28-F16F-254A-AC20-0E393BD6570E}" type="presParOf" srcId="{6638B8EB-AA6A-9045-BB5B-AE9ED8450436}" destId="{021F4834-6BED-4E4F-81F5-F834618E60F2}" srcOrd="1" destOrd="0" presId="urn:microsoft.com/office/officeart/2005/8/layout/orgChart1"/>
    <dgm:cxn modelId="{273D4791-0CE7-1846-B783-3C75CFAC73A0}" type="presParOf" srcId="{41519C0F-40E9-1B4B-9DEB-0B7D4CD9D983}" destId="{2D64EDA6-FDFF-C74C-A505-D9B058426A4C}" srcOrd="1" destOrd="0" presId="urn:microsoft.com/office/officeart/2005/8/layout/orgChart1"/>
    <dgm:cxn modelId="{909CE254-3057-9043-8756-CF7BA188A266}" type="presParOf" srcId="{41519C0F-40E9-1B4B-9DEB-0B7D4CD9D983}" destId="{56B3D7A5-4DF5-4A40-ABFC-D799023CA954}" srcOrd="2" destOrd="0" presId="urn:microsoft.com/office/officeart/2005/8/layout/orgChart1"/>
    <dgm:cxn modelId="{80DDE0B5-528B-784C-A8BF-E94C2B65C1EB}" type="presParOf" srcId="{3A703FDD-7FEA-4146-A3B5-356729B14729}" destId="{4E16DB24-9A7F-8C4C-8F43-5248FB97CCB1}" srcOrd="2" destOrd="0" presId="urn:microsoft.com/office/officeart/2005/8/layout/orgChart1"/>
    <dgm:cxn modelId="{A7DD508B-57E9-FC45-918A-FBDE95304B9C}" type="presParOf" srcId="{3A703FDD-7FEA-4146-A3B5-356729B14729}" destId="{130B2EAA-ACF1-E648-9489-09EC95B5DDEE}" srcOrd="3" destOrd="0" presId="urn:microsoft.com/office/officeart/2005/8/layout/orgChart1"/>
    <dgm:cxn modelId="{7B9BD70C-FF6D-3349-9028-3FD6F44DEB9C}" type="presParOf" srcId="{130B2EAA-ACF1-E648-9489-09EC95B5DDEE}" destId="{0E78B663-5C12-DE4B-94FB-CA23145F2E67}" srcOrd="0" destOrd="0" presId="urn:microsoft.com/office/officeart/2005/8/layout/orgChart1"/>
    <dgm:cxn modelId="{FF10FB72-01CB-2341-90A8-4D0EDEC7CA77}" type="presParOf" srcId="{0E78B663-5C12-DE4B-94FB-CA23145F2E67}" destId="{08DA97F1-5667-144D-B2A0-CE432546D7F1}" srcOrd="0" destOrd="0" presId="urn:microsoft.com/office/officeart/2005/8/layout/orgChart1"/>
    <dgm:cxn modelId="{1352B165-13BD-F444-A243-47429F0BD858}" type="presParOf" srcId="{0E78B663-5C12-DE4B-94FB-CA23145F2E67}" destId="{0A6CA989-6EAC-0D44-9522-8E6CF23A97DB}" srcOrd="1" destOrd="0" presId="urn:microsoft.com/office/officeart/2005/8/layout/orgChart1"/>
    <dgm:cxn modelId="{CB7890F8-2178-4D4F-8F40-A35D38E0CE19}" type="presParOf" srcId="{130B2EAA-ACF1-E648-9489-09EC95B5DDEE}" destId="{5A830D8D-EA3D-A243-BF9D-E991AD2EF98D}" srcOrd="1" destOrd="0" presId="urn:microsoft.com/office/officeart/2005/8/layout/orgChart1"/>
    <dgm:cxn modelId="{59637DB5-89C2-604C-BD52-BB69FE91C2CD}" type="presParOf" srcId="{5A830D8D-EA3D-A243-BF9D-E991AD2EF98D}" destId="{812759F0-7D14-3C49-8338-BB2EED5066A9}" srcOrd="0" destOrd="0" presId="urn:microsoft.com/office/officeart/2005/8/layout/orgChart1"/>
    <dgm:cxn modelId="{59CAA1DF-A15B-4946-95E3-449FB11C3D67}" type="presParOf" srcId="{5A830D8D-EA3D-A243-BF9D-E991AD2EF98D}" destId="{507C06BC-1808-0644-964A-BA276AF08CC3}" srcOrd="1" destOrd="0" presId="urn:microsoft.com/office/officeart/2005/8/layout/orgChart1"/>
    <dgm:cxn modelId="{85DD89A5-19A7-EB44-9D6E-6E040BF930E9}" type="presParOf" srcId="{507C06BC-1808-0644-964A-BA276AF08CC3}" destId="{6DB4F50D-3791-AE4E-9A8A-F609DDC082B3}" srcOrd="0" destOrd="0" presId="urn:microsoft.com/office/officeart/2005/8/layout/orgChart1"/>
    <dgm:cxn modelId="{F107F8F3-1A13-4549-9626-0ED3351E851A}" type="presParOf" srcId="{6DB4F50D-3791-AE4E-9A8A-F609DDC082B3}" destId="{96E3BEDC-1F5E-274F-99A2-D1323D2C3363}" srcOrd="0" destOrd="0" presId="urn:microsoft.com/office/officeart/2005/8/layout/orgChart1"/>
    <dgm:cxn modelId="{F49EBF90-A687-AD4F-9727-F214B81D3AD9}" type="presParOf" srcId="{6DB4F50D-3791-AE4E-9A8A-F609DDC082B3}" destId="{0B20C27D-EA0D-BB44-A6B2-F0557273B7E6}" srcOrd="1" destOrd="0" presId="urn:microsoft.com/office/officeart/2005/8/layout/orgChart1"/>
    <dgm:cxn modelId="{8F630991-B1EE-EB4C-BD30-3B8ACC9E91A9}" type="presParOf" srcId="{507C06BC-1808-0644-964A-BA276AF08CC3}" destId="{0B826E29-54DE-6046-A207-79A7A58E468A}" srcOrd="1" destOrd="0" presId="urn:microsoft.com/office/officeart/2005/8/layout/orgChart1"/>
    <dgm:cxn modelId="{0D5E868F-8B4C-D24F-95FB-A87518A34C14}" type="presParOf" srcId="{507C06BC-1808-0644-964A-BA276AF08CC3}" destId="{C23783B8-7B19-3547-B105-1907FA41E8B0}" srcOrd="2" destOrd="0" presId="urn:microsoft.com/office/officeart/2005/8/layout/orgChart1"/>
    <dgm:cxn modelId="{0F242AEF-C530-E149-B1B6-876D1940FF68}" type="presParOf" srcId="{C23783B8-7B19-3547-B105-1907FA41E8B0}" destId="{B4CB2566-D140-AA44-BC3F-1E0D67C360C8}" srcOrd="0" destOrd="0" presId="urn:microsoft.com/office/officeart/2005/8/layout/orgChart1"/>
    <dgm:cxn modelId="{904DA01E-CD9F-8B45-8FDF-88C965E30219}" type="presParOf" srcId="{C23783B8-7B19-3547-B105-1907FA41E8B0}" destId="{D68202C5-42F2-D849-AE78-D913597433F1}" srcOrd="1" destOrd="0" presId="urn:microsoft.com/office/officeart/2005/8/layout/orgChart1"/>
    <dgm:cxn modelId="{0321F1F0-EFB7-C54B-821B-39797AD22C9C}" type="presParOf" srcId="{D68202C5-42F2-D849-AE78-D913597433F1}" destId="{7DCC2BB8-5AF3-E74E-8BF3-3F0FA262298E}" srcOrd="0" destOrd="0" presId="urn:microsoft.com/office/officeart/2005/8/layout/orgChart1"/>
    <dgm:cxn modelId="{84B3312D-D77B-474A-A73D-1528BB0E789C}" type="presParOf" srcId="{7DCC2BB8-5AF3-E74E-8BF3-3F0FA262298E}" destId="{4052C48F-3120-D74F-9179-0F4D299290D9}" srcOrd="0" destOrd="0" presId="urn:microsoft.com/office/officeart/2005/8/layout/orgChart1"/>
    <dgm:cxn modelId="{154E6284-CEF8-2C4F-98F0-A0BBD96E4197}" type="presParOf" srcId="{7DCC2BB8-5AF3-E74E-8BF3-3F0FA262298E}" destId="{1297DED5-5A61-EC47-A996-CF4E6D77646B}" srcOrd="1" destOrd="0" presId="urn:microsoft.com/office/officeart/2005/8/layout/orgChart1"/>
    <dgm:cxn modelId="{D2001513-A4B5-D440-80A8-A81A6CEC4E09}" type="presParOf" srcId="{D68202C5-42F2-D849-AE78-D913597433F1}" destId="{606C391A-0035-204C-ACB5-9F9FF070BE7E}" srcOrd="1" destOrd="0" presId="urn:microsoft.com/office/officeart/2005/8/layout/orgChart1"/>
    <dgm:cxn modelId="{4D606EC6-5E67-3042-8B61-CCCED88CEF18}" type="presParOf" srcId="{D68202C5-42F2-D849-AE78-D913597433F1}" destId="{4AA8AF71-613E-8245-8146-17FD117E900C}" srcOrd="2" destOrd="0" presId="urn:microsoft.com/office/officeart/2005/8/layout/orgChart1"/>
    <dgm:cxn modelId="{4BE9E734-C7E4-5246-9137-3B91145ECFF4}" type="presParOf" srcId="{130B2EAA-ACF1-E648-9489-09EC95B5DDEE}" destId="{D13D4682-CA99-D94C-9EA6-EDC795D8655D}" srcOrd="2" destOrd="0" presId="urn:microsoft.com/office/officeart/2005/8/layout/orgChart1"/>
    <dgm:cxn modelId="{A73942F3-F80F-C244-B16C-6A96E2C55192}" type="presParOf" srcId="{2E3BF87A-556A-5049-A169-2CFA403E16B8}" destId="{D890FE1F-B04F-5F4E-9D92-F34729A52A25}"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4438650" cy="5298440"/>
        <a:chOff x="0" y="0"/>
        <a:chExt cx="4438650" cy="5298440"/>
      </a:xfrm>
    </dsp:grpSpPr>
    <dsp:sp modelId="{3CB139E4-6440-E448-BE0B-68D3D2C76BB5}">
      <dsp:nvSpPr>
        <dsp:cNvPr id="5" name="Freeform 4"/>
        <dsp:cNvSpPr/>
      </dsp:nvSpPr>
      <dsp:spPr bwMode="white">
        <a:xfrm>
          <a:off x="1930545" y="539133"/>
          <a:ext cx="917014" cy="200018"/>
        </a:xfrm>
        <a:custGeom>
          <a:avLst/>
          <a:gdLst/>
          <a:ahLst/>
          <a:cxnLst/>
          <a:pathLst>
            <a:path w="1444" h="315">
              <a:moveTo>
                <a:pt x="1444" y="0"/>
              </a:moveTo>
              <a:lnTo>
                <a:pt x="1444" y="157"/>
              </a:lnTo>
              <a:lnTo>
                <a:pt x="0" y="157"/>
              </a:lnTo>
              <a:lnTo>
                <a:pt x="0" y="315"/>
              </a:lnTo>
            </a:path>
          </a:pathLst>
        </a:custGeom>
      </dsp:spPr>
      <dsp:style>
        <a:lnRef idx="1">
          <a:schemeClr val="accent1">
            <a:shade val="60000"/>
          </a:schemeClr>
        </a:lnRef>
        <a:fillRef idx="0">
          <a:schemeClr val="accent1"/>
        </a:fillRef>
        <a:effectRef idx="0">
          <a:scrgbClr r="0" g="0" b="0"/>
        </a:effectRef>
        <a:fontRef idx="minor"/>
      </dsp:style>
      <dsp:txXfrm>
        <a:off x="1930545" y="539133"/>
        <a:ext cx="917014" cy="200018"/>
      </dsp:txXfrm>
    </dsp:sp>
    <dsp:sp modelId="{AEBD9B55-322D-EE4A-A8FD-10F661F9629E}">
      <dsp:nvSpPr>
        <dsp:cNvPr id="8" name="Freeform 7"/>
        <dsp:cNvSpPr/>
      </dsp:nvSpPr>
      <dsp:spPr bwMode="white">
        <a:xfrm>
          <a:off x="1930545" y="1378497"/>
          <a:ext cx="0" cy="876267"/>
        </a:xfrm>
        <a:custGeom>
          <a:avLst/>
          <a:gdLst/>
          <a:ahLst/>
          <a:cxnLst/>
          <a:pathLst>
            <a:path h="1380">
              <a:moveTo>
                <a:pt x="0" y="0"/>
              </a:moveTo>
              <a:lnTo>
                <a:pt x="0" y="1222"/>
              </a:lnTo>
              <a:lnTo>
                <a:pt x="0" y="1222"/>
              </a:lnTo>
              <a:lnTo>
                <a:pt x="0" y="1380"/>
              </a:lnTo>
            </a:path>
          </a:pathLst>
        </a:custGeom>
      </dsp:spPr>
      <dsp:style>
        <a:lnRef idx="1">
          <a:schemeClr val="accent1">
            <a:shade val="80000"/>
          </a:schemeClr>
        </a:lnRef>
        <a:fillRef idx="0">
          <a:schemeClr val="accent1"/>
        </a:fillRef>
        <a:effectRef idx="0">
          <a:scrgbClr r="0" g="0" b="0"/>
        </a:effectRef>
        <a:fontRef idx="minor"/>
      </dsp:style>
      <dsp:txXfrm>
        <a:off x="1930545" y="1378497"/>
        <a:ext cx="0" cy="876267"/>
      </dsp:txXfrm>
    </dsp:sp>
    <dsp:sp modelId="{5567CB8A-BD09-DA4B-BF37-318FB3DC506A}">
      <dsp:nvSpPr>
        <dsp:cNvPr id="11" name="Freeform 10"/>
        <dsp:cNvSpPr/>
      </dsp:nvSpPr>
      <dsp:spPr bwMode="white">
        <a:xfrm>
          <a:off x="651533" y="2899778"/>
          <a:ext cx="1279012" cy="1056983"/>
        </a:xfrm>
        <a:custGeom>
          <a:avLst/>
          <a:gdLst/>
          <a:ahLst/>
          <a:cxnLst/>
          <a:pathLst>
            <a:path w="2014" h="1665">
              <a:moveTo>
                <a:pt x="2014" y="0"/>
              </a:moveTo>
              <a:lnTo>
                <a:pt x="2014" y="1507"/>
              </a:lnTo>
              <a:lnTo>
                <a:pt x="0" y="1507"/>
              </a:lnTo>
              <a:lnTo>
                <a:pt x="0" y="1665"/>
              </a:lnTo>
            </a:path>
          </a:pathLst>
        </a:custGeom>
      </dsp:spPr>
      <dsp:style>
        <a:lnRef idx="1">
          <a:schemeClr val="accent1">
            <a:shade val="80000"/>
          </a:schemeClr>
        </a:lnRef>
        <a:fillRef idx="0">
          <a:schemeClr val="accent1"/>
        </a:fillRef>
        <a:effectRef idx="0">
          <a:scrgbClr r="0" g="0" b="0"/>
        </a:effectRef>
        <a:fontRef idx="minor"/>
      </dsp:style>
      <dsp:txXfrm>
        <a:off x="651533" y="2899778"/>
        <a:ext cx="1279012" cy="1056983"/>
      </dsp:txXfrm>
    </dsp:sp>
    <dsp:sp modelId="{A54BCDB5-01C2-4144-A23E-E2DF5D31C465}">
      <dsp:nvSpPr>
        <dsp:cNvPr id="14" name="Freeform 13"/>
        <dsp:cNvSpPr/>
      </dsp:nvSpPr>
      <dsp:spPr bwMode="white">
        <a:xfrm>
          <a:off x="1871897" y="2899778"/>
          <a:ext cx="58648" cy="1056983"/>
        </a:xfrm>
        <a:custGeom>
          <a:avLst/>
          <a:gdLst/>
          <a:ahLst/>
          <a:cxnLst/>
          <a:pathLst>
            <a:path w="92" h="1665">
              <a:moveTo>
                <a:pt x="92" y="0"/>
              </a:moveTo>
              <a:lnTo>
                <a:pt x="92" y="1507"/>
              </a:lnTo>
              <a:lnTo>
                <a:pt x="0" y="1507"/>
              </a:lnTo>
              <a:lnTo>
                <a:pt x="0" y="1665"/>
              </a:lnTo>
            </a:path>
          </a:pathLst>
        </a:custGeom>
      </dsp:spPr>
      <dsp:style>
        <a:lnRef idx="1">
          <a:schemeClr val="accent1">
            <a:shade val="80000"/>
          </a:schemeClr>
        </a:lnRef>
        <a:fillRef idx="0">
          <a:schemeClr val="accent1"/>
        </a:fillRef>
        <a:effectRef idx="0">
          <a:scrgbClr r="0" g="0" b="0"/>
        </a:effectRef>
        <a:fontRef idx="minor"/>
      </dsp:style>
      <dsp:txXfrm>
        <a:off x="1871897" y="2899778"/>
        <a:ext cx="58648" cy="1056983"/>
      </dsp:txXfrm>
    </dsp:sp>
    <dsp:sp modelId="{73F84AA0-D2CC-9845-921E-981BF9A648EF}">
      <dsp:nvSpPr>
        <dsp:cNvPr id="17" name="Freeform 16"/>
        <dsp:cNvSpPr/>
      </dsp:nvSpPr>
      <dsp:spPr bwMode="white">
        <a:xfrm>
          <a:off x="1930545" y="2899778"/>
          <a:ext cx="1220364" cy="1056983"/>
        </a:xfrm>
        <a:custGeom>
          <a:avLst/>
          <a:gdLst/>
          <a:ahLst/>
          <a:cxnLst/>
          <a:pathLst>
            <a:path w="1922" h="1665">
              <a:moveTo>
                <a:pt x="0" y="0"/>
              </a:moveTo>
              <a:lnTo>
                <a:pt x="0" y="1507"/>
              </a:lnTo>
              <a:lnTo>
                <a:pt x="1922" y="1507"/>
              </a:lnTo>
              <a:lnTo>
                <a:pt x="1922" y="1665"/>
              </a:lnTo>
            </a:path>
          </a:pathLst>
        </a:custGeom>
      </dsp:spPr>
      <dsp:style>
        <a:lnRef idx="1">
          <a:schemeClr val="accent1">
            <a:shade val="80000"/>
          </a:schemeClr>
        </a:lnRef>
        <a:fillRef idx="0">
          <a:schemeClr val="accent1"/>
        </a:fillRef>
        <a:effectRef idx="0">
          <a:scrgbClr r="0" g="0" b="0"/>
        </a:effectRef>
        <a:fontRef idx="minor"/>
      </dsp:style>
      <dsp:txXfrm>
        <a:off x="1930545" y="2899778"/>
        <a:ext cx="1220364" cy="1056983"/>
      </dsp:txXfrm>
    </dsp:sp>
    <dsp:sp modelId="{D6D2CE04-2338-384C-B010-7807978313EE}">
      <dsp:nvSpPr>
        <dsp:cNvPr id="20" name="Freeform 19"/>
        <dsp:cNvSpPr/>
      </dsp:nvSpPr>
      <dsp:spPr bwMode="white">
        <a:xfrm>
          <a:off x="3050900" y="4486355"/>
          <a:ext cx="100009" cy="506051"/>
        </a:xfrm>
        <a:custGeom>
          <a:avLst/>
          <a:gdLst/>
          <a:ahLst/>
          <a:cxnLst/>
          <a:pathLst>
            <a:path w="157" h="797">
              <a:moveTo>
                <a:pt x="157" y="0"/>
              </a:moveTo>
              <a:lnTo>
                <a:pt x="157" y="797"/>
              </a:lnTo>
              <a:lnTo>
                <a:pt x="0" y="797"/>
              </a:lnTo>
            </a:path>
          </a:pathLst>
        </a:custGeom>
      </dsp:spPr>
      <dsp:style>
        <a:lnRef idx="1">
          <a:schemeClr val="accent1">
            <a:shade val="80000"/>
          </a:schemeClr>
        </a:lnRef>
        <a:fillRef idx="0">
          <a:schemeClr val="accent1"/>
        </a:fillRef>
        <a:effectRef idx="0">
          <a:scrgbClr r="0" g="0" b="0"/>
        </a:effectRef>
        <a:fontRef idx="minor"/>
      </dsp:style>
      <dsp:txXfrm>
        <a:off x="3050900" y="4486355"/>
        <a:ext cx="100009" cy="506051"/>
      </dsp:txXfrm>
    </dsp:sp>
    <dsp:sp modelId="{DE023F48-D7CE-FD44-BA95-DE2523A12F68}">
      <dsp:nvSpPr>
        <dsp:cNvPr id="23" name="Freeform 22"/>
        <dsp:cNvSpPr/>
      </dsp:nvSpPr>
      <dsp:spPr bwMode="white">
        <a:xfrm>
          <a:off x="1830536" y="2899778"/>
          <a:ext cx="100009" cy="528492"/>
        </a:xfrm>
        <a:custGeom>
          <a:avLst/>
          <a:gdLst/>
          <a:ahLst/>
          <a:cxnLst/>
          <a:pathLst>
            <a:path w="157" h="832">
              <a:moveTo>
                <a:pt x="157" y="0"/>
              </a:moveTo>
              <a:lnTo>
                <a:pt x="157" y="832"/>
              </a:lnTo>
              <a:lnTo>
                <a:pt x="0" y="832"/>
              </a:lnTo>
            </a:path>
          </a:pathLst>
        </a:custGeom>
      </dsp:spPr>
      <dsp:style>
        <a:lnRef idx="1">
          <a:schemeClr val="accent1">
            <a:shade val="80000"/>
          </a:schemeClr>
        </a:lnRef>
        <a:fillRef idx="0">
          <a:schemeClr val="accent1"/>
        </a:fillRef>
        <a:effectRef idx="0">
          <a:scrgbClr r="0" g="0" b="0"/>
        </a:effectRef>
        <a:fontRef idx="minor"/>
      </dsp:style>
      <dsp:txXfrm>
        <a:off x="1830536" y="2899778"/>
        <a:ext cx="100009" cy="528492"/>
      </dsp:txXfrm>
    </dsp:sp>
    <dsp:sp modelId="{878F13A3-24B3-C74D-B9CB-3BC9992F8060}">
      <dsp:nvSpPr>
        <dsp:cNvPr id="26" name="Freeform 25"/>
        <dsp:cNvSpPr/>
      </dsp:nvSpPr>
      <dsp:spPr bwMode="white">
        <a:xfrm>
          <a:off x="1830536" y="1378497"/>
          <a:ext cx="100009" cy="438134"/>
        </a:xfrm>
        <a:custGeom>
          <a:avLst/>
          <a:gdLst/>
          <a:ahLst/>
          <a:cxnLst/>
          <a:pathLst>
            <a:path w="157" h="690">
              <a:moveTo>
                <a:pt x="157" y="0"/>
              </a:moveTo>
              <a:lnTo>
                <a:pt x="157" y="690"/>
              </a:lnTo>
              <a:lnTo>
                <a:pt x="0" y="690"/>
              </a:lnTo>
            </a:path>
          </a:pathLst>
        </a:custGeom>
      </dsp:spPr>
      <dsp:style>
        <a:lnRef idx="1">
          <a:schemeClr val="accent1">
            <a:shade val="80000"/>
          </a:schemeClr>
        </a:lnRef>
        <a:fillRef idx="0">
          <a:schemeClr val="accent1"/>
        </a:fillRef>
        <a:effectRef idx="0">
          <a:scrgbClr r="0" g="0" b="0"/>
        </a:effectRef>
        <a:fontRef idx="minor"/>
      </dsp:style>
      <dsp:txXfrm>
        <a:off x="1830536" y="1378497"/>
        <a:ext cx="100009" cy="438134"/>
      </dsp:txXfrm>
    </dsp:sp>
    <dsp:sp modelId="{4E16DB24-9A7F-8C4C-8F43-5248FB97CCB1}">
      <dsp:nvSpPr>
        <dsp:cNvPr id="29" name="Freeform 28"/>
        <dsp:cNvSpPr/>
      </dsp:nvSpPr>
      <dsp:spPr bwMode="white">
        <a:xfrm>
          <a:off x="2847559" y="539133"/>
          <a:ext cx="909484" cy="200018"/>
        </a:xfrm>
        <a:custGeom>
          <a:avLst/>
          <a:gdLst/>
          <a:ahLst/>
          <a:cxnLst/>
          <a:pathLst>
            <a:path w="1432" h="315">
              <a:moveTo>
                <a:pt x="0" y="0"/>
              </a:moveTo>
              <a:lnTo>
                <a:pt x="0" y="157"/>
              </a:lnTo>
              <a:lnTo>
                <a:pt x="1432" y="157"/>
              </a:lnTo>
              <a:lnTo>
                <a:pt x="1432" y="315"/>
              </a:lnTo>
            </a:path>
          </a:pathLst>
        </a:custGeom>
      </dsp:spPr>
      <dsp:style>
        <a:lnRef idx="1">
          <a:schemeClr val="accent1">
            <a:shade val="60000"/>
          </a:schemeClr>
        </a:lnRef>
        <a:fillRef idx="0">
          <a:schemeClr val="accent1"/>
        </a:fillRef>
        <a:effectRef idx="0">
          <a:scrgbClr r="0" g="0" b="0"/>
        </a:effectRef>
        <a:fontRef idx="minor"/>
      </dsp:style>
      <dsp:txXfrm>
        <a:off x="2847559" y="539133"/>
        <a:ext cx="909484" cy="200018"/>
      </dsp:txXfrm>
    </dsp:sp>
    <dsp:sp modelId="{812759F0-7D14-3C49-8338-BB2EED5066A9}">
      <dsp:nvSpPr>
        <dsp:cNvPr id="32" name="Freeform 31"/>
        <dsp:cNvSpPr/>
      </dsp:nvSpPr>
      <dsp:spPr bwMode="white">
        <a:xfrm>
          <a:off x="3757043" y="1424477"/>
          <a:ext cx="0" cy="200018"/>
        </a:xfrm>
        <a:custGeom>
          <a:avLst/>
          <a:gdLst/>
          <a:ahLst/>
          <a:cxnLst/>
          <a:pathLst>
            <a:path h="315">
              <a:moveTo>
                <a:pt x="0" y="0"/>
              </a:moveTo>
              <a:lnTo>
                <a:pt x="0" y="315"/>
              </a:lnTo>
            </a:path>
          </a:pathLst>
        </a:custGeom>
      </dsp:spPr>
      <dsp:style>
        <a:lnRef idx="1">
          <a:schemeClr val="accent1">
            <a:shade val="80000"/>
          </a:schemeClr>
        </a:lnRef>
        <a:fillRef idx="0">
          <a:schemeClr val="accent1"/>
        </a:fillRef>
        <a:effectRef idx="0">
          <a:scrgbClr r="0" g="0" b="0"/>
        </a:effectRef>
        <a:fontRef idx="minor"/>
      </dsp:style>
      <dsp:txXfrm>
        <a:off x="3757043" y="1424477"/>
        <a:ext cx="0" cy="200018"/>
      </dsp:txXfrm>
    </dsp:sp>
    <dsp:sp modelId="{B4CB2566-D140-AA44-BC3F-1E0D67C360C8}">
      <dsp:nvSpPr>
        <dsp:cNvPr id="35" name="Freeform 34"/>
        <dsp:cNvSpPr/>
      </dsp:nvSpPr>
      <dsp:spPr bwMode="white">
        <a:xfrm>
          <a:off x="3657034" y="2258145"/>
          <a:ext cx="100009" cy="562840"/>
        </a:xfrm>
        <a:custGeom>
          <a:avLst/>
          <a:gdLst/>
          <a:ahLst/>
          <a:cxnLst/>
          <a:pathLst>
            <a:path w="157" h="886">
              <a:moveTo>
                <a:pt x="157" y="0"/>
              </a:moveTo>
              <a:lnTo>
                <a:pt x="157" y="886"/>
              </a:lnTo>
              <a:lnTo>
                <a:pt x="0" y="886"/>
              </a:lnTo>
            </a:path>
          </a:pathLst>
        </a:custGeom>
      </dsp:spPr>
      <dsp:style>
        <a:lnRef idx="1">
          <a:schemeClr val="accent1">
            <a:shade val="80000"/>
          </a:schemeClr>
        </a:lnRef>
        <a:fillRef idx="0">
          <a:schemeClr val="accent1"/>
        </a:fillRef>
        <a:effectRef idx="0">
          <a:scrgbClr r="0" g="0" b="0"/>
        </a:effectRef>
        <a:fontRef idx="minor"/>
      </dsp:style>
      <dsp:txXfrm>
        <a:off x="3657034" y="2258145"/>
        <a:ext cx="100009" cy="562840"/>
      </dsp:txXfrm>
    </dsp:sp>
    <dsp:sp modelId="{8CA1CDA4-FD6C-9541-8CFE-1C77DBF8281D}">
      <dsp:nvSpPr>
        <dsp:cNvPr id="3" name="Rectangles 2"/>
        <dsp:cNvSpPr/>
      </dsp:nvSpPr>
      <dsp:spPr bwMode="white">
        <a:xfrm>
          <a:off x="2371326" y="0"/>
          <a:ext cx="952464" cy="539133"/>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solidFill>
                <a:schemeClr val="tx1"/>
              </a:solidFill>
            </a:rPr>
            <a:t>Study population</a:t>
          </a:r>
          <a:endParaRPr lang="da-DK" sz="1050">
            <a:solidFill>
              <a:schemeClr val="tx1"/>
            </a:solidFill>
          </a:endParaRPr>
        </a:p>
        <a:p>
          <a:pPr lvl="0" algn="ctr">
            <a:lnSpc>
              <a:spcPct val="100000"/>
            </a:lnSpc>
            <a:spcBef>
              <a:spcPct val="0"/>
            </a:spcBef>
            <a:spcAft>
              <a:spcPct val="35000"/>
            </a:spcAft>
          </a:pPr>
          <a:r>
            <a:rPr lang="da-DK" sz="1050">
              <a:solidFill>
                <a:schemeClr val="tx1"/>
              </a:solidFill>
            </a:rPr>
            <a:t>n100</a:t>
          </a:r>
        </a:p>
      </dsp:txBody>
      <dsp:txXfrm>
        <a:off x="2371326" y="0"/>
        <a:ext cx="952464" cy="539133"/>
      </dsp:txXfrm>
    </dsp:sp>
    <dsp:sp modelId="{4D0507B8-1897-1E4C-BEBA-C92470FAA23B}">
      <dsp:nvSpPr>
        <dsp:cNvPr id="6" name="Rectangles 5"/>
        <dsp:cNvSpPr/>
      </dsp:nvSpPr>
      <dsp:spPr bwMode="white">
        <a:xfrm>
          <a:off x="1454313" y="739150"/>
          <a:ext cx="952464" cy="639346"/>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t>Baseline Intervention Group (T0)</a:t>
          </a:r>
          <a:endParaRPr lang="da-DK" sz="1050"/>
        </a:p>
        <a:p>
          <a:pPr lvl="0" algn="ctr">
            <a:lnSpc>
              <a:spcPct val="100000"/>
            </a:lnSpc>
            <a:spcBef>
              <a:spcPct val="0"/>
            </a:spcBef>
            <a:spcAft>
              <a:spcPct val="35000"/>
            </a:spcAft>
          </a:pPr>
          <a:r>
            <a:rPr lang="da-DK" sz="1050"/>
            <a:t>n50</a:t>
          </a:r>
        </a:p>
      </dsp:txBody>
      <dsp:txXfrm>
        <a:off x="1454313" y="739150"/>
        <a:ext cx="952464" cy="639346"/>
      </dsp:txXfrm>
    </dsp:sp>
    <dsp:sp modelId="{89185343-3741-B841-8B5A-2A58498B43F5}">
      <dsp:nvSpPr>
        <dsp:cNvPr id="9" name="Rectangles 8"/>
        <dsp:cNvSpPr/>
      </dsp:nvSpPr>
      <dsp:spPr bwMode="white">
        <a:xfrm>
          <a:off x="1411914" y="2254764"/>
          <a:ext cx="1037262" cy="645014"/>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endParaRPr lang="da-DK" sz="1050"/>
        </a:p>
        <a:p>
          <a:pPr lvl="0" algn="ctr">
            <a:lnSpc>
              <a:spcPct val="100000"/>
            </a:lnSpc>
            <a:spcBef>
              <a:spcPct val="0"/>
            </a:spcBef>
            <a:spcAft>
              <a:spcPct val="35000"/>
            </a:spcAft>
          </a:pPr>
          <a:r>
            <a:rPr lang="da-DK" sz="1050"/>
            <a:t>After 12 weeks Intervention Group (T12)</a:t>
          </a:r>
          <a:endParaRPr lang="da-DK" sz="1050"/>
        </a:p>
        <a:p>
          <a:pPr lvl="0" algn="ctr">
            <a:lnSpc>
              <a:spcPct val="100000"/>
            </a:lnSpc>
            <a:spcBef>
              <a:spcPct val="0"/>
            </a:spcBef>
            <a:spcAft>
              <a:spcPct val="35000"/>
            </a:spcAft>
          </a:pPr>
          <a:r>
            <a:rPr lang="da-DK" sz="1050"/>
            <a:t>n42</a:t>
          </a:r>
          <a:endParaRPr lang="da-DK" sz="1050"/>
        </a:p>
        <a:p>
          <a:pPr lvl="0" algn="ctr">
            <a:lnSpc>
              <a:spcPct val="100000"/>
            </a:lnSpc>
            <a:spcBef>
              <a:spcPct val="0"/>
            </a:spcBef>
            <a:spcAft>
              <a:spcPct val="35000"/>
            </a:spcAft>
          </a:pPr>
          <a:endParaRPr lang="da-DK" sz="1050"/>
        </a:p>
      </dsp:txBody>
      <dsp:txXfrm>
        <a:off x="1411914" y="2254764"/>
        <a:ext cx="1037262" cy="645014"/>
      </dsp:txXfrm>
    </dsp:sp>
    <dsp:sp modelId="{06D8FC8C-50E3-124E-96A2-2613EE14E99E}">
      <dsp:nvSpPr>
        <dsp:cNvPr id="12" name="Rectangles 11"/>
        <dsp:cNvSpPr/>
      </dsp:nvSpPr>
      <dsp:spPr bwMode="white">
        <a:xfrm>
          <a:off x="157533" y="3956761"/>
          <a:ext cx="988001" cy="737293"/>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t>Educational sessions</a:t>
          </a:r>
          <a:endParaRPr lang="da-DK" sz="1050"/>
        </a:p>
        <a:p>
          <a:pPr lvl="0" algn="ctr">
            <a:lnSpc>
              <a:spcPct val="100000"/>
            </a:lnSpc>
            <a:spcBef>
              <a:spcPct val="0"/>
            </a:spcBef>
            <a:spcAft>
              <a:spcPct val="35000"/>
            </a:spcAft>
          </a:pPr>
          <a:r>
            <a:rPr lang="da-DK" sz="1050"/>
            <a:t>Nutrition </a:t>
          </a:r>
          <a:endParaRPr lang="da-DK" sz="1050"/>
        </a:p>
        <a:p>
          <a:pPr lvl="0" algn="ctr">
            <a:lnSpc>
              <a:spcPct val="100000"/>
            </a:lnSpc>
            <a:spcBef>
              <a:spcPct val="0"/>
            </a:spcBef>
            <a:spcAft>
              <a:spcPct val="35000"/>
            </a:spcAft>
          </a:pPr>
          <a:r>
            <a:rPr lang="da-DK" sz="1050"/>
            <a:t>n39</a:t>
          </a:r>
        </a:p>
      </dsp:txBody>
      <dsp:txXfrm>
        <a:off x="157533" y="3956761"/>
        <a:ext cx="988001" cy="737293"/>
      </dsp:txXfrm>
    </dsp:sp>
    <dsp:sp modelId="{FB11C5E3-69F4-5540-88A1-952431C20DCC}">
      <dsp:nvSpPr>
        <dsp:cNvPr id="15" name="Rectangles 14"/>
        <dsp:cNvSpPr/>
      </dsp:nvSpPr>
      <dsp:spPr bwMode="white">
        <a:xfrm>
          <a:off x="1345551" y="3956761"/>
          <a:ext cx="1052692" cy="648071"/>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t>Ecational sessions exercise and physical activity</a:t>
          </a:r>
          <a:endParaRPr lang="da-DK" sz="1050"/>
        </a:p>
        <a:p>
          <a:pPr lvl="0" algn="ctr">
            <a:lnSpc>
              <a:spcPct val="100000"/>
            </a:lnSpc>
            <a:spcBef>
              <a:spcPct val="0"/>
            </a:spcBef>
            <a:spcAft>
              <a:spcPct val="35000"/>
            </a:spcAft>
          </a:pPr>
          <a:r>
            <a:rPr lang="da-DK" sz="1050"/>
            <a:t>n33</a:t>
          </a:r>
        </a:p>
      </dsp:txBody>
      <dsp:txXfrm>
        <a:off x="1345551" y="3956761"/>
        <a:ext cx="1052692" cy="648071"/>
      </dsp:txXfrm>
    </dsp:sp>
    <dsp:sp modelId="{4EE705C9-C70D-614E-A322-3AD83A49DB07}">
      <dsp:nvSpPr>
        <dsp:cNvPr id="18" name="Rectangles 17"/>
        <dsp:cNvSpPr/>
      </dsp:nvSpPr>
      <dsp:spPr bwMode="white">
        <a:xfrm>
          <a:off x="2598261" y="3956761"/>
          <a:ext cx="1105297" cy="529594"/>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endParaRPr lang="da-DK" sz="1000"/>
        </a:p>
        <a:p>
          <a:pPr lvl="0" algn="ctr">
            <a:lnSpc>
              <a:spcPct val="100000"/>
            </a:lnSpc>
            <a:spcBef>
              <a:spcPct val="0"/>
            </a:spcBef>
            <a:spcAft>
              <a:spcPct val="35000"/>
            </a:spcAft>
          </a:pPr>
          <a:r>
            <a:rPr lang="da-DK" sz="1000"/>
            <a:t>Educational sessions comorbidity</a:t>
          </a:r>
          <a:endParaRPr lang="da-DK" sz="1000"/>
        </a:p>
        <a:p>
          <a:pPr lvl="0" algn="ctr">
            <a:lnSpc>
              <a:spcPct val="100000"/>
            </a:lnSpc>
            <a:spcBef>
              <a:spcPct val="0"/>
            </a:spcBef>
            <a:spcAft>
              <a:spcPct val="35000"/>
            </a:spcAft>
          </a:pPr>
          <a:r>
            <a:rPr lang="da-DK" sz="1000"/>
            <a:t>n33</a:t>
          </a:r>
          <a:endParaRPr lang="da-DK" sz="1000"/>
        </a:p>
        <a:p>
          <a:pPr lvl="0" algn="ctr">
            <a:lnSpc>
              <a:spcPct val="100000"/>
            </a:lnSpc>
            <a:spcBef>
              <a:spcPct val="0"/>
            </a:spcBef>
            <a:spcAft>
              <a:spcPct val="35000"/>
            </a:spcAft>
          </a:pPr>
          <a:endParaRPr lang="da-DK" sz="1050"/>
        </a:p>
      </dsp:txBody>
      <dsp:txXfrm>
        <a:off x="2598261" y="3956761"/>
        <a:ext cx="1105297" cy="529594"/>
      </dsp:txXfrm>
    </dsp:sp>
    <dsp:sp modelId="{8A0147C5-9FA4-1C41-B28D-CED3AF795E3E}">
      <dsp:nvSpPr>
        <dsp:cNvPr id="21" name="Rectangles 20"/>
        <dsp:cNvSpPr/>
      </dsp:nvSpPr>
      <dsp:spPr bwMode="white">
        <a:xfrm>
          <a:off x="1877226" y="4686372"/>
          <a:ext cx="1173674" cy="612068"/>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t>Patents participated in alle 3 educational sessions</a:t>
          </a:r>
          <a:endParaRPr lang="da-DK" sz="1050"/>
        </a:p>
        <a:p>
          <a:pPr lvl="0" algn="ctr">
            <a:lnSpc>
              <a:spcPct val="100000"/>
            </a:lnSpc>
            <a:spcBef>
              <a:spcPct val="0"/>
            </a:spcBef>
            <a:spcAft>
              <a:spcPct val="35000"/>
            </a:spcAft>
          </a:pPr>
          <a:r>
            <a:rPr lang="da-DK" sz="1050"/>
            <a:t>n30</a:t>
          </a:r>
        </a:p>
      </dsp:txBody>
      <dsp:txXfrm>
        <a:off x="1877226" y="4686372"/>
        <a:ext cx="1173674" cy="612068"/>
      </dsp:txXfrm>
    </dsp:sp>
    <dsp:sp modelId="{53C22E94-32A7-9244-B7F2-D53DE552A308}">
      <dsp:nvSpPr>
        <dsp:cNvPr id="24" name="Rectangles 23"/>
        <dsp:cNvSpPr/>
      </dsp:nvSpPr>
      <dsp:spPr bwMode="white">
        <a:xfrm>
          <a:off x="838421" y="3099795"/>
          <a:ext cx="992115" cy="656948"/>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00"/>
            <a:t>EQ-5D questionnarie (T12)</a:t>
          </a:r>
          <a:endParaRPr lang="da-DK" sz="1000"/>
        </a:p>
        <a:p>
          <a:pPr lvl="0" algn="ctr">
            <a:lnSpc>
              <a:spcPct val="100000"/>
            </a:lnSpc>
            <a:spcBef>
              <a:spcPct val="0"/>
            </a:spcBef>
            <a:spcAft>
              <a:spcPct val="35000"/>
            </a:spcAft>
          </a:pPr>
          <a:r>
            <a:rPr lang="da-DK" sz="1000"/>
            <a:t>n45</a:t>
          </a:r>
        </a:p>
      </dsp:txBody>
      <dsp:txXfrm>
        <a:off x="838421" y="3099795"/>
        <a:ext cx="992115" cy="656948"/>
      </dsp:txXfrm>
    </dsp:sp>
    <dsp:sp modelId="{9FC0F01A-0566-E540-9E8F-66492B80B175}">
      <dsp:nvSpPr>
        <dsp:cNvPr id="27" name="Rectangles 26"/>
        <dsp:cNvSpPr/>
      </dsp:nvSpPr>
      <dsp:spPr bwMode="white">
        <a:xfrm>
          <a:off x="878072" y="1578514"/>
          <a:ext cx="952464" cy="476232"/>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da-DK"/>
            <a:t>2 patiens died during the 12 week</a:t>
          </a:r>
        </a:p>
      </dsp:txBody>
      <dsp:txXfrm>
        <a:off x="878072" y="1578514"/>
        <a:ext cx="952464" cy="476232"/>
      </dsp:txXfrm>
    </dsp:sp>
    <dsp:sp modelId="{08DA97F1-5667-144D-B2A0-CE432546D7F1}">
      <dsp:nvSpPr>
        <dsp:cNvPr id="30" name="Rectangles 29"/>
        <dsp:cNvSpPr/>
      </dsp:nvSpPr>
      <dsp:spPr bwMode="white">
        <a:xfrm>
          <a:off x="3273282" y="739150"/>
          <a:ext cx="967523" cy="685327"/>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t>Baseline Control Group (T0)</a:t>
          </a:r>
          <a:endParaRPr lang="da-DK" sz="1050"/>
        </a:p>
        <a:p>
          <a:pPr lvl="0" algn="ctr">
            <a:lnSpc>
              <a:spcPct val="100000"/>
            </a:lnSpc>
            <a:spcBef>
              <a:spcPct val="0"/>
            </a:spcBef>
            <a:spcAft>
              <a:spcPct val="35000"/>
            </a:spcAft>
          </a:pPr>
          <a:r>
            <a:rPr lang="da-DK" sz="1050"/>
            <a:t>n50</a:t>
          </a:r>
        </a:p>
      </dsp:txBody>
      <dsp:txXfrm>
        <a:off x="3273282" y="739150"/>
        <a:ext cx="967523" cy="685327"/>
      </dsp:txXfrm>
    </dsp:sp>
    <dsp:sp modelId="{96E3BEDC-1F5E-274F-99A2-D1323D2C3363}">
      <dsp:nvSpPr>
        <dsp:cNvPr id="33" name="Rectangles 32"/>
        <dsp:cNvSpPr/>
      </dsp:nvSpPr>
      <dsp:spPr bwMode="white">
        <a:xfrm>
          <a:off x="3232968" y="1624495"/>
          <a:ext cx="1048149" cy="633651"/>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50"/>
            <a:t>After 12 weeks Control Group (T12)</a:t>
          </a:r>
          <a:endParaRPr lang="da-DK" sz="1050"/>
        </a:p>
        <a:p>
          <a:pPr lvl="0" algn="ctr">
            <a:lnSpc>
              <a:spcPct val="100000"/>
            </a:lnSpc>
            <a:spcBef>
              <a:spcPct val="0"/>
            </a:spcBef>
            <a:spcAft>
              <a:spcPct val="35000"/>
            </a:spcAft>
          </a:pPr>
          <a:r>
            <a:rPr lang="da-DK" sz="1050"/>
            <a:t>n45</a:t>
          </a:r>
        </a:p>
      </dsp:txBody>
      <dsp:txXfrm>
        <a:off x="3232968" y="1624495"/>
        <a:ext cx="1048149" cy="633651"/>
      </dsp:txXfrm>
    </dsp:sp>
    <dsp:sp modelId="{4052C48F-3120-D74F-9179-0F4D299290D9}">
      <dsp:nvSpPr>
        <dsp:cNvPr id="36" name="Rectangles 35"/>
        <dsp:cNvSpPr/>
      </dsp:nvSpPr>
      <dsp:spPr bwMode="white">
        <a:xfrm>
          <a:off x="2649194" y="2458163"/>
          <a:ext cx="1007841" cy="725644"/>
        </a:xfrm>
        <a:prstGeom prst="rect">
          <a:avLst/>
        </a:prstGeom>
        <a:solidFill>
          <a:schemeClr val="bg1">
            <a:lumMod val="85000"/>
          </a:schemeClr>
        </a:solidFill>
      </dsp:spPr>
      <dsp:style>
        <a:lnRef idx="2">
          <a:schemeClr val="dk1"/>
        </a:lnRef>
        <a:fillRef idx="1">
          <a:schemeClr val="lt1"/>
        </a:fillRef>
        <a:effectRef idx="0">
          <a:schemeClr val="dk1"/>
        </a:effectRef>
        <a:fontRef idx="minor">
          <a:schemeClr val="dk1"/>
        </a:fontRef>
      </dsp:style>
      <dsp:txBody>
        <a:bodyPr lIns="6350" tIns="6350" rIns="6350" bIns="635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da-DK" sz="1000"/>
            <a:t>EQ-5D questionnarie (T12)</a:t>
          </a:r>
          <a:endParaRPr lang="da-DK" sz="1000"/>
        </a:p>
        <a:p>
          <a:pPr lvl="0" algn="ctr">
            <a:lnSpc>
              <a:spcPct val="100000"/>
            </a:lnSpc>
            <a:spcBef>
              <a:spcPct val="0"/>
            </a:spcBef>
            <a:spcAft>
              <a:spcPct val="35000"/>
            </a:spcAft>
          </a:pPr>
          <a:r>
            <a:rPr lang="da-DK" sz="1000"/>
            <a:t>n46</a:t>
          </a:r>
        </a:p>
      </dsp:txBody>
      <dsp:txXfrm>
        <a:off x="2649194" y="2458163"/>
        <a:ext cx="1007841" cy="725644"/>
      </dsp:txXfrm>
    </dsp:sp>
    <dsp:sp modelId="{916C1F2C-4C08-2841-B059-7983D13C4022}">
      <dsp:nvSpPr>
        <dsp:cNvPr id="4" name="Rectangles 3" hidden="1"/>
        <dsp:cNvSpPr/>
      </dsp:nvSpPr>
      <dsp:spPr>
        <a:xfrm>
          <a:off x="2371326" y="0"/>
          <a:ext cx="190493" cy="539133"/>
        </a:xfrm>
        <a:prstGeom prst="rect">
          <a:avLst/>
        </a:prstGeom>
      </dsp:spPr>
      <dsp:txXfrm>
        <a:off x="2371326" y="0"/>
        <a:ext cx="190493" cy="539133"/>
      </dsp:txXfrm>
    </dsp:sp>
    <dsp:sp modelId="{0C0E0D57-090D-A44B-9AD2-876D39746377}">
      <dsp:nvSpPr>
        <dsp:cNvPr id="7" name="Rectangles 6" hidden="1"/>
        <dsp:cNvSpPr/>
      </dsp:nvSpPr>
      <dsp:spPr>
        <a:xfrm>
          <a:off x="1454313" y="739150"/>
          <a:ext cx="190493" cy="639346"/>
        </a:xfrm>
        <a:prstGeom prst="rect">
          <a:avLst/>
        </a:prstGeom>
      </dsp:spPr>
      <dsp:txXfrm>
        <a:off x="1454313" y="739150"/>
        <a:ext cx="190493" cy="639346"/>
      </dsp:txXfrm>
    </dsp:sp>
    <dsp:sp modelId="{1606557B-A30E-8C40-AD7F-36381B723A7E}">
      <dsp:nvSpPr>
        <dsp:cNvPr id="10" name="Rectangles 9" hidden="1"/>
        <dsp:cNvSpPr/>
      </dsp:nvSpPr>
      <dsp:spPr>
        <a:xfrm>
          <a:off x="1411914" y="2254764"/>
          <a:ext cx="207452" cy="645014"/>
        </a:xfrm>
        <a:prstGeom prst="rect">
          <a:avLst/>
        </a:prstGeom>
      </dsp:spPr>
      <dsp:txXfrm>
        <a:off x="1411914" y="2254764"/>
        <a:ext cx="207452" cy="645014"/>
      </dsp:txXfrm>
    </dsp:sp>
    <dsp:sp modelId="{EBF6CDBA-4AFC-CA4E-95F7-C39BE3C6A509}">
      <dsp:nvSpPr>
        <dsp:cNvPr id="13" name="Rectangles 12" hidden="1"/>
        <dsp:cNvSpPr/>
      </dsp:nvSpPr>
      <dsp:spPr>
        <a:xfrm>
          <a:off x="157533" y="3956761"/>
          <a:ext cx="197600" cy="737293"/>
        </a:xfrm>
        <a:prstGeom prst="rect">
          <a:avLst/>
        </a:prstGeom>
      </dsp:spPr>
      <dsp:txXfrm>
        <a:off x="157533" y="3956761"/>
        <a:ext cx="197600" cy="737293"/>
      </dsp:txXfrm>
    </dsp:sp>
    <dsp:sp modelId="{D3B0ABD9-27B1-E94A-9B30-6015339D5E49}">
      <dsp:nvSpPr>
        <dsp:cNvPr id="16" name="Rectangles 15" hidden="1"/>
        <dsp:cNvSpPr/>
      </dsp:nvSpPr>
      <dsp:spPr>
        <a:xfrm>
          <a:off x="1345551" y="3956761"/>
          <a:ext cx="210538" cy="648071"/>
        </a:xfrm>
        <a:prstGeom prst="rect">
          <a:avLst/>
        </a:prstGeom>
      </dsp:spPr>
      <dsp:txXfrm>
        <a:off x="1345551" y="3956761"/>
        <a:ext cx="210538" cy="648071"/>
      </dsp:txXfrm>
    </dsp:sp>
    <dsp:sp modelId="{7A75D656-353D-6940-8D95-13BC8E2A2C6B}">
      <dsp:nvSpPr>
        <dsp:cNvPr id="19" name="Rectangles 18" hidden="1"/>
        <dsp:cNvSpPr/>
      </dsp:nvSpPr>
      <dsp:spPr>
        <a:xfrm>
          <a:off x="2598261" y="3956761"/>
          <a:ext cx="221059" cy="529594"/>
        </a:xfrm>
        <a:prstGeom prst="rect">
          <a:avLst/>
        </a:prstGeom>
      </dsp:spPr>
      <dsp:txXfrm>
        <a:off x="2598261" y="3956761"/>
        <a:ext cx="221059" cy="529594"/>
      </dsp:txXfrm>
    </dsp:sp>
    <dsp:sp modelId="{5377D28F-9C39-3445-9172-DF5ABC5D839D}">
      <dsp:nvSpPr>
        <dsp:cNvPr id="22" name="Rectangles 21" hidden="1"/>
        <dsp:cNvSpPr/>
      </dsp:nvSpPr>
      <dsp:spPr>
        <a:xfrm>
          <a:off x="1877226" y="4686372"/>
          <a:ext cx="234735" cy="612068"/>
        </a:xfrm>
        <a:prstGeom prst="rect">
          <a:avLst/>
        </a:prstGeom>
      </dsp:spPr>
      <dsp:txXfrm>
        <a:off x="1877226" y="4686372"/>
        <a:ext cx="234735" cy="612068"/>
      </dsp:txXfrm>
    </dsp:sp>
    <dsp:sp modelId="{CD0B1D08-E45D-2A43-AF26-CF40D311022C}">
      <dsp:nvSpPr>
        <dsp:cNvPr id="25" name="Rectangles 24" hidden="1"/>
        <dsp:cNvSpPr/>
      </dsp:nvSpPr>
      <dsp:spPr>
        <a:xfrm>
          <a:off x="838421" y="3099795"/>
          <a:ext cx="198423" cy="656948"/>
        </a:xfrm>
        <a:prstGeom prst="rect">
          <a:avLst/>
        </a:prstGeom>
      </dsp:spPr>
      <dsp:txXfrm>
        <a:off x="838421" y="3099795"/>
        <a:ext cx="198423" cy="656948"/>
      </dsp:txXfrm>
    </dsp:sp>
    <dsp:sp modelId="{021F4834-6BED-4E4F-81F5-F834618E60F2}">
      <dsp:nvSpPr>
        <dsp:cNvPr id="28" name="Rectangles 27" hidden="1"/>
        <dsp:cNvSpPr/>
      </dsp:nvSpPr>
      <dsp:spPr>
        <a:xfrm>
          <a:off x="878072" y="1578514"/>
          <a:ext cx="190493" cy="476232"/>
        </a:xfrm>
        <a:prstGeom prst="rect">
          <a:avLst/>
        </a:prstGeom>
      </dsp:spPr>
      <dsp:txXfrm>
        <a:off x="878072" y="1578514"/>
        <a:ext cx="190493" cy="476232"/>
      </dsp:txXfrm>
    </dsp:sp>
    <dsp:sp modelId="{0A6CA989-6EAC-0D44-9522-8E6CF23A97DB}">
      <dsp:nvSpPr>
        <dsp:cNvPr id="31" name="Rectangles 30" hidden="1"/>
        <dsp:cNvSpPr/>
      </dsp:nvSpPr>
      <dsp:spPr>
        <a:xfrm>
          <a:off x="3273282" y="739150"/>
          <a:ext cx="193505" cy="685327"/>
        </a:xfrm>
        <a:prstGeom prst="rect">
          <a:avLst/>
        </a:prstGeom>
      </dsp:spPr>
      <dsp:txXfrm>
        <a:off x="3273282" y="739150"/>
        <a:ext cx="193505" cy="685327"/>
      </dsp:txXfrm>
    </dsp:sp>
    <dsp:sp modelId="{0B20C27D-EA0D-BB44-A6B2-F0557273B7E6}">
      <dsp:nvSpPr>
        <dsp:cNvPr id="34" name="Rectangles 33" hidden="1"/>
        <dsp:cNvSpPr/>
      </dsp:nvSpPr>
      <dsp:spPr>
        <a:xfrm>
          <a:off x="3232968" y="1624495"/>
          <a:ext cx="209630" cy="633651"/>
        </a:xfrm>
        <a:prstGeom prst="rect">
          <a:avLst/>
        </a:prstGeom>
      </dsp:spPr>
      <dsp:txXfrm>
        <a:off x="3232968" y="1624495"/>
        <a:ext cx="209630" cy="633651"/>
      </dsp:txXfrm>
    </dsp:sp>
    <dsp:sp modelId="{1297DED5-5A61-EC47-A996-CF4E6D77646B}">
      <dsp:nvSpPr>
        <dsp:cNvPr id="37" name="Rectangles 36" hidden="1"/>
        <dsp:cNvSpPr/>
      </dsp:nvSpPr>
      <dsp:spPr>
        <a:xfrm>
          <a:off x="2649194" y="2458163"/>
          <a:ext cx="201568" cy="725644"/>
        </a:xfrm>
        <a:prstGeom prst="rect">
          <a:avLst/>
        </a:prstGeom>
      </dsp:spPr>
      <dsp:txXfrm>
        <a:off x="2649194" y="2458163"/>
        <a:ext cx="201568" cy="7256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704D95-8622-4EC5-98A1-F5E3445FCBE0}">
  <ds:schemaRefs/>
</ds:datastoreItem>
</file>

<file path=docProps/app.xml><?xml version="1.0" encoding="utf-8"?>
<Properties xmlns="http://schemas.openxmlformats.org/officeDocument/2006/extended-properties" xmlns:vt="http://schemas.openxmlformats.org/officeDocument/2006/docPropsVTypes">
  <Template>Normal</Template>
  <Company>SUND - KU</Company>
  <Pages>17</Pages>
  <Words>3292</Words>
  <Characters>18766</Characters>
  <Lines>156</Lines>
  <Paragraphs>44</Paragraphs>
  <TotalTime>639</TotalTime>
  <ScaleCrop>false</ScaleCrop>
  <LinksUpToDate>false</LinksUpToDate>
  <CharactersWithSpaces>22014</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2023-12-29T10:08:00Z</dcterms:created>
  <dc:creator>Jens Rikardt Andersen</dc:creator>
  <cp:lastModifiedBy>chandra garbuja</cp:lastModifiedBy>
  <cp:lastPrinted>2023-12-29T09:55:00Z</cp:lastPrinted>
  <dcterms:modified xsi:type="dcterms:W3CDTF">2024-07-11T02:33:47Z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KSOProductBuildVer">
    <vt:lpwstr>1033-12.2.0.17119</vt:lpwstr>
  </property>
  <property fmtid="{D5CDD505-2E9C-101B-9397-08002B2CF9AE}" pid="4" name="ICV">
    <vt:lpwstr>A349B43E872A4701B29A46264B611BEC_13</vt:lpwstr>
  </property>
</Properties>
</file>