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0A7" w:rsidRDefault="005800A7" w:rsidP="004279B5">
      <w:pPr>
        <w:jc w:val="right"/>
        <w:rPr>
          <w:rFonts w:asciiTheme="minorBidi" w:hAnsiTheme="minorBidi" w:cstheme="minorBidi"/>
          <w:b/>
          <w:bCs/>
          <w:sz w:val="22"/>
          <w:szCs w:val="22"/>
        </w:rPr>
      </w:pPr>
      <w:bookmarkStart w:id="0" w:name="_Hlk208540705"/>
      <w:r w:rsidRPr="005800A7">
        <w:rPr>
          <w:rFonts w:asciiTheme="minorBidi" w:hAnsiTheme="minorBidi" w:cstheme="minorBidi"/>
          <w:b/>
          <w:bCs/>
          <w:sz w:val="22"/>
          <w:szCs w:val="22"/>
        </w:rPr>
        <w:t xml:space="preserve">Commentary </w:t>
      </w:r>
    </w:p>
    <w:p w:rsidR="005800A7" w:rsidRDefault="005800A7" w:rsidP="004279B5">
      <w:pPr>
        <w:jc w:val="right"/>
        <w:rPr>
          <w:rFonts w:asciiTheme="minorBidi" w:hAnsiTheme="minorBidi" w:cstheme="minorBidi"/>
          <w:b/>
          <w:bCs/>
          <w:sz w:val="22"/>
          <w:szCs w:val="22"/>
        </w:rPr>
      </w:pPr>
    </w:p>
    <w:p w:rsidR="003C5C5E" w:rsidRDefault="003C5C5E" w:rsidP="004279B5">
      <w:pPr>
        <w:jc w:val="right"/>
        <w:rPr>
          <w:rFonts w:asciiTheme="minorBidi" w:hAnsiTheme="minorBidi" w:cstheme="minorBidi"/>
          <w:b/>
          <w:bCs/>
          <w:sz w:val="22"/>
          <w:szCs w:val="22"/>
        </w:rPr>
      </w:pPr>
      <w:r w:rsidRPr="004279B5">
        <w:rPr>
          <w:rFonts w:asciiTheme="minorBidi" w:hAnsiTheme="minorBidi" w:cstheme="minorBidi"/>
          <w:b/>
          <w:bCs/>
          <w:sz w:val="22"/>
          <w:szCs w:val="22"/>
        </w:rPr>
        <w:t>From Policy to Pastoralists: Rethinking Iron–Folate Supplementation Strategies in Ghana</w:t>
      </w:r>
    </w:p>
    <w:p w:rsidR="00DE3BFB" w:rsidRPr="004279B5" w:rsidRDefault="00DE3BFB" w:rsidP="004279B5">
      <w:pPr>
        <w:jc w:val="right"/>
        <w:rPr>
          <w:rFonts w:asciiTheme="minorBidi" w:hAnsiTheme="minorBidi" w:cstheme="minorBidi"/>
          <w:b/>
          <w:bCs/>
          <w:sz w:val="22"/>
          <w:szCs w:val="22"/>
        </w:rPr>
      </w:pPr>
    </w:p>
    <w:bookmarkEnd w:id="0"/>
    <w:p w:rsidR="008A7613" w:rsidRDefault="008A7613" w:rsidP="004279B5">
      <w:pPr>
        <w:pStyle w:val="Copyright"/>
        <w:spacing w:after="0" w:line="240" w:lineRule="auto"/>
        <w:jc w:val="both"/>
        <w:rPr>
          <w:rFonts w:asciiTheme="minorBidi" w:hAnsiTheme="minorBidi" w:cstheme="minorBidi"/>
          <w:sz w:val="22"/>
          <w:szCs w:val="22"/>
        </w:rPr>
      </w:pPr>
    </w:p>
    <w:p w:rsidR="004A4BAF" w:rsidRPr="004279B5" w:rsidRDefault="005B0B19" w:rsidP="004279B5">
      <w:pPr>
        <w:pStyle w:val="Copyright"/>
        <w:spacing w:after="0" w:line="240" w:lineRule="auto"/>
        <w:jc w:val="both"/>
        <w:rPr>
          <w:rFonts w:asciiTheme="minorBidi" w:hAnsiTheme="minorBidi" w:cstheme="minorBidi"/>
          <w:sz w:val="22"/>
          <w:szCs w:val="22"/>
        </w:rPr>
      </w:pPr>
      <w:r>
        <w:rPr>
          <w:rFonts w:asciiTheme="minorBidi" w:hAnsiTheme="minorBidi" w:cstheme="minorBidi"/>
          <w:sz w:val="22"/>
          <w:szCs w:val="22"/>
        </w:rPr>
      </w:r>
      <w:r>
        <w:rPr>
          <w:rFonts w:asciiTheme="minorBidi" w:hAnsiTheme="minorBidi" w:cstheme="minorBidi"/>
          <w:sz w:val="22"/>
          <w:szCs w:val="22"/>
        </w:rPr>
        <w:pict>
          <v:shapetype id="_x0000_t32" coordsize="21600,21600" o:spt="32" o:oned="t" path="m,l21600,21600e" filled="f">
            <v:path arrowok="t" fillok="f" o:connecttype="none"/>
            <o:lock v:ext="edit" shapetype="t"/>
          </v:shapetype>
          <v:shape id="_x0000_s1026" type="#_x0000_t32" style="width:417.6pt;height:0;mso-position-horizontal-relative:char;mso-position-vertical-relative:line" o:connectortype="straight" strokeweight="1.5pt">
            <w10:wrap type="none"/>
            <w10:anchorlock/>
          </v:shape>
        </w:pict>
      </w:r>
    </w:p>
    <w:p w:rsidR="004A4BAF" w:rsidRPr="004279B5" w:rsidRDefault="00B01FCD" w:rsidP="004279B5">
      <w:pPr>
        <w:pStyle w:val="Copyright"/>
        <w:spacing w:after="0" w:line="240" w:lineRule="auto"/>
        <w:jc w:val="both"/>
        <w:rPr>
          <w:rFonts w:asciiTheme="minorBidi" w:hAnsiTheme="minorBidi" w:cstheme="minorBidi"/>
          <w:b/>
          <w:bCs/>
          <w:sz w:val="22"/>
          <w:szCs w:val="22"/>
        </w:rPr>
      </w:pPr>
      <w:r w:rsidRPr="004279B5">
        <w:rPr>
          <w:rFonts w:asciiTheme="minorBidi" w:hAnsiTheme="minorBidi" w:cstheme="minorBidi"/>
          <w:b/>
          <w:bCs/>
          <w:sz w:val="22"/>
          <w:szCs w:val="22"/>
        </w:rPr>
        <w:t>ABSTRACT</w:t>
      </w:r>
    </w:p>
    <w:p w:rsidR="00B01FCD" w:rsidRPr="004279B5" w:rsidRDefault="00B01FCD" w:rsidP="004279B5">
      <w:pPr>
        <w:pStyle w:val="Copyright"/>
        <w:spacing w:after="0" w:line="240" w:lineRule="auto"/>
        <w:jc w:val="both"/>
        <w:rPr>
          <w:rFonts w:asciiTheme="minorBidi" w:hAnsiTheme="minorBidi" w:cstheme="minorBidi"/>
          <w:b/>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tblPr>
      <w:tblGrid>
        <w:gridCol w:w="8424"/>
      </w:tblGrid>
      <w:tr w:rsidR="00296529" w:rsidRPr="004279B5" w:rsidTr="003C5C5E">
        <w:tc>
          <w:tcPr>
            <w:tcW w:w="8424" w:type="dxa"/>
            <w:shd w:val="clear" w:color="auto" w:fill="F2F2F2"/>
          </w:tcPr>
          <w:p w:rsidR="003C5C5E" w:rsidRPr="004279B5" w:rsidRDefault="00BA1B01" w:rsidP="004279B5">
            <w:pPr>
              <w:pStyle w:val="Body"/>
              <w:spacing w:after="0"/>
              <w:rPr>
                <w:rFonts w:asciiTheme="minorBidi" w:hAnsiTheme="minorBidi" w:cstheme="minorBidi"/>
                <w:sz w:val="22"/>
                <w:szCs w:val="22"/>
              </w:rPr>
            </w:pPr>
            <w:r w:rsidRPr="004279B5">
              <w:rPr>
                <w:rFonts w:asciiTheme="minorBidi" w:eastAsia="Calibri" w:hAnsiTheme="minorBidi" w:cstheme="minorBidi"/>
                <w:b/>
                <w:sz w:val="22"/>
                <w:szCs w:val="22"/>
              </w:rPr>
              <w:t>Aims</w:t>
            </w:r>
            <w:commentRangeStart w:id="1"/>
            <w:r w:rsidRPr="004279B5">
              <w:rPr>
                <w:rFonts w:asciiTheme="minorBidi" w:eastAsia="Calibri" w:hAnsiTheme="minorBidi" w:cstheme="minorBidi"/>
                <w:b/>
                <w:sz w:val="22"/>
                <w:szCs w:val="22"/>
              </w:rPr>
              <w:t xml:space="preserve">: </w:t>
            </w:r>
            <w:r w:rsidR="003C5C5E" w:rsidRPr="004279B5">
              <w:rPr>
                <w:rFonts w:asciiTheme="minorBidi" w:hAnsiTheme="minorBidi" w:cstheme="minorBidi"/>
                <w:sz w:val="22"/>
                <w:szCs w:val="22"/>
              </w:rPr>
              <w:t xml:space="preserve">Iron–folate supplementation (IFAS) is critical for reducing maternal anemia and improving pregnancy outcomes. Yet adherence remains a persistent challenge in many low-resource and marginalized populations. Recent evidence from Ghana among Fulani pregnant women highlights both progress and persisting barriers: while nearly half accessed supplements, only one-third adhered to the regimen. This commentary situates these findings within broader evidence from Sub-Saharan Africa, identifying cultural, socioeconomic, and logistical determinants of adherence. </w:t>
            </w:r>
          </w:p>
          <w:p w:rsidR="00BA1B01" w:rsidRPr="004279B5" w:rsidRDefault="00BA1B01" w:rsidP="004279B5">
            <w:pPr>
              <w:pStyle w:val="Body"/>
              <w:spacing w:after="0"/>
              <w:rPr>
                <w:rFonts w:asciiTheme="minorBidi" w:eastAsia="Calibri" w:hAnsiTheme="minorBidi" w:cstheme="minorBidi"/>
                <w:sz w:val="22"/>
                <w:szCs w:val="22"/>
              </w:rPr>
            </w:pPr>
            <w:r w:rsidRPr="004279B5">
              <w:rPr>
                <w:rFonts w:asciiTheme="minorBidi" w:eastAsia="Calibri" w:hAnsiTheme="minorBidi" w:cstheme="minorBidi"/>
                <w:b/>
                <w:sz w:val="22"/>
                <w:szCs w:val="22"/>
              </w:rPr>
              <w:t>Study design:</w:t>
            </w:r>
            <w:r w:rsidR="003C5C5E" w:rsidRPr="004279B5">
              <w:rPr>
                <w:rFonts w:asciiTheme="minorBidi" w:eastAsia="Calibri" w:hAnsiTheme="minorBidi" w:cstheme="minorBidi"/>
                <w:sz w:val="22"/>
                <w:szCs w:val="22"/>
              </w:rPr>
              <w:t>Commentary of published article</w:t>
            </w:r>
          </w:p>
          <w:p w:rsidR="00BA1B01" w:rsidRPr="004279B5" w:rsidRDefault="00BA1B01" w:rsidP="004279B5">
            <w:pPr>
              <w:pStyle w:val="Body"/>
              <w:spacing w:after="0"/>
              <w:rPr>
                <w:rFonts w:asciiTheme="minorBidi" w:eastAsia="Calibri" w:hAnsiTheme="minorBidi" w:cstheme="minorBidi"/>
                <w:sz w:val="22"/>
                <w:szCs w:val="22"/>
              </w:rPr>
            </w:pPr>
            <w:r w:rsidRPr="004279B5">
              <w:rPr>
                <w:rFonts w:asciiTheme="minorBidi" w:eastAsia="Calibri" w:hAnsiTheme="minorBidi" w:cstheme="minorBidi"/>
                <w:b/>
                <w:sz w:val="22"/>
                <w:szCs w:val="22"/>
              </w:rPr>
              <w:t>Place and Duration of Study:</w:t>
            </w:r>
            <w:r w:rsidR="003C5C5E" w:rsidRPr="004279B5">
              <w:rPr>
                <w:rFonts w:asciiTheme="minorBidi" w:eastAsia="Calibri" w:hAnsiTheme="minorBidi" w:cstheme="minorBidi"/>
                <w:sz w:val="22"/>
                <w:szCs w:val="22"/>
              </w:rPr>
              <w:t>The published paper was among Fulani pregnant women in Ghana in 2022.</w:t>
            </w:r>
          </w:p>
          <w:p w:rsidR="00BA1B01" w:rsidRPr="004279B5" w:rsidRDefault="00BA1B01" w:rsidP="004279B5">
            <w:pPr>
              <w:pStyle w:val="Body"/>
              <w:spacing w:after="0"/>
              <w:rPr>
                <w:rFonts w:asciiTheme="minorBidi" w:eastAsia="Calibri" w:hAnsiTheme="minorBidi" w:cstheme="minorBidi"/>
                <w:sz w:val="22"/>
                <w:szCs w:val="22"/>
              </w:rPr>
            </w:pPr>
            <w:r w:rsidRPr="004279B5">
              <w:rPr>
                <w:rFonts w:asciiTheme="minorBidi" w:eastAsia="Calibri" w:hAnsiTheme="minorBidi" w:cstheme="minorBidi"/>
                <w:b/>
                <w:bCs/>
                <w:sz w:val="22"/>
                <w:szCs w:val="22"/>
              </w:rPr>
              <w:t>Methodology:</w:t>
            </w:r>
            <w:r w:rsidR="003C5C5E" w:rsidRPr="004279B5">
              <w:rPr>
                <w:rFonts w:asciiTheme="minorBidi" w:eastAsia="Calibri" w:hAnsiTheme="minorBidi" w:cstheme="minorBidi"/>
                <w:sz w:val="22"/>
                <w:szCs w:val="22"/>
              </w:rPr>
              <w:t>We isolated the results from a published article and compared it with similar articles, to draw policy directions and inform context-sensitive interventions.</w:t>
            </w:r>
          </w:p>
          <w:p w:rsidR="003C5C5E" w:rsidRPr="004279B5" w:rsidRDefault="00BA1B01" w:rsidP="004279B5">
            <w:pPr>
              <w:pStyle w:val="Body"/>
              <w:spacing w:after="0"/>
              <w:rPr>
                <w:rFonts w:asciiTheme="minorBidi" w:hAnsiTheme="minorBidi" w:cstheme="minorBidi"/>
                <w:sz w:val="22"/>
                <w:szCs w:val="22"/>
              </w:rPr>
            </w:pPr>
            <w:r w:rsidRPr="004279B5">
              <w:rPr>
                <w:rFonts w:asciiTheme="minorBidi" w:eastAsia="Calibri" w:hAnsiTheme="minorBidi" w:cstheme="minorBidi"/>
                <w:b/>
                <w:bCs/>
                <w:sz w:val="22"/>
                <w:szCs w:val="22"/>
              </w:rPr>
              <w:t>Results:</w:t>
            </w:r>
            <w:r w:rsidR="003C5C5E" w:rsidRPr="004279B5">
              <w:rPr>
                <w:rFonts w:asciiTheme="minorBidi" w:hAnsiTheme="minorBidi" w:cstheme="minorBidi"/>
                <w:sz w:val="22"/>
                <w:szCs w:val="22"/>
              </w:rPr>
              <w:t>We argue that without tailored, community-centered approaches including spousal engagement, culturally sensitive education, reminder systems, and strengthened supply chains, current strategies risk excluding pastoral and nomadic women from essential maternal health interventions.</w:t>
            </w:r>
          </w:p>
          <w:p w:rsidR="003C5C5E" w:rsidRPr="004279B5" w:rsidRDefault="00BA1B01" w:rsidP="004279B5">
            <w:pPr>
              <w:pStyle w:val="Body"/>
              <w:spacing w:after="0"/>
              <w:rPr>
                <w:rFonts w:asciiTheme="minorBidi" w:eastAsia="Calibri" w:hAnsiTheme="minorBidi" w:cstheme="minorBidi"/>
                <w:sz w:val="22"/>
                <w:szCs w:val="22"/>
              </w:rPr>
            </w:pPr>
            <w:r w:rsidRPr="004279B5">
              <w:rPr>
                <w:rFonts w:asciiTheme="minorBidi" w:eastAsia="Calibri" w:hAnsiTheme="minorBidi" w:cstheme="minorBidi"/>
                <w:b/>
                <w:bCs/>
                <w:sz w:val="22"/>
                <w:szCs w:val="22"/>
              </w:rPr>
              <w:t>Conclusion:</w:t>
            </w:r>
            <w:r w:rsidR="003C5C5E" w:rsidRPr="004279B5">
              <w:rPr>
                <w:rFonts w:asciiTheme="minorBidi" w:hAnsiTheme="minorBidi" w:cstheme="minorBidi"/>
                <w:sz w:val="22"/>
                <w:szCs w:val="22"/>
              </w:rPr>
              <w:t>Addressing these inequities is central to achieving the Sustainable Development Goal (SDG) commitment of “leaving no one behind.”</w:t>
            </w:r>
          </w:p>
          <w:commentRangeEnd w:id="1"/>
          <w:p w:rsidR="003C5C5E" w:rsidRPr="004279B5" w:rsidRDefault="00FE7C71" w:rsidP="004279B5">
            <w:pPr>
              <w:pStyle w:val="Body"/>
              <w:spacing w:after="0"/>
              <w:rPr>
                <w:rFonts w:asciiTheme="minorBidi" w:eastAsia="Calibri" w:hAnsiTheme="minorBidi" w:cstheme="minorBidi"/>
                <w:sz w:val="22"/>
                <w:szCs w:val="22"/>
              </w:rPr>
            </w:pPr>
            <w:r>
              <w:rPr>
                <w:rStyle w:val="CommentReference"/>
                <w:rFonts w:ascii="Times New Roman" w:hAnsi="Times New Roman"/>
                <w:lang w:val="nb-NO" w:eastAsia="nb-NO"/>
              </w:rPr>
              <w:commentReference w:id="1"/>
            </w:r>
          </w:p>
        </w:tc>
      </w:tr>
    </w:tbl>
    <w:p w:rsidR="00A24E7E" w:rsidRPr="004279B5" w:rsidRDefault="00A24E7E" w:rsidP="004279B5">
      <w:pPr>
        <w:jc w:val="both"/>
        <w:rPr>
          <w:rFonts w:asciiTheme="minorBidi" w:hAnsiTheme="minorBidi" w:cstheme="minorBidi"/>
          <w:b/>
          <w:bCs/>
          <w:sz w:val="22"/>
          <w:szCs w:val="22"/>
        </w:rPr>
      </w:pPr>
      <w:r w:rsidRPr="004279B5">
        <w:rPr>
          <w:rFonts w:asciiTheme="minorBidi" w:hAnsiTheme="minorBidi" w:cstheme="minorBidi"/>
          <w:i/>
          <w:sz w:val="22"/>
          <w:szCs w:val="22"/>
        </w:rPr>
        <w:t>Keywords</w:t>
      </w:r>
      <w:r w:rsidR="003C5C5E" w:rsidRPr="004279B5">
        <w:rPr>
          <w:rFonts w:asciiTheme="minorBidi" w:hAnsiTheme="minorBidi" w:cstheme="minorBidi"/>
          <w:i/>
          <w:sz w:val="22"/>
          <w:szCs w:val="22"/>
        </w:rPr>
        <w:t xml:space="preserve">: </w:t>
      </w:r>
      <w:r w:rsidR="003C5C5E" w:rsidRPr="004279B5">
        <w:rPr>
          <w:rFonts w:asciiTheme="minorBidi" w:hAnsiTheme="minorBidi" w:cstheme="minorBidi"/>
          <w:sz w:val="22"/>
          <w:szCs w:val="22"/>
        </w:rPr>
        <w:t>Iron–Folate Supplementation, Fulani, Pregnancy, Ghana, Maternal Health, Public Health Policy</w:t>
      </w:r>
    </w:p>
    <w:p w:rsidR="00505F06" w:rsidRPr="004279B5" w:rsidRDefault="00505F06" w:rsidP="004279B5">
      <w:pPr>
        <w:pStyle w:val="Body"/>
        <w:spacing w:after="0"/>
        <w:rPr>
          <w:rFonts w:asciiTheme="minorBidi" w:hAnsiTheme="minorBidi" w:cstheme="minorBidi"/>
          <w:i/>
          <w:sz w:val="22"/>
          <w:szCs w:val="22"/>
        </w:rPr>
      </w:pPr>
    </w:p>
    <w:p w:rsidR="007F7B32" w:rsidRPr="004279B5" w:rsidRDefault="00902823" w:rsidP="004279B5">
      <w:pPr>
        <w:pStyle w:val="AbstHead"/>
        <w:spacing w:after="0"/>
        <w:jc w:val="both"/>
        <w:rPr>
          <w:rFonts w:asciiTheme="minorBidi" w:hAnsiTheme="minorBidi" w:cstheme="minorBidi"/>
          <w:szCs w:val="22"/>
        </w:rPr>
      </w:pPr>
      <w:r w:rsidRPr="004279B5">
        <w:rPr>
          <w:rFonts w:asciiTheme="minorBidi" w:hAnsiTheme="minorBidi" w:cstheme="minorBidi"/>
          <w:szCs w:val="22"/>
        </w:rPr>
        <w:t xml:space="preserve">1. </w:t>
      </w:r>
      <w:r w:rsidR="00B01FCD" w:rsidRPr="004279B5">
        <w:rPr>
          <w:rFonts w:asciiTheme="minorBidi" w:hAnsiTheme="minorBidi" w:cstheme="minorBidi"/>
          <w:szCs w:val="22"/>
        </w:rPr>
        <w:t>INTRODUCTION</w:t>
      </w:r>
    </w:p>
    <w:p w:rsidR="00790ADA" w:rsidRPr="004279B5" w:rsidRDefault="00790ADA" w:rsidP="004279B5">
      <w:pPr>
        <w:pStyle w:val="AbstHead"/>
        <w:spacing w:after="0"/>
        <w:jc w:val="both"/>
        <w:rPr>
          <w:rFonts w:asciiTheme="minorBidi" w:hAnsiTheme="minorBidi" w:cstheme="minorBidi"/>
          <w:szCs w:val="22"/>
        </w:rPr>
      </w:pPr>
    </w:p>
    <w:p w:rsidR="003C5C5E" w:rsidRPr="004279B5" w:rsidRDefault="003C5C5E" w:rsidP="004279B5">
      <w:pPr>
        <w:jc w:val="both"/>
        <w:rPr>
          <w:rFonts w:asciiTheme="minorBidi" w:hAnsiTheme="minorBidi" w:cstheme="minorBidi"/>
          <w:sz w:val="22"/>
          <w:szCs w:val="22"/>
        </w:rPr>
      </w:pPr>
      <w:commentRangeStart w:id="2"/>
      <w:r w:rsidRPr="004279B5">
        <w:rPr>
          <w:rFonts w:asciiTheme="minorBidi" w:hAnsiTheme="minorBidi" w:cstheme="minorBidi"/>
          <w:sz w:val="22"/>
          <w:szCs w:val="22"/>
        </w:rPr>
        <w:t>Iron deficiency anemia remains a pressing global health challenge, disproportionately affecting low- and middle-income countries where poverty, dietary insufficiencies, and health inequities intersect [1,2]. In Ghana, adherence to iron–folate supplementation during pregnancy hovers around 59.4% [3], yet marginalized groups such as the Fulani (semi-nomadic pastoralists) face unique barriers. A recent study by Salifu and colleagues [4] provides rare insight into these dynamics, underscoring the urgency of rethinking public health strategies in underserved populations.</w:t>
      </w:r>
    </w:p>
    <w:p w:rsidR="00790ADA" w:rsidRPr="004279B5" w:rsidRDefault="00790ADA" w:rsidP="004279B5">
      <w:pPr>
        <w:pStyle w:val="Body"/>
        <w:spacing w:after="0"/>
        <w:rPr>
          <w:rFonts w:asciiTheme="minorBidi" w:hAnsiTheme="minorBidi" w:cstheme="minorBidi"/>
          <w:sz w:val="22"/>
          <w:szCs w:val="22"/>
        </w:rPr>
      </w:pPr>
    </w:p>
    <w:commentRangeEnd w:id="2"/>
    <w:p w:rsidR="004279B5" w:rsidRPr="004279B5" w:rsidRDefault="00F80099" w:rsidP="004279B5">
      <w:pPr>
        <w:jc w:val="both"/>
        <w:rPr>
          <w:rFonts w:asciiTheme="minorBidi" w:hAnsiTheme="minorBidi" w:cstheme="minorBidi"/>
          <w:sz w:val="22"/>
          <w:szCs w:val="22"/>
        </w:rPr>
      </w:pPr>
      <w:r>
        <w:rPr>
          <w:rStyle w:val="CommentReference"/>
          <w:rFonts w:ascii="Times New Roman" w:hAnsi="Times New Roman"/>
          <w:lang w:val="nb-NO" w:eastAsia="nb-NO"/>
        </w:rPr>
        <w:commentReference w:id="2"/>
      </w:r>
      <w:r w:rsidR="004279B5">
        <w:rPr>
          <w:rFonts w:asciiTheme="minorBidi" w:hAnsiTheme="minorBidi" w:cstheme="minorBidi"/>
          <w:b/>
          <w:bCs/>
          <w:sz w:val="22"/>
          <w:szCs w:val="22"/>
        </w:rPr>
        <w:t xml:space="preserve">2. </w:t>
      </w:r>
      <w:r w:rsidR="004279B5" w:rsidRPr="004279B5">
        <w:rPr>
          <w:rFonts w:asciiTheme="minorBidi" w:hAnsiTheme="minorBidi" w:cstheme="minorBidi"/>
          <w:b/>
          <w:bCs/>
          <w:sz w:val="22"/>
          <w:szCs w:val="22"/>
        </w:rPr>
        <w:t>CRITICAL INSIGHTS FROM THE GHANAIAN FULANI STUDY</w:t>
      </w:r>
    </w:p>
    <w:p w:rsidR="00EF5838" w:rsidRDefault="00EF5838" w:rsidP="004279B5">
      <w:pPr>
        <w:jc w:val="both"/>
        <w:rPr>
          <w:rFonts w:asciiTheme="minorBidi" w:hAnsiTheme="minorBidi" w:cstheme="minorBidi"/>
          <w:sz w:val="22"/>
          <w:szCs w:val="22"/>
        </w:rPr>
      </w:pPr>
      <w:r w:rsidRPr="004279B5">
        <w:rPr>
          <w:rFonts w:asciiTheme="minorBidi" w:hAnsiTheme="minorBidi" w:cstheme="minorBidi"/>
          <w:sz w:val="22"/>
          <w:szCs w:val="22"/>
        </w:rPr>
        <w:t xml:space="preserve">The findings are sobering, in that; only 35.5% of Fulani pregnant women adhered to IFAS despite 47.7% accessing supplements [4]. Forgetfulness (25.7%) and stock-outs (20.0%) were the leading barriers, compounded by poor knowledge (65.4%). These results echo broader patterns of limited supply reliability and low awareness but add a crucial cultural dimension: spousal occupation and income significantly </w:t>
      </w:r>
      <w:r w:rsidRPr="004279B5">
        <w:rPr>
          <w:rFonts w:asciiTheme="minorBidi" w:hAnsiTheme="minorBidi" w:cstheme="minorBidi"/>
          <w:sz w:val="22"/>
          <w:szCs w:val="22"/>
        </w:rPr>
        <w:lastRenderedPageBreak/>
        <w:t>predicted adherence. This suggests that, in pastoral settings, household economic stability and gender roles weigh as heavily as clinical advice.</w:t>
      </w:r>
    </w:p>
    <w:p w:rsidR="004279B5" w:rsidRPr="004279B5" w:rsidRDefault="004279B5" w:rsidP="004279B5">
      <w:pPr>
        <w:jc w:val="both"/>
        <w:rPr>
          <w:rFonts w:asciiTheme="minorBidi" w:hAnsiTheme="minorBidi" w:cstheme="minorBidi"/>
          <w:sz w:val="22"/>
          <w:szCs w:val="22"/>
        </w:rPr>
      </w:pPr>
    </w:p>
    <w:p w:rsidR="00EF5838" w:rsidRPr="004279B5" w:rsidRDefault="004279B5" w:rsidP="004279B5">
      <w:pPr>
        <w:jc w:val="both"/>
        <w:rPr>
          <w:rFonts w:asciiTheme="minorBidi" w:hAnsiTheme="minorBidi" w:cstheme="minorBidi"/>
          <w:b/>
          <w:bCs/>
          <w:sz w:val="22"/>
          <w:szCs w:val="22"/>
        </w:rPr>
      </w:pPr>
      <w:r>
        <w:rPr>
          <w:rFonts w:asciiTheme="minorBidi" w:hAnsiTheme="minorBidi" w:cstheme="minorBidi"/>
          <w:b/>
          <w:bCs/>
          <w:sz w:val="22"/>
          <w:szCs w:val="22"/>
        </w:rPr>
        <w:t xml:space="preserve">3. </w:t>
      </w:r>
      <w:r w:rsidRPr="004279B5">
        <w:rPr>
          <w:rFonts w:asciiTheme="minorBidi" w:hAnsiTheme="minorBidi" w:cstheme="minorBidi"/>
          <w:b/>
          <w:bCs/>
          <w:sz w:val="22"/>
          <w:szCs w:val="22"/>
        </w:rPr>
        <w:t>COMPARATIVE EVIDENCE ACROSS AFRICA</w:t>
      </w:r>
    </w:p>
    <w:p w:rsidR="00EF5838" w:rsidRDefault="00EF5838" w:rsidP="004279B5">
      <w:pPr>
        <w:jc w:val="both"/>
        <w:rPr>
          <w:rFonts w:asciiTheme="minorBidi" w:hAnsiTheme="minorBidi" w:cstheme="minorBidi"/>
          <w:sz w:val="22"/>
          <w:szCs w:val="22"/>
        </w:rPr>
      </w:pPr>
      <w:r w:rsidRPr="004279B5">
        <w:rPr>
          <w:rFonts w:asciiTheme="minorBidi" w:hAnsiTheme="minorBidi" w:cstheme="minorBidi"/>
          <w:sz w:val="22"/>
          <w:szCs w:val="22"/>
        </w:rPr>
        <w:t>Findings from Eastern Sudan reveal higher adherence rates, attributed to structured antenatal care and health education [5]. Similarly, Ethiopian data showed moderate adherence (56.5%), with early antenatal registration emerging as a key predictor [6]. These comparisons demonstrate that while inadequate knowledge is a universal barrier, the Ghanaian Fulani experience is distinct: mobility, economic precarity, and spousal influence play defining roles.</w:t>
      </w:r>
    </w:p>
    <w:p w:rsidR="004279B5" w:rsidRPr="004279B5" w:rsidRDefault="004279B5" w:rsidP="004279B5">
      <w:pPr>
        <w:jc w:val="both"/>
        <w:rPr>
          <w:rFonts w:asciiTheme="minorBidi" w:hAnsiTheme="minorBidi" w:cstheme="minorBidi"/>
          <w:sz w:val="22"/>
          <w:szCs w:val="22"/>
        </w:rPr>
      </w:pPr>
    </w:p>
    <w:p w:rsidR="00EF5838" w:rsidRPr="004279B5" w:rsidRDefault="004279B5" w:rsidP="004279B5">
      <w:pPr>
        <w:jc w:val="both"/>
        <w:rPr>
          <w:rFonts w:asciiTheme="minorBidi" w:hAnsiTheme="minorBidi" w:cstheme="minorBidi"/>
          <w:sz w:val="22"/>
          <w:szCs w:val="22"/>
        </w:rPr>
      </w:pPr>
      <w:r>
        <w:rPr>
          <w:rFonts w:asciiTheme="minorBidi" w:hAnsiTheme="minorBidi" w:cstheme="minorBidi"/>
          <w:b/>
          <w:bCs/>
          <w:sz w:val="22"/>
          <w:szCs w:val="22"/>
        </w:rPr>
        <w:t xml:space="preserve">4. </w:t>
      </w:r>
      <w:r w:rsidRPr="004279B5">
        <w:rPr>
          <w:rFonts w:asciiTheme="minorBidi" w:hAnsiTheme="minorBidi" w:cstheme="minorBidi"/>
          <w:b/>
          <w:bCs/>
          <w:sz w:val="22"/>
          <w:szCs w:val="22"/>
        </w:rPr>
        <w:t>IMPLICATIONS FOR PUBLIC POLICY AND PRACTICE</w:t>
      </w:r>
    </w:p>
    <w:p w:rsidR="00EF5838" w:rsidRDefault="00EF5838" w:rsidP="004279B5">
      <w:pPr>
        <w:jc w:val="both"/>
        <w:rPr>
          <w:rFonts w:asciiTheme="minorBidi" w:hAnsiTheme="minorBidi" w:cstheme="minorBidi"/>
          <w:b/>
          <w:bCs/>
          <w:sz w:val="22"/>
          <w:szCs w:val="22"/>
        </w:rPr>
      </w:pPr>
      <w:r w:rsidRPr="004279B5">
        <w:rPr>
          <w:rFonts w:asciiTheme="minorBidi" w:hAnsiTheme="minorBidi" w:cstheme="minorBidi"/>
          <w:sz w:val="22"/>
          <w:szCs w:val="22"/>
        </w:rPr>
        <w:t xml:space="preserve">To close these gaps, we recommend culturally tailored education delivered through community leaders, using Fulani languages and oral communication traditions. Also, family-inclusive strategies engaging husbands to reshape household decision-making around maternal health </w:t>
      </w:r>
      <w:r w:rsidR="004279B5" w:rsidRPr="004279B5">
        <w:rPr>
          <w:rFonts w:asciiTheme="minorBidi" w:hAnsiTheme="minorBidi" w:cstheme="minorBidi"/>
          <w:sz w:val="22"/>
          <w:szCs w:val="22"/>
        </w:rPr>
        <w:t>are</w:t>
      </w:r>
      <w:r w:rsidRPr="004279B5">
        <w:rPr>
          <w:rFonts w:asciiTheme="minorBidi" w:hAnsiTheme="minorBidi" w:cstheme="minorBidi"/>
          <w:sz w:val="22"/>
          <w:szCs w:val="22"/>
        </w:rPr>
        <w:t xml:space="preserve"> crucial. Additionally, digital or low-tech reminders (e.g., mobile SMS, pictorial calendars) to address forgetfulness and strengthened supply chains ensuring reliable supplement availability in remote pastoral areas could help breach this gap. Nonetheless, mobile health services to reach nomadic populations outside of static facilities equally aid in addressing this challenge</w:t>
      </w:r>
      <w:r w:rsidRPr="004279B5">
        <w:rPr>
          <w:rFonts w:asciiTheme="minorBidi" w:hAnsiTheme="minorBidi" w:cstheme="minorBidi"/>
          <w:b/>
          <w:bCs/>
          <w:sz w:val="22"/>
          <w:szCs w:val="22"/>
        </w:rPr>
        <w:t>.</w:t>
      </w:r>
    </w:p>
    <w:p w:rsidR="004279B5" w:rsidRPr="004279B5" w:rsidRDefault="004279B5" w:rsidP="004279B5">
      <w:pPr>
        <w:jc w:val="both"/>
        <w:rPr>
          <w:rFonts w:asciiTheme="minorBidi" w:hAnsiTheme="minorBidi" w:cstheme="minorBidi"/>
          <w:b/>
          <w:bCs/>
          <w:sz w:val="22"/>
          <w:szCs w:val="22"/>
        </w:rPr>
      </w:pPr>
    </w:p>
    <w:p w:rsidR="00EF5838" w:rsidRPr="004279B5" w:rsidRDefault="004279B5" w:rsidP="004279B5">
      <w:pPr>
        <w:jc w:val="both"/>
        <w:rPr>
          <w:rFonts w:asciiTheme="minorBidi" w:hAnsiTheme="minorBidi" w:cstheme="minorBidi"/>
          <w:b/>
          <w:bCs/>
          <w:sz w:val="22"/>
          <w:szCs w:val="22"/>
        </w:rPr>
      </w:pPr>
      <w:r>
        <w:rPr>
          <w:rFonts w:asciiTheme="minorBidi" w:hAnsiTheme="minorBidi" w:cstheme="minorBidi"/>
          <w:b/>
          <w:bCs/>
          <w:sz w:val="22"/>
          <w:szCs w:val="22"/>
        </w:rPr>
        <w:t xml:space="preserve">5. </w:t>
      </w:r>
      <w:r w:rsidRPr="004279B5">
        <w:rPr>
          <w:rFonts w:asciiTheme="minorBidi" w:hAnsiTheme="minorBidi" w:cstheme="minorBidi"/>
          <w:b/>
          <w:bCs/>
          <w:sz w:val="22"/>
          <w:szCs w:val="22"/>
        </w:rPr>
        <w:t>IMPLICATIONS FOR NURSING PRACTICE, EDUCATION AND RESEARCH</w:t>
      </w:r>
    </w:p>
    <w:p w:rsidR="00EF5838" w:rsidRDefault="00EF5838" w:rsidP="004279B5">
      <w:pPr>
        <w:jc w:val="both"/>
        <w:rPr>
          <w:rFonts w:asciiTheme="minorBidi" w:hAnsiTheme="minorBidi" w:cstheme="minorBidi"/>
          <w:sz w:val="22"/>
          <w:szCs w:val="22"/>
        </w:rPr>
      </w:pPr>
      <w:r w:rsidRPr="004279B5">
        <w:rPr>
          <w:rFonts w:asciiTheme="minorBidi" w:hAnsiTheme="minorBidi" w:cstheme="minorBidi"/>
          <w:sz w:val="22"/>
          <w:szCs w:val="22"/>
        </w:rPr>
        <w:t>In summary, this paper not only draws attention to the significant challenges in ensuring effective iron-folate acid supplementation among Fulani pregnant women but also highlights the complex interplay between health systems, cultural practices, and socioeconomic factors. It serves as an important call to action for tailored, community-specific interventions that bridge the gap between clinical recommendations and real-world practice. The current findings can help health care providers, especially nurses, to manage adherence challenges in iron-folate supplementation among pregnant women, particularly in underserved pastoral communities, by implementing culturally tailored education, strengthening supply-chain reliability, and incorporating spousal engagement strategies into maternal care practices.</w:t>
      </w:r>
    </w:p>
    <w:p w:rsidR="004279B5" w:rsidRPr="004279B5" w:rsidRDefault="004279B5" w:rsidP="004279B5">
      <w:pPr>
        <w:jc w:val="both"/>
        <w:rPr>
          <w:rFonts w:asciiTheme="minorBidi" w:hAnsiTheme="minorBidi" w:cstheme="minorBidi"/>
          <w:sz w:val="22"/>
          <w:szCs w:val="22"/>
        </w:rPr>
      </w:pPr>
    </w:p>
    <w:p w:rsidR="00EF5838" w:rsidRPr="004279B5" w:rsidRDefault="004279B5" w:rsidP="004279B5">
      <w:pPr>
        <w:jc w:val="both"/>
        <w:rPr>
          <w:rFonts w:asciiTheme="minorBidi" w:hAnsiTheme="minorBidi" w:cstheme="minorBidi"/>
          <w:b/>
          <w:bCs/>
          <w:sz w:val="22"/>
          <w:szCs w:val="22"/>
        </w:rPr>
      </w:pPr>
      <w:r>
        <w:rPr>
          <w:rFonts w:asciiTheme="minorBidi" w:hAnsiTheme="minorBidi" w:cstheme="minorBidi"/>
          <w:b/>
          <w:bCs/>
          <w:sz w:val="22"/>
          <w:szCs w:val="22"/>
        </w:rPr>
        <w:t xml:space="preserve">6. </w:t>
      </w:r>
      <w:r w:rsidRPr="004279B5">
        <w:rPr>
          <w:rFonts w:asciiTheme="minorBidi" w:hAnsiTheme="minorBidi" w:cstheme="minorBidi"/>
          <w:b/>
          <w:bCs/>
          <w:sz w:val="22"/>
          <w:szCs w:val="22"/>
        </w:rPr>
        <w:t>LIMITATIONS AND FUTURE RESEARCH</w:t>
      </w:r>
    </w:p>
    <w:p w:rsidR="00EF5838" w:rsidRDefault="00EF5838" w:rsidP="004279B5">
      <w:pPr>
        <w:jc w:val="both"/>
        <w:rPr>
          <w:rFonts w:asciiTheme="minorBidi" w:hAnsiTheme="minorBidi" w:cstheme="minorBidi"/>
          <w:sz w:val="22"/>
          <w:szCs w:val="22"/>
        </w:rPr>
      </w:pPr>
      <w:r w:rsidRPr="004279B5">
        <w:rPr>
          <w:rFonts w:asciiTheme="minorBidi" w:hAnsiTheme="minorBidi" w:cstheme="minorBidi"/>
          <w:sz w:val="22"/>
          <w:szCs w:val="22"/>
        </w:rPr>
        <w:t>The cross-sectional design and localized focus of Salifu et al. [4] limit causal inference and generalizability. Larger, longitudinal studies and qualitative inquiries are needed to explore deeper cultural nuances. Randomized interventions that integrate spousal engagement or reminder tools could also test context-specific solutions.</w:t>
      </w:r>
    </w:p>
    <w:p w:rsidR="004279B5" w:rsidRPr="004279B5" w:rsidRDefault="004279B5" w:rsidP="004279B5">
      <w:pPr>
        <w:jc w:val="both"/>
        <w:rPr>
          <w:rFonts w:asciiTheme="minorBidi" w:hAnsiTheme="minorBidi" w:cstheme="minorBidi"/>
          <w:sz w:val="22"/>
          <w:szCs w:val="22"/>
        </w:rPr>
      </w:pPr>
    </w:p>
    <w:p w:rsidR="00B01FCD" w:rsidRPr="004279B5" w:rsidRDefault="004279B5" w:rsidP="004279B5">
      <w:pPr>
        <w:pStyle w:val="ConcHead"/>
        <w:spacing w:after="0"/>
        <w:jc w:val="both"/>
        <w:rPr>
          <w:rFonts w:asciiTheme="minorBidi" w:hAnsiTheme="minorBidi" w:cstheme="minorBidi"/>
          <w:szCs w:val="22"/>
        </w:rPr>
      </w:pPr>
      <w:r>
        <w:rPr>
          <w:rFonts w:asciiTheme="minorBidi" w:hAnsiTheme="minorBidi" w:cstheme="minorBidi"/>
          <w:szCs w:val="22"/>
        </w:rPr>
        <w:t>7</w:t>
      </w:r>
      <w:r w:rsidR="00000F8F" w:rsidRPr="004279B5">
        <w:rPr>
          <w:rFonts w:asciiTheme="minorBidi" w:hAnsiTheme="minorBidi" w:cstheme="minorBidi"/>
          <w:szCs w:val="22"/>
        </w:rPr>
        <w:t xml:space="preserve">. </w:t>
      </w:r>
      <w:r w:rsidR="00B01FCD" w:rsidRPr="004279B5">
        <w:rPr>
          <w:rFonts w:asciiTheme="minorBidi" w:hAnsiTheme="minorBidi" w:cstheme="minorBidi"/>
          <w:szCs w:val="22"/>
        </w:rPr>
        <w:t>Conclusion</w:t>
      </w:r>
      <w:r>
        <w:rPr>
          <w:rFonts w:asciiTheme="minorBidi" w:hAnsiTheme="minorBidi" w:cstheme="minorBidi"/>
          <w:szCs w:val="22"/>
        </w:rPr>
        <w:t>S</w:t>
      </w:r>
    </w:p>
    <w:p w:rsidR="00790ADA" w:rsidRPr="004279B5" w:rsidRDefault="00790ADA" w:rsidP="004279B5">
      <w:pPr>
        <w:pStyle w:val="ConcHead"/>
        <w:spacing w:after="0"/>
        <w:jc w:val="both"/>
        <w:rPr>
          <w:rFonts w:asciiTheme="minorBidi" w:hAnsiTheme="minorBidi" w:cstheme="minorBidi"/>
          <w:szCs w:val="22"/>
        </w:rPr>
      </w:pPr>
    </w:p>
    <w:p w:rsidR="003C5C5E" w:rsidRPr="004279B5" w:rsidRDefault="003C5C5E" w:rsidP="004279B5">
      <w:pPr>
        <w:jc w:val="both"/>
        <w:rPr>
          <w:rFonts w:asciiTheme="minorBidi" w:hAnsiTheme="minorBidi" w:cstheme="minorBidi"/>
          <w:sz w:val="22"/>
          <w:szCs w:val="22"/>
        </w:rPr>
      </w:pPr>
      <w:commentRangeStart w:id="3"/>
      <w:r w:rsidRPr="004279B5">
        <w:rPr>
          <w:rFonts w:asciiTheme="minorBidi" w:hAnsiTheme="minorBidi" w:cstheme="minorBidi"/>
          <w:sz w:val="22"/>
          <w:szCs w:val="22"/>
        </w:rPr>
        <w:t xml:space="preserve">The Fulani study provides a critical lens on maternal health inequities in Ghana. It reveals that adherence to IFAS is not merely a question of individual compliance but a reflection of systemic, cultural, and socioeconomic barriers. To meet SDG targets on maternal health, policymakers must adopt context-sensitive, family-inclusive, and </w:t>
      </w:r>
      <w:r w:rsidRPr="004279B5">
        <w:rPr>
          <w:rFonts w:asciiTheme="minorBidi" w:hAnsiTheme="minorBidi" w:cstheme="minorBidi"/>
          <w:sz w:val="22"/>
          <w:szCs w:val="22"/>
        </w:rPr>
        <w:lastRenderedPageBreak/>
        <w:t>supply-driven approaches. Only then can iron–folate supplementation and broader reproductive health services, effectively reach women at the margins</w:t>
      </w:r>
      <w:commentRangeEnd w:id="3"/>
      <w:r w:rsidR="00BE7F75">
        <w:rPr>
          <w:rStyle w:val="CommentReference"/>
          <w:rFonts w:ascii="Times New Roman" w:hAnsi="Times New Roman"/>
          <w:lang w:val="nb-NO" w:eastAsia="nb-NO"/>
        </w:rPr>
        <w:commentReference w:id="3"/>
      </w:r>
      <w:r w:rsidRPr="004279B5">
        <w:rPr>
          <w:rFonts w:asciiTheme="minorBidi" w:hAnsiTheme="minorBidi" w:cstheme="minorBidi"/>
          <w:sz w:val="22"/>
          <w:szCs w:val="22"/>
        </w:rPr>
        <w:t>.</w:t>
      </w:r>
    </w:p>
    <w:p w:rsidR="00790ADA" w:rsidRPr="004279B5" w:rsidRDefault="00790ADA" w:rsidP="004279B5">
      <w:pPr>
        <w:pStyle w:val="Body"/>
        <w:spacing w:after="0"/>
        <w:rPr>
          <w:rFonts w:asciiTheme="minorBidi" w:hAnsiTheme="minorBidi" w:cstheme="minorBidi"/>
          <w:sz w:val="22"/>
          <w:szCs w:val="22"/>
        </w:rPr>
      </w:pPr>
    </w:p>
    <w:p w:rsidR="002B685A" w:rsidRPr="004279B5" w:rsidRDefault="002B685A" w:rsidP="004279B5">
      <w:pPr>
        <w:pStyle w:val="ReferHead"/>
        <w:spacing w:after="0"/>
        <w:jc w:val="both"/>
        <w:rPr>
          <w:rFonts w:asciiTheme="minorBidi" w:hAnsiTheme="minorBidi" w:cstheme="minorBidi"/>
          <w:b w:val="0"/>
          <w:caps w:val="0"/>
          <w:szCs w:val="22"/>
        </w:rPr>
      </w:pPr>
      <w:bookmarkStart w:id="4" w:name="_GoBack"/>
      <w:bookmarkEnd w:id="4"/>
    </w:p>
    <w:p w:rsidR="002B685A" w:rsidRPr="004279B5" w:rsidRDefault="002B685A" w:rsidP="004279B5">
      <w:pPr>
        <w:pStyle w:val="ReferHead"/>
        <w:spacing w:after="0"/>
        <w:jc w:val="both"/>
        <w:rPr>
          <w:rFonts w:asciiTheme="minorBidi" w:hAnsiTheme="minorBidi" w:cstheme="minorBidi"/>
          <w:bCs/>
          <w:szCs w:val="22"/>
        </w:rPr>
      </w:pPr>
      <w:r w:rsidRPr="004279B5">
        <w:rPr>
          <w:rFonts w:asciiTheme="minorBidi" w:hAnsiTheme="minorBidi" w:cstheme="minorBidi"/>
          <w:bCs/>
          <w:szCs w:val="22"/>
        </w:rPr>
        <w:t xml:space="preserve">Consent </w:t>
      </w:r>
    </w:p>
    <w:p w:rsidR="002B685A" w:rsidRPr="004279B5" w:rsidRDefault="002B685A" w:rsidP="004279B5">
      <w:pPr>
        <w:pStyle w:val="ReferHead"/>
        <w:spacing w:after="0"/>
        <w:jc w:val="both"/>
        <w:rPr>
          <w:rFonts w:asciiTheme="minorBidi" w:hAnsiTheme="minorBidi" w:cstheme="minorBidi"/>
          <w:bCs/>
          <w:szCs w:val="22"/>
        </w:rPr>
      </w:pPr>
    </w:p>
    <w:p w:rsidR="001A29D8" w:rsidRPr="004279B5" w:rsidRDefault="004A4BAF" w:rsidP="004279B5">
      <w:pPr>
        <w:pStyle w:val="ReferHead"/>
        <w:spacing w:after="0"/>
        <w:jc w:val="both"/>
        <w:rPr>
          <w:rFonts w:asciiTheme="minorBidi" w:hAnsiTheme="minorBidi" w:cstheme="minorBidi"/>
          <w:b w:val="0"/>
          <w:caps w:val="0"/>
          <w:szCs w:val="22"/>
          <w:u w:val="single"/>
        </w:rPr>
      </w:pPr>
      <w:r w:rsidRPr="004279B5">
        <w:rPr>
          <w:rFonts w:asciiTheme="minorBidi" w:hAnsiTheme="minorBidi" w:cstheme="minorBidi"/>
          <w:b w:val="0"/>
          <w:caps w:val="0"/>
          <w:szCs w:val="22"/>
        </w:rPr>
        <w:t>Not Applicable</w:t>
      </w:r>
    </w:p>
    <w:p w:rsidR="005C784C" w:rsidRPr="004279B5" w:rsidRDefault="005C784C" w:rsidP="004279B5">
      <w:pPr>
        <w:pStyle w:val="ReferHead"/>
        <w:spacing w:after="0"/>
        <w:jc w:val="both"/>
        <w:rPr>
          <w:rFonts w:asciiTheme="minorBidi" w:hAnsiTheme="minorBidi" w:cstheme="minorBidi"/>
          <w:b w:val="0"/>
          <w:caps w:val="0"/>
          <w:szCs w:val="22"/>
        </w:rPr>
      </w:pPr>
    </w:p>
    <w:p w:rsidR="005C784C" w:rsidRPr="004279B5" w:rsidRDefault="005C784C" w:rsidP="004279B5">
      <w:pPr>
        <w:pStyle w:val="ReferHead"/>
        <w:spacing w:after="0"/>
        <w:jc w:val="both"/>
        <w:rPr>
          <w:rFonts w:asciiTheme="minorBidi" w:hAnsiTheme="minorBidi" w:cstheme="minorBidi"/>
          <w:bCs/>
          <w:szCs w:val="22"/>
        </w:rPr>
      </w:pPr>
      <w:r w:rsidRPr="004279B5">
        <w:rPr>
          <w:rFonts w:asciiTheme="minorBidi" w:hAnsiTheme="minorBidi" w:cstheme="minorBidi"/>
          <w:bCs/>
          <w:szCs w:val="22"/>
        </w:rPr>
        <w:t xml:space="preserve">Ethical approval </w:t>
      </w:r>
    </w:p>
    <w:p w:rsidR="005C784C" w:rsidRPr="004279B5" w:rsidRDefault="005C784C" w:rsidP="004279B5">
      <w:pPr>
        <w:pStyle w:val="ReferHead"/>
        <w:spacing w:after="0"/>
        <w:jc w:val="both"/>
        <w:rPr>
          <w:rFonts w:asciiTheme="minorBidi" w:hAnsiTheme="minorBidi" w:cstheme="minorBidi"/>
          <w:bCs/>
          <w:szCs w:val="22"/>
        </w:rPr>
      </w:pPr>
    </w:p>
    <w:p w:rsidR="0041027F" w:rsidRDefault="004A4BAF" w:rsidP="004279B5">
      <w:pPr>
        <w:pStyle w:val="ReferHead"/>
        <w:spacing w:after="0"/>
        <w:jc w:val="both"/>
        <w:rPr>
          <w:rFonts w:asciiTheme="minorBidi" w:hAnsiTheme="minorBidi" w:cstheme="minorBidi"/>
          <w:b w:val="0"/>
          <w:caps w:val="0"/>
          <w:szCs w:val="22"/>
        </w:rPr>
      </w:pPr>
      <w:r w:rsidRPr="004279B5">
        <w:rPr>
          <w:rFonts w:asciiTheme="minorBidi" w:hAnsiTheme="minorBidi" w:cstheme="minorBidi"/>
          <w:b w:val="0"/>
          <w:caps w:val="0"/>
          <w:szCs w:val="22"/>
        </w:rPr>
        <w:t>Not Applicable</w:t>
      </w:r>
    </w:p>
    <w:p w:rsidR="000578AA" w:rsidRDefault="000578AA" w:rsidP="004279B5">
      <w:pPr>
        <w:pStyle w:val="ReferHead"/>
        <w:spacing w:after="0"/>
        <w:jc w:val="both"/>
        <w:rPr>
          <w:rFonts w:asciiTheme="minorBidi" w:hAnsiTheme="minorBidi" w:cstheme="minorBidi"/>
          <w:b w:val="0"/>
          <w:caps w:val="0"/>
          <w:szCs w:val="22"/>
        </w:rPr>
      </w:pPr>
    </w:p>
    <w:p w:rsidR="000578AA" w:rsidRDefault="000578AA" w:rsidP="004279B5">
      <w:pPr>
        <w:pStyle w:val="ReferHead"/>
        <w:spacing w:after="0"/>
        <w:jc w:val="both"/>
        <w:rPr>
          <w:rFonts w:asciiTheme="minorBidi" w:hAnsiTheme="minorBidi" w:cstheme="minorBidi"/>
          <w:b w:val="0"/>
          <w:caps w:val="0"/>
          <w:szCs w:val="22"/>
        </w:rPr>
      </w:pPr>
    </w:p>
    <w:p w:rsidR="000578AA" w:rsidRPr="004279B5" w:rsidRDefault="000578AA" w:rsidP="000578AA">
      <w:pPr>
        <w:pStyle w:val="DefAcrHead"/>
        <w:spacing w:after="0"/>
        <w:jc w:val="both"/>
        <w:rPr>
          <w:rFonts w:asciiTheme="minorBidi" w:hAnsiTheme="minorBidi" w:cstheme="minorBidi"/>
          <w:szCs w:val="22"/>
        </w:rPr>
      </w:pPr>
      <w:r w:rsidRPr="004279B5">
        <w:rPr>
          <w:rFonts w:asciiTheme="minorBidi" w:hAnsiTheme="minorBidi" w:cstheme="minorBidi"/>
          <w:szCs w:val="22"/>
        </w:rPr>
        <w:t>Definitions, Acronyms, Abbreviations</w:t>
      </w:r>
    </w:p>
    <w:p w:rsidR="000578AA" w:rsidRPr="004279B5" w:rsidRDefault="000578AA" w:rsidP="000578AA">
      <w:pPr>
        <w:jc w:val="both"/>
        <w:rPr>
          <w:rFonts w:asciiTheme="minorBidi" w:hAnsiTheme="minorBidi" w:cstheme="minorBidi"/>
          <w:sz w:val="22"/>
          <w:szCs w:val="22"/>
        </w:rPr>
      </w:pPr>
      <w:r w:rsidRPr="004279B5">
        <w:rPr>
          <w:rFonts w:asciiTheme="minorBidi" w:hAnsiTheme="minorBidi" w:cstheme="minorBidi"/>
          <w:sz w:val="22"/>
          <w:szCs w:val="22"/>
        </w:rPr>
        <w:t xml:space="preserve">IFAS </w:t>
      </w:r>
      <w:r>
        <w:rPr>
          <w:rFonts w:asciiTheme="minorBidi" w:hAnsiTheme="minorBidi" w:cstheme="minorBidi"/>
          <w:sz w:val="22"/>
          <w:szCs w:val="22"/>
        </w:rPr>
        <w:t xml:space="preserve">= </w:t>
      </w:r>
      <w:r w:rsidRPr="004279B5">
        <w:rPr>
          <w:rFonts w:asciiTheme="minorBidi" w:hAnsiTheme="minorBidi" w:cstheme="minorBidi"/>
          <w:sz w:val="22"/>
          <w:szCs w:val="22"/>
        </w:rPr>
        <w:t>Iron Folic Acid Supplementation</w:t>
      </w:r>
    </w:p>
    <w:p w:rsidR="000578AA" w:rsidRPr="004279B5" w:rsidRDefault="000578AA" w:rsidP="000578AA">
      <w:pPr>
        <w:jc w:val="both"/>
        <w:rPr>
          <w:rFonts w:asciiTheme="minorBidi" w:hAnsiTheme="minorBidi" w:cstheme="minorBidi"/>
          <w:sz w:val="22"/>
          <w:szCs w:val="22"/>
        </w:rPr>
      </w:pPr>
      <w:r w:rsidRPr="004279B5">
        <w:rPr>
          <w:rFonts w:asciiTheme="minorBidi" w:hAnsiTheme="minorBidi" w:cstheme="minorBidi"/>
          <w:sz w:val="22"/>
          <w:szCs w:val="22"/>
        </w:rPr>
        <w:t>WHO</w:t>
      </w:r>
      <w:r>
        <w:rPr>
          <w:rFonts w:asciiTheme="minorBidi" w:hAnsiTheme="minorBidi" w:cstheme="minorBidi"/>
          <w:sz w:val="22"/>
          <w:szCs w:val="22"/>
        </w:rPr>
        <w:t xml:space="preserve"> =</w:t>
      </w:r>
      <w:r w:rsidRPr="004279B5">
        <w:rPr>
          <w:rFonts w:asciiTheme="minorBidi" w:hAnsiTheme="minorBidi" w:cstheme="minorBidi"/>
          <w:sz w:val="22"/>
          <w:szCs w:val="22"/>
        </w:rPr>
        <w:t xml:space="preserve"> World Health Organization</w:t>
      </w:r>
    </w:p>
    <w:p w:rsidR="000578AA" w:rsidRPr="004279B5" w:rsidRDefault="000578AA" w:rsidP="004279B5">
      <w:pPr>
        <w:pStyle w:val="ReferHead"/>
        <w:spacing w:after="0"/>
        <w:jc w:val="both"/>
        <w:rPr>
          <w:rFonts w:asciiTheme="minorBidi" w:hAnsiTheme="minorBidi" w:cstheme="minorBidi"/>
          <w:b w:val="0"/>
          <w:caps w:val="0"/>
          <w:szCs w:val="22"/>
          <w:u w:val="single"/>
        </w:rPr>
      </w:pPr>
    </w:p>
    <w:p w:rsidR="00860000" w:rsidRPr="004279B5" w:rsidRDefault="00860000" w:rsidP="004279B5">
      <w:pPr>
        <w:pStyle w:val="ReferHead"/>
        <w:spacing w:after="0"/>
        <w:jc w:val="both"/>
        <w:rPr>
          <w:rFonts w:asciiTheme="minorBidi" w:hAnsiTheme="minorBidi" w:cstheme="minorBidi"/>
          <w:szCs w:val="22"/>
        </w:rPr>
      </w:pPr>
    </w:p>
    <w:p w:rsidR="00B01FCD" w:rsidRPr="004279B5" w:rsidRDefault="00B01FCD" w:rsidP="004279B5">
      <w:pPr>
        <w:pStyle w:val="ReferHead"/>
        <w:spacing w:after="0"/>
        <w:jc w:val="both"/>
        <w:rPr>
          <w:rFonts w:asciiTheme="minorBidi" w:hAnsiTheme="minorBidi" w:cstheme="minorBidi"/>
          <w:szCs w:val="22"/>
        </w:rPr>
      </w:pPr>
      <w:r w:rsidRPr="004279B5">
        <w:rPr>
          <w:rFonts w:asciiTheme="minorBidi" w:hAnsiTheme="minorBidi" w:cstheme="minorBidi"/>
          <w:szCs w:val="22"/>
        </w:rPr>
        <w:t>References</w:t>
      </w:r>
    </w:p>
    <w:p w:rsidR="00790ADA" w:rsidRPr="004279B5" w:rsidRDefault="00790ADA" w:rsidP="004279B5">
      <w:pPr>
        <w:pStyle w:val="ReferHead"/>
        <w:spacing w:after="0"/>
        <w:jc w:val="both"/>
        <w:rPr>
          <w:rFonts w:asciiTheme="minorBidi" w:hAnsiTheme="minorBidi" w:cstheme="minorBidi"/>
          <w:szCs w:val="22"/>
        </w:rPr>
      </w:pPr>
    </w:p>
    <w:p w:rsidR="004A4BAF" w:rsidRPr="004279B5" w:rsidRDefault="004A4BAF" w:rsidP="004279B5">
      <w:pPr>
        <w:pStyle w:val="ListParagraph"/>
        <w:numPr>
          <w:ilvl w:val="0"/>
          <w:numId w:val="31"/>
        </w:numPr>
        <w:spacing w:after="160"/>
        <w:jc w:val="both"/>
        <w:rPr>
          <w:rFonts w:asciiTheme="minorBidi" w:hAnsiTheme="minorBidi" w:cstheme="minorBidi"/>
          <w:sz w:val="22"/>
          <w:szCs w:val="22"/>
        </w:rPr>
      </w:pPr>
      <w:r w:rsidRPr="004279B5">
        <w:rPr>
          <w:rFonts w:asciiTheme="minorBidi" w:hAnsiTheme="minorBidi" w:cstheme="minorBidi"/>
          <w:sz w:val="22"/>
          <w:szCs w:val="22"/>
        </w:rPr>
        <w:t xml:space="preserve">Chathuranga G, Balasuriya T, Perera R. Anaemia among female undergraduates residing in the hostels of University of Sri Jayewardenepura, Sri Lanka. </w:t>
      </w:r>
      <w:r w:rsidR="004279B5" w:rsidRPr="004279B5">
        <w:rPr>
          <w:rFonts w:asciiTheme="minorBidi" w:hAnsiTheme="minorBidi" w:cstheme="minorBidi"/>
          <w:sz w:val="22"/>
          <w:szCs w:val="22"/>
        </w:rPr>
        <w:t>2014</w:t>
      </w:r>
      <w:r w:rsidR="004279B5">
        <w:rPr>
          <w:rFonts w:asciiTheme="minorBidi" w:hAnsiTheme="minorBidi" w:cstheme="minorBidi"/>
          <w:sz w:val="22"/>
          <w:szCs w:val="22"/>
        </w:rPr>
        <w:t xml:space="preserve">; </w:t>
      </w:r>
      <w:r w:rsidRPr="004279B5">
        <w:rPr>
          <w:rFonts w:asciiTheme="minorBidi" w:hAnsiTheme="minorBidi" w:cstheme="minorBidi"/>
          <w:sz w:val="22"/>
          <w:szCs w:val="22"/>
        </w:rPr>
        <w:t>Anemia. https:// doi. org/ 10. 1155/ 2014/ 526308.</w:t>
      </w:r>
    </w:p>
    <w:p w:rsidR="004A4BAF" w:rsidRPr="004279B5" w:rsidRDefault="004A4BAF" w:rsidP="004279B5">
      <w:pPr>
        <w:pStyle w:val="ListParagraph"/>
        <w:numPr>
          <w:ilvl w:val="0"/>
          <w:numId w:val="31"/>
        </w:numPr>
        <w:spacing w:after="160"/>
        <w:jc w:val="both"/>
        <w:rPr>
          <w:rFonts w:asciiTheme="minorBidi" w:hAnsiTheme="minorBidi" w:cstheme="minorBidi"/>
          <w:sz w:val="22"/>
          <w:szCs w:val="22"/>
        </w:rPr>
      </w:pPr>
      <w:r w:rsidRPr="004279B5">
        <w:rPr>
          <w:rFonts w:asciiTheme="minorBidi" w:hAnsiTheme="minorBidi" w:cstheme="minorBidi"/>
          <w:sz w:val="22"/>
          <w:szCs w:val="22"/>
        </w:rPr>
        <w:t xml:space="preserve">ACC/SCN. What Works? A review of the efficacy and effectiveness of nutrition interventions, Allen, L.H. and Gillespie, S.R. ACC/SCN: Geneva in collaboration with the Asian Development Bank, Manila. </w:t>
      </w:r>
      <w:r w:rsidR="004279B5">
        <w:rPr>
          <w:rFonts w:asciiTheme="minorBidi" w:hAnsiTheme="minorBidi" w:cstheme="minorBidi"/>
          <w:sz w:val="22"/>
          <w:szCs w:val="22"/>
        </w:rPr>
        <w:t>2001.</w:t>
      </w:r>
    </w:p>
    <w:p w:rsidR="004A4BAF" w:rsidRPr="004279B5" w:rsidRDefault="004A4BAF" w:rsidP="004279B5">
      <w:pPr>
        <w:pStyle w:val="ListParagraph"/>
        <w:numPr>
          <w:ilvl w:val="0"/>
          <w:numId w:val="31"/>
        </w:numPr>
        <w:spacing w:after="160"/>
        <w:jc w:val="both"/>
        <w:rPr>
          <w:rFonts w:asciiTheme="minorBidi" w:hAnsiTheme="minorBidi" w:cstheme="minorBidi"/>
          <w:sz w:val="22"/>
          <w:szCs w:val="22"/>
        </w:rPr>
      </w:pPr>
      <w:r w:rsidRPr="004279B5">
        <w:rPr>
          <w:rFonts w:asciiTheme="minorBidi" w:hAnsiTheme="minorBidi" w:cstheme="minorBidi"/>
          <w:sz w:val="22"/>
          <w:szCs w:val="22"/>
        </w:rPr>
        <w:t xml:space="preserve">Yawson AE, Amoaful EO, Senaya LK, Yawson AO, Aboagye PK, Mahama AB, et al. The lancet series nutritional interventions in Ghana: a determinants analysis approach to inform nutrition strategic planning. </w:t>
      </w:r>
      <w:r w:rsidR="004279B5">
        <w:rPr>
          <w:rFonts w:asciiTheme="minorBidi" w:hAnsiTheme="minorBidi" w:cstheme="minorBidi"/>
          <w:sz w:val="22"/>
          <w:szCs w:val="22"/>
        </w:rPr>
        <w:t xml:space="preserve">2017; </w:t>
      </w:r>
      <w:r w:rsidRPr="004279B5">
        <w:rPr>
          <w:rFonts w:asciiTheme="minorBidi" w:hAnsiTheme="minorBidi" w:cstheme="minorBidi"/>
          <w:sz w:val="22"/>
          <w:szCs w:val="22"/>
        </w:rPr>
        <w:t>BMC Nutr 3:1–8.</w:t>
      </w:r>
    </w:p>
    <w:p w:rsidR="004A4BAF" w:rsidRPr="004279B5" w:rsidRDefault="004A4BAF" w:rsidP="004279B5">
      <w:pPr>
        <w:numPr>
          <w:ilvl w:val="0"/>
          <w:numId w:val="31"/>
        </w:numPr>
        <w:spacing w:after="160"/>
        <w:jc w:val="both"/>
        <w:rPr>
          <w:rFonts w:asciiTheme="minorBidi" w:hAnsiTheme="minorBidi" w:cstheme="minorBidi"/>
          <w:sz w:val="22"/>
          <w:szCs w:val="22"/>
        </w:rPr>
      </w:pPr>
      <w:r w:rsidRPr="004279B5">
        <w:rPr>
          <w:rFonts w:asciiTheme="minorBidi" w:hAnsiTheme="minorBidi" w:cstheme="minorBidi"/>
          <w:sz w:val="22"/>
          <w:szCs w:val="22"/>
        </w:rPr>
        <w:t xml:space="preserve">Salifu Y, Agyeman YN, Lasong J. Adherence to and predictors of iron-folate acid supplementation among pregnant women in a pastoral population in Ghana: A community-based cross-sectional study. </w:t>
      </w:r>
      <w:r w:rsidR="004279B5">
        <w:rPr>
          <w:rFonts w:asciiTheme="minorBidi" w:hAnsiTheme="minorBidi" w:cstheme="minorBidi"/>
          <w:sz w:val="22"/>
          <w:szCs w:val="22"/>
        </w:rPr>
        <w:t xml:space="preserve">2024; </w:t>
      </w:r>
      <w:r w:rsidRPr="004279B5">
        <w:rPr>
          <w:rFonts w:asciiTheme="minorBidi" w:hAnsiTheme="minorBidi" w:cstheme="minorBidi"/>
          <w:i/>
          <w:iCs/>
          <w:sz w:val="22"/>
          <w:szCs w:val="22"/>
        </w:rPr>
        <w:t>Reprod Health, 21</w:t>
      </w:r>
      <w:r w:rsidRPr="004279B5">
        <w:rPr>
          <w:rFonts w:asciiTheme="minorBidi" w:hAnsiTheme="minorBidi" w:cstheme="minorBidi"/>
          <w:sz w:val="22"/>
          <w:szCs w:val="22"/>
        </w:rPr>
        <w:t xml:space="preserve">(165). </w:t>
      </w:r>
      <w:hyperlink r:id="rId9" w:history="1">
        <w:r w:rsidRPr="004279B5">
          <w:rPr>
            <w:rStyle w:val="Hyperlink"/>
            <w:rFonts w:asciiTheme="minorBidi" w:hAnsiTheme="minorBidi" w:cstheme="minorBidi"/>
            <w:sz w:val="22"/>
            <w:szCs w:val="22"/>
          </w:rPr>
          <w:t>https://reproductive-health-journal.biomedcentral.com/articles/10.1186/s12978-024-01877-z</w:t>
        </w:r>
      </w:hyperlink>
    </w:p>
    <w:p w:rsidR="004A4BAF" w:rsidRPr="004279B5" w:rsidRDefault="004A4BAF" w:rsidP="004279B5">
      <w:pPr>
        <w:numPr>
          <w:ilvl w:val="0"/>
          <w:numId w:val="31"/>
        </w:numPr>
        <w:spacing w:after="160"/>
        <w:jc w:val="both"/>
        <w:rPr>
          <w:rFonts w:asciiTheme="minorBidi" w:hAnsiTheme="minorBidi" w:cstheme="minorBidi"/>
          <w:sz w:val="22"/>
          <w:szCs w:val="22"/>
        </w:rPr>
      </w:pPr>
      <w:r w:rsidRPr="004279B5">
        <w:rPr>
          <w:rFonts w:asciiTheme="minorBidi" w:hAnsiTheme="minorBidi" w:cstheme="minorBidi"/>
          <w:sz w:val="22"/>
          <w:szCs w:val="22"/>
        </w:rPr>
        <w:t>Saeed MS, Adam GK, Hussein SM, AlHabardi N, Adam I. Prevalence and factors associated with adherence to iron-folic acid supplementation among pregnant women in Eastern Sudan: A cross-sectional study.</w:t>
      </w:r>
      <w:r w:rsidR="004279B5">
        <w:rPr>
          <w:rFonts w:asciiTheme="minorBidi" w:hAnsiTheme="minorBidi" w:cstheme="minorBidi"/>
          <w:sz w:val="22"/>
          <w:szCs w:val="22"/>
        </w:rPr>
        <w:t xml:space="preserve"> 2024;</w:t>
      </w:r>
      <w:r w:rsidRPr="004279B5">
        <w:rPr>
          <w:rFonts w:asciiTheme="minorBidi" w:hAnsiTheme="minorBidi" w:cstheme="minorBidi"/>
          <w:i/>
          <w:iCs/>
          <w:sz w:val="22"/>
          <w:szCs w:val="22"/>
        </w:rPr>
        <w:t>Pat Pref Adher, 18</w:t>
      </w:r>
      <w:r w:rsidRPr="004279B5">
        <w:rPr>
          <w:rFonts w:asciiTheme="minorBidi" w:hAnsiTheme="minorBidi" w:cstheme="minorBidi"/>
          <w:sz w:val="22"/>
          <w:szCs w:val="22"/>
        </w:rPr>
        <w:t xml:space="preserve">, 1665–1674. </w:t>
      </w:r>
      <w:hyperlink r:id="rId10" w:history="1">
        <w:r w:rsidRPr="004279B5">
          <w:rPr>
            <w:rStyle w:val="Hyperlink"/>
            <w:rFonts w:asciiTheme="minorBidi" w:hAnsiTheme="minorBidi" w:cstheme="minorBidi"/>
            <w:sz w:val="22"/>
            <w:szCs w:val="22"/>
          </w:rPr>
          <w:t>https://doi.org/10.2147/PPA.S476738</w:t>
        </w:r>
      </w:hyperlink>
    </w:p>
    <w:p w:rsidR="004A4BAF" w:rsidRPr="004279B5" w:rsidRDefault="004A4BAF" w:rsidP="004279B5">
      <w:pPr>
        <w:numPr>
          <w:ilvl w:val="0"/>
          <w:numId w:val="31"/>
        </w:numPr>
        <w:spacing w:after="160"/>
        <w:jc w:val="both"/>
        <w:rPr>
          <w:rFonts w:asciiTheme="minorBidi" w:hAnsiTheme="minorBidi" w:cstheme="minorBidi"/>
          <w:sz w:val="22"/>
          <w:szCs w:val="22"/>
        </w:rPr>
      </w:pPr>
      <w:r w:rsidRPr="004279B5">
        <w:rPr>
          <w:rFonts w:asciiTheme="minorBidi" w:hAnsiTheme="minorBidi" w:cstheme="minorBidi"/>
          <w:sz w:val="22"/>
          <w:szCs w:val="22"/>
        </w:rPr>
        <w:t>Tefera AA, Ibrahim NA, Umer AA.Adherence to iron and folate supplementation and associated factors among women attending antenatal care in public health facilities during the COVID-19 pandemic in Ethiopia.</w:t>
      </w:r>
      <w:r w:rsidR="004279B5">
        <w:rPr>
          <w:rFonts w:asciiTheme="minorBidi" w:hAnsiTheme="minorBidi" w:cstheme="minorBidi"/>
          <w:sz w:val="22"/>
          <w:szCs w:val="22"/>
        </w:rPr>
        <w:t xml:space="preserve"> 2023;</w:t>
      </w:r>
      <w:r w:rsidRPr="004279B5">
        <w:rPr>
          <w:rFonts w:asciiTheme="minorBidi" w:hAnsiTheme="minorBidi" w:cstheme="minorBidi"/>
          <w:i/>
          <w:iCs/>
          <w:sz w:val="22"/>
          <w:szCs w:val="22"/>
        </w:rPr>
        <w:t>PLOS Glob Public Health</w:t>
      </w:r>
      <w:r w:rsidRPr="004279B5">
        <w:rPr>
          <w:rFonts w:asciiTheme="minorBidi" w:hAnsiTheme="minorBidi" w:cstheme="minorBidi"/>
          <w:sz w:val="22"/>
          <w:szCs w:val="22"/>
        </w:rPr>
        <w:t xml:space="preserve">. </w:t>
      </w:r>
      <w:hyperlink r:id="rId11" w:history="1">
        <w:r w:rsidRPr="004279B5">
          <w:rPr>
            <w:rStyle w:val="Hyperlink"/>
            <w:rFonts w:asciiTheme="minorBidi" w:hAnsiTheme="minorBidi" w:cstheme="minorBidi"/>
            <w:sz w:val="22"/>
            <w:szCs w:val="22"/>
          </w:rPr>
          <w:t>https://doi.org/10.1371/journal.pgph.0000825</w:t>
        </w:r>
      </w:hyperlink>
    </w:p>
    <w:p w:rsidR="004D4277" w:rsidRPr="004279B5" w:rsidRDefault="004D4277" w:rsidP="004279B5">
      <w:pPr>
        <w:pStyle w:val="Appendix"/>
        <w:spacing w:after="0"/>
        <w:jc w:val="both"/>
        <w:rPr>
          <w:rFonts w:asciiTheme="minorBidi" w:hAnsiTheme="minorBidi" w:cstheme="minorBidi"/>
          <w:b w:val="0"/>
          <w:szCs w:val="22"/>
        </w:rPr>
        <w:sectPr w:rsidR="004D4277" w:rsidRPr="004279B5" w:rsidSect="008A7613">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2016" w:bottom="2016" w:left="2016" w:header="720" w:footer="1123" w:gutter="0"/>
          <w:cols w:space="720"/>
          <w:docGrid w:linePitch="272"/>
        </w:sectPr>
      </w:pPr>
    </w:p>
    <w:p w:rsidR="00B01FCD" w:rsidRPr="004279B5" w:rsidRDefault="00B01FCD" w:rsidP="004279B5">
      <w:pPr>
        <w:pStyle w:val="Appendix"/>
        <w:spacing w:after="0"/>
        <w:jc w:val="both"/>
        <w:rPr>
          <w:rFonts w:asciiTheme="minorBidi" w:hAnsiTheme="minorBidi" w:cstheme="minorBidi"/>
          <w:b w:val="0"/>
          <w:szCs w:val="22"/>
        </w:rPr>
      </w:pPr>
    </w:p>
    <w:sectPr w:rsidR="00B01FCD" w:rsidRPr="004279B5" w:rsidSect="008A7613">
      <w:type w:val="continuous"/>
      <w:pgSz w:w="12240" w:h="15840"/>
      <w:pgMar w:top="720" w:right="720" w:bottom="720" w:left="72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USER" w:date="2025-09-17T03:34:00Z" w:initials="U">
    <w:p w:rsidR="00FE7C71" w:rsidRDefault="00FE7C71">
      <w:pPr>
        <w:pStyle w:val="CommentText"/>
      </w:pPr>
      <w:r>
        <w:rPr>
          <w:rStyle w:val="CommentReference"/>
        </w:rPr>
        <w:annotationRef/>
      </w:r>
      <w:r>
        <w:t xml:space="preserve">Avoid  the  use of  personal pronoun </w:t>
      </w:r>
      <w:r w:rsidR="00594B86">
        <w:t xml:space="preserve">. The  conclusion is not laudable . please be concise  in the conclusion </w:t>
      </w:r>
    </w:p>
  </w:comment>
  <w:comment w:id="2" w:author="USER" w:date="2025-09-17T03:36:00Z" w:initials="U">
    <w:p w:rsidR="00F80099" w:rsidRDefault="00F80099">
      <w:pPr>
        <w:pStyle w:val="CommentText"/>
      </w:pPr>
      <w:r>
        <w:rPr>
          <w:rStyle w:val="CommentReference"/>
        </w:rPr>
        <w:annotationRef/>
      </w:r>
      <w:r>
        <w:t xml:space="preserve"> The  introduction should be from neneral  to specific .  we would  want to see  what is happening from around the world then to  African , then to Ghana</w:t>
      </w:r>
    </w:p>
  </w:comment>
  <w:comment w:id="3" w:author="USER" w:date="2025-09-17T03:39:00Z" w:initials="U">
    <w:p w:rsidR="00BE7F75" w:rsidRDefault="00BE7F75">
      <w:pPr>
        <w:pStyle w:val="CommentText"/>
      </w:pPr>
      <w:r>
        <w:rPr>
          <w:rStyle w:val="CommentReference"/>
        </w:rPr>
        <w:annotationRef/>
      </w:r>
      <w:r>
        <w:t xml:space="preserve">The  conclusion  should be  contentx specific to  arrive at logical conclusion from the study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0956" w:rsidRDefault="000C0956" w:rsidP="00C37E61">
      <w:r>
        <w:separator/>
      </w:r>
    </w:p>
  </w:endnote>
  <w:endnote w:type="continuationSeparator" w:id="1">
    <w:p w:rsidR="000C0956" w:rsidRDefault="000C0956" w:rsidP="00C37E61">
      <w:r>
        <w:continuationSeparator/>
      </w:r>
    </w:p>
  </w:endnote>
</w:endnotes>
</file>

<file path=word/fontTable.xml><?xml version="1.0" encoding="utf-8"?>
<w:fonts xmlns:r="http://schemas.openxmlformats.org/officeDocument/2006/relationships" xmlns:w="http://schemas.openxmlformats.org/wordprocessingml/2006/main">
  <w:font w:name="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613" w:rsidRDefault="008A761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613" w:rsidRDefault="008A761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613" w:rsidRDefault="008A761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0956" w:rsidRDefault="000C0956" w:rsidP="00C37E61">
      <w:r>
        <w:separator/>
      </w:r>
    </w:p>
  </w:footnote>
  <w:footnote w:type="continuationSeparator" w:id="1">
    <w:p w:rsidR="000C0956" w:rsidRDefault="000C0956" w:rsidP="00C37E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613" w:rsidRDefault="005B0B1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602867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613" w:rsidRDefault="005B0B1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602867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613" w:rsidRDefault="005B0B1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6028671"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F355688"/>
    <w:multiLevelType w:val="hybridMultilevel"/>
    <w:tmpl w:val="B218F306"/>
    <w:lvl w:ilvl="0" w:tplc="2000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9"/>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 w:numId="31">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attachedTemplate r:id="rId1"/>
  <w:stylePaneFormatFilter w:val="3F01"/>
  <w:defaultTabStop w:val="720"/>
  <w:doNotHyphenateCaps/>
  <w:drawingGridHorizontalSpacing w:val="100"/>
  <w:displayHorizontalDrawingGridEvery w:val="0"/>
  <w:displayVerticalDrawingGridEvery w:val="0"/>
  <w:noPunctuationKerning/>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AA6219"/>
    <w:rsid w:val="00000F8F"/>
    <w:rsid w:val="00030174"/>
    <w:rsid w:val="0004579C"/>
    <w:rsid w:val="000578AA"/>
    <w:rsid w:val="000A47FA"/>
    <w:rsid w:val="000A65D3"/>
    <w:rsid w:val="000B1E33"/>
    <w:rsid w:val="000C0956"/>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16F5"/>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5C5E"/>
    <w:rsid w:val="003C6258"/>
    <w:rsid w:val="003E2904"/>
    <w:rsid w:val="00401927"/>
    <w:rsid w:val="0041027F"/>
    <w:rsid w:val="00412475"/>
    <w:rsid w:val="00423789"/>
    <w:rsid w:val="004279B5"/>
    <w:rsid w:val="00440F43"/>
    <w:rsid w:val="00441B6F"/>
    <w:rsid w:val="00446221"/>
    <w:rsid w:val="00450E62"/>
    <w:rsid w:val="004539DB"/>
    <w:rsid w:val="00471A80"/>
    <w:rsid w:val="004844F9"/>
    <w:rsid w:val="004A4BAF"/>
    <w:rsid w:val="004D305E"/>
    <w:rsid w:val="004D4277"/>
    <w:rsid w:val="00502516"/>
    <w:rsid w:val="00505F06"/>
    <w:rsid w:val="00506828"/>
    <w:rsid w:val="0053056E"/>
    <w:rsid w:val="00554FDA"/>
    <w:rsid w:val="005800A7"/>
    <w:rsid w:val="00594B86"/>
    <w:rsid w:val="005B0B19"/>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14B"/>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75FFE"/>
    <w:rsid w:val="00886091"/>
    <w:rsid w:val="008A761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127D4"/>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E7F75"/>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3BFB"/>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E6DCE"/>
    <w:rsid w:val="00EF581D"/>
    <w:rsid w:val="00EF5838"/>
    <w:rsid w:val="00EF7FD8"/>
    <w:rsid w:val="00F06F59"/>
    <w:rsid w:val="00F17988"/>
    <w:rsid w:val="00F43699"/>
    <w:rsid w:val="00F469F0"/>
    <w:rsid w:val="00F53273"/>
    <w:rsid w:val="00F755E4"/>
    <w:rsid w:val="00F77D02"/>
    <w:rsid w:val="00F80099"/>
    <w:rsid w:val="00FB3A86"/>
    <w:rsid w:val="00FC004A"/>
    <w:rsid w:val="00FD36C8"/>
    <w:rsid w:val="00FE55B2"/>
    <w:rsid w:val="00FE7C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2816F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3C5C5E"/>
    <w:pPr>
      <w:ind w:left="720"/>
      <w:contextualSpacing/>
    </w:pPr>
  </w:style>
  <w:style w:type="character" w:customStyle="1" w:styleId="Heading3Char">
    <w:name w:val="Heading 3 Char"/>
    <w:basedOn w:val="DefaultParagraphFont"/>
    <w:link w:val="Heading3"/>
    <w:semiHidden/>
    <w:rsid w:val="002816F5"/>
    <w:rPr>
      <w:rFonts w:asciiTheme="majorHAnsi" w:eastAsiaTheme="majorEastAsia" w:hAnsiTheme="majorHAnsi" w:cstheme="majorBidi"/>
      <w:color w:val="243F60" w:themeColor="accent1" w:themeShade="7F"/>
      <w:sz w:val="24"/>
      <w:szCs w:val="24"/>
    </w:rPr>
  </w:style>
  <w:style w:type="paragraph" w:styleId="CommentSubject">
    <w:name w:val="annotation subject"/>
    <w:basedOn w:val="CommentText"/>
    <w:next w:val="CommentText"/>
    <w:link w:val="CommentSubjectChar"/>
    <w:semiHidden/>
    <w:unhideWhenUsed/>
    <w:rsid w:val="00FE7C71"/>
    <w:rPr>
      <w:rFonts w:ascii="Helvetica" w:hAnsi="Helvetica"/>
      <w:b/>
      <w:bCs/>
      <w:lang w:val="en-US" w:eastAsia="en-US"/>
    </w:rPr>
  </w:style>
  <w:style w:type="character" w:customStyle="1" w:styleId="CommentSubjectChar">
    <w:name w:val="Comment Subject Char"/>
    <w:basedOn w:val="CommentTextChar"/>
    <w:link w:val="CommentSubject"/>
    <w:semiHidden/>
    <w:rsid w:val="00FE7C71"/>
    <w:rPr>
      <w:rFonts w:ascii="Helvetica" w:hAnsi="Helvetica"/>
      <w:b/>
      <w:bCs/>
    </w:rPr>
  </w:style>
</w:styles>
</file>

<file path=word/webSettings.xml><?xml version="1.0" encoding="utf-8"?>
<w:webSettings xmlns:r="http://schemas.openxmlformats.org/officeDocument/2006/relationships" xmlns:w="http://schemas.openxmlformats.org/wordprocessingml/2006/main">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371/journal.pgph.0000825"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oi.org/10.2147/PPA.S476738"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reproductive-health-journal.biomedcentral.com/articles/10.1186/s12978-024-01877-z"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36F312-94B3-4A26-83D4-6E9701FBF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TotalTime>
  <Pages>3</Pages>
  <Words>1134</Words>
  <Characters>6468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7587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USER</cp:lastModifiedBy>
  <cp:revision>6</cp:revision>
  <cp:lastPrinted>1999-07-06T11:00:00Z</cp:lastPrinted>
  <dcterms:created xsi:type="dcterms:W3CDTF">2025-09-17T10:29:00Z</dcterms:created>
  <dcterms:modified xsi:type="dcterms:W3CDTF">2025-09-17T10:39:00Z</dcterms:modified>
</cp:coreProperties>
</file>