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D1DA6" w14:textId="77777777" w:rsidR="00754C9A" w:rsidRPr="00033C00" w:rsidRDefault="00754C9A" w:rsidP="00441B6F">
      <w:pPr>
        <w:pStyle w:val="Title"/>
        <w:spacing w:after="0"/>
        <w:jc w:val="both"/>
        <w:rPr>
          <w:rFonts w:ascii="Arial" w:hAnsi="Arial" w:cs="Arial"/>
        </w:rPr>
      </w:pPr>
    </w:p>
    <w:p w14:paraId="590B6B8C" w14:textId="77777777" w:rsidR="009B64BB" w:rsidRPr="00033C00" w:rsidRDefault="009B64BB" w:rsidP="009B64BB">
      <w:pPr>
        <w:jc w:val="right"/>
        <w:rPr>
          <w:rFonts w:ascii="Arial" w:hAnsi="Arial" w:cs="Arial"/>
          <w:b/>
          <w:sz w:val="40"/>
          <w:szCs w:val="32"/>
        </w:rPr>
      </w:pPr>
      <w:r w:rsidRPr="00033C00">
        <w:rPr>
          <w:rFonts w:ascii="Arial" w:hAnsi="Arial" w:cs="Arial"/>
          <w:b/>
          <w:sz w:val="36"/>
          <w:szCs w:val="24"/>
        </w:rPr>
        <w:t xml:space="preserve">Leveraging </w:t>
      </w:r>
      <w:bookmarkStart w:id="0" w:name="_Hlk212460317"/>
      <w:r w:rsidRPr="00033C00">
        <w:rPr>
          <w:rFonts w:ascii="Arial" w:hAnsi="Arial" w:cs="Arial"/>
          <w:b/>
          <w:sz w:val="36"/>
          <w:szCs w:val="24"/>
        </w:rPr>
        <w:t xml:space="preserve">AI-Powered </w:t>
      </w:r>
      <w:bookmarkEnd w:id="0"/>
      <w:r w:rsidRPr="00033C00">
        <w:rPr>
          <w:rFonts w:ascii="Arial" w:hAnsi="Arial" w:cs="Arial"/>
          <w:b/>
          <w:sz w:val="36"/>
          <w:szCs w:val="24"/>
        </w:rPr>
        <w:t xml:space="preserve">Conversational Agents to Address </w:t>
      </w:r>
      <w:bookmarkStart w:id="1" w:name="_Hlk212460336"/>
      <w:r w:rsidRPr="00033C00">
        <w:rPr>
          <w:rFonts w:ascii="Arial" w:hAnsi="Arial" w:cs="Arial"/>
          <w:b/>
          <w:sz w:val="36"/>
          <w:szCs w:val="24"/>
        </w:rPr>
        <w:t xml:space="preserve">Vaccine Hesitancy </w:t>
      </w:r>
      <w:bookmarkEnd w:id="1"/>
      <w:r w:rsidRPr="00033C00">
        <w:rPr>
          <w:rFonts w:ascii="Arial" w:hAnsi="Arial" w:cs="Arial"/>
          <w:b/>
          <w:sz w:val="36"/>
          <w:szCs w:val="24"/>
        </w:rPr>
        <w:t>in Low-Resource African Settings: A Public Health Perspective</w:t>
      </w:r>
    </w:p>
    <w:p w14:paraId="57322A49" w14:textId="77777777" w:rsidR="00A258C3" w:rsidRPr="00033C00" w:rsidRDefault="00A258C3" w:rsidP="00441B6F">
      <w:pPr>
        <w:pStyle w:val="Author"/>
        <w:spacing w:line="240" w:lineRule="auto"/>
        <w:jc w:val="both"/>
        <w:rPr>
          <w:rFonts w:ascii="Arial" w:hAnsi="Arial" w:cs="Arial"/>
          <w:sz w:val="32"/>
          <w:szCs w:val="18"/>
        </w:rPr>
      </w:pPr>
    </w:p>
    <w:p w14:paraId="263C223D" w14:textId="0006F813" w:rsidR="00861F1C" w:rsidRPr="00033C00" w:rsidRDefault="00861F1C" w:rsidP="009B64BB">
      <w:pPr>
        <w:spacing w:line="276" w:lineRule="auto"/>
        <w:jc w:val="right"/>
        <w:rPr>
          <w:rFonts w:ascii="Arial" w:hAnsi="Arial" w:cs="Arial"/>
          <w:i/>
          <w:iCs/>
        </w:rPr>
      </w:pPr>
      <w:r>
        <w:rPr>
          <w:rFonts w:ascii="Arial" w:hAnsi="Arial" w:cs="Arial"/>
          <w:i/>
          <w:iCs/>
        </w:rPr>
        <w:t xml:space="preserve"> </w:t>
      </w:r>
    </w:p>
    <w:p w14:paraId="5943B152" w14:textId="77777777" w:rsidR="009B64BB" w:rsidRPr="00033C00" w:rsidRDefault="009B64BB" w:rsidP="00441B6F">
      <w:pPr>
        <w:pStyle w:val="Affiliation"/>
        <w:spacing w:after="0" w:line="240" w:lineRule="auto"/>
        <w:rPr>
          <w:rFonts w:ascii="Arial" w:hAnsi="Arial" w:cs="Arial"/>
          <w:i/>
        </w:rPr>
      </w:pPr>
    </w:p>
    <w:p w14:paraId="75987098" w14:textId="77777777" w:rsidR="00790ADA" w:rsidRPr="00033C00" w:rsidRDefault="00790ADA" w:rsidP="00441B6F">
      <w:pPr>
        <w:pStyle w:val="Affiliation"/>
        <w:spacing w:after="0" w:line="240" w:lineRule="auto"/>
        <w:jc w:val="both"/>
        <w:rPr>
          <w:rFonts w:ascii="Arial" w:hAnsi="Arial" w:cs="Arial"/>
        </w:rPr>
      </w:pPr>
    </w:p>
    <w:p w14:paraId="74246F53" w14:textId="77777777" w:rsidR="002C57D2" w:rsidRPr="00033C00" w:rsidRDefault="002C57D2" w:rsidP="00441B6F">
      <w:pPr>
        <w:pStyle w:val="Affiliation"/>
        <w:spacing w:after="0" w:line="240" w:lineRule="auto"/>
        <w:jc w:val="both"/>
        <w:rPr>
          <w:rFonts w:ascii="Arial" w:hAnsi="Arial" w:cs="Arial"/>
        </w:rPr>
      </w:pPr>
    </w:p>
    <w:p w14:paraId="34CFC9F3" w14:textId="7DB6E64D" w:rsidR="00B01FCD" w:rsidRPr="00033C00" w:rsidRDefault="0003616E" w:rsidP="00441B6F">
      <w:pPr>
        <w:pStyle w:val="Copyright"/>
        <w:spacing w:after="0" w:line="240" w:lineRule="auto"/>
        <w:jc w:val="both"/>
        <w:rPr>
          <w:rFonts w:ascii="Arial" w:hAnsi="Arial" w:cs="Arial"/>
        </w:rPr>
        <w:sectPr w:rsidR="00B01FCD" w:rsidRPr="00033C00" w:rsidSect="00872CB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sidRPr="00033C00">
        <w:rPr>
          <w:rFonts w:ascii="Arial" w:hAnsi="Arial" w:cs="Arial"/>
          <w:noProof/>
        </w:rPr>
        <mc:AlternateContent>
          <mc:Choice Requires="wps">
            <w:drawing>
              <wp:inline distT="0" distB="0" distL="0" distR="0" wp14:anchorId="6250F62A" wp14:editId="67CB4F87">
                <wp:extent cx="5303520" cy="635"/>
                <wp:effectExtent l="17145" t="9525" r="13335" b="9525"/>
                <wp:docPr id="17840591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B2B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33C00">
        <w:rPr>
          <w:rFonts w:ascii="Arial" w:hAnsi="Arial" w:cs="Arial"/>
        </w:rPr>
        <w:t>.</w:t>
      </w:r>
    </w:p>
    <w:p w14:paraId="2283406D" w14:textId="22A06041" w:rsidR="00B01FCD" w:rsidRPr="00033C00" w:rsidRDefault="00B01FCD" w:rsidP="00441B6F">
      <w:pPr>
        <w:pStyle w:val="AbstHead"/>
        <w:spacing w:after="0"/>
        <w:jc w:val="both"/>
        <w:rPr>
          <w:rFonts w:ascii="Arial" w:hAnsi="Arial" w:cs="Arial"/>
        </w:rPr>
      </w:pPr>
      <w:r w:rsidRPr="00033C00">
        <w:rPr>
          <w:rFonts w:ascii="Arial" w:hAnsi="Arial" w:cs="Arial"/>
        </w:rPr>
        <w:t>ABSTRACT</w:t>
      </w:r>
    </w:p>
    <w:p w14:paraId="204B6493" w14:textId="77777777" w:rsidR="00790ADA" w:rsidRPr="00033C0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033C00" w14:paraId="1C5A7437" w14:textId="77777777" w:rsidTr="001E44FE">
        <w:tc>
          <w:tcPr>
            <w:tcW w:w="9576" w:type="dxa"/>
            <w:shd w:val="clear" w:color="auto" w:fill="F2F2F2"/>
          </w:tcPr>
          <w:p w14:paraId="6BA0540A" w14:textId="4C57304A" w:rsidR="009B64BB" w:rsidRPr="00033C00" w:rsidRDefault="009B64BB" w:rsidP="009B64BB">
            <w:pPr>
              <w:spacing w:before="100" w:beforeAutospacing="1" w:after="100" w:afterAutospacing="1"/>
              <w:jc w:val="both"/>
              <w:rPr>
                <w:rFonts w:ascii="Arial" w:hAnsi="Arial" w:cs="Arial"/>
              </w:rPr>
            </w:pPr>
            <w:r w:rsidRPr="00033C00">
              <w:rPr>
                <w:rFonts w:ascii="Arial" w:hAnsi="Arial" w:cs="Arial"/>
              </w:rPr>
              <w:t>Vaccine hesitancy remains a critical public health challenge in many African countries, driven by misinformation, cultural beliefs, and limited access to reliable health education. This study explores the use of AI-powered conversational agents (chatbots) to improve vaccine literacy in Nigeria and other low-resource contexts. We review global applications of chatbots in public health, assess barriers to adoption in African settings, and propose a culturally adaptive, multimodal chatbot framework integrating text, voice, and visuals in local languages. A pilot study design is presented to evaluate feasibility across rural and urban settings. Our findings suggest that localized conversational agents can significantly increase comprehension, engagement, and trust in vaccines, offering a scalable and cost-effective approach to combating health misinformation. The study emphasizes the importance of linguistic and cultural adaptation, ethical data practices, and low-bandwidth deployment strategies. This work highlights the transformative potential of AI for public health communication in under-resourced regions.</w:t>
            </w:r>
          </w:p>
          <w:p w14:paraId="1E5ACC40" w14:textId="62FB05BC" w:rsidR="00505F06" w:rsidRPr="00033C00" w:rsidRDefault="00505F06" w:rsidP="009B64BB">
            <w:pPr>
              <w:pStyle w:val="Body"/>
              <w:spacing w:after="0"/>
              <w:rPr>
                <w:rFonts w:ascii="Arial" w:eastAsia="Calibri" w:hAnsi="Arial" w:cs="Arial"/>
                <w:szCs w:val="22"/>
              </w:rPr>
            </w:pPr>
          </w:p>
        </w:tc>
      </w:tr>
    </w:tbl>
    <w:p w14:paraId="552927F6" w14:textId="77777777" w:rsidR="00636EB2" w:rsidRPr="00033C00" w:rsidRDefault="00636EB2" w:rsidP="00441B6F">
      <w:pPr>
        <w:pStyle w:val="Body"/>
        <w:spacing w:after="0"/>
        <w:rPr>
          <w:rFonts w:ascii="Arial" w:hAnsi="Arial" w:cs="Arial"/>
          <w:i/>
        </w:rPr>
      </w:pPr>
    </w:p>
    <w:p w14:paraId="459B25E8" w14:textId="7F2C190C" w:rsidR="009B64BB" w:rsidRPr="00033C00" w:rsidRDefault="009B64BB" w:rsidP="009B64BB">
      <w:pPr>
        <w:spacing w:before="100" w:beforeAutospacing="1" w:after="100" w:afterAutospacing="1"/>
        <w:rPr>
          <w:rFonts w:ascii="Arial" w:hAnsi="Arial" w:cs="Arial"/>
        </w:rPr>
      </w:pPr>
      <w:r w:rsidRPr="00033C00">
        <w:rPr>
          <w:rFonts w:ascii="Arial" w:hAnsi="Arial" w:cs="Arial"/>
          <w:b/>
          <w:bCs/>
        </w:rPr>
        <w:t>Keywords:</w:t>
      </w:r>
      <w:r w:rsidRPr="00033C00">
        <w:rPr>
          <w:rFonts w:ascii="Arial" w:hAnsi="Arial" w:cs="Arial"/>
        </w:rPr>
        <w:t xml:space="preserve"> Vaccine Hesitancy, Conversational Agents, Artificial Intelligence, Health Communication, Low-Resource Settings, Public Health, Africa</w:t>
      </w:r>
    </w:p>
    <w:p w14:paraId="011956A5" w14:textId="77777777" w:rsidR="0024282C" w:rsidRPr="00033C00" w:rsidRDefault="0024282C" w:rsidP="00441B6F">
      <w:pPr>
        <w:pStyle w:val="Body"/>
        <w:spacing w:after="0"/>
        <w:rPr>
          <w:rFonts w:ascii="Arial" w:hAnsi="Arial" w:cs="Arial"/>
          <w:i/>
          <w:sz w:val="18"/>
        </w:rPr>
      </w:pPr>
    </w:p>
    <w:p w14:paraId="441D96A9" w14:textId="77777777" w:rsidR="00505F06" w:rsidRPr="00033C00" w:rsidRDefault="00505F06" w:rsidP="00441B6F">
      <w:pPr>
        <w:pStyle w:val="Body"/>
        <w:spacing w:after="0"/>
        <w:rPr>
          <w:rFonts w:ascii="Arial" w:hAnsi="Arial" w:cs="Arial"/>
          <w:i/>
        </w:rPr>
      </w:pPr>
    </w:p>
    <w:p w14:paraId="3E29BD5E" w14:textId="1C9176C1" w:rsidR="007F7B32" w:rsidRPr="00033C00" w:rsidRDefault="00902823" w:rsidP="00441B6F">
      <w:pPr>
        <w:pStyle w:val="AbstHead"/>
        <w:spacing w:after="0"/>
        <w:jc w:val="both"/>
        <w:rPr>
          <w:rFonts w:ascii="Arial" w:hAnsi="Arial" w:cs="Arial"/>
        </w:rPr>
      </w:pPr>
      <w:r w:rsidRPr="00033C00">
        <w:rPr>
          <w:rFonts w:ascii="Arial" w:hAnsi="Arial" w:cs="Arial"/>
        </w:rPr>
        <w:t xml:space="preserve">1. </w:t>
      </w:r>
      <w:r w:rsidR="00B01FCD" w:rsidRPr="00033C00">
        <w:rPr>
          <w:rFonts w:ascii="Arial" w:hAnsi="Arial" w:cs="Arial"/>
        </w:rPr>
        <w:t>INTRODUCTION</w:t>
      </w:r>
      <w:r w:rsidR="007F7B32" w:rsidRPr="00033C00">
        <w:rPr>
          <w:rFonts w:ascii="Arial" w:hAnsi="Arial" w:cs="Arial"/>
        </w:rPr>
        <w:t xml:space="preserve"> </w:t>
      </w:r>
    </w:p>
    <w:p w14:paraId="62529AA2" w14:textId="77777777" w:rsidR="00790ADA" w:rsidRPr="00033C00" w:rsidRDefault="00790ADA" w:rsidP="00441B6F">
      <w:pPr>
        <w:pStyle w:val="AbstHead"/>
        <w:spacing w:after="0"/>
        <w:jc w:val="both"/>
        <w:rPr>
          <w:rFonts w:ascii="Arial" w:hAnsi="Arial" w:cs="Arial"/>
        </w:rPr>
      </w:pPr>
    </w:p>
    <w:p w14:paraId="7247002D" w14:textId="62C7A5A9"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Vaccine-preventable diseases remain a major public health challenge in many low- and middle-income countries(LMICs),</w:t>
      </w:r>
      <w:r w:rsidR="008A2137">
        <w:rPr>
          <w:rFonts w:ascii="Times New Roman" w:hAnsi="Times New Roman"/>
          <w:szCs w:val="24"/>
        </w:rPr>
        <w:t xml:space="preserve"> particularly i</w:t>
      </w:r>
      <w:r w:rsidRPr="00033C00">
        <w:rPr>
          <w:rFonts w:ascii="Times New Roman" w:hAnsi="Times New Roman"/>
          <w:szCs w:val="24"/>
        </w:rPr>
        <w:t>n</w:t>
      </w:r>
      <w:r w:rsidR="008A2137">
        <w:rPr>
          <w:rFonts w:ascii="Times New Roman" w:hAnsi="Times New Roman"/>
          <w:szCs w:val="24"/>
        </w:rPr>
        <w:t xml:space="preserve"> </w:t>
      </w:r>
      <w:r w:rsidRPr="00033C00">
        <w:rPr>
          <w:rFonts w:ascii="Times New Roman" w:hAnsi="Times New Roman"/>
          <w:szCs w:val="24"/>
        </w:rPr>
        <w:t>sub-Saharan</w:t>
      </w:r>
      <w:r w:rsidR="008A2137">
        <w:rPr>
          <w:rFonts w:ascii="Times New Roman" w:hAnsi="Times New Roman"/>
          <w:szCs w:val="24"/>
        </w:rPr>
        <w:t xml:space="preserve"> </w:t>
      </w:r>
      <w:r w:rsidRPr="00033C00">
        <w:rPr>
          <w:rFonts w:ascii="Times New Roman" w:hAnsi="Times New Roman"/>
          <w:szCs w:val="24"/>
        </w:rPr>
        <w:t>Africa[</w:t>
      </w:r>
      <w:r w:rsidRPr="00033C00">
        <w:rPr>
          <w:rStyle w:val="EndnoteReference"/>
          <w:rFonts w:ascii="Times New Roman" w:hAnsi="Times New Roman"/>
          <w:szCs w:val="24"/>
          <w:vertAlign w:val="baseline"/>
        </w:rPr>
        <w:endnoteReference w:id="1"/>
      </w:r>
      <w:r w:rsidRPr="00033C00">
        <w:rPr>
          <w:rFonts w:ascii="Times New Roman" w:hAnsi="Times New Roman"/>
          <w:szCs w:val="24"/>
        </w:rPr>
        <w:t>]</w:t>
      </w:r>
      <w:r w:rsidR="008A2137">
        <w:rPr>
          <w:rFonts w:ascii="Times New Roman" w:hAnsi="Times New Roman"/>
          <w:szCs w:val="24"/>
        </w:rPr>
        <w:t xml:space="preserve">.  </w:t>
      </w:r>
      <w:r w:rsidRPr="00033C00">
        <w:rPr>
          <w:rFonts w:ascii="Times New Roman" w:hAnsi="Times New Roman"/>
          <w:szCs w:val="24"/>
        </w:rPr>
        <w:t>Despite progress in vaccine development and global immunization campaigns, vaccine hesitancy defined as the delay in acceptance or refusal of vaccines despite availability continues to threaten herd immunity and disease control</w:t>
      </w:r>
      <w:r w:rsidRPr="00033C00">
        <w:t>[</w:t>
      </w:r>
      <w:r w:rsidRPr="00033C00">
        <w:rPr>
          <w:rStyle w:val="EndnoteReference"/>
          <w:vertAlign w:val="baseline"/>
        </w:rPr>
        <w:endnoteReference w:id="2"/>
      </w:r>
      <w:r w:rsidRPr="00033C00">
        <w:t>]</w:t>
      </w:r>
      <w:r w:rsidRPr="00033C00">
        <w:rPr>
          <w:rFonts w:ascii="Times New Roman" w:hAnsi="Times New Roman"/>
          <w:szCs w:val="24"/>
        </w:rPr>
        <w:t>. In Nigeria, for example, hesitancy has impeded efforts to eliminate polio and control outbreaks of measles, yellow fever, and COVID-19</w:t>
      </w:r>
      <w:r w:rsidRPr="00033C00">
        <w:t>[</w:t>
      </w:r>
      <w:r w:rsidRPr="00033C00">
        <w:rPr>
          <w:rStyle w:val="EndnoteReference"/>
          <w:vertAlign w:val="baseline"/>
        </w:rPr>
        <w:endnoteReference w:id="3"/>
      </w:r>
      <w:r w:rsidRPr="00033C00">
        <w:t>]</w:t>
      </w:r>
      <w:r w:rsidRPr="00033C00">
        <w:rPr>
          <w:rFonts w:ascii="Times New Roman" w:hAnsi="Times New Roman"/>
          <w:szCs w:val="24"/>
        </w:rPr>
        <w:t>. The reasons for hesitancy are multifaceted, encompassing misinformation, cultural and religious beliefs, historical distrust in public institutions, and limited access to healthcare services, especially in rural and underserved areas. Traditional public health strategies such as community mobilization, radio messaging, and door-to-door campaigns have achieved variable success</w:t>
      </w:r>
      <w:r w:rsidRPr="00033C00">
        <w:t>[</w:t>
      </w:r>
      <w:r w:rsidRPr="00033C00">
        <w:rPr>
          <w:rStyle w:val="EndnoteReference"/>
          <w:vertAlign w:val="baseline"/>
        </w:rPr>
        <w:endnoteReference w:id="4"/>
      </w:r>
      <w:r w:rsidRPr="00033C00">
        <w:t>]</w:t>
      </w:r>
      <w:r w:rsidRPr="00033C00">
        <w:rPr>
          <w:rFonts w:ascii="Times New Roman" w:hAnsi="Times New Roman"/>
          <w:szCs w:val="24"/>
        </w:rPr>
        <w:t>. However, with the rise of mobile technology and digital access, particularly through smartphones and messaging platforms, there is growing interest in using artificial intelligence (AI)-based interventions to enhance vaccine literacy</w:t>
      </w:r>
      <w:r w:rsidRPr="00033C00">
        <w:t>[</w:t>
      </w:r>
      <w:r w:rsidRPr="00033C00">
        <w:rPr>
          <w:rStyle w:val="EndnoteReference"/>
          <w:vertAlign w:val="baseline"/>
        </w:rPr>
        <w:endnoteReference w:id="5"/>
      </w:r>
      <w:r w:rsidRPr="00033C00">
        <w:t>]</w:t>
      </w:r>
      <w:r w:rsidRPr="00033C00">
        <w:rPr>
          <w:rFonts w:ascii="Times New Roman" w:hAnsi="Times New Roman"/>
          <w:szCs w:val="24"/>
        </w:rPr>
        <w:t xml:space="preserve">. Among these, </w:t>
      </w:r>
      <w:r w:rsidRPr="00033C00">
        <w:rPr>
          <w:rFonts w:ascii="Times New Roman" w:hAnsi="Times New Roman"/>
          <w:bCs/>
          <w:szCs w:val="24"/>
        </w:rPr>
        <w:t>conversational agents (CAs)</w:t>
      </w:r>
      <w:r w:rsidRPr="00033C00">
        <w:rPr>
          <w:rFonts w:ascii="Times New Roman" w:hAnsi="Times New Roman"/>
          <w:szCs w:val="24"/>
        </w:rPr>
        <w:t xml:space="preserve"> commonly referred to as chatbots offer an innovative and </w:t>
      </w:r>
      <w:r w:rsidRPr="00033C00">
        <w:rPr>
          <w:rFonts w:ascii="Times New Roman" w:hAnsi="Times New Roman"/>
          <w:szCs w:val="24"/>
        </w:rPr>
        <w:lastRenderedPageBreak/>
        <w:t>scalable means of addressing public health misinformation, especially where human resources for health are limited</w:t>
      </w:r>
      <w:r w:rsidR="00307FF0">
        <w:rPr>
          <w:rFonts w:ascii="Times New Roman" w:hAnsi="Times New Roman"/>
          <w:szCs w:val="24"/>
        </w:rPr>
        <w:t xml:space="preserve"> </w:t>
      </w:r>
      <w:r w:rsidRPr="00033C00">
        <w:t>[</w:t>
      </w:r>
      <w:r w:rsidRPr="00033C00">
        <w:rPr>
          <w:rStyle w:val="EndnoteReference"/>
          <w:vertAlign w:val="baseline"/>
        </w:rPr>
        <w:endnoteReference w:id="6"/>
      </w:r>
      <w:r w:rsidRPr="00033C00">
        <w:t>]</w:t>
      </w:r>
      <w:r w:rsidRPr="00033C00">
        <w:rPr>
          <w:rFonts w:ascii="Times New Roman" w:hAnsi="Times New Roman"/>
          <w:szCs w:val="24"/>
        </w:rPr>
        <w:t>. Conversational agents can simulate human-like dialogue using natural language processing (NLP), enabling real-time engagement with users</w:t>
      </w:r>
      <w:r w:rsidRPr="00033C00">
        <w:t>[</w:t>
      </w:r>
      <w:r w:rsidRPr="00033C00">
        <w:rPr>
          <w:rStyle w:val="EndnoteReference"/>
          <w:vertAlign w:val="baseline"/>
        </w:rPr>
        <w:endnoteReference w:id="7"/>
      </w:r>
      <w:r w:rsidRPr="00033C00">
        <w:t>]</w:t>
      </w:r>
      <w:r w:rsidRPr="00033C00">
        <w:rPr>
          <w:rFonts w:ascii="Times New Roman" w:hAnsi="Times New Roman"/>
          <w:szCs w:val="24"/>
        </w:rPr>
        <w:t>. When designed with cultural and linguistic relevance in mind, CAs can provide trustworthy, context-aware information on vaccines, dispel common myths, and guide users through immunization services</w:t>
      </w:r>
      <w:r w:rsidR="00307FF0">
        <w:rPr>
          <w:rFonts w:ascii="Times New Roman" w:hAnsi="Times New Roman"/>
          <w:szCs w:val="24"/>
        </w:rPr>
        <w:t xml:space="preserve"> </w:t>
      </w:r>
      <w:r w:rsidRPr="00033C00">
        <w:t>[</w:t>
      </w:r>
      <w:r w:rsidRPr="00033C00">
        <w:rPr>
          <w:rStyle w:val="EndnoteReference"/>
          <w:vertAlign w:val="baseline"/>
        </w:rPr>
        <w:endnoteReference w:id="8"/>
      </w:r>
      <w:r w:rsidRPr="00033C00">
        <w:t>]</w:t>
      </w:r>
      <w:r w:rsidRPr="00033C00">
        <w:rPr>
          <w:rFonts w:ascii="Times New Roman" w:hAnsi="Times New Roman"/>
          <w:szCs w:val="24"/>
        </w:rPr>
        <w:t xml:space="preserve">. Globally, tools such as </w:t>
      </w:r>
      <w:r w:rsidRPr="00033C00">
        <w:rPr>
          <w:rFonts w:ascii="Times New Roman" w:hAnsi="Times New Roman"/>
          <w:i/>
          <w:iCs/>
          <w:szCs w:val="24"/>
        </w:rPr>
        <w:t>Vaxera</w:t>
      </w:r>
      <w:r w:rsidRPr="00033C00">
        <w:rPr>
          <w:rFonts w:ascii="Times New Roman" w:hAnsi="Times New Roman"/>
          <w:szCs w:val="24"/>
        </w:rPr>
        <w:t xml:space="preserve"> in Egypt</w:t>
      </w:r>
      <w:r w:rsidR="00307FF0">
        <w:rPr>
          <w:rFonts w:ascii="Times New Roman" w:hAnsi="Times New Roman"/>
          <w:szCs w:val="24"/>
        </w:rPr>
        <w:t xml:space="preserve"> </w:t>
      </w:r>
      <w:r w:rsidRPr="00033C00">
        <w:rPr>
          <w:rFonts w:ascii="Times New Roman" w:hAnsi="Times New Roman"/>
          <w:szCs w:val="24"/>
        </w:rPr>
        <w:t>[</w:t>
      </w:r>
      <w:r w:rsidRPr="00033C00">
        <w:rPr>
          <w:rStyle w:val="EndnoteReference"/>
          <w:rFonts w:ascii="Times New Roman" w:hAnsi="Times New Roman"/>
          <w:szCs w:val="24"/>
          <w:vertAlign w:val="baseline"/>
        </w:rPr>
        <w:endnoteReference w:id="9"/>
      </w:r>
      <w:r w:rsidRPr="00033C00">
        <w:rPr>
          <w:rFonts w:ascii="Times New Roman" w:hAnsi="Times New Roman"/>
          <w:szCs w:val="24"/>
        </w:rPr>
        <w:t xml:space="preserve">] and </w:t>
      </w:r>
      <w:r w:rsidRPr="00033C00">
        <w:rPr>
          <w:rFonts w:ascii="Times New Roman" w:hAnsi="Times New Roman"/>
          <w:i/>
          <w:iCs/>
          <w:szCs w:val="24"/>
        </w:rPr>
        <w:t>RamaCovid</w:t>
      </w:r>
      <w:r w:rsidRPr="00033C00">
        <w:rPr>
          <w:rFonts w:ascii="Times New Roman" w:hAnsi="Times New Roman"/>
          <w:szCs w:val="24"/>
        </w:rPr>
        <w:t xml:space="preserve"> in India</w:t>
      </w:r>
      <w:r w:rsidR="00307FF0">
        <w:rPr>
          <w:rFonts w:ascii="Times New Roman" w:hAnsi="Times New Roman"/>
          <w:szCs w:val="24"/>
        </w:rPr>
        <w:t xml:space="preserve"> </w:t>
      </w:r>
      <w:r w:rsidRPr="00033C00">
        <w:rPr>
          <w:rFonts w:ascii="Times New Roman" w:hAnsi="Times New Roman"/>
          <w:szCs w:val="24"/>
        </w:rPr>
        <w:t>[</w:t>
      </w:r>
      <w:r w:rsidRPr="00033C00">
        <w:rPr>
          <w:rStyle w:val="EndnoteReference"/>
          <w:rFonts w:ascii="Times New Roman" w:hAnsi="Times New Roman"/>
          <w:szCs w:val="24"/>
          <w:vertAlign w:val="baseline"/>
        </w:rPr>
        <w:endnoteReference w:id="10"/>
      </w:r>
      <w:r w:rsidRPr="00033C00">
        <w:rPr>
          <w:rFonts w:ascii="Times New Roman" w:hAnsi="Times New Roman"/>
          <w:szCs w:val="24"/>
        </w:rPr>
        <w:t>] have demonstrated the potential of CAs to increase vaccine uptake and awareness. However, most existing implementations are built for high-resource environments and in widely spoken languages</w:t>
      </w:r>
      <w:r w:rsidR="00307FF0">
        <w:rPr>
          <w:rFonts w:ascii="Times New Roman" w:hAnsi="Times New Roman"/>
          <w:szCs w:val="24"/>
        </w:rPr>
        <w:t xml:space="preserve"> </w:t>
      </w:r>
      <w:r w:rsidRPr="00033C00">
        <w:t>[</w:t>
      </w:r>
      <w:r w:rsidRPr="00033C00">
        <w:rPr>
          <w:rStyle w:val="EndnoteReference"/>
          <w:vertAlign w:val="baseline"/>
        </w:rPr>
        <w:endnoteReference w:id="11"/>
      </w:r>
      <w:r w:rsidRPr="00033C00">
        <w:t>]</w:t>
      </w:r>
      <w:r w:rsidRPr="00033C00">
        <w:rPr>
          <w:rFonts w:ascii="Times New Roman" w:hAnsi="Times New Roman"/>
          <w:szCs w:val="24"/>
        </w:rPr>
        <w:t>, limiting their transferability to the African context</w:t>
      </w:r>
      <w:r w:rsidR="00307FF0">
        <w:rPr>
          <w:rFonts w:ascii="Times New Roman" w:hAnsi="Times New Roman"/>
          <w:szCs w:val="24"/>
        </w:rPr>
        <w:t xml:space="preserve"> </w:t>
      </w:r>
      <w:r w:rsidRPr="00033C00">
        <w:t>[</w:t>
      </w:r>
      <w:r w:rsidRPr="00033C00">
        <w:rPr>
          <w:rStyle w:val="EndnoteReference"/>
          <w:vertAlign w:val="baseline"/>
        </w:rPr>
        <w:endnoteReference w:id="12"/>
      </w:r>
      <w:r w:rsidRPr="00033C00">
        <w:t>]</w:t>
      </w:r>
      <w:r w:rsidRPr="00033C00">
        <w:rPr>
          <w:rFonts w:ascii="Times New Roman" w:hAnsi="Times New Roman"/>
          <w:szCs w:val="24"/>
        </w:rPr>
        <w:t>, where indigenous languages, dialectal variation, and oral communication traditions prevail</w:t>
      </w:r>
      <w:r w:rsidR="00307FF0">
        <w:rPr>
          <w:rFonts w:ascii="Times New Roman" w:hAnsi="Times New Roman"/>
          <w:szCs w:val="24"/>
        </w:rPr>
        <w:t xml:space="preserve"> </w:t>
      </w:r>
      <w:r w:rsidRPr="00033C00">
        <w:t>[</w:t>
      </w:r>
      <w:r w:rsidRPr="00033C00">
        <w:rPr>
          <w:rStyle w:val="EndnoteReference"/>
          <w:vertAlign w:val="baseline"/>
        </w:rPr>
        <w:endnoteReference w:id="13"/>
      </w:r>
      <w:r w:rsidRPr="00033C00">
        <w:t>]</w:t>
      </w:r>
      <w:r w:rsidRPr="00033C00">
        <w:rPr>
          <w:rFonts w:ascii="Times New Roman" w:hAnsi="Times New Roman"/>
          <w:szCs w:val="24"/>
        </w:rPr>
        <w:t>.</w:t>
      </w:r>
    </w:p>
    <w:p w14:paraId="28DEBA6F" w14:textId="01A705D8"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Moreover, significant ethical and operational challenges remain unaddressed</w:t>
      </w:r>
      <w:r w:rsidR="00307FF0">
        <w:rPr>
          <w:rFonts w:ascii="Times New Roman" w:hAnsi="Times New Roman"/>
          <w:szCs w:val="24"/>
        </w:rPr>
        <w:t xml:space="preserve"> </w:t>
      </w:r>
      <w:r w:rsidRPr="00033C00">
        <w:t>[</w:t>
      </w:r>
      <w:r w:rsidRPr="00033C00">
        <w:rPr>
          <w:rStyle w:val="EndnoteReference"/>
          <w:vertAlign w:val="baseline"/>
        </w:rPr>
        <w:endnoteReference w:id="14"/>
      </w:r>
      <w:r w:rsidRPr="00033C00">
        <w:t>]</w:t>
      </w:r>
      <w:r w:rsidRPr="00033C00">
        <w:rPr>
          <w:rFonts w:ascii="Times New Roman" w:hAnsi="Times New Roman"/>
          <w:szCs w:val="24"/>
        </w:rPr>
        <w:t>. These include concerns around data privacy, consent, algorithmic bias, and the need for inclusive design that accounts for diverse literacy levels and sociocultural norms</w:t>
      </w:r>
      <w:r w:rsidRPr="00033C00">
        <w:t>[</w:t>
      </w:r>
      <w:r w:rsidRPr="00033C00">
        <w:rPr>
          <w:rStyle w:val="EndnoteReference"/>
          <w:vertAlign w:val="baseline"/>
        </w:rPr>
        <w:endnoteReference w:id="15"/>
      </w:r>
      <w:r w:rsidRPr="00033C00">
        <w:t>]</w:t>
      </w:r>
      <w:r w:rsidRPr="00033C00">
        <w:rPr>
          <w:rFonts w:ascii="Times New Roman" w:hAnsi="Times New Roman"/>
          <w:szCs w:val="24"/>
        </w:rPr>
        <w:t>. In settings where technology access is uneven and trust in government or Western medicine is low</w:t>
      </w:r>
      <w:r w:rsidRPr="00033C00">
        <w:t>[</w:t>
      </w:r>
      <w:r w:rsidRPr="00033C00">
        <w:rPr>
          <w:rStyle w:val="EndnoteReference"/>
          <w:vertAlign w:val="baseline"/>
        </w:rPr>
        <w:endnoteReference w:id="16"/>
      </w:r>
      <w:r w:rsidRPr="00033C00">
        <w:t>]</w:t>
      </w:r>
      <w:r w:rsidRPr="00033C00">
        <w:rPr>
          <w:rFonts w:ascii="Times New Roman" w:hAnsi="Times New Roman"/>
          <w:szCs w:val="24"/>
        </w:rPr>
        <w:t>, the implementation of AI-driven tools must be handled with care and community engagement</w:t>
      </w:r>
      <w:r w:rsidRPr="00033C00">
        <w:t>[</w:t>
      </w:r>
      <w:r w:rsidRPr="00033C00">
        <w:rPr>
          <w:rStyle w:val="EndnoteReference"/>
          <w:vertAlign w:val="baseline"/>
        </w:rPr>
        <w:endnoteReference w:id="17"/>
      </w:r>
      <w:r w:rsidRPr="00033C00">
        <w:t>]</w:t>
      </w:r>
      <w:r w:rsidRPr="00033C00">
        <w:rPr>
          <w:rFonts w:ascii="Times New Roman" w:hAnsi="Times New Roman"/>
          <w:szCs w:val="24"/>
        </w:rPr>
        <w:t>.</w:t>
      </w:r>
    </w:p>
    <w:p w14:paraId="03A2EDCC" w14:textId="77777777" w:rsidR="009B64BB" w:rsidRPr="00033C00" w:rsidRDefault="009B64BB" w:rsidP="009B64BB">
      <w:pPr>
        <w:spacing w:line="360" w:lineRule="auto"/>
        <w:jc w:val="both"/>
        <w:rPr>
          <w:rFonts w:ascii="Times New Roman" w:hAnsi="Times New Roman"/>
          <w:szCs w:val="24"/>
        </w:rPr>
      </w:pPr>
      <w:r w:rsidRPr="00033C00">
        <w:rPr>
          <w:rFonts w:ascii="Times New Roman" w:hAnsi="Times New Roman"/>
          <w:szCs w:val="24"/>
        </w:rPr>
        <w:t>This review explores the role of conversational agents in addressing vaccine hesitancy in low-resource settings, with a specific focus on Nigeria. It synthesizes existing evidence on the effectiveness of chatbots in healthcare communication, outlines the barriers to their adoption in Africa, and proposes a multimodal framework combining text, voice, and visual content in indigenous languages. The paper also discusses ethical implications and proposes a pilot design for real-world implementation, aiming to contribute to the growing field of digital public health innovation in LMICs.</w:t>
      </w:r>
    </w:p>
    <w:p w14:paraId="1C896ACD" w14:textId="77777777" w:rsidR="009B64BB" w:rsidRPr="00033C00" w:rsidRDefault="009B64BB" w:rsidP="009B64BB"/>
    <w:p w14:paraId="5ED2FD15" w14:textId="77777777" w:rsidR="009B64BB" w:rsidRPr="00033C00" w:rsidRDefault="009B64BB" w:rsidP="009B64BB">
      <w:pPr>
        <w:pStyle w:val="Heading4"/>
        <w:spacing w:before="0" w:line="360" w:lineRule="auto"/>
        <w:jc w:val="both"/>
        <w:rPr>
          <w:rFonts w:ascii="Times New Roman" w:hAnsi="Times New Roman" w:cs="Times New Roman"/>
          <w:i w:val="0"/>
          <w:color w:val="000000" w:themeColor="text1"/>
          <w:sz w:val="24"/>
          <w:szCs w:val="24"/>
        </w:rPr>
      </w:pPr>
      <w:r w:rsidRPr="00033C00">
        <w:rPr>
          <w:rStyle w:val="Strong"/>
          <w:rFonts w:ascii="Times New Roman" w:hAnsi="Times New Roman" w:cs="Times New Roman"/>
          <w:i w:val="0"/>
          <w:color w:val="000000" w:themeColor="text1"/>
          <w:sz w:val="24"/>
          <w:szCs w:val="24"/>
        </w:rPr>
        <w:t>1.1</w:t>
      </w:r>
      <w:r w:rsidRPr="00033C00">
        <w:rPr>
          <w:rStyle w:val="Strong"/>
          <w:rFonts w:ascii="Times New Roman" w:hAnsi="Times New Roman" w:cs="Times New Roman"/>
          <w:i w:val="0"/>
          <w:color w:val="000000" w:themeColor="text1"/>
          <w:sz w:val="24"/>
          <w:szCs w:val="24"/>
        </w:rPr>
        <w:tab/>
        <w:t>Challenges of Vaccine Literacy in Nigeria and Africa</w:t>
      </w:r>
    </w:p>
    <w:p w14:paraId="5F43FAD3" w14:textId="77777777" w:rsidR="009B64BB" w:rsidRPr="00033C00" w:rsidRDefault="009B64BB" w:rsidP="009B64BB">
      <w:pPr>
        <w:spacing w:line="360" w:lineRule="auto"/>
        <w:jc w:val="both"/>
        <w:rPr>
          <w:rFonts w:ascii="Arial" w:hAnsi="Arial" w:cs="Arial"/>
        </w:rPr>
      </w:pPr>
      <w:r w:rsidRPr="00033C00">
        <w:rPr>
          <w:rFonts w:ascii="Arial" w:hAnsi="Arial" w:cs="Arial"/>
        </w:rPr>
        <w:t>In Nigeria, people’s hesitation about vaccines comes from a bunch of reasons that all sort of tie together. For one, there’s a lot of false info floating around stuff people hear from neighbors or see on social media that makes them question if vaccines are actually safe[</w:t>
      </w:r>
      <w:r w:rsidRPr="00033C00">
        <w:rPr>
          <w:rStyle w:val="EndnoteReference"/>
          <w:rFonts w:ascii="Arial" w:hAnsi="Arial" w:cs="Arial"/>
          <w:vertAlign w:val="baseline"/>
        </w:rPr>
        <w:endnoteReference w:id="18"/>
      </w:r>
      <w:r w:rsidRPr="00033C00">
        <w:rPr>
          <w:rFonts w:ascii="Arial" w:hAnsi="Arial" w:cs="Arial"/>
        </w:rPr>
        <w:t>]. Then there’s the influence of religion and tradition. In some places, what people believe can really shape how they feel about medical stuff, including vaccines[</w:t>
      </w:r>
      <w:r w:rsidRPr="00033C00">
        <w:rPr>
          <w:rStyle w:val="EndnoteReference"/>
          <w:rFonts w:ascii="Arial" w:hAnsi="Arial" w:cs="Arial"/>
          <w:vertAlign w:val="baseline"/>
        </w:rPr>
        <w:endnoteReference w:id="19"/>
      </w:r>
      <w:r w:rsidRPr="00033C00">
        <w:rPr>
          <w:rFonts w:ascii="Arial" w:hAnsi="Arial" w:cs="Arial"/>
        </w:rPr>
        <w:t xml:space="preserve">]. On top of that, a lot of communities don’t have great access to clinics or health education, especially in rural areas where reading levels can be low. All of this adds up and makes it harder to share facts that people will trust and </w:t>
      </w:r>
      <w:commentRangeStart w:id="2"/>
      <w:r w:rsidRPr="00307FF0">
        <w:rPr>
          <w:rFonts w:ascii="Arial" w:hAnsi="Arial" w:cs="Arial"/>
          <w:highlight w:val="yellow"/>
        </w:rPr>
        <w:t>understand[</w:t>
      </w:r>
      <w:r w:rsidRPr="00307FF0">
        <w:rPr>
          <w:rStyle w:val="EndnoteReference"/>
          <w:rFonts w:ascii="Arial" w:hAnsi="Arial" w:cs="Arial"/>
          <w:highlight w:val="yellow"/>
          <w:vertAlign w:val="baseline"/>
        </w:rPr>
        <w:endnoteReference w:id="20"/>
      </w:r>
      <w:r w:rsidRPr="00307FF0">
        <w:rPr>
          <w:rFonts w:ascii="Arial" w:hAnsi="Arial" w:cs="Arial"/>
          <w:highlight w:val="yellow"/>
        </w:rPr>
        <w:t>].</w:t>
      </w:r>
      <w:r w:rsidRPr="00033C00">
        <w:rPr>
          <w:rFonts w:ascii="Arial" w:hAnsi="Arial" w:cs="Arial"/>
        </w:rPr>
        <w:t xml:space="preserve"> That’s </w:t>
      </w:r>
      <w:commentRangeEnd w:id="2"/>
      <w:r w:rsidR="00307FF0">
        <w:rPr>
          <w:rStyle w:val="CommentReference"/>
          <w:rFonts w:ascii="Times New Roman" w:hAnsi="Times New Roman"/>
          <w:lang w:val="nb-NO" w:eastAsia="nb-NO"/>
        </w:rPr>
        <w:commentReference w:id="2"/>
      </w:r>
      <w:r w:rsidRPr="00033C00">
        <w:rPr>
          <w:rFonts w:ascii="Arial" w:hAnsi="Arial" w:cs="Arial"/>
        </w:rPr>
        <w:t>why new approaches are needed ones that can really adapt to different cultures, languages, and situations.</w:t>
      </w:r>
    </w:p>
    <w:p w14:paraId="4DFA5595" w14:textId="77777777" w:rsidR="009B64BB" w:rsidRPr="00033C00" w:rsidRDefault="009B64BB" w:rsidP="009B64BB">
      <w:pPr>
        <w:rPr>
          <w:rFonts w:ascii="Arial" w:hAnsi="Arial" w:cs="Arial"/>
        </w:rPr>
      </w:pPr>
    </w:p>
    <w:p w14:paraId="17B2024F" w14:textId="77777777" w:rsidR="009B64BB" w:rsidRPr="00033C00" w:rsidRDefault="009B64BB" w:rsidP="009B64BB">
      <w:pPr>
        <w:rPr>
          <w:rFonts w:ascii="Arial" w:hAnsi="Arial" w:cs="Arial"/>
        </w:rPr>
      </w:pPr>
    </w:p>
    <w:p w14:paraId="230F47A0"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1.2</w:t>
      </w:r>
      <w:r w:rsidRPr="00033C00">
        <w:rPr>
          <w:rStyle w:val="Strong"/>
          <w:rFonts w:ascii="Arial" w:hAnsi="Arial" w:cs="Arial"/>
          <w:i w:val="0"/>
          <w:color w:val="000000" w:themeColor="text1"/>
          <w:sz w:val="20"/>
          <w:szCs w:val="20"/>
        </w:rPr>
        <w:tab/>
        <w:t>The Role of Conversational Agents</w:t>
      </w:r>
    </w:p>
    <w:p w14:paraId="1C3B7E1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Conversational agents offer a promising solution for bridging gaps in vaccine communication. By leveraging AI, chatbots can deliver personalized, culturally relevant information[</w:t>
      </w:r>
      <w:r w:rsidRPr="00033C00">
        <w:rPr>
          <w:rStyle w:val="EndnoteReference"/>
          <w:rFonts w:ascii="Arial" w:hAnsi="Arial" w:cs="Arial"/>
          <w:sz w:val="20"/>
          <w:szCs w:val="20"/>
          <w:vertAlign w:val="baseline"/>
        </w:rPr>
        <w:endnoteReference w:id="21"/>
      </w:r>
      <w:r w:rsidRPr="00033C00">
        <w:rPr>
          <w:rFonts w:ascii="Arial" w:hAnsi="Arial" w:cs="Arial"/>
          <w:sz w:val="20"/>
          <w:szCs w:val="20"/>
        </w:rPr>
        <w:t>], operate in multiple languages, including indigenous ones[</w:t>
      </w:r>
      <w:r w:rsidRPr="00033C00">
        <w:rPr>
          <w:rStyle w:val="EndnoteReference"/>
          <w:rFonts w:ascii="Arial" w:hAnsi="Arial" w:cs="Arial"/>
          <w:sz w:val="20"/>
          <w:szCs w:val="20"/>
          <w:vertAlign w:val="baseline"/>
        </w:rPr>
        <w:endnoteReference w:id="22"/>
      </w:r>
      <w:r w:rsidRPr="00033C00">
        <w:rPr>
          <w:rFonts w:ascii="Arial" w:hAnsi="Arial" w:cs="Arial"/>
          <w:sz w:val="20"/>
          <w:szCs w:val="20"/>
        </w:rPr>
        <w:t>], and provide round-the-clock support to individuals in remote areas[</w:t>
      </w:r>
      <w:r w:rsidRPr="00033C00">
        <w:rPr>
          <w:rStyle w:val="EndnoteReference"/>
          <w:rFonts w:ascii="Arial" w:hAnsi="Arial" w:cs="Arial"/>
          <w:sz w:val="20"/>
          <w:szCs w:val="20"/>
          <w:vertAlign w:val="baseline"/>
        </w:rPr>
        <w:endnoteReference w:id="23"/>
      </w:r>
      <w:r w:rsidRPr="00033C00">
        <w:rPr>
          <w:rFonts w:ascii="Arial" w:hAnsi="Arial" w:cs="Arial"/>
          <w:sz w:val="20"/>
          <w:szCs w:val="20"/>
        </w:rPr>
        <w:t>]. They can also address frequently asked questions about vaccines, their safety, and potential side effects in an accessible manner[</w:t>
      </w:r>
      <w:r w:rsidRPr="00033C00">
        <w:rPr>
          <w:rStyle w:val="EndnoteReference"/>
          <w:rFonts w:ascii="Arial" w:hAnsi="Arial" w:cs="Arial"/>
          <w:sz w:val="20"/>
          <w:szCs w:val="20"/>
          <w:vertAlign w:val="baseline"/>
        </w:rPr>
        <w:endnoteReference w:id="24"/>
      </w:r>
      <w:r w:rsidRPr="00033C00">
        <w:rPr>
          <w:rFonts w:ascii="Arial" w:hAnsi="Arial" w:cs="Arial"/>
          <w:sz w:val="20"/>
          <w:szCs w:val="20"/>
        </w:rPr>
        <w:t>]. Globally, chatbots such as "Vaxera"[</w:t>
      </w:r>
      <w:bookmarkStart w:id="3" w:name="_Ref186101749"/>
      <w:r w:rsidRPr="00033C00">
        <w:rPr>
          <w:rStyle w:val="EndnoteReference"/>
          <w:rFonts w:ascii="Arial" w:hAnsi="Arial" w:cs="Arial"/>
          <w:sz w:val="20"/>
          <w:szCs w:val="20"/>
          <w:vertAlign w:val="baseline"/>
        </w:rPr>
        <w:endnoteReference w:id="25"/>
      </w:r>
      <w:bookmarkEnd w:id="3"/>
      <w:r w:rsidRPr="00033C00">
        <w:rPr>
          <w:rFonts w:ascii="Arial" w:hAnsi="Arial" w:cs="Arial"/>
          <w:sz w:val="20"/>
          <w:szCs w:val="20"/>
        </w:rPr>
        <w:t>] and "RamaCovid"[</w:t>
      </w:r>
      <w:bookmarkStart w:id="4" w:name="_Ref186101868"/>
      <w:r w:rsidRPr="00033C00">
        <w:rPr>
          <w:rStyle w:val="EndnoteReference"/>
          <w:rFonts w:ascii="Arial" w:hAnsi="Arial" w:cs="Arial"/>
          <w:sz w:val="20"/>
          <w:szCs w:val="20"/>
          <w:vertAlign w:val="baseline"/>
        </w:rPr>
        <w:endnoteReference w:id="26"/>
      </w:r>
      <w:bookmarkEnd w:id="4"/>
      <w:r w:rsidRPr="00033C00">
        <w:rPr>
          <w:rFonts w:ascii="Arial" w:hAnsi="Arial" w:cs="Arial"/>
          <w:sz w:val="20"/>
          <w:szCs w:val="20"/>
        </w:rPr>
        <w:t>] have proven successful in combating vaccine hesitancy. These systems offer valuable insights into how similar approaches can be adapted for Nigeria and other parts of Africa.</w:t>
      </w:r>
    </w:p>
    <w:p w14:paraId="3160542D" w14:textId="77777777" w:rsidR="009B64BB" w:rsidRPr="00033C00" w:rsidRDefault="009B64BB" w:rsidP="009B64BB">
      <w:pPr>
        <w:pStyle w:val="NormalWeb"/>
        <w:spacing w:before="0" w:beforeAutospacing="0" w:after="0" w:afterAutospacing="0"/>
        <w:jc w:val="both"/>
        <w:rPr>
          <w:rFonts w:ascii="Arial" w:hAnsi="Arial" w:cs="Arial"/>
          <w:sz w:val="20"/>
          <w:szCs w:val="20"/>
        </w:rPr>
      </w:pPr>
      <w:r w:rsidRPr="00033C00">
        <w:rPr>
          <w:rStyle w:val="Strong"/>
          <w:rFonts w:ascii="Arial" w:hAnsi="Arial" w:cs="Arial"/>
          <w:sz w:val="20"/>
          <w:szCs w:val="20"/>
        </w:rPr>
        <w:lastRenderedPageBreak/>
        <w:t>Table 1: Examples of Chatbots Used in Vaccine Literacy</w:t>
      </w:r>
    </w:p>
    <w:tbl>
      <w:tblPr>
        <w:tblStyle w:val="TableGrid"/>
        <w:tblW w:w="5388" w:type="pct"/>
        <w:tblLook w:val="04A0" w:firstRow="1" w:lastRow="0" w:firstColumn="1" w:lastColumn="0" w:noHBand="0" w:noVBand="1"/>
      </w:tblPr>
      <w:tblGrid>
        <w:gridCol w:w="1628"/>
        <w:gridCol w:w="939"/>
        <w:gridCol w:w="2150"/>
        <w:gridCol w:w="2209"/>
        <w:gridCol w:w="1981"/>
        <w:gridCol w:w="1169"/>
      </w:tblGrid>
      <w:tr w:rsidR="00033C00" w:rsidRPr="00033C00" w14:paraId="633B1484" w14:textId="77777777" w:rsidTr="000642AB">
        <w:tc>
          <w:tcPr>
            <w:tcW w:w="808" w:type="pct"/>
            <w:hideMark/>
          </w:tcPr>
          <w:p w14:paraId="578A21CE" w14:textId="77777777" w:rsidR="009B64BB" w:rsidRPr="00033C00" w:rsidRDefault="009B64BB" w:rsidP="000642AB">
            <w:pPr>
              <w:jc w:val="both"/>
              <w:rPr>
                <w:rFonts w:ascii="Arial" w:hAnsi="Arial" w:cs="Arial"/>
                <w:sz w:val="20"/>
                <w:szCs w:val="20"/>
              </w:rPr>
            </w:pPr>
            <w:r w:rsidRPr="00033C00">
              <w:rPr>
                <w:rStyle w:val="Strong"/>
                <w:rFonts w:ascii="Arial" w:hAnsi="Arial" w:cs="Arial"/>
                <w:sz w:val="20"/>
                <w:szCs w:val="20"/>
              </w:rPr>
              <w:t>Chatbot Name</w:t>
            </w:r>
          </w:p>
        </w:tc>
        <w:tc>
          <w:tcPr>
            <w:tcW w:w="466" w:type="pct"/>
            <w:hideMark/>
          </w:tcPr>
          <w:p w14:paraId="693FC568"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Region</w:t>
            </w:r>
          </w:p>
        </w:tc>
        <w:tc>
          <w:tcPr>
            <w:tcW w:w="1067" w:type="pct"/>
            <w:hideMark/>
          </w:tcPr>
          <w:p w14:paraId="4E85245C"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Target Audience</w:t>
            </w:r>
          </w:p>
        </w:tc>
        <w:tc>
          <w:tcPr>
            <w:tcW w:w="1096" w:type="pct"/>
            <w:hideMark/>
          </w:tcPr>
          <w:p w14:paraId="64D0C7BE"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Purpose</w:t>
            </w:r>
          </w:p>
        </w:tc>
        <w:tc>
          <w:tcPr>
            <w:tcW w:w="983" w:type="pct"/>
            <w:hideMark/>
          </w:tcPr>
          <w:p w14:paraId="388BBA90" w14:textId="77777777" w:rsidR="009B64BB" w:rsidRPr="00033C00" w:rsidRDefault="009B64BB" w:rsidP="000642AB">
            <w:pPr>
              <w:jc w:val="both"/>
              <w:rPr>
                <w:rFonts w:ascii="Arial" w:hAnsi="Arial" w:cs="Arial"/>
                <w:bCs/>
                <w:sz w:val="20"/>
                <w:szCs w:val="20"/>
              </w:rPr>
            </w:pPr>
            <w:r w:rsidRPr="00033C00">
              <w:rPr>
                <w:rStyle w:val="Strong"/>
                <w:rFonts w:ascii="Arial" w:hAnsi="Arial" w:cs="Arial"/>
                <w:sz w:val="20"/>
                <w:szCs w:val="20"/>
              </w:rPr>
              <w:t>Results</w:t>
            </w:r>
          </w:p>
        </w:tc>
        <w:tc>
          <w:tcPr>
            <w:tcW w:w="581" w:type="pct"/>
          </w:tcPr>
          <w:p w14:paraId="6380E76C" w14:textId="77777777" w:rsidR="009B64BB" w:rsidRPr="00033C00" w:rsidRDefault="009B64BB" w:rsidP="000642AB">
            <w:pPr>
              <w:jc w:val="both"/>
              <w:rPr>
                <w:rStyle w:val="Strong"/>
                <w:rFonts w:ascii="Arial" w:hAnsi="Arial" w:cs="Arial"/>
                <w:sz w:val="20"/>
                <w:szCs w:val="20"/>
              </w:rPr>
            </w:pPr>
            <w:r w:rsidRPr="00033C00">
              <w:rPr>
                <w:rStyle w:val="Strong"/>
                <w:rFonts w:ascii="Arial" w:hAnsi="Arial" w:cs="Arial"/>
                <w:sz w:val="20"/>
                <w:szCs w:val="20"/>
              </w:rPr>
              <w:t>Citations</w:t>
            </w:r>
          </w:p>
        </w:tc>
      </w:tr>
      <w:tr w:rsidR="00033C00" w:rsidRPr="00033C00" w14:paraId="22EA0E31" w14:textId="77777777" w:rsidTr="000642AB">
        <w:tc>
          <w:tcPr>
            <w:tcW w:w="808" w:type="pct"/>
            <w:hideMark/>
          </w:tcPr>
          <w:p w14:paraId="6C8EF693" w14:textId="77777777" w:rsidR="009B64BB" w:rsidRPr="00033C00" w:rsidRDefault="009B64BB" w:rsidP="000642AB">
            <w:pPr>
              <w:jc w:val="both"/>
              <w:rPr>
                <w:rFonts w:ascii="Arial" w:hAnsi="Arial" w:cs="Arial"/>
                <w:b/>
                <w:bCs/>
                <w:sz w:val="20"/>
                <w:szCs w:val="20"/>
              </w:rPr>
            </w:pPr>
            <w:r w:rsidRPr="00033C00">
              <w:rPr>
                <w:rFonts w:ascii="Arial" w:hAnsi="Arial" w:cs="Arial"/>
                <w:b/>
                <w:sz w:val="20"/>
                <w:szCs w:val="20"/>
              </w:rPr>
              <w:t>Vaxera</w:t>
            </w:r>
          </w:p>
        </w:tc>
        <w:tc>
          <w:tcPr>
            <w:tcW w:w="466" w:type="pct"/>
            <w:hideMark/>
          </w:tcPr>
          <w:p w14:paraId="4396517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Egypt</w:t>
            </w:r>
          </w:p>
        </w:tc>
        <w:tc>
          <w:tcPr>
            <w:tcW w:w="1067" w:type="pct"/>
            <w:hideMark/>
          </w:tcPr>
          <w:p w14:paraId="78BF7FEA"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University Students</w:t>
            </w:r>
          </w:p>
        </w:tc>
        <w:tc>
          <w:tcPr>
            <w:tcW w:w="1096" w:type="pct"/>
            <w:hideMark/>
          </w:tcPr>
          <w:p w14:paraId="659B3DB9"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Combat misinformation</w:t>
            </w:r>
          </w:p>
        </w:tc>
        <w:tc>
          <w:tcPr>
            <w:tcW w:w="983" w:type="pct"/>
            <w:hideMark/>
          </w:tcPr>
          <w:p w14:paraId="0F9BDD0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80% improved literacy</w:t>
            </w:r>
          </w:p>
        </w:tc>
        <w:tc>
          <w:tcPr>
            <w:tcW w:w="581" w:type="pct"/>
          </w:tcPr>
          <w:p w14:paraId="697AB120" w14:textId="0C3820AE"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_Ref186101749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22</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_Ref185586704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54</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w:t>
            </w:r>
          </w:p>
        </w:tc>
      </w:tr>
      <w:tr w:rsidR="00033C00" w:rsidRPr="00033C00" w14:paraId="1E62219C" w14:textId="77777777" w:rsidTr="000642AB">
        <w:tc>
          <w:tcPr>
            <w:tcW w:w="808" w:type="pct"/>
            <w:hideMark/>
          </w:tcPr>
          <w:p w14:paraId="082F210E" w14:textId="77777777" w:rsidR="009B64BB" w:rsidRPr="00033C00" w:rsidRDefault="009B64BB" w:rsidP="000642AB">
            <w:pPr>
              <w:jc w:val="both"/>
              <w:rPr>
                <w:rFonts w:ascii="Arial" w:hAnsi="Arial" w:cs="Arial"/>
                <w:b/>
                <w:sz w:val="20"/>
                <w:szCs w:val="20"/>
              </w:rPr>
            </w:pPr>
            <w:r w:rsidRPr="00033C00">
              <w:rPr>
                <w:rFonts w:ascii="Arial" w:hAnsi="Arial" w:cs="Arial"/>
                <w:b/>
                <w:sz w:val="20"/>
                <w:szCs w:val="20"/>
              </w:rPr>
              <w:t>RamaCovid</w:t>
            </w:r>
          </w:p>
        </w:tc>
        <w:tc>
          <w:tcPr>
            <w:tcW w:w="466" w:type="pct"/>
            <w:hideMark/>
          </w:tcPr>
          <w:p w14:paraId="1313D2D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India</w:t>
            </w:r>
          </w:p>
        </w:tc>
        <w:tc>
          <w:tcPr>
            <w:tcW w:w="1067" w:type="pct"/>
            <w:hideMark/>
          </w:tcPr>
          <w:p w14:paraId="7A8CDAF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General Population</w:t>
            </w:r>
          </w:p>
        </w:tc>
        <w:tc>
          <w:tcPr>
            <w:tcW w:w="1096" w:type="pct"/>
            <w:hideMark/>
          </w:tcPr>
          <w:p w14:paraId="08B8696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Vaccine scheduling and education</w:t>
            </w:r>
          </w:p>
        </w:tc>
        <w:tc>
          <w:tcPr>
            <w:tcW w:w="983" w:type="pct"/>
            <w:hideMark/>
          </w:tcPr>
          <w:p w14:paraId="25AF84A2"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56% increased knowledge</w:t>
            </w:r>
          </w:p>
        </w:tc>
        <w:tc>
          <w:tcPr>
            <w:tcW w:w="581" w:type="pct"/>
          </w:tcPr>
          <w:p w14:paraId="597FFEE3" w14:textId="6714E081"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_Ref186101868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23</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_Ref185577933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55</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_Ref185586810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56</w:t>
            </w:r>
            <w:r w:rsidRPr="00033C00">
              <w:rPr>
                <w:rFonts w:ascii="Arial" w:hAnsi="Arial" w:cs="Arial"/>
              </w:rPr>
              <w:fldChar w:fldCharType="end"/>
            </w:r>
            <w:r w:rsidRPr="00033C00">
              <w:rPr>
                <w:rFonts w:ascii="Arial" w:hAnsi="Arial" w:cs="Arial"/>
                <w:sz w:val="20"/>
                <w:szCs w:val="20"/>
              </w:rPr>
              <w:t>]</w:t>
            </w:r>
          </w:p>
        </w:tc>
      </w:tr>
      <w:tr w:rsidR="00033C00" w:rsidRPr="00033C00" w14:paraId="3802A851" w14:textId="77777777" w:rsidTr="000642AB">
        <w:tc>
          <w:tcPr>
            <w:tcW w:w="808" w:type="pct"/>
            <w:hideMark/>
          </w:tcPr>
          <w:p w14:paraId="35B01AAA" w14:textId="77777777" w:rsidR="009B64BB" w:rsidRPr="00033C00" w:rsidRDefault="009B64BB" w:rsidP="000642AB">
            <w:pPr>
              <w:jc w:val="both"/>
              <w:rPr>
                <w:rFonts w:ascii="Arial" w:hAnsi="Arial" w:cs="Arial"/>
                <w:b/>
                <w:sz w:val="20"/>
                <w:szCs w:val="20"/>
              </w:rPr>
            </w:pPr>
            <w:r w:rsidRPr="00033C00">
              <w:rPr>
                <w:rFonts w:ascii="Arial" w:hAnsi="Arial" w:cs="Arial"/>
                <w:b/>
                <w:sz w:val="20"/>
                <w:szCs w:val="20"/>
              </w:rPr>
              <w:t>Ana</w:t>
            </w:r>
          </w:p>
        </w:tc>
        <w:tc>
          <w:tcPr>
            <w:tcW w:w="466" w:type="pct"/>
            <w:hideMark/>
          </w:tcPr>
          <w:p w14:paraId="3FFBC00D"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USA</w:t>
            </w:r>
          </w:p>
        </w:tc>
        <w:tc>
          <w:tcPr>
            <w:tcW w:w="1067" w:type="pct"/>
            <w:hideMark/>
          </w:tcPr>
          <w:p w14:paraId="380399D3"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Bilingual Populations</w:t>
            </w:r>
          </w:p>
        </w:tc>
        <w:tc>
          <w:tcPr>
            <w:tcW w:w="1096" w:type="pct"/>
            <w:hideMark/>
          </w:tcPr>
          <w:p w14:paraId="7D310B17"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Disseminate vaccine information</w:t>
            </w:r>
          </w:p>
        </w:tc>
        <w:tc>
          <w:tcPr>
            <w:tcW w:w="983" w:type="pct"/>
            <w:hideMark/>
          </w:tcPr>
          <w:p w14:paraId="5D83709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77% satisfaction rate</w:t>
            </w:r>
          </w:p>
        </w:tc>
        <w:tc>
          <w:tcPr>
            <w:tcW w:w="581" w:type="pct"/>
          </w:tcPr>
          <w:p w14:paraId="1682EE74" w14:textId="4C5F685A" w:rsidR="009B64BB" w:rsidRPr="00033C00" w:rsidRDefault="009B64BB" w:rsidP="000642AB">
            <w:pPr>
              <w:jc w:val="both"/>
              <w:rPr>
                <w:rFonts w:ascii="Arial" w:hAnsi="Arial" w:cs="Arial"/>
                <w:sz w:val="20"/>
                <w:szCs w:val="20"/>
              </w:rPr>
            </w:pPr>
            <w:r w:rsidRPr="00033C00">
              <w:rPr>
                <w:rFonts w:ascii="Arial" w:hAnsi="Arial" w:cs="Arial"/>
                <w:sz w:val="20"/>
                <w:szCs w:val="20"/>
              </w:rPr>
              <w:t>[</w:t>
            </w:r>
            <w:r w:rsidRPr="00033C00">
              <w:rPr>
                <w:rFonts w:ascii="Arial" w:hAnsi="Arial" w:cs="Arial"/>
              </w:rPr>
              <w:fldChar w:fldCharType="begin"/>
            </w:r>
            <w:r w:rsidRPr="00033C00">
              <w:rPr>
                <w:rFonts w:ascii="Arial" w:hAnsi="Arial" w:cs="Arial"/>
                <w:sz w:val="20"/>
                <w:szCs w:val="20"/>
              </w:rPr>
              <w:instrText xml:space="preserve"> NOTEREF _Ref185586861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57</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_Ref185586881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58</w:t>
            </w:r>
            <w:r w:rsidRPr="00033C00">
              <w:rPr>
                <w:rFonts w:ascii="Arial" w:hAnsi="Arial" w:cs="Arial"/>
              </w:rPr>
              <w:fldChar w:fldCharType="end"/>
            </w:r>
            <w:r w:rsidRPr="00033C00">
              <w:rPr>
                <w:rFonts w:ascii="Arial" w:hAnsi="Arial" w:cs="Arial"/>
                <w:sz w:val="20"/>
                <w:szCs w:val="20"/>
              </w:rPr>
              <w:t>] [</w:t>
            </w:r>
            <w:r w:rsidRPr="00033C00">
              <w:rPr>
                <w:rFonts w:ascii="Arial" w:hAnsi="Arial" w:cs="Arial"/>
              </w:rPr>
              <w:fldChar w:fldCharType="begin"/>
            </w:r>
            <w:r w:rsidRPr="00033C00">
              <w:rPr>
                <w:rFonts w:ascii="Arial" w:hAnsi="Arial" w:cs="Arial"/>
                <w:sz w:val="20"/>
                <w:szCs w:val="20"/>
              </w:rPr>
              <w:instrText xml:space="preserve"> NOTEREF _Ref185586927 \h  \* MERGEFORMAT </w:instrText>
            </w:r>
            <w:r w:rsidRPr="00033C00">
              <w:rPr>
                <w:rFonts w:ascii="Arial" w:hAnsi="Arial" w:cs="Arial"/>
              </w:rPr>
            </w:r>
            <w:r w:rsidRPr="00033C00">
              <w:rPr>
                <w:rFonts w:ascii="Arial" w:hAnsi="Arial" w:cs="Arial"/>
              </w:rPr>
              <w:fldChar w:fldCharType="separate"/>
            </w:r>
            <w:r w:rsidRPr="00033C00">
              <w:rPr>
                <w:rFonts w:ascii="Arial" w:hAnsi="Arial" w:cs="Arial"/>
                <w:sz w:val="20"/>
                <w:szCs w:val="20"/>
              </w:rPr>
              <w:t>59</w:t>
            </w:r>
            <w:r w:rsidRPr="00033C00">
              <w:rPr>
                <w:rFonts w:ascii="Arial" w:hAnsi="Arial" w:cs="Arial"/>
              </w:rPr>
              <w:fldChar w:fldCharType="end"/>
            </w:r>
            <w:r w:rsidRPr="00033C00">
              <w:rPr>
                <w:rFonts w:ascii="Arial" w:hAnsi="Arial" w:cs="Arial"/>
                <w:sz w:val="20"/>
                <w:szCs w:val="20"/>
              </w:rPr>
              <w:t>]</w:t>
            </w:r>
          </w:p>
        </w:tc>
      </w:tr>
    </w:tbl>
    <w:p w14:paraId="58FFEC8A" w14:textId="77777777" w:rsidR="009B64BB" w:rsidRPr="00033C00" w:rsidRDefault="009B64BB" w:rsidP="009B64BB">
      <w:pPr>
        <w:pStyle w:val="Heading4"/>
        <w:jc w:val="both"/>
        <w:rPr>
          <w:rStyle w:val="Strong"/>
          <w:rFonts w:ascii="Arial" w:hAnsi="Arial" w:cs="Arial"/>
          <w:bCs w:val="0"/>
          <w:i w:val="0"/>
          <w:color w:val="000000" w:themeColor="text1"/>
          <w:sz w:val="20"/>
          <w:szCs w:val="20"/>
        </w:rPr>
      </w:pPr>
    </w:p>
    <w:p w14:paraId="6D223E0D" w14:textId="77777777" w:rsidR="009B64BB" w:rsidRPr="00033C00" w:rsidRDefault="009B64BB" w:rsidP="009B64BB">
      <w:pPr>
        <w:pStyle w:val="Heading4"/>
        <w:spacing w:before="0" w:line="360" w:lineRule="auto"/>
        <w:jc w:val="both"/>
        <w:rPr>
          <w:rFonts w:ascii="Arial" w:hAnsi="Arial" w:cs="Arial"/>
          <w:i w:val="0"/>
          <w:sz w:val="20"/>
          <w:szCs w:val="20"/>
        </w:rPr>
      </w:pPr>
      <w:r w:rsidRPr="00033C00">
        <w:rPr>
          <w:rStyle w:val="Strong"/>
          <w:rFonts w:ascii="Arial" w:hAnsi="Arial" w:cs="Arial"/>
          <w:i w:val="0"/>
          <w:color w:val="000000" w:themeColor="text1"/>
          <w:sz w:val="20"/>
          <w:szCs w:val="20"/>
        </w:rPr>
        <w:t>1.3 Research Questions</w:t>
      </w:r>
    </w:p>
    <w:p w14:paraId="55B36358"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This paper explores the following questions:</w:t>
      </w:r>
    </w:p>
    <w:p w14:paraId="5DF71317" w14:textId="77777777" w:rsidR="009B64BB" w:rsidRPr="00033C00" w:rsidRDefault="009B64BB" w:rsidP="009B64BB">
      <w:pPr>
        <w:ind w:left="1440" w:hanging="1080"/>
        <w:jc w:val="both"/>
        <w:rPr>
          <w:rFonts w:ascii="Arial" w:hAnsi="Arial" w:cs="Arial"/>
        </w:rPr>
      </w:pPr>
      <w:r w:rsidRPr="00033C00">
        <w:rPr>
          <w:rStyle w:val="Strong"/>
          <w:rFonts w:ascii="Arial" w:hAnsi="Arial" w:cs="Arial"/>
        </w:rPr>
        <w:t>RQ1:</w:t>
      </w:r>
      <w:r w:rsidRPr="00033C00">
        <w:rPr>
          <w:rStyle w:val="Strong"/>
          <w:rFonts w:ascii="Arial" w:hAnsi="Arial" w:cs="Arial"/>
        </w:rPr>
        <w:tab/>
        <w:t>What is the current state-of-the-art in chatbot applications for healthcare, particularly in promoting vaccine literacy?</w:t>
      </w:r>
    </w:p>
    <w:p w14:paraId="6AA43750" w14:textId="77777777" w:rsidR="009B64BB" w:rsidRPr="00033C00" w:rsidRDefault="009B64BB" w:rsidP="009B64BB">
      <w:pPr>
        <w:ind w:left="1440" w:hanging="1080"/>
        <w:jc w:val="both"/>
        <w:rPr>
          <w:rFonts w:ascii="Arial" w:hAnsi="Arial" w:cs="Arial"/>
        </w:rPr>
      </w:pPr>
      <w:r w:rsidRPr="00033C00">
        <w:rPr>
          <w:rFonts w:ascii="Arial" w:hAnsi="Arial" w:cs="Arial"/>
        </w:rPr>
        <w:t>RQ2:</w:t>
      </w:r>
      <w:r w:rsidRPr="00033C00">
        <w:rPr>
          <w:rFonts w:ascii="Arial" w:hAnsi="Arial" w:cs="Arial"/>
        </w:rPr>
        <w:tab/>
      </w:r>
      <w:r w:rsidRPr="00033C00">
        <w:rPr>
          <w:rStyle w:val="Strong"/>
          <w:rFonts w:ascii="Arial" w:hAnsi="Arial" w:cs="Arial"/>
        </w:rPr>
        <w:t>What are the key challenges faced by conversational agents in low-resource settings, particularly in the context of natural language understanding (NLU) for indigenous languages?</w:t>
      </w:r>
    </w:p>
    <w:p w14:paraId="38EAEFB9" w14:textId="77777777" w:rsidR="009B64BB" w:rsidRPr="00033C00" w:rsidRDefault="009B64BB" w:rsidP="009B64BB">
      <w:pPr>
        <w:ind w:left="1440" w:hanging="1080"/>
        <w:jc w:val="both"/>
        <w:rPr>
          <w:rFonts w:ascii="Arial" w:hAnsi="Arial" w:cs="Arial"/>
        </w:rPr>
      </w:pPr>
      <w:r w:rsidRPr="00033C00">
        <w:rPr>
          <w:rFonts w:ascii="Arial" w:hAnsi="Arial" w:cs="Arial"/>
        </w:rPr>
        <w:t>RQ3:</w:t>
      </w:r>
      <w:r w:rsidRPr="00033C00">
        <w:rPr>
          <w:rStyle w:val="Strong"/>
          <w:rFonts w:ascii="Arial" w:hAnsi="Arial" w:cs="Arial"/>
        </w:rPr>
        <w:tab/>
        <w:t>How can multimodal AI solutions enhance the effectiveness of chatbots in Nigeria and Africa?</w:t>
      </w:r>
    </w:p>
    <w:p w14:paraId="27FB691F" w14:textId="77777777" w:rsidR="009B64BB" w:rsidRPr="00033C00" w:rsidRDefault="009B64BB" w:rsidP="009B64BB">
      <w:pPr>
        <w:ind w:left="1440" w:hanging="1080"/>
        <w:jc w:val="both"/>
        <w:rPr>
          <w:rFonts w:ascii="Arial" w:hAnsi="Arial" w:cs="Arial"/>
        </w:rPr>
      </w:pPr>
      <w:r w:rsidRPr="00033C00">
        <w:rPr>
          <w:rFonts w:ascii="Arial" w:hAnsi="Arial" w:cs="Arial"/>
        </w:rPr>
        <w:t>RQ4:</w:t>
      </w:r>
      <w:r w:rsidRPr="00033C00">
        <w:rPr>
          <w:rStyle w:val="Strong"/>
          <w:rFonts w:ascii="Arial" w:hAnsi="Arial" w:cs="Arial"/>
        </w:rPr>
        <w:tab/>
        <w:t>What ethical and operational considerations must be addressed for scalable deployment in low-resource regions?</w:t>
      </w:r>
    </w:p>
    <w:p w14:paraId="72FC86BA"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1.4</w:t>
      </w:r>
      <w:r w:rsidRPr="00033C00">
        <w:rPr>
          <w:rStyle w:val="Strong"/>
          <w:rFonts w:ascii="Arial" w:hAnsi="Arial" w:cs="Arial"/>
          <w:i w:val="0"/>
          <w:color w:val="000000" w:themeColor="text1"/>
          <w:sz w:val="20"/>
          <w:szCs w:val="20"/>
        </w:rPr>
        <w:tab/>
        <w:t>The Need for Localized AI Solutions in Africa</w:t>
      </w:r>
    </w:p>
    <w:p w14:paraId="5CC97DD0"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 xml:space="preserve">Localization is essential for conversational agents to succeed in Nigeria and </w:t>
      </w:r>
      <w:r w:rsidRPr="00307FF0">
        <w:rPr>
          <w:rFonts w:ascii="Arial" w:hAnsi="Arial" w:cs="Arial"/>
          <w:sz w:val="20"/>
          <w:szCs w:val="20"/>
          <w:highlight w:val="yellow"/>
        </w:rPr>
        <w:t>Africa[</w:t>
      </w:r>
      <w:r w:rsidRPr="00307FF0">
        <w:rPr>
          <w:rStyle w:val="EndnoteReference"/>
          <w:rFonts w:ascii="Arial" w:hAnsi="Arial" w:cs="Arial"/>
          <w:sz w:val="20"/>
          <w:szCs w:val="20"/>
          <w:highlight w:val="yellow"/>
          <w:vertAlign w:val="baseline"/>
        </w:rPr>
        <w:endnoteReference w:id="27"/>
      </w:r>
      <w:r w:rsidRPr="00307FF0">
        <w:rPr>
          <w:rFonts w:ascii="Arial" w:hAnsi="Arial" w:cs="Arial"/>
          <w:sz w:val="20"/>
          <w:szCs w:val="20"/>
          <w:highlight w:val="yellow"/>
        </w:rPr>
        <w:t>]. Current</w:t>
      </w:r>
      <w:r w:rsidRPr="00033C00">
        <w:rPr>
          <w:rFonts w:ascii="Arial" w:hAnsi="Arial" w:cs="Arial"/>
          <w:sz w:val="20"/>
          <w:szCs w:val="20"/>
        </w:rPr>
        <w:t xml:space="preserve"> AI systems are often trained on high-resource languages and </w:t>
      </w:r>
      <w:r w:rsidRPr="00307FF0">
        <w:rPr>
          <w:rFonts w:ascii="Arial" w:hAnsi="Arial" w:cs="Arial"/>
          <w:sz w:val="20"/>
          <w:szCs w:val="20"/>
          <w:highlight w:val="yellow"/>
        </w:rPr>
        <w:t>datasets[</w:t>
      </w:r>
      <w:r w:rsidRPr="00307FF0">
        <w:rPr>
          <w:rStyle w:val="EndnoteReference"/>
          <w:rFonts w:ascii="Arial" w:hAnsi="Arial" w:cs="Arial"/>
          <w:sz w:val="20"/>
          <w:szCs w:val="20"/>
          <w:highlight w:val="yellow"/>
          <w:vertAlign w:val="baseline"/>
        </w:rPr>
        <w:endnoteReference w:id="28"/>
      </w:r>
      <w:r w:rsidRPr="00307FF0">
        <w:rPr>
          <w:rFonts w:ascii="Arial" w:hAnsi="Arial" w:cs="Arial"/>
          <w:sz w:val="20"/>
          <w:szCs w:val="20"/>
          <w:highlight w:val="yellow"/>
        </w:rPr>
        <w:t>],</w:t>
      </w:r>
      <w:r w:rsidRPr="00033C00">
        <w:rPr>
          <w:rFonts w:ascii="Arial" w:hAnsi="Arial" w:cs="Arial"/>
          <w:sz w:val="20"/>
          <w:szCs w:val="20"/>
        </w:rPr>
        <w:t xml:space="preserve"> making them less effective for indigenous languages and cultural contexts[</w:t>
      </w:r>
      <w:r w:rsidRPr="00033C00">
        <w:rPr>
          <w:rStyle w:val="EndnoteReference"/>
          <w:rFonts w:ascii="Arial" w:hAnsi="Arial" w:cs="Arial"/>
          <w:sz w:val="20"/>
          <w:szCs w:val="20"/>
          <w:vertAlign w:val="baseline"/>
        </w:rPr>
        <w:endnoteReference w:id="29"/>
      </w:r>
      <w:r w:rsidRPr="00033C00">
        <w:rPr>
          <w:rFonts w:ascii="Arial" w:hAnsi="Arial" w:cs="Arial"/>
          <w:sz w:val="20"/>
          <w:szCs w:val="20"/>
        </w:rPr>
        <w:t>]. Developing AI systems that can handle languages like Igbo, Yoruba, Hausa, and Swahili will be crucial for meeting the continent's diverse needs[</w:t>
      </w:r>
      <w:r w:rsidRPr="00033C00">
        <w:rPr>
          <w:rStyle w:val="EndnoteReference"/>
          <w:rFonts w:ascii="Arial" w:hAnsi="Arial" w:cs="Arial"/>
          <w:sz w:val="20"/>
          <w:szCs w:val="20"/>
          <w:vertAlign w:val="baseline"/>
        </w:rPr>
        <w:endnoteReference w:id="30"/>
      </w:r>
      <w:r w:rsidRPr="00033C00">
        <w:rPr>
          <w:rFonts w:ascii="Arial" w:hAnsi="Arial" w:cs="Arial"/>
          <w:sz w:val="20"/>
          <w:szCs w:val="20"/>
        </w:rPr>
        <w:t xml:space="preserve">]. Additionally, cultural adaptability ensuring chatbot interactions respect local norms and values will be key to building trust and </w:t>
      </w:r>
      <w:r w:rsidRPr="00307FF0">
        <w:rPr>
          <w:rFonts w:ascii="Arial" w:hAnsi="Arial" w:cs="Arial"/>
          <w:sz w:val="20"/>
          <w:szCs w:val="20"/>
          <w:highlight w:val="yellow"/>
        </w:rPr>
        <w:t>acceptance[</w:t>
      </w:r>
      <w:bookmarkStart w:id="5" w:name="_Ref186102102"/>
      <w:r w:rsidRPr="00307FF0">
        <w:rPr>
          <w:rStyle w:val="EndnoteReference"/>
          <w:rFonts w:ascii="Arial" w:hAnsi="Arial" w:cs="Arial"/>
          <w:sz w:val="20"/>
          <w:szCs w:val="20"/>
          <w:highlight w:val="yellow"/>
          <w:vertAlign w:val="baseline"/>
        </w:rPr>
        <w:endnoteReference w:id="31"/>
      </w:r>
      <w:bookmarkEnd w:id="5"/>
      <w:r w:rsidRPr="00307FF0">
        <w:rPr>
          <w:rFonts w:ascii="Arial" w:hAnsi="Arial" w:cs="Arial"/>
          <w:sz w:val="20"/>
          <w:szCs w:val="20"/>
          <w:highlight w:val="yellow"/>
        </w:rPr>
        <w:t>].</w:t>
      </w:r>
    </w:p>
    <w:p w14:paraId="38EC724C"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61E9B05D" w14:textId="77777777" w:rsidR="009B64BB" w:rsidRPr="00033C00" w:rsidRDefault="009B64BB" w:rsidP="009B64BB">
      <w:pPr>
        <w:pStyle w:val="NormalWeb"/>
        <w:spacing w:before="0" w:beforeAutospacing="0" w:line="360" w:lineRule="auto"/>
        <w:jc w:val="both"/>
        <w:rPr>
          <w:rFonts w:ascii="Arial" w:hAnsi="Arial" w:cs="Arial"/>
          <w:sz w:val="20"/>
          <w:szCs w:val="20"/>
        </w:rPr>
      </w:pPr>
    </w:p>
    <w:p w14:paraId="5D1FC90F" w14:textId="77777777" w:rsidR="009B64BB" w:rsidRPr="00033C00" w:rsidRDefault="009B64BB" w:rsidP="009B64BB">
      <w:pPr>
        <w:pStyle w:val="NormalWeb"/>
        <w:keepNext/>
        <w:spacing w:before="0" w:beforeAutospacing="0" w:after="0" w:afterAutospacing="0" w:line="360" w:lineRule="auto"/>
        <w:jc w:val="both"/>
        <w:rPr>
          <w:rFonts w:ascii="Arial" w:hAnsi="Arial" w:cs="Arial"/>
          <w:b/>
          <w:color w:val="000000" w:themeColor="text1"/>
          <w:sz w:val="20"/>
          <w:szCs w:val="20"/>
        </w:rPr>
      </w:pPr>
      <w:r w:rsidRPr="00033C00">
        <w:rPr>
          <w:rFonts w:ascii="Arial" w:hAnsi="Arial" w:cs="Arial"/>
          <w:b/>
          <w:noProof/>
          <w:color w:val="000000" w:themeColor="text1"/>
          <w:sz w:val="20"/>
          <w:szCs w:val="20"/>
        </w:rPr>
        <w:lastRenderedPageBreak/>
        <w:drawing>
          <wp:inline distT="0" distB="0" distL="0" distR="0" wp14:anchorId="43981D1A" wp14:editId="3DA14A9C">
            <wp:extent cx="2697480" cy="2621280"/>
            <wp:effectExtent l="0" t="0" r="7620" b="7620"/>
            <wp:docPr id="3" name="Picture 3" descr="C:\Users\obiut\OneDrive\Pictures\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iut\OneDrive\Pictures\key.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07" r="3542" b="4360"/>
                    <a:stretch/>
                  </pic:blipFill>
                  <pic:spPr bwMode="auto">
                    <a:xfrm>
                      <a:off x="0" y="0"/>
                      <a:ext cx="269748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27712628" w14:textId="77777777" w:rsidR="009B64BB" w:rsidRPr="00033C00" w:rsidRDefault="009B64BB" w:rsidP="009B64BB">
      <w:pPr>
        <w:pStyle w:val="Caption"/>
        <w:spacing w:after="0"/>
        <w:jc w:val="both"/>
        <w:rPr>
          <w:rFonts w:ascii="Arial" w:hAnsi="Arial" w:cs="Arial"/>
          <w:i w:val="0"/>
          <w:color w:val="000000" w:themeColor="text1"/>
          <w:sz w:val="20"/>
          <w:szCs w:val="20"/>
        </w:rPr>
      </w:pPr>
      <w:bookmarkStart w:id="6" w:name="_Ref18556301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1</w:t>
      </w:r>
      <w:r w:rsidRPr="00033C00">
        <w:rPr>
          <w:rFonts w:ascii="Arial" w:hAnsi="Arial" w:cs="Arial"/>
          <w:i w:val="0"/>
          <w:color w:val="000000" w:themeColor="text1"/>
          <w:sz w:val="20"/>
          <w:szCs w:val="20"/>
        </w:rPr>
        <w:fldChar w:fldCharType="end"/>
      </w:r>
      <w:bookmarkEnd w:id="6"/>
      <w:r w:rsidRPr="00033C00">
        <w:rPr>
          <w:rFonts w:ascii="Arial" w:hAnsi="Arial" w:cs="Arial"/>
          <w:i w:val="0"/>
          <w:color w:val="000000" w:themeColor="text1"/>
          <w:sz w:val="20"/>
          <w:szCs w:val="20"/>
        </w:rPr>
        <w:t>: Key Barriers to Vaccine Literacy in Nigeria[</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_Ref186102102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28</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3AD1A0FA" w14:textId="77777777" w:rsidR="009B64BB" w:rsidRPr="00033C00" w:rsidRDefault="009B64BB" w:rsidP="009B64BB">
      <w:pPr>
        <w:rPr>
          <w:rFonts w:ascii="Arial" w:hAnsi="Arial" w:cs="Arial"/>
        </w:rPr>
      </w:pPr>
    </w:p>
    <w:p w14:paraId="1719657F" w14:textId="77777777" w:rsidR="009B64BB" w:rsidRPr="00033C00" w:rsidRDefault="009B64BB" w:rsidP="009B64BB">
      <w:pPr>
        <w:spacing w:line="360" w:lineRule="auto"/>
        <w:jc w:val="both"/>
        <w:rPr>
          <w:rFonts w:ascii="Arial" w:hAnsi="Arial" w:cs="Arial"/>
        </w:rPr>
      </w:pPr>
      <w:r w:rsidRPr="00033C00">
        <w:rPr>
          <w:rFonts w:ascii="Arial" w:hAnsi="Arial" w:cs="Arial"/>
        </w:rPr>
        <w:fldChar w:fldCharType="begin"/>
      </w:r>
      <w:r w:rsidRPr="00033C00">
        <w:rPr>
          <w:rFonts w:ascii="Arial" w:hAnsi="Arial" w:cs="Arial"/>
        </w:rPr>
        <w:instrText xml:space="preserve"> REF _Ref185563014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1</w:t>
      </w:r>
      <w:r w:rsidRPr="00033C00">
        <w:rPr>
          <w:rFonts w:ascii="Arial" w:hAnsi="Arial" w:cs="Arial"/>
        </w:rPr>
        <w:fldChar w:fldCharType="end"/>
      </w:r>
      <w:r w:rsidRPr="00033C00">
        <w:rPr>
          <w:rFonts w:ascii="Arial" w:hAnsi="Arial" w:cs="Arial"/>
        </w:rPr>
        <w:t xml:space="preserve"> shows the main factors contributing to vaccine hesitancy, such as misinformation, cultural resistance, and access barriers.</w:t>
      </w:r>
    </w:p>
    <w:p w14:paraId="44578856" w14:textId="77777777" w:rsidR="009B64BB" w:rsidRPr="00033C00" w:rsidRDefault="009B64BB" w:rsidP="009B64BB">
      <w:pPr>
        <w:spacing w:line="360" w:lineRule="auto"/>
        <w:jc w:val="both"/>
        <w:rPr>
          <w:rFonts w:ascii="Arial" w:hAnsi="Arial" w:cs="Arial"/>
        </w:rPr>
      </w:pPr>
      <w:r w:rsidRPr="00033C00">
        <w:rPr>
          <w:rFonts w:ascii="Arial" w:hAnsi="Arial" w:cs="Arial"/>
          <w:b/>
          <w:bCs/>
        </w:rPr>
        <w:t>Misinformation (40%)</w:t>
      </w:r>
      <w:r w:rsidRPr="00033C00">
        <w:rPr>
          <w:rFonts w:ascii="Arial" w:hAnsi="Arial" w:cs="Arial"/>
        </w:rPr>
        <w:t xml:space="preserve">: </w:t>
      </w:r>
      <w:r w:rsidRPr="00033C00">
        <w:rPr>
          <w:rFonts w:ascii="Arial" w:hAnsi="Arial" w:cs="Arial"/>
          <w:color w:val="000000"/>
          <w:shd w:val="clear" w:color="auto" w:fill="FFFFFF"/>
        </w:rPr>
        <w:t>In Nigeria, one major thing standing in the way of vaccine understanding is the spread of wrong or confusing details</w:t>
      </w:r>
      <w:r w:rsidRPr="00033C00">
        <w:rPr>
          <w:rFonts w:ascii="Arial" w:hAnsi="Arial" w:cs="Arial"/>
        </w:rPr>
        <w:t>[</w:t>
      </w:r>
      <w:r w:rsidRPr="00033C00">
        <w:rPr>
          <w:rStyle w:val="EndnoteReference"/>
          <w:rFonts w:ascii="Arial" w:hAnsi="Arial" w:cs="Arial"/>
          <w:vertAlign w:val="baseline"/>
        </w:rPr>
        <w:endnoteReference w:id="32"/>
      </w:r>
      <w:r w:rsidRPr="00033C00">
        <w:rPr>
          <w:rFonts w:ascii="Arial" w:hAnsi="Arial" w:cs="Arial"/>
        </w:rPr>
        <w:t>]</w:t>
      </w:r>
      <w:r w:rsidRPr="00033C00">
        <w:rPr>
          <w:rFonts w:ascii="Arial" w:hAnsi="Arial" w:cs="Arial"/>
          <w:color w:val="000000"/>
          <w:shd w:val="clear" w:color="auto" w:fill="FFFFFF"/>
        </w:rPr>
        <w:t>. These often move quickly through online platforms, word of mouth in local groups, and other casual sources</w:t>
      </w:r>
      <w:r w:rsidRPr="00033C00">
        <w:rPr>
          <w:rFonts w:ascii="Arial" w:hAnsi="Arial" w:cs="Arial"/>
        </w:rPr>
        <w:t>[</w:t>
      </w:r>
      <w:r w:rsidRPr="00033C00">
        <w:rPr>
          <w:rStyle w:val="EndnoteReference"/>
          <w:rFonts w:ascii="Arial" w:hAnsi="Arial" w:cs="Arial"/>
          <w:vertAlign w:val="baseline"/>
        </w:rPr>
        <w:endnoteReference w:id="33"/>
      </w:r>
      <w:r w:rsidRPr="00033C00">
        <w:rPr>
          <w:rFonts w:ascii="Arial" w:hAnsi="Arial" w:cs="Arial"/>
        </w:rPr>
        <w:t>]</w:t>
      </w:r>
      <w:r w:rsidRPr="00033C00">
        <w:rPr>
          <w:rFonts w:ascii="Arial" w:hAnsi="Arial" w:cs="Arial"/>
          <w:color w:val="000000"/>
          <w:shd w:val="clear" w:color="auto" w:fill="FFFFFF"/>
        </w:rPr>
        <w:t>. Stories and rumors—especially ones that question how safe the vaccines are or talk about side effects—tend to make people unsure, particularly when they spread fast</w:t>
      </w:r>
      <w:r w:rsidRPr="00033C00">
        <w:rPr>
          <w:rFonts w:ascii="Arial" w:hAnsi="Arial" w:cs="Arial"/>
        </w:rPr>
        <w:t>[</w:t>
      </w:r>
      <w:r w:rsidRPr="00033C00">
        <w:rPr>
          <w:rStyle w:val="EndnoteReference"/>
          <w:rFonts w:ascii="Arial" w:hAnsi="Arial" w:cs="Arial"/>
          <w:vertAlign w:val="baseline"/>
        </w:rPr>
        <w:endnoteReference w:id="34"/>
      </w:r>
      <w:r w:rsidRPr="00033C00">
        <w:rPr>
          <w:rFonts w:ascii="Arial" w:hAnsi="Arial" w:cs="Arial"/>
        </w:rPr>
        <w:t>]</w:t>
      </w:r>
      <w:r w:rsidRPr="00033C00">
        <w:rPr>
          <w:rFonts w:ascii="Arial" w:hAnsi="Arial" w:cs="Arial"/>
          <w:color w:val="000000"/>
          <w:shd w:val="clear" w:color="auto" w:fill="FFFFFF"/>
        </w:rPr>
        <w:t>.</w:t>
      </w:r>
    </w:p>
    <w:p w14:paraId="6D1624DB" w14:textId="77777777" w:rsidR="009B64BB" w:rsidRPr="00033C00" w:rsidRDefault="009B64BB" w:rsidP="009B64BB">
      <w:pPr>
        <w:spacing w:line="360" w:lineRule="auto"/>
        <w:jc w:val="both"/>
        <w:rPr>
          <w:rFonts w:ascii="Arial" w:hAnsi="Arial" w:cs="Arial"/>
        </w:rPr>
      </w:pPr>
    </w:p>
    <w:p w14:paraId="0590C8B1" w14:textId="77777777" w:rsidR="009B64BB" w:rsidRPr="00033C00" w:rsidRDefault="009B64BB" w:rsidP="009B64BB">
      <w:pPr>
        <w:spacing w:line="360" w:lineRule="auto"/>
        <w:jc w:val="both"/>
        <w:rPr>
          <w:rFonts w:ascii="Arial" w:hAnsi="Arial" w:cs="Arial"/>
        </w:rPr>
      </w:pPr>
      <w:r w:rsidRPr="00033C00">
        <w:rPr>
          <w:rFonts w:ascii="Arial" w:hAnsi="Arial" w:cs="Arial"/>
          <w:b/>
          <w:bCs/>
        </w:rPr>
        <w:t>Cultural Beliefs (30%)</w:t>
      </w:r>
      <w:r w:rsidRPr="00033C00">
        <w:rPr>
          <w:rFonts w:ascii="Arial" w:hAnsi="Arial" w:cs="Arial"/>
        </w:rPr>
        <w:t>: Cultural beliefs and traditional practices strongly influence vaccine acceptance in Nigeria[</w:t>
      </w:r>
      <w:r w:rsidRPr="00033C00">
        <w:rPr>
          <w:rStyle w:val="EndnoteReference"/>
          <w:rFonts w:ascii="Arial" w:hAnsi="Arial" w:cs="Arial"/>
          <w:vertAlign w:val="baseline"/>
        </w:rPr>
        <w:endnoteReference w:id="35"/>
      </w:r>
      <w:r w:rsidRPr="00033C00">
        <w:rPr>
          <w:rFonts w:ascii="Arial" w:hAnsi="Arial" w:cs="Arial"/>
        </w:rPr>
        <w:t>]. In many communities, religious and cultural views may lead to resistance to vaccination, with some individuals prioritizing spiritual or ancestral beliefs over modern healthcare interventions[</w:t>
      </w:r>
      <w:r w:rsidRPr="00033C00">
        <w:rPr>
          <w:rStyle w:val="EndnoteReference"/>
          <w:rFonts w:ascii="Arial" w:hAnsi="Arial" w:cs="Arial"/>
          <w:vertAlign w:val="baseline"/>
        </w:rPr>
        <w:endnoteReference w:id="36"/>
      </w:r>
      <w:r w:rsidRPr="00033C00">
        <w:rPr>
          <w:rFonts w:ascii="Arial" w:hAnsi="Arial" w:cs="Arial"/>
        </w:rPr>
        <w:t>]. This cultural resistance contributes to widespread vaccine hesitancy[</w:t>
      </w:r>
      <w:r w:rsidRPr="00033C00">
        <w:rPr>
          <w:rStyle w:val="EndnoteReference"/>
          <w:rFonts w:ascii="Arial" w:hAnsi="Arial" w:cs="Arial"/>
          <w:vertAlign w:val="baseline"/>
        </w:rPr>
        <w:endnoteReference w:id="37"/>
      </w:r>
      <w:r w:rsidRPr="00033C00">
        <w:rPr>
          <w:rFonts w:ascii="Arial" w:hAnsi="Arial" w:cs="Arial"/>
        </w:rPr>
        <w:t>].</w:t>
      </w:r>
    </w:p>
    <w:p w14:paraId="1E6FEDC4" w14:textId="77777777" w:rsidR="009B64BB" w:rsidRPr="00033C00" w:rsidRDefault="009B64BB" w:rsidP="009B64BB">
      <w:pPr>
        <w:spacing w:line="360" w:lineRule="auto"/>
        <w:jc w:val="both"/>
        <w:rPr>
          <w:rFonts w:ascii="Arial" w:hAnsi="Arial" w:cs="Arial"/>
        </w:rPr>
      </w:pPr>
      <w:r w:rsidRPr="00033C00">
        <w:rPr>
          <w:rFonts w:ascii="Arial" w:hAnsi="Arial" w:cs="Arial"/>
          <w:b/>
          <w:bCs/>
        </w:rPr>
        <w:t>Access Barriers (30%)</w:t>
      </w:r>
      <w:r w:rsidRPr="00033C00">
        <w:rPr>
          <w:rFonts w:ascii="Arial" w:hAnsi="Arial" w:cs="Arial"/>
        </w:rPr>
        <w:t xml:space="preserve">: </w:t>
      </w:r>
      <w:r w:rsidRPr="00033C00">
        <w:rPr>
          <w:rFonts w:ascii="Arial" w:hAnsi="Arial" w:cs="Arial"/>
          <w:color w:val="000000"/>
          <w:shd w:val="clear" w:color="auto" w:fill="FFFFFF"/>
        </w:rPr>
        <w:t>For many people, especially those living far from city centers, getting a vaccine isn't simple</w:t>
      </w:r>
      <w:r w:rsidRPr="00033C00">
        <w:rPr>
          <w:rFonts w:ascii="Arial" w:hAnsi="Arial" w:cs="Arial"/>
        </w:rPr>
        <w:t>[</w:t>
      </w:r>
      <w:r w:rsidRPr="00033C00">
        <w:rPr>
          <w:rStyle w:val="EndnoteReference"/>
          <w:rFonts w:ascii="Arial" w:hAnsi="Arial" w:cs="Arial"/>
          <w:vertAlign w:val="baseline"/>
        </w:rPr>
        <w:endnoteReference w:id="38"/>
      </w:r>
      <w:r w:rsidRPr="00033C00">
        <w:rPr>
          <w:rFonts w:ascii="Arial" w:hAnsi="Arial" w:cs="Arial"/>
        </w:rPr>
        <w:t>-</w:t>
      </w:r>
      <w:r w:rsidRPr="00033C00">
        <w:rPr>
          <w:rStyle w:val="EndnoteReference"/>
          <w:rFonts w:ascii="Arial" w:hAnsi="Arial" w:cs="Arial"/>
          <w:vertAlign w:val="baseline"/>
        </w:rPr>
        <w:endnoteReference w:id="39"/>
      </w:r>
      <w:r w:rsidRPr="00033C00">
        <w:rPr>
          <w:rFonts w:ascii="Arial" w:hAnsi="Arial" w:cs="Arial"/>
        </w:rPr>
        <w:t>].</w:t>
      </w:r>
      <w:r w:rsidRPr="00033C00">
        <w:rPr>
          <w:rFonts w:ascii="Arial" w:hAnsi="Arial" w:cs="Arial"/>
          <w:color w:val="000000"/>
          <w:shd w:val="clear" w:color="auto" w:fill="FFFFFF"/>
        </w:rPr>
        <w:t xml:space="preserve"> The problems range from poor road access</w:t>
      </w:r>
      <w:r w:rsidRPr="00033C00">
        <w:rPr>
          <w:rFonts w:ascii="Arial" w:hAnsi="Arial" w:cs="Arial"/>
        </w:rPr>
        <w:t>[</w:t>
      </w:r>
      <w:r w:rsidRPr="00033C00">
        <w:rPr>
          <w:rStyle w:val="EndnoteReference"/>
          <w:rFonts w:ascii="Arial" w:hAnsi="Arial" w:cs="Arial"/>
          <w:vertAlign w:val="baseline"/>
        </w:rPr>
        <w:endnoteReference w:id="40"/>
      </w:r>
      <w:r w:rsidRPr="00033C00">
        <w:rPr>
          <w:rFonts w:ascii="Arial" w:hAnsi="Arial" w:cs="Arial"/>
        </w:rPr>
        <w:t>]</w:t>
      </w:r>
      <w:r w:rsidRPr="00033C00">
        <w:rPr>
          <w:rFonts w:ascii="Arial" w:hAnsi="Arial" w:cs="Arial"/>
          <w:color w:val="000000"/>
          <w:shd w:val="clear" w:color="auto" w:fill="FFFFFF"/>
        </w:rPr>
        <w:t xml:space="preserve"> and distant clinics to money issues</w:t>
      </w:r>
      <w:r w:rsidRPr="00033C00">
        <w:rPr>
          <w:rFonts w:ascii="Arial" w:hAnsi="Arial" w:cs="Arial"/>
        </w:rPr>
        <w:t>[</w:t>
      </w:r>
      <w:r w:rsidRPr="00033C00">
        <w:rPr>
          <w:rStyle w:val="EndnoteReference"/>
          <w:rFonts w:ascii="Arial" w:hAnsi="Arial" w:cs="Arial"/>
          <w:vertAlign w:val="baseline"/>
        </w:rPr>
        <w:endnoteReference w:id="41"/>
      </w:r>
      <w:r w:rsidRPr="00033C00">
        <w:rPr>
          <w:rFonts w:ascii="Arial" w:hAnsi="Arial" w:cs="Arial"/>
        </w:rPr>
        <w:t>]</w:t>
      </w:r>
      <w:r w:rsidRPr="00033C00">
        <w:rPr>
          <w:rFonts w:ascii="Arial" w:hAnsi="Arial" w:cs="Arial"/>
          <w:color w:val="000000"/>
          <w:shd w:val="clear" w:color="auto" w:fill="FFFFFF"/>
        </w:rPr>
        <w:t xml:space="preserve"> or just not knowing where or when to go</w:t>
      </w:r>
      <w:r w:rsidRPr="00033C00">
        <w:rPr>
          <w:rFonts w:ascii="Arial" w:hAnsi="Arial" w:cs="Arial"/>
        </w:rPr>
        <w:t>[</w:t>
      </w:r>
      <w:r w:rsidRPr="00033C00">
        <w:rPr>
          <w:rStyle w:val="EndnoteReference"/>
          <w:rFonts w:ascii="Arial" w:hAnsi="Arial" w:cs="Arial"/>
          <w:vertAlign w:val="baseline"/>
        </w:rPr>
        <w:endnoteReference w:id="42"/>
      </w:r>
      <w:r w:rsidRPr="00033C00">
        <w:rPr>
          <w:rFonts w:ascii="Arial" w:hAnsi="Arial" w:cs="Arial"/>
        </w:rPr>
        <w:t>]</w:t>
      </w:r>
      <w:r w:rsidRPr="00033C00">
        <w:rPr>
          <w:rFonts w:ascii="Arial" w:hAnsi="Arial" w:cs="Arial"/>
          <w:color w:val="000000"/>
          <w:shd w:val="clear" w:color="auto" w:fill="FFFFFF"/>
        </w:rPr>
        <w:t>. These real-world hurdles make it much harder for them to get the shots they need</w:t>
      </w:r>
      <w:r w:rsidRPr="00033C00">
        <w:rPr>
          <w:rFonts w:ascii="Arial" w:hAnsi="Arial" w:cs="Arial"/>
        </w:rPr>
        <w:t>[</w:t>
      </w:r>
      <w:r w:rsidRPr="00033C00">
        <w:rPr>
          <w:rStyle w:val="EndnoteReference"/>
          <w:rFonts w:ascii="Arial" w:hAnsi="Arial" w:cs="Arial"/>
          <w:vertAlign w:val="baseline"/>
        </w:rPr>
        <w:endnoteReference w:id="43"/>
      </w:r>
      <w:r w:rsidRPr="00033C00">
        <w:rPr>
          <w:rFonts w:ascii="Arial" w:hAnsi="Arial" w:cs="Arial"/>
        </w:rPr>
        <w:t>]</w:t>
      </w:r>
      <w:r w:rsidRPr="00033C00">
        <w:rPr>
          <w:rFonts w:ascii="Arial" w:hAnsi="Arial" w:cs="Arial"/>
          <w:color w:val="000000"/>
          <w:shd w:val="clear" w:color="auto" w:fill="FFFFFF"/>
        </w:rPr>
        <w:t>.</w:t>
      </w:r>
    </w:p>
    <w:p w14:paraId="47014C46" w14:textId="77777777" w:rsidR="009B64BB" w:rsidRPr="00033C00" w:rsidRDefault="009B64BB" w:rsidP="009B64BB">
      <w:pPr>
        <w:spacing w:line="360" w:lineRule="auto"/>
        <w:jc w:val="both"/>
        <w:rPr>
          <w:rFonts w:ascii="Arial" w:hAnsi="Arial" w:cs="Arial"/>
        </w:rPr>
      </w:pPr>
    </w:p>
    <w:p w14:paraId="17D7EBA1"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1.5</w:t>
      </w:r>
      <w:r w:rsidRPr="00033C00">
        <w:rPr>
          <w:rStyle w:val="Strong"/>
          <w:rFonts w:ascii="Arial" w:hAnsi="Arial" w:cs="Arial"/>
          <w:i w:val="0"/>
          <w:color w:val="000000" w:themeColor="text1"/>
          <w:sz w:val="20"/>
          <w:szCs w:val="20"/>
        </w:rPr>
        <w:tab/>
        <w:t>The Transformative Potential of AI in Public Health</w:t>
      </w:r>
    </w:p>
    <w:p w14:paraId="51773CEE" w14:textId="77777777" w:rsidR="009B64BB" w:rsidRPr="00033C00" w:rsidRDefault="009B64BB" w:rsidP="009B64BB">
      <w:pPr>
        <w:pStyle w:val="NormalWeb"/>
        <w:spacing w:before="0" w:beforeAutospacing="0" w:line="360" w:lineRule="auto"/>
        <w:jc w:val="both"/>
        <w:rPr>
          <w:rFonts w:ascii="Arial" w:hAnsi="Arial" w:cs="Arial"/>
          <w:sz w:val="20"/>
          <w:szCs w:val="20"/>
        </w:rPr>
      </w:pPr>
      <w:r w:rsidRPr="00033C00">
        <w:rPr>
          <w:rFonts w:ascii="Arial" w:hAnsi="Arial" w:cs="Arial"/>
          <w:sz w:val="20"/>
          <w:szCs w:val="20"/>
        </w:rPr>
        <w:t>By addressing vaccine hesitancy, conversational agents can play a transformative role in improving public health outcomes across Nigeria and Africa[</w:t>
      </w:r>
      <w:r w:rsidRPr="00033C00">
        <w:rPr>
          <w:rStyle w:val="EndnoteReference"/>
          <w:rFonts w:ascii="Arial" w:hAnsi="Arial" w:cs="Arial"/>
          <w:sz w:val="20"/>
          <w:szCs w:val="20"/>
          <w:vertAlign w:val="baseline"/>
        </w:rPr>
        <w:endnoteReference w:id="44"/>
      </w:r>
      <w:r w:rsidRPr="00033C00">
        <w:rPr>
          <w:rFonts w:ascii="Arial" w:hAnsi="Arial" w:cs="Arial"/>
          <w:sz w:val="20"/>
          <w:szCs w:val="20"/>
        </w:rPr>
        <w:t>]. These systems are cost-effective[</w:t>
      </w:r>
      <w:r w:rsidRPr="00033C00">
        <w:rPr>
          <w:rStyle w:val="EndnoteReference"/>
          <w:rFonts w:ascii="Arial" w:hAnsi="Arial" w:cs="Arial"/>
          <w:sz w:val="20"/>
          <w:szCs w:val="20"/>
          <w:vertAlign w:val="baseline"/>
        </w:rPr>
        <w:endnoteReference w:id="45"/>
      </w:r>
      <w:r w:rsidRPr="00033C00">
        <w:rPr>
          <w:rFonts w:ascii="Arial" w:hAnsi="Arial" w:cs="Arial"/>
          <w:sz w:val="20"/>
          <w:szCs w:val="20"/>
        </w:rPr>
        <w:t>], scalable[</w:t>
      </w:r>
      <w:r w:rsidRPr="00033C00">
        <w:rPr>
          <w:rStyle w:val="EndnoteReference"/>
          <w:rFonts w:ascii="Arial" w:hAnsi="Arial" w:cs="Arial"/>
          <w:sz w:val="20"/>
          <w:szCs w:val="20"/>
          <w:vertAlign w:val="baseline"/>
        </w:rPr>
        <w:endnoteReference w:id="46"/>
      </w:r>
      <w:r w:rsidRPr="00033C00">
        <w:rPr>
          <w:rFonts w:ascii="Arial" w:hAnsi="Arial" w:cs="Arial"/>
          <w:sz w:val="20"/>
          <w:szCs w:val="20"/>
        </w:rPr>
        <w:t>], and adaptable[</w:t>
      </w:r>
      <w:r w:rsidRPr="00033C00">
        <w:rPr>
          <w:rStyle w:val="EndnoteReference"/>
          <w:rFonts w:ascii="Arial" w:hAnsi="Arial" w:cs="Arial"/>
          <w:sz w:val="20"/>
          <w:szCs w:val="20"/>
          <w:vertAlign w:val="baseline"/>
        </w:rPr>
        <w:endnoteReference w:id="47"/>
      </w:r>
      <w:r w:rsidRPr="00033C00">
        <w:rPr>
          <w:rFonts w:ascii="Arial" w:hAnsi="Arial" w:cs="Arial"/>
          <w:sz w:val="20"/>
          <w:szCs w:val="20"/>
        </w:rPr>
        <w:t>] to diverse environments, making them ideal for low-resource settings[</w:t>
      </w:r>
      <w:r w:rsidRPr="00033C00">
        <w:rPr>
          <w:rStyle w:val="EndnoteReference"/>
          <w:rFonts w:ascii="Arial" w:hAnsi="Arial" w:cs="Arial"/>
          <w:sz w:val="20"/>
          <w:szCs w:val="20"/>
          <w:vertAlign w:val="baseline"/>
        </w:rPr>
        <w:endnoteReference w:id="48"/>
      </w:r>
      <w:r w:rsidRPr="00033C00">
        <w:rPr>
          <w:rFonts w:ascii="Arial" w:hAnsi="Arial" w:cs="Arial"/>
          <w:sz w:val="20"/>
          <w:szCs w:val="20"/>
        </w:rPr>
        <w:t>]. Furthermore, their ability to deliver real-time, reliable information can counter the rapid spread of misinformation[</w:t>
      </w:r>
      <w:r w:rsidRPr="00033C00">
        <w:rPr>
          <w:rStyle w:val="EndnoteReference"/>
          <w:rFonts w:ascii="Arial" w:hAnsi="Arial" w:cs="Arial"/>
          <w:sz w:val="20"/>
          <w:szCs w:val="20"/>
          <w:vertAlign w:val="baseline"/>
        </w:rPr>
        <w:endnoteReference w:id="49"/>
      </w:r>
      <w:r w:rsidRPr="00033C00">
        <w:rPr>
          <w:rFonts w:ascii="Arial" w:hAnsi="Arial" w:cs="Arial"/>
          <w:sz w:val="20"/>
          <w:szCs w:val="20"/>
        </w:rPr>
        <w:t>], fostering greater trust in vaccines[</w:t>
      </w:r>
      <w:r w:rsidRPr="00033C00">
        <w:rPr>
          <w:rStyle w:val="EndnoteReference"/>
          <w:rFonts w:ascii="Arial" w:hAnsi="Arial" w:cs="Arial"/>
          <w:sz w:val="20"/>
          <w:szCs w:val="20"/>
          <w:vertAlign w:val="baseline"/>
        </w:rPr>
        <w:endnoteReference w:id="50"/>
      </w:r>
      <w:r w:rsidRPr="00033C00">
        <w:rPr>
          <w:rFonts w:ascii="Arial" w:hAnsi="Arial" w:cs="Arial"/>
          <w:sz w:val="20"/>
          <w:szCs w:val="20"/>
        </w:rPr>
        <w:t>] and healthcare systems[</w:t>
      </w:r>
      <w:r w:rsidRPr="00033C00">
        <w:rPr>
          <w:rStyle w:val="EndnoteReference"/>
          <w:rFonts w:ascii="Arial" w:hAnsi="Arial" w:cs="Arial"/>
          <w:sz w:val="20"/>
          <w:szCs w:val="20"/>
          <w:vertAlign w:val="baseline"/>
        </w:rPr>
        <w:endnoteReference w:id="51"/>
      </w:r>
      <w:r w:rsidRPr="00033C00">
        <w:rPr>
          <w:rFonts w:ascii="Arial" w:hAnsi="Arial" w:cs="Arial"/>
          <w:sz w:val="20"/>
          <w:szCs w:val="20"/>
        </w:rPr>
        <w:t>].</w:t>
      </w:r>
    </w:p>
    <w:p w14:paraId="66694E33" w14:textId="3BB10F23"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1BAE74D8" wp14:editId="2BF39BE9">
                <wp:simplePos x="0" y="0"/>
                <wp:positionH relativeFrom="margin">
                  <wp:posOffset>716280</wp:posOffset>
                </wp:positionH>
                <wp:positionV relativeFrom="paragraph">
                  <wp:posOffset>30480</wp:posOffset>
                </wp:positionV>
                <wp:extent cx="3718560" cy="2529840"/>
                <wp:effectExtent l="19050" t="19050" r="0" b="3810"/>
                <wp:wrapNone/>
                <wp:docPr id="7689305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560" cy="2529840"/>
                        </a:xfrm>
                        <a:prstGeom prst="rect">
                          <a:avLst/>
                        </a:prstGeom>
                        <a:noFill/>
                        <a:ln w="28575">
                          <a:solidFill>
                            <a:schemeClr val="tx2"/>
                          </a:solidFill>
                        </a:ln>
                      </wps:spPr>
                      <wps:txb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AE74D8" id="_x0000_t202" coordsize="21600,21600" o:spt="202" path="m,l,21600r21600,l21600,xe">
                <v:stroke joinstyle="miter"/>
                <v:path gradientshapeok="t" o:connecttype="rect"/>
              </v:shapetype>
              <v:shape id="Text Box 15" o:spid="_x0000_s1026" type="#_x0000_t202" style="position:absolute;left:0;text-align:left;margin-left:56.4pt;margin-top:2.4pt;width:292.8pt;height:19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" filled="f" strokecolor="#1f497d [3215]" strokeweight="2.25pt">
                <v:path arrowok="t"/>
                <v:textbox>
                  <w:txbxContent>
                    <w:p w14:paraId="1981DE16" w14:textId="77777777" w:rsidR="009B64BB" w:rsidRDefault="009B64BB" w:rsidP="009B64BB">
                      <w:r>
                        <w:rPr>
                          <w:noProof/>
                        </w:rPr>
                        <w:drawing>
                          <wp:inline distT="0" distB="0" distL="0" distR="0" wp14:anchorId="5DF58C9A" wp14:editId="301FE61C">
                            <wp:extent cx="3421380" cy="2316480"/>
                            <wp:effectExtent l="19050" t="19050" r="26670" b="26670"/>
                            <wp:docPr id="358972773" name="Chart 358972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r w:rsidRPr="00033C00">
        <w:rPr>
          <w:rFonts w:ascii="Arial" w:hAnsi="Arial" w:cs="Arial"/>
          <w:noProof/>
          <w:sz w:val="20"/>
          <w:szCs w:val="20"/>
        </w:rPr>
        <mc:AlternateContent>
          <mc:Choice Requires="wps">
            <w:drawing>
              <wp:anchor distT="0" distB="0" distL="114300" distR="114300" simplePos="0" relativeHeight="251659264" behindDoc="0" locked="0" layoutInCell="1" allowOverlap="1" wp14:anchorId="368EE330" wp14:editId="46A71144">
                <wp:simplePos x="0" y="0"/>
                <wp:positionH relativeFrom="column">
                  <wp:posOffset>1455420</wp:posOffset>
                </wp:positionH>
                <wp:positionV relativeFrom="paragraph">
                  <wp:posOffset>46990</wp:posOffset>
                </wp:positionV>
                <wp:extent cx="1889760" cy="2331720"/>
                <wp:effectExtent l="0" t="0" r="0" b="0"/>
                <wp:wrapNone/>
                <wp:docPr id="13590760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2331720"/>
                        </a:xfrm>
                        <a:prstGeom prst="rect">
                          <a:avLst/>
                        </a:prstGeom>
                        <a:noFill/>
                        <a:ln w="6350">
                          <a:noFill/>
                        </a:ln>
                      </wps:spPr>
                      <wps:txb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EE330" id="Text Box 13" o:spid="_x0000_s1027" type="#_x0000_t202" style="position:absolute;left:0;text-align:left;margin-left:114.6pt;margin-top:3.7pt;width:148.8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" filled="f" stroked="f" strokeweight=".5pt">
                <v:textbox>
                  <w:txbxContent>
                    <w:p w14:paraId="52CB84CE" w14:textId="77777777" w:rsidR="009B64BB" w:rsidRDefault="009B64BB" w:rsidP="009B64BB">
                      <w:r>
                        <w:rPr>
                          <w:noProof/>
                        </w:rPr>
                        <w:drawing>
                          <wp:inline distT="0" distB="0" distL="0" distR="0" wp14:anchorId="37CAA12C" wp14:editId="7395EC46">
                            <wp:extent cx="1874520" cy="1874520"/>
                            <wp:effectExtent l="0" t="0" r="0" b="0"/>
                            <wp:docPr id="956940459" name="Picture 956940459" descr="AI generated world global network digital technology. globe future internet  business concept background. 3932312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I generated world global network digital technology. globe future internet  business concept background. 39323122 PNG"/>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xbxContent>
                </v:textbox>
              </v:shape>
            </w:pict>
          </mc:Fallback>
        </mc:AlternateContent>
      </w:r>
      <w:r w:rsidR="009B64BB" w:rsidRPr="00033C00">
        <w:rPr>
          <w:rFonts w:ascii="Arial" w:hAnsi="Arial" w:cs="Arial"/>
          <w:noProof/>
          <w:sz w:val="20"/>
          <w:szCs w:val="20"/>
        </w:rPr>
        <w:t xml:space="preserve"> </w:t>
      </w:r>
    </w:p>
    <w:p w14:paraId="70E9EF43" w14:textId="77777777" w:rsidR="009B64BB" w:rsidRPr="00033C00" w:rsidRDefault="009B64BB" w:rsidP="009B64BB">
      <w:pPr>
        <w:pStyle w:val="NormalWeb"/>
        <w:jc w:val="both"/>
        <w:rPr>
          <w:rStyle w:val="Strong"/>
          <w:rFonts w:ascii="Arial" w:hAnsi="Arial" w:cs="Arial"/>
          <w:sz w:val="20"/>
          <w:szCs w:val="20"/>
        </w:rPr>
      </w:pPr>
    </w:p>
    <w:p w14:paraId="598CDD64" w14:textId="77777777" w:rsidR="009B64BB" w:rsidRPr="00033C00" w:rsidRDefault="009B64BB" w:rsidP="009B64BB">
      <w:pPr>
        <w:pStyle w:val="NormalWeb"/>
        <w:jc w:val="both"/>
        <w:rPr>
          <w:rStyle w:val="Strong"/>
          <w:rFonts w:ascii="Arial" w:hAnsi="Arial" w:cs="Arial"/>
          <w:sz w:val="20"/>
          <w:szCs w:val="20"/>
        </w:rPr>
      </w:pPr>
    </w:p>
    <w:p w14:paraId="0C162F81" w14:textId="77777777" w:rsidR="009B64BB" w:rsidRPr="00033C00" w:rsidRDefault="009B64BB" w:rsidP="009B64BB">
      <w:pPr>
        <w:pStyle w:val="NormalWeb"/>
        <w:jc w:val="both"/>
        <w:rPr>
          <w:rStyle w:val="Strong"/>
          <w:rFonts w:ascii="Arial" w:hAnsi="Arial" w:cs="Arial"/>
          <w:sz w:val="20"/>
          <w:szCs w:val="20"/>
        </w:rPr>
      </w:pPr>
    </w:p>
    <w:p w14:paraId="4A292A19" w14:textId="77777777" w:rsidR="009B64BB" w:rsidRPr="00033C00" w:rsidRDefault="009B64BB" w:rsidP="009B64BB">
      <w:pPr>
        <w:pStyle w:val="NormalWeb"/>
        <w:jc w:val="both"/>
        <w:rPr>
          <w:rStyle w:val="Strong"/>
          <w:rFonts w:ascii="Arial" w:hAnsi="Arial" w:cs="Arial"/>
          <w:sz w:val="20"/>
          <w:szCs w:val="20"/>
        </w:rPr>
      </w:pPr>
    </w:p>
    <w:p w14:paraId="2840F0CD" w14:textId="77777777" w:rsidR="009B64BB" w:rsidRPr="00033C00" w:rsidRDefault="009B64BB" w:rsidP="009B64BB">
      <w:pPr>
        <w:pStyle w:val="NormalWeb"/>
        <w:jc w:val="both"/>
        <w:rPr>
          <w:rStyle w:val="Strong"/>
          <w:rFonts w:ascii="Arial" w:hAnsi="Arial" w:cs="Arial"/>
          <w:sz w:val="20"/>
          <w:szCs w:val="20"/>
        </w:rPr>
      </w:pPr>
    </w:p>
    <w:p w14:paraId="5E62BBA4" w14:textId="77777777" w:rsidR="009B64BB" w:rsidRPr="00033C00" w:rsidRDefault="009B64BB" w:rsidP="009B64BB">
      <w:pPr>
        <w:pStyle w:val="NormalWeb"/>
        <w:jc w:val="both"/>
        <w:rPr>
          <w:rStyle w:val="Strong"/>
          <w:rFonts w:ascii="Arial" w:hAnsi="Arial" w:cs="Arial"/>
          <w:sz w:val="20"/>
          <w:szCs w:val="20"/>
        </w:rPr>
      </w:pPr>
    </w:p>
    <w:p w14:paraId="6FAD73B1" w14:textId="77777777" w:rsidR="000E0806" w:rsidRDefault="000E0806" w:rsidP="009B64BB">
      <w:pPr>
        <w:pStyle w:val="NormalWeb"/>
        <w:jc w:val="both"/>
        <w:rPr>
          <w:rStyle w:val="Strong"/>
          <w:rFonts w:ascii="Arial" w:hAnsi="Arial" w:cs="Arial"/>
          <w:sz w:val="20"/>
          <w:szCs w:val="20"/>
        </w:rPr>
      </w:pPr>
    </w:p>
    <w:p w14:paraId="0CC5743F" w14:textId="4B03E678" w:rsidR="009B64BB" w:rsidRPr="00033C00" w:rsidRDefault="0003616E" w:rsidP="009B64BB">
      <w:pPr>
        <w:pStyle w:val="NormalWeb"/>
        <w:jc w:val="both"/>
        <w:rPr>
          <w:rStyle w:val="Strong"/>
          <w:rFonts w:ascii="Arial" w:hAnsi="Arial" w:cs="Arial"/>
          <w:sz w:val="20"/>
          <w:szCs w:val="20"/>
        </w:rPr>
      </w:pPr>
      <w:r w:rsidRPr="00033C00">
        <w:rPr>
          <w:rFonts w:ascii="Arial" w:hAnsi="Arial" w:cs="Arial"/>
          <w:noProof/>
          <w:sz w:val="20"/>
          <w:szCs w:val="20"/>
        </w:rPr>
        <mc:AlternateContent>
          <mc:Choice Requires="wps">
            <w:drawing>
              <wp:anchor distT="0" distB="0" distL="114300" distR="114300" simplePos="0" relativeHeight="251661312" behindDoc="0" locked="0" layoutInCell="1" allowOverlap="1" wp14:anchorId="49FEC22F" wp14:editId="2F92DD0A">
                <wp:simplePos x="0" y="0"/>
                <wp:positionH relativeFrom="margin">
                  <wp:align>left</wp:align>
                </wp:positionH>
                <wp:positionV relativeFrom="paragraph">
                  <wp:posOffset>120650</wp:posOffset>
                </wp:positionV>
                <wp:extent cx="6210300" cy="175260"/>
                <wp:effectExtent l="0" t="0" r="0" b="0"/>
                <wp:wrapNone/>
                <wp:docPr id="11351814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75260"/>
                        </a:xfrm>
                        <a:prstGeom prst="rect">
                          <a:avLst/>
                        </a:prstGeom>
                        <a:solidFill>
                          <a:prstClr val="white"/>
                        </a:solidFill>
                        <a:ln>
                          <a:noFill/>
                        </a:ln>
                      </wps:spPr>
                      <wps:txbx>
                        <w:txbxContent>
                          <w:p w14:paraId="59962AB8" w14:textId="77777777" w:rsidR="009B64BB" w:rsidRPr="00FD34C8" w:rsidRDefault="009B64BB" w:rsidP="009B64BB">
                            <w:pPr>
                              <w:pStyle w:val="NormalWeb"/>
                              <w:spacing w:before="0" w:beforeAutospacing="0" w:after="0" w:afterAutospacing="0"/>
                              <w:jc w:val="both"/>
                            </w:pPr>
                            <w:bookmarkStart w:id="7"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7"/>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EC22F" id="Text Box 11" o:spid="_x0000_s1028" type="#_x0000_t202" style="position:absolute;left:0;text-align:left;margin-left:0;margin-top:9.5pt;width:489pt;height:1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" stroked="f">
                <v:textbox inset="0,0,0,0">
                  <w:txbxContent>
                    <w:p w14:paraId="59962AB8" w14:textId="77777777" w:rsidR="009B64BB" w:rsidRPr="00FD34C8" w:rsidRDefault="009B64BB" w:rsidP="009B64BB">
                      <w:pPr>
                        <w:pStyle w:val="NormalWeb"/>
                        <w:spacing w:before="0" w:beforeAutospacing="0" w:after="0" w:afterAutospacing="0"/>
                        <w:jc w:val="both"/>
                      </w:pPr>
                      <w:bookmarkStart w:id="7" w:name="_Ref185565590"/>
                      <w:r w:rsidRPr="00FD34C8">
                        <w:rPr>
                          <w:color w:val="000000" w:themeColor="text1"/>
                        </w:rPr>
                        <w:t xml:space="preserve">Figure </w:t>
                      </w:r>
                      <w:r w:rsidRPr="00FD34C8">
                        <w:rPr>
                          <w:color w:val="000000" w:themeColor="text1"/>
                        </w:rPr>
                        <w:fldChar w:fldCharType="begin"/>
                      </w:r>
                      <w:r w:rsidRPr="00FD34C8">
                        <w:rPr>
                          <w:color w:val="000000" w:themeColor="text1"/>
                        </w:rPr>
                        <w:instrText xml:space="preserve"> SEQ Figure \* ARABIC </w:instrText>
                      </w:r>
                      <w:r w:rsidRPr="00FD34C8">
                        <w:rPr>
                          <w:color w:val="000000" w:themeColor="text1"/>
                        </w:rPr>
                        <w:fldChar w:fldCharType="separate"/>
                      </w:r>
                      <w:r>
                        <w:rPr>
                          <w:noProof/>
                          <w:color w:val="000000" w:themeColor="text1"/>
                        </w:rPr>
                        <w:t>2</w:t>
                      </w:r>
                      <w:r w:rsidRPr="00FD34C8">
                        <w:rPr>
                          <w:color w:val="000000" w:themeColor="text1"/>
                        </w:rPr>
                        <w:fldChar w:fldCharType="end"/>
                      </w:r>
                      <w:bookmarkEnd w:id="7"/>
                      <w:r w:rsidRPr="00FD34C8">
                        <w:rPr>
                          <w:color w:val="000000" w:themeColor="text1"/>
                        </w:rPr>
                        <w:t>: Internet an</w:t>
                      </w:r>
                      <w:r>
                        <w:rPr>
                          <w:color w:val="000000" w:themeColor="text1"/>
                        </w:rPr>
                        <w:t xml:space="preserve">d Mobile Penetration in Africa from </w:t>
                      </w:r>
                      <w:r w:rsidRPr="00FD34C8">
                        <w:rPr>
                          <w:color w:val="000000" w:themeColor="text1"/>
                        </w:rPr>
                        <w:t>2020–2024</w:t>
                      </w:r>
                      <w:r w:rsidRPr="00FD34C8">
                        <w:rPr>
                          <w:rStyle w:val="Emphasis"/>
                        </w:rPr>
                        <w:t xml:space="preserve"> </w:t>
                      </w:r>
                      <w:r>
                        <w:rPr>
                          <w:rStyle w:val="Emphasis"/>
                        </w:rPr>
                        <w:t>(</w:t>
                      </w:r>
                      <w:r w:rsidRPr="00FD34C8">
                        <w:rPr>
                          <w:rStyle w:val="Emphasis"/>
                        </w:rPr>
                        <w:t>GSMA Africa Report, 2024</w:t>
                      </w:r>
                      <w:r>
                        <w:rPr>
                          <w:rStyle w:val="Emphasis"/>
                        </w:rPr>
                        <w:t>)</w:t>
                      </w:r>
                      <w:r w:rsidRPr="00FD34C8">
                        <w:rPr>
                          <w:rStyle w:val="Emphasis"/>
                        </w:rPr>
                        <w:t>.</w:t>
                      </w:r>
                    </w:p>
                    <w:p w14:paraId="70F1C742" w14:textId="77777777" w:rsidR="009B64BB" w:rsidRPr="00FD34C8" w:rsidRDefault="009B64BB" w:rsidP="009B64BB">
                      <w:pPr>
                        <w:pStyle w:val="Caption"/>
                        <w:rPr>
                          <w:rFonts w:ascii="Times New Roman" w:eastAsia="Times New Roman" w:hAnsi="Times New Roman" w:cs="Times New Roman"/>
                          <w:i w:val="0"/>
                          <w:noProof/>
                          <w:color w:val="000000" w:themeColor="text1"/>
                          <w:sz w:val="36"/>
                          <w:szCs w:val="24"/>
                        </w:rPr>
                      </w:pPr>
                    </w:p>
                  </w:txbxContent>
                </v:textbox>
                <w10:wrap anchorx="margin"/>
              </v:shape>
            </w:pict>
          </mc:Fallback>
        </mc:AlternateContent>
      </w:r>
    </w:p>
    <w:p w14:paraId="39B35B31"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57E934C5" w14:textId="77777777" w:rsidR="000E0806" w:rsidRDefault="000E0806" w:rsidP="009B64BB">
      <w:pPr>
        <w:pStyle w:val="NormalWeb"/>
        <w:spacing w:before="0" w:beforeAutospacing="0" w:after="0" w:afterAutospacing="0" w:line="360" w:lineRule="auto"/>
        <w:jc w:val="both"/>
        <w:rPr>
          <w:rFonts w:ascii="Arial" w:hAnsi="Arial" w:cs="Arial"/>
          <w:sz w:val="20"/>
          <w:szCs w:val="20"/>
        </w:rPr>
      </w:pPr>
    </w:p>
    <w:p w14:paraId="0E095D6C" w14:textId="3441B5D3"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graph in </w:t>
      </w:r>
      <w:r w:rsidRPr="00033C00">
        <w:rPr>
          <w:rFonts w:ascii="Arial" w:hAnsi="Arial" w:cs="Arial"/>
          <w:sz w:val="20"/>
          <w:szCs w:val="20"/>
        </w:rPr>
        <w:fldChar w:fldCharType="begin"/>
      </w:r>
      <w:r w:rsidRPr="00033C00">
        <w:rPr>
          <w:rFonts w:ascii="Arial" w:hAnsi="Arial" w:cs="Arial"/>
          <w:sz w:val="20"/>
          <w:szCs w:val="20"/>
        </w:rPr>
        <w:instrText xml:space="preserve"> REF _Ref185565590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2</w:t>
      </w:r>
      <w:r w:rsidRPr="00033C00">
        <w:rPr>
          <w:rFonts w:ascii="Arial" w:hAnsi="Arial" w:cs="Arial"/>
          <w:sz w:val="20"/>
          <w:szCs w:val="20"/>
        </w:rPr>
        <w:fldChar w:fldCharType="end"/>
      </w:r>
      <w:r w:rsidRPr="00033C00">
        <w:rPr>
          <w:rFonts w:ascii="Arial" w:hAnsi="Arial" w:cs="Arial"/>
          <w:sz w:val="20"/>
          <w:szCs w:val="20"/>
        </w:rPr>
        <w:t xml:space="preserve"> highlights the growth of internet and mobile penetration across Africa, demonstrating the increasing feasibility of deploying AI-driven technologies[</w:t>
      </w:r>
      <w:r w:rsidRPr="00033C00">
        <w:rPr>
          <w:rFonts w:ascii="Arial" w:hAnsi="Arial" w:cs="Arial"/>
          <w:sz w:val="20"/>
          <w:szCs w:val="20"/>
        </w:rPr>
        <w:fldChar w:fldCharType="begin"/>
      </w:r>
      <w:r w:rsidRPr="00033C00">
        <w:rPr>
          <w:rFonts w:ascii="Arial" w:hAnsi="Arial" w:cs="Arial"/>
          <w:sz w:val="20"/>
          <w:szCs w:val="20"/>
        </w:rPr>
        <w:instrText xml:space="preserve"> NOTEREF _Ref185567068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49</w:t>
      </w:r>
      <w:r w:rsidRPr="00033C00">
        <w:rPr>
          <w:rFonts w:ascii="Arial" w:hAnsi="Arial" w:cs="Arial"/>
          <w:sz w:val="20"/>
          <w:szCs w:val="20"/>
        </w:rPr>
        <w:fldChar w:fldCharType="end"/>
      </w:r>
      <w:r w:rsidRPr="00033C00">
        <w:rPr>
          <w:rFonts w:ascii="Arial" w:hAnsi="Arial" w:cs="Arial"/>
          <w:sz w:val="20"/>
          <w:szCs w:val="20"/>
        </w:rPr>
        <w:t>].</w:t>
      </w:r>
    </w:p>
    <w:p w14:paraId="1851A51F"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The data shows a steady increase in both internet and mobile penetration across Africa over the five-year period. Internet penetration has gradually grown, starting from a lower percentage in 2020 and showing a significant upward trend by 2024. This increase reflects improvements in digital infrastructure and access to online resources in various regions. Mobile penetration follows a similar upward trajectory, with a notable rise in mobile connectivity as more individuals gain access to mobile devices, even in rural and underserved areas. The increase in both internet and mobile penetration highlights the growing digital engagement across the continent, which plays a crucial role in expanding access to information and services, including healthcare and education.</w:t>
      </w:r>
    </w:p>
    <w:p w14:paraId="0F38422C" w14:textId="036D2E47" w:rsidR="009B64BB" w:rsidRPr="00033C00" w:rsidRDefault="009B64BB" w:rsidP="009B64BB">
      <w:pPr>
        <w:pStyle w:val="NormalWeb"/>
        <w:jc w:val="both"/>
        <w:rPr>
          <w:rFonts w:ascii="Arial" w:hAnsi="Arial" w:cs="Arial"/>
          <w:sz w:val="20"/>
          <w:szCs w:val="20"/>
        </w:rPr>
      </w:pPr>
      <w:r w:rsidRPr="00033C00">
        <w:rPr>
          <w:rFonts w:ascii="Arial" w:hAnsi="Arial" w:cs="Arial"/>
          <w:color w:val="000000" w:themeColor="text1"/>
          <w:sz w:val="20"/>
          <w:szCs w:val="20"/>
        </w:rPr>
        <w:t xml:space="preserve">Table </w:t>
      </w:r>
      <w:r w:rsidR="007E1E3B">
        <w:rPr>
          <w:rFonts w:ascii="Arial" w:hAnsi="Arial" w:cs="Arial"/>
          <w:color w:val="000000" w:themeColor="text1"/>
          <w:sz w:val="20"/>
          <w:szCs w:val="20"/>
        </w:rPr>
        <w:t>2</w:t>
      </w:r>
      <w:r w:rsidRPr="00033C00">
        <w:rPr>
          <w:rFonts w:ascii="Arial" w:hAnsi="Arial" w:cs="Arial"/>
          <w:color w:val="000000" w:themeColor="text1"/>
          <w:sz w:val="20"/>
          <w:szCs w:val="20"/>
        </w:rPr>
        <w:t>: Internet and Mobile Penetration in Africa (2020–2024)</w:t>
      </w:r>
      <w:r w:rsidRPr="00033C00">
        <w:rPr>
          <w:rStyle w:val="EndnoteReference"/>
          <w:rFonts w:ascii="Arial" w:hAnsi="Arial" w:cs="Arial"/>
          <w:sz w:val="20"/>
          <w:szCs w:val="20"/>
          <w:vertAlign w:val="baseline"/>
        </w:rPr>
        <w:t xml:space="preserve"> </w:t>
      </w:r>
      <w:r w:rsidRPr="00033C00">
        <w:rPr>
          <w:rFonts w:ascii="Arial" w:hAnsi="Arial" w:cs="Arial"/>
          <w:sz w:val="20"/>
          <w:szCs w:val="20"/>
        </w:rPr>
        <w:t>[</w:t>
      </w:r>
      <w:bookmarkStart w:id="8" w:name="_Ref185567068"/>
      <w:r w:rsidRPr="00033C00">
        <w:rPr>
          <w:rStyle w:val="EndnoteReference"/>
          <w:rFonts w:ascii="Arial" w:hAnsi="Arial" w:cs="Arial"/>
          <w:sz w:val="20"/>
          <w:szCs w:val="20"/>
          <w:vertAlign w:val="baseline"/>
        </w:rPr>
        <w:endnoteReference w:id="52"/>
      </w:r>
      <w:bookmarkEnd w:id="8"/>
      <w:r w:rsidRPr="00033C00">
        <w:rPr>
          <w:rFonts w:ascii="Arial" w:hAnsi="Arial" w:cs="Arial"/>
          <w:sz w:val="20"/>
          <w:szCs w:val="20"/>
        </w:rPr>
        <w:t>]</w:t>
      </w:r>
    </w:p>
    <w:tbl>
      <w:tblPr>
        <w:tblStyle w:val="PlainTable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1"/>
        <w:gridCol w:w="2340"/>
        <w:gridCol w:w="2251"/>
      </w:tblGrid>
      <w:tr w:rsidR="009B64BB" w:rsidRPr="00033C00" w14:paraId="639E94BA"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F5664" w14:textId="77777777" w:rsidR="009B64BB" w:rsidRPr="00033C00" w:rsidRDefault="009B64BB" w:rsidP="000642AB">
            <w:pPr>
              <w:jc w:val="both"/>
              <w:rPr>
                <w:rFonts w:ascii="Arial" w:hAnsi="Arial" w:cs="Arial"/>
                <w:sz w:val="20"/>
                <w:szCs w:val="20"/>
              </w:rPr>
            </w:pPr>
            <w:r w:rsidRPr="00033C00">
              <w:rPr>
                <w:rFonts w:ascii="Arial" w:hAnsi="Arial" w:cs="Arial"/>
                <w:b w:val="0"/>
                <w:bCs w:val="0"/>
                <w:sz w:val="20"/>
                <w:szCs w:val="20"/>
              </w:rPr>
              <w:t>Year</w:t>
            </w:r>
          </w:p>
        </w:tc>
        <w:tc>
          <w:tcPr>
            <w:tcW w:w="0" w:type="auto"/>
            <w:hideMark/>
          </w:tcPr>
          <w:p w14:paraId="0AB23451"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Internet Penetration (%)</w:t>
            </w:r>
          </w:p>
        </w:tc>
        <w:tc>
          <w:tcPr>
            <w:tcW w:w="0" w:type="auto"/>
            <w:hideMark/>
          </w:tcPr>
          <w:p w14:paraId="718DAFCF"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33C00">
              <w:rPr>
                <w:rFonts w:ascii="Arial" w:hAnsi="Arial" w:cs="Arial"/>
                <w:b w:val="0"/>
                <w:bCs w:val="0"/>
                <w:sz w:val="20"/>
                <w:szCs w:val="20"/>
              </w:rPr>
              <w:t>Mobile Penetration (%)</w:t>
            </w:r>
          </w:p>
        </w:tc>
      </w:tr>
      <w:tr w:rsidR="009B64BB" w:rsidRPr="00033C00" w14:paraId="6E4F931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C9F93" w14:textId="77777777" w:rsidR="009B64BB" w:rsidRPr="00033C00" w:rsidRDefault="009B64BB" w:rsidP="000642AB">
            <w:pPr>
              <w:jc w:val="both"/>
              <w:rPr>
                <w:rFonts w:ascii="Arial" w:hAnsi="Arial" w:cs="Arial"/>
                <w:b w:val="0"/>
                <w:bCs w:val="0"/>
                <w:sz w:val="20"/>
                <w:szCs w:val="20"/>
              </w:rPr>
            </w:pPr>
            <w:r w:rsidRPr="00033C00">
              <w:rPr>
                <w:rFonts w:ascii="Arial" w:hAnsi="Arial" w:cs="Arial"/>
                <w:sz w:val="20"/>
                <w:szCs w:val="20"/>
              </w:rPr>
              <w:t>2020</w:t>
            </w:r>
          </w:p>
        </w:tc>
        <w:tc>
          <w:tcPr>
            <w:tcW w:w="0" w:type="auto"/>
            <w:hideMark/>
          </w:tcPr>
          <w:p w14:paraId="4042BBD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28%</w:t>
            </w:r>
          </w:p>
        </w:tc>
        <w:tc>
          <w:tcPr>
            <w:tcW w:w="0" w:type="auto"/>
            <w:hideMark/>
          </w:tcPr>
          <w:p w14:paraId="5B2D2775"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45%</w:t>
            </w:r>
          </w:p>
        </w:tc>
      </w:tr>
      <w:tr w:rsidR="009B64BB" w:rsidRPr="00033C00" w14:paraId="34CF2CB7"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7DCB90A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2021</w:t>
            </w:r>
          </w:p>
        </w:tc>
        <w:tc>
          <w:tcPr>
            <w:tcW w:w="0" w:type="auto"/>
            <w:hideMark/>
          </w:tcPr>
          <w:p w14:paraId="057A58A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32%</w:t>
            </w:r>
          </w:p>
        </w:tc>
        <w:tc>
          <w:tcPr>
            <w:tcW w:w="0" w:type="auto"/>
            <w:hideMark/>
          </w:tcPr>
          <w:p w14:paraId="41A6BDE1"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r>
      <w:tr w:rsidR="009B64BB" w:rsidRPr="00033C00" w14:paraId="50590A4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3495E"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2022</w:t>
            </w:r>
          </w:p>
        </w:tc>
        <w:tc>
          <w:tcPr>
            <w:tcW w:w="0" w:type="auto"/>
            <w:hideMark/>
          </w:tcPr>
          <w:p w14:paraId="3252494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38%</w:t>
            </w:r>
          </w:p>
        </w:tc>
        <w:tc>
          <w:tcPr>
            <w:tcW w:w="0" w:type="auto"/>
            <w:hideMark/>
          </w:tcPr>
          <w:p w14:paraId="19D30AFB"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55%</w:t>
            </w:r>
          </w:p>
        </w:tc>
      </w:tr>
      <w:tr w:rsidR="009B64BB" w:rsidRPr="00033C00" w14:paraId="2C1D81E9"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02EB8655"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2023</w:t>
            </w:r>
          </w:p>
        </w:tc>
        <w:tc>
          <w:tcPr>
            <w:tcW w:w="0" w:type="auto"/>
            <w:hideMark/>
          </w:tcPr>
          <w:p w14:paraId="208D2420"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43%</w:t>
            </w:r>
          </w:p>
        </w:tc>
        <w:tc>
          <w:tcPr>
            <w:tcW w:w="0" w:type="auto"/>
            <w:hideMark/>
          </w:tcPr>
          <w:p w14:paraId="61AFB0C6"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3C00">
              <w:rPr>
                <w:rFonts w:ascii="Arial" w:hAnsi="Arial" w:cs="Arial"/>
                <w:sz w:val="20"/>
                <w:szCs w:val="20"/>
              </w:rPr>
              <w:t>60%</w:t>
            </w:r>
          </w:p>
        </w:tc>
      </w:tr>
      <w:tr w:rsidR="009B64BB" w:rsidRPr="00033C00" w14:paraId="43AC184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0D834B" w14:textId="77777777" w:rsidR="009B64BB" w:rsidRPr="00033C00" w:rsidRDefault="009B64BB" w:rsidP="000642AB">
            <w:pPr>
              <w:jc w:val="both"/>
              <w:rPr>
                <w:rFonts w:ascii="Arial" w:hAnsi="Arial" w:cs="Arial"/>
                <w:sz w:val="20"/>
                <w:szCs w:val="20"/>
              </w:rPr>
            </w:pPr>
            <w:r w:rsidRPr="00033C00">
              <w:rPr>
                <w:rFonts w:ascii="Arial" w:hAnsi="Arial" w:cs="Arial"/>
                <w:sz w:val="20"/>
                <w:szCs w:val="20"/>
              </w:rPr>
              <w:t>2024</w:t>
            </w:r>
          </w:p>
        </w:tc>
        <w:tc>
          <w:tcPr>
            <w:tcW w:w="0" w:type="auto"/>
            <w:hideMark/>
          </w:tcPr>
          <w:p w14:paraId="387277D6"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50%</w:t>
            </w:r>
          </w:p>
        </w:tc>
        <w:tc>
          <w:tcPr>
            <w:tcW w:w="0" w:type="auto"/>
            <w:hideMark/>
          </w:tcPr>
          <w:p w14:paraId="1A6C314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3C00">
              <w:rPr>
                <w:rFonts w:ascii="Arial" w:hAnsi="Arial" w:cs="Arial"/>
                <w:sz w:val="20"/>
                <w:szCs w:val="20"/>
              </w:rPr>
              <w:t>65%</w:t>
            </w:r>
          </w:p>
        </w:tc>
      </w:tr>
    </w:tbl>
    <w:p w14:paraId="3C2D7786"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374F2DF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This introduction underscores the critical role of conversational agents in addressing vaccine hesitancy in Nigeria and Africa. By leveraging AI, these tools can provide accessible, culturally relevant, and scalable solutions to improve vaccine literacy and public health outcomes. Subsequent sections will delve into the </w:t>
      </w:r>
      <w:r w:rsidRPr="00033C00">
        <w:rPr>
          <w:rFonts w:ascii="Arial" w:hAnsi="Arial" w:cs="Arial"/>
          <w:sz w:val="20"/>
          <w:szCs w:val="20"/>
        </w:rPr>
        <w:lastRenderedPageBreak/>
        <w:t>methodologies, challenges, and proposed solutions to optimize the deployment of conversational agents in low-resource settings.</w:t>
      </w:r>
    </w:p>
    <w:p w14:paraId="73A23D5B" w14:textId="77777777" w:rsidR="009B64BB" w:rsidRPr="00033C00" w:rsidRDefault="009B64BB" w:rsidP="009B64BB">
      <w:pPr>
        <w:jc w:val="both"/>
        <w:rPr>
          <w:rFonts w:ascii="Arial" w:hAnsi="Arial" w:cs="Arial"/>
          <w:b/>
        </w:rPr>
      </w:pPr>
    </w:p>
    <w:p w14:paraId="3218BE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2. METHODOLOGY</w:t>
      </w:r>
    </w:p>
    <w:p w14:paraId="7A5E6F28"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study adopts a qualitative review methodology to explore the potential of conversational agents (CAs) in addressing vaccine hesitancy within low-resource settings in Nigeria and across Africa. By synthesizing insights from global and local applications of CAs in healthcare, the review identifies critical challenges, evaluates existing solutions, and proposes tailored frameworks for effective deployment in the African context.</w:t>
      </w:r>
    </w:p>
    <w:p w14:paraId="13DB5A0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2.1</w:t>
      </w:r>
      <w:r w:rsidRPr="00033C00">
        <w:rPr>
          <w:rStyle w:val="Strong"/>
          <w:rFonts w:ascii="Arial" w:hAnsi="Arial" w:cs="Arial"/>
          <w:i w:val="0"/>
          <w:color w:val="000000" w:themeColor="text1"/>
          <w:sz w:val="20"/>
          <w:szCs w:val="20"/>
        </w:rPr>
        <w:tab/>
        <w:t>Data Collection</w:t>
      </w:r>
    </w:p>
    <w:p w14:paraId="611A7CC3"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data for this study was sourced from the following:</w:t>
      </w:r>
    </w:p>
    <w:p w14:paraId="50312F16"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Academic Databases</w:t>
      </w:r>
      <w:r w:rsidRPr="00033C00">
        <w:rPr>
          <w:rFonts w:ascii="Arial" w:hAnsi="Arial" w:cs="Arial"/>
          <w:color w:val="000000" w:themeColor="text1"/>
        </w:rPr>
        <w:t>: Peer-reviewed journal articles from databases such as PubMed, IEEE Xplore, and Scopus were reviewed to identify global trends and innovations in CA deployment for healthcare.</w:t>
      </w:r>
    </w:p>
    <w:p w14:paraId="09E84E90"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Case Studies</w:t>
      </w:r>
      <w:r w:rsidRPr="00033C00">
        <w:rPr>
          <w:rFonts w:ascii="Arial" w:hAnsi="Arial" w:cs="Arial"/>
          <w:color w:val="000000" w:themeColor="text1"/>
        </w:rPr>
        <w:t>: Relevant case studies of chatbot implementation in Africa and other developing regions were analyzed, focusing on applications that address public health challenges.</w:t>
      </w:r>
    </w:p>
    <w:p w14:paraId="301AAF8C"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Reports and Technical Documents</w:t>
      </w:r>
      <w:r w:rsidRPr="00033C00">
        <w:rPr>
          <w:rFonts w:ascii="Arial" w:hAnsi="Arial" w:cs="Arial"/>
          <w:color w:val="000000" w:themeColor="text1"/>
        </w:rPr>
        <w:t>: Reports from global health organizations like WHO, UNICEF, and Africa CDC provided insights into vaccine hesitancy and its underlying causes in Africa.</w:t>
      </w:r>
    </w:p>
    <w:p w14:paraId="0ACD6168" w14:textId="77777777" w:rsidR="009B64BB" w:rsidRPr="00033C00" w:rsidRDefault="009B64BB" w:rsidP="0020423E">
      <w:pPr>
        <w:numPr>
          <w:ilvl w:val="0"/>
          <w:numId w:val="2"/>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Indigenous Language Resources</w:t>
      </w:r>
      <w:r w:rsidRPr="00033C00">
        <w:rPr>
          <w:rFonts w:ascii="Arial" w:hAnsi="Arial" w:cs="Arial"/>
          <w:color w:val="000000" w:themeColor="text1"/>
        </w:rPr>
        <w:t>: Available linguistic resources for Nigerian languages (e.g., Igbo, Yoruba, Hausa) were reviewed to assess the feasibility of training natural language understanding (NLU) models.</w:t>
      </w:r>
    </w:p>
    <w:p w14:paraId="041E9A91" w14:textId="440867F0"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3</w:t>
      </w:r>
      <w:r w:rsidRPr="00033C00">
        <w:rPr>
          <w:rFonts w:ascii="Arial" w:hAnsi="Arial" w:cs="Arial"/>
          <w:b/>
          <w:i w:val="0"/>
          <w:color w:val="000000" w:themeColor="text1"/>
          <w:sz w:val="20"/>
          <w:szCs w:val="20"/>
        </w:rPr>
        <w:t>: Sources of Data</w:t>
      </w:r>
    </w:p>
    <w:tbl>
      <w:tblPr>
        <w:tblStyle w:val="TableGrid"/>
        <w:tblW w:w="10620" w:type="dxa"/>
        <w:tblInd w:w="-365" w:type="dxa"/>
        <w:tblLook w:val="04A0" w:firstRow="1" w:lastRow="0" w:firstColumn="1" w:lastColumn="0" w:noHBand="0" w:noVBand="1"/>
      </w:tblPr>
      <w:tblGrid>
        <w:gridCol w:w="2790"/>
        <w:gridCol w:w="4330"/>
        <w:gridCol w:w="3500"/>
      </w:tblGrid>
      <w:tr w:rsidR="009B64BB" w:rsidRPr="00033C00" w14:paraId="62C87594" w14:textId="77777777" w:rsidTr="000642AB">
        <w:tc>
          <w:tcPr>
            <w:tcW w:w="2790" w:type="dxa"/>
            <w:hideMark/>
          </w:tcPr>
          <w:p w14:paraId="251C609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Source</w:t>
            </w:r>
          </w:p>
        </w:tc>
        <w:tc>
          <w:tcPr>
            <w:tcW w:w="4330" w:type="dxa"/>
            <w:hideMark/>
          </w:tcPr>
          <w:p w14:paraId="4CB2C910"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Documents/Reports</w:t>
            </w:r>
          </w:p>
        </w:tc>
        <w:tc>
          <w:tcPr>
            <w:tcW w:w="3500" w:type="dxa"/>
            <w:hideMark/>
          </w:tcPr>
          <w:p w14:paraId="01D851D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Focus</w:t>
            </w:r>
          </w:p>
        </w:tc>
      </w:tr>
      <w:tr w:rsidR="009B64BB" w:rsidRPr="00033C00" w14:paraId="7A3F2394" w14:textId="77777777" w:rsidTr="000642AB">
        <w:tc>
          <w:tcPr>
            <w:tcW w:w="2790" w:type="dxa"/>
            <w:hideMark/>
          </w:tcPr>
          <w:p w14:paraId="3F538BC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Academic Databases</w:t>
            </w:r>
          </w:p>
        </w:tc>
        <w:tc>
          <w:tcPr>
            <w:tcW w:w="4330" w:type="dxa"/>
            <w:hideMark/>
          </w:tcPr>
          <w:p w14:paraId="0325458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hesitancy studies in PubMed</w:t>
            </w:r>
          </w:p>
        </w:tc>
        <w:tc>
          <w:tcPr>
            <w:tcW w:w="3500" w:type="dxa"/>
            <w:hideMark/>
          </w:tcPr>
          <w:p w14:paraId="47EA154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Insights into vaccine hesitancy</w:t>
            </w:r>
          </w:p>
        </w:tc>
      </w:tr>
      <w:tr w:rsidR="009B64BB" w:rsidRPr="00033C00" w14:paraId="40B19D73" w14:textId="77777777" w:rsidTr="000642AB">
        <w:tc>
          <w:tcPr>
            <w:tcW w:w="2790" w:type="dxa"/>
            <w:hideMark/>
          </w:tcPr>
          <w:p w14:paraId="6344CC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Case Studies</w:t>
            </w:r>
          </w:p>
        </w:tc>
        <w:tc>
          <w:tcPr>
            <w:tcW w:w="4330" w:type="dxa"/>
            <w:hideMark/>
          </w:tcPr>
          <w:p w14:paraId="6178F93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"Vaxera" and "RamaCovid" implementations</w:t>
            </w:r>
          </w:p>
        </w:tc>
        <w:tc>
          <w:tcPr>
            <w:tcW w:w="3500" w:type="dxa"/>
            <w:hideMark/>
          </w:tcPr>
          <w:p w14:paraId="78FDEE7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applications</w:t>
            </w:r>
          </w:p>
        </w:tc>
      </w:tr>
      <w:tr w:rsidR="009B64BB" w:rsidRPr="00033C00" w14:paraId="200866CA" w14:textId="77777777" w:rsidTr="000642AB">
        <w:tc>
          <w:tcPr>
            <w:tcW w:w="2790" w:type="dxa"/>
            <w:hideMark/>
          </w:tcPr>
          <w:p w14:paraId="78F21F5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WHO Reports</w:t>
            </w:r>
          </w:p>
        </w:tc>
        <w:tc>
          <w:tcPr>
            <w:tcW w:w="4330" w:type="dxa"/>
            <w:hideMark/>
          </w:tcPr>
          <w:p w14:paraId="7BAA23C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Global Vaccine Action Plan (2011–2020)</w:t>
            </w:r>
          </w:p>
        </w:tc>
        <w:tc>
          <w:tcPr>
            <w:tcW w:w="3500" w:type="dxa"/>
            <w:hideMark/>
          </w:tcPr>
          <w:p w14:paraId="492B5FD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adoption strategies</w:t>
            </w:r>
          </w:p>
        </w:tc>
      </w:tr>
      <w:tr w:rsidR="009B64BB" w:rsidRPr="00033C00" w14:paraId="0F7FEAD7" w14:textId="77777777" w:rsidTr="000642AB">
        <w:tc>
          <w:tcPr>
            <w:tcW w:w="2790" w:type="dxa"/>
            <w:hideMark/>
          </w:tcPr>
          <w:p w14:paraId="7D5C293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Linguistic Data Resources</w:t>
            </w:r>
          </w:p>
        </w:tc>
        <w:tc>
          <w:tcPr>
            <w:tcW w:w="4330" w:type="dxa"/>
            <w:hideMark/>
          </w:tcPr>
          <w:p w14:paraId="53A75C3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 Language Corpus</w:t>
            </w:r>
          </w:p>
        </w:tc>
        <w:tc>
          <w:tcPr>
            <w:tcW w:w="3500" w:type="dxa"/>
            <w:hideMark/>
          </w:tcPr>
          <w:p w14:paraId="568A377F"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Indigenous language NLP development</w:t>
            </w:r>
          </w:p>
        </w:tc>
      </w:tr>
    </w:tbl>
    <w:p w14:paraId="3960FC91" w14:textId="77777777" w:rsidR="009B64BB" w:rsidRPr="00033C00" w:rsidRDefault="009B64BB" w:rsidP="009B64BB">
      <w:pPr>
        <w:jc w:val="both"/>
        <w:rPr>
          <w:rFonts w:ascii="Arial" w:hAnsi="Arial" w:cs="Arial"/>
          <w:color w:val="000000" w:themeColor="text1"/>
        </w:rPr>
      </w:pPr>
    </w:p>
    <w:p w14:paraId="58C624EF"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2.2 Data Analysis</w:t>
      </w:r>
    </w:p>
    <w:p w14:paraId="4483D1FF"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 collected data were subjected to thematic analysis to identify recurring challenges and opportunities in the deployment of conversational agents. The analysis was conducted in three stages:</w:t>
      </w:r>
    </w:p>
    <w:p w14:paraId="101BF011"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Classification of Challenges</w:t>
      </w:r>
      <w:r w:rsidRPr="00033C00">
        <w:rPr>
          <w:rFonts w:ascii="Arial" w:hAnsi="Arial" w:cs="Arial"/>
          <w:color w:val="000000" w:themeColor="text1"/>
        </w:rPr>
        <w:t>: Identified barriers such as data scarcity for indigenous languages, cultural misalignment, and technological gaps.</w:t>
      </w:r>
    </w:p>
    <w:p w14:paraId="1AD57A25"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Evaluation of Current Solutions</w:t>
      </w:r>
      <w:r w:rsidRPr="00033C00">
        <w:rPr>
          <w:rFonts w:ascii="Arial" w:hAnsi="Arial" w:cs="Arial"/>
          <w:color w:val="000000" w:themeColor="text1"/>
        </w:rPr>
        <w:t>: Assessed the effectiveness of existing chatbots like "Vaxera" and their adaptability to low-resource settings.</w:t>
      </w:r>
    </w:p>
    <w:p w14:paraId="0ABB993D" w14:textId="77777777" w:rsidR="009B64BB" w:rsidRPr="00033C00" w:rsidRDefault="009B64BB" w:rsidP="0020423E">
      <w:pPr>
        <w:numPr>
          <w:ilvl w:val="0"/>
          <w:numId w:val="3"/>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lastRenderedPageBreak/>
        <w:t>Proposal Development</w:t>
      </w:r>
      <w:r w:rsidRPr="00033C00">
        <w:rPr>
          <w:rFonts w:ascii="Arial" w:hAnsi="Arial" w:cs="Arial"/>
          <w:color w:val="000000" w:themeColor="text1"/>
        </w:rPr>
        <w:t>: Based on insights, a multimodal CA framework tailored for Nigeria and Africa was designed, integrating text, visuals, and voice for accessibility.</w:t>
      </w:r>
    </w:p>
    <w:p w14:paraId="59F26AB0" w14:textId="77777777" w:rsidR="009B64BB" w:rsidRPr="00033C00" w:rsidRDefault="009B64BB" w:rsidP="009B64BB">
      <w:pPr>
        <w:pStyle w:val="NormalWeb"/>
        <w:keepNext/>
        <w:spacing w:before="0" w:beforeAutospacing="0"/>
        <w:jc w:val="both"/>
        <w:rPr>
          <w:rFonts w:ascii="Arial" w:hAnsi="Arial" w:cs="Arial"/>
          <w:sz w:val="20"/>
          <w:szCs w:val="20"/>
        </w:rPr>
      </w:pPr>
      <w:r w:rsidRPr="00033C00">
        <w:rPr>
          <w:rFonts w:ascii="Arial" w:hAnsi="Arial" w:cs="Arial"/>
          <w:b/>
          <w:bCs/>
          <w:noProof/>
          <w:color w:val="000000" w:themeColor="text1"/>
          <w:sz w:val="20"/>
          <w:szCs w:val="20"/>
        </w:rPr>
        <w:drawing>
          <wp:inline distT="0" distB="0" distL="0" distR="0" wp14:anchorId="4696F956" wp14:editId="28E82485">
            <wp:extent cx="5943600" cy="2217420"/>
            <wp:effectExtent l="57150" t="0" r="95250" b="0"/>
            <wp:docPr id="2103785970" name="Diagram 21037859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3F3BE40"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9" w:name="_Ref18556753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3</w:t>
      </w:r>
      <w:r w:rsidRPr="00033C00">
        <w:rPr>
          <w:rFonts w:ascii="Arial" w:hAnsi="Arial" w:cs="Arial"/>
          <w:i w:val="0"/>
          <w:color w:val="000000" w:themeColor="text1"/>
          <w:sz w:val="20"/>
          <w:szCs w:val="20"/>
        </w:rPr>
        <w:fldChar w:fldCharType="end"/>
      </w:r>
      <w:bookmarkEnd w:id="9"/>
      <w:r w:rsidRPr="00033C00">
        <w:rPr>
          <w:rFonts w:ascii="Arial" w:hAnsi="Arial" w:cs="Arial"/>
          <w:i w:val="0"/>
          <w:color w:val="000000" w:themeColor="text1"/>
          <w:sz w:val="20"/>
          <w:szCs w:val="20"/>
        </w:rPr>
        <w:t>: Data Analysis Workflow[</w:t>
      </w:r>
      <w:r w:rsidRPr="00033C00">
        <w:rPr>
          <w:rStyle w:val="EndnoteReference"/>
          <w:rFonts w:ascii="Arial" w:hAnsi="Arial" w:cs="Arial"/>
          <w:i w:val="0"/>
          <w:color w:val="000000" w:themeColor="text1"/>
          <w:sz w:val="20"/>
          <w:szCs w:val="20"/>
          <w:vertAlign w:val="baseline"/>
        </w:rPr>
        <w:endnoteReference w:id="53"/>
      </w:r>
      <w:r w:rsidRPr="00033C00">
        <w:rPr>
          <w:rFonts w:ascii="Arial" w:hAnsi="Arial" w:cs="Arial"/>
          <w:i w:val="0"/>
          <w:color w:val="000000" w:themeColor="text1"/>
          <w:sz w:val="20"/>
          <w:szCs w:val="20"/>
        </w:rPr>
        <w:t>]</w:t>
      </w:r>
    </w:p>
    <w:p w14:paraId="78D66EB2"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diagram in </w:t>
      </w:r>
      <w:r w:rsidRPr="00033C00">
        <w:rPr>
          <w:rFonts w:ascii="Arial" w:hAnsi="Arial" w:cs="Arial"/>
        </w:rPr>
        <w:fldChar w:fldCharType="begin"/>
      </w:r>
      <w:r w:rsidRPr="00033C00">
        <w:rPr>
          <w:rFonts w:ascii="Arial" w:hAnsi="Arial" w:cs="Arial"/>
        </w:rPr>
        <w:instrText xml:space="preserve"> REF _Ref185567535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3</w:t>
      </w:r>
      <w:r w:rsidRPr="00033C00">
        <w:rPr>
          <w:rFonts w:ascii="Arial" w:hAnsi="Arial" w:cs="Arial"/>
        </w:rPr>
        <w:fldChar w:fldCharType="end"/>
      </w:r>
      <w:r w:rsidRPr="00033C00">
        <w:rPr>
          <w:rFonts w:ascii="Arial" w:hAnsi="Arial" w:cs="Arial"/>
        </w:rPr>
        <w:t xml:space="preserve"> illustrates the structured process used to analyze data for vaccine literacy initiatives in Africa. The first step involves gathering relevant data from various sources, such as academic articles, case studies, and health reports, to understand the landscape of vaccine hesitancy. After data collection, the information is categorized into key themes, including misinformation, cultural beliefs, and access barriers to vaccines. Following this, real-world applications of conversational agents (chatbots) in healthcare are examined to assess their effectiveness in addressing vaccine literacy. This evaluation focuses on successful chatbot implementations in different regions. Finally, based on insights from the previous stages, a multimodal framework for vaccine literacy is proposed, integrating text, voice, and visuals to create an accessible and culturally relevant solution for African communities.</w:t>
      </w:r>
    </w:p>
    <w:p w14:paraId="55618D83" w14:textId="77777777" w:rsidR="009B64BB" w:rsidRPr="00033C00" w:rsidRDefault="009B64BB" w:rsidP="009B64BB">
      <w:pPr>
        <w:pStyle w:val="NormalWeb"/>
        <w:spacing w:before="0" w:beforeAutospacing="0"/>
        <w:jc w:val="both"/>
        <w:rPr>
          <w:rStyle w:val="Strong"/>
          <w:rFonts w:ascii="Arial" w:hAnsi="Arial" w:cs="Arial"/>
          <w:color w:val="000000" w:themeColor="text1"/>
          <w:sz w:val="20"/>
          <w:szCs w:val="20"/>
        </w:rPr>
      </w:pPr>
    </w:p>
    <w:p w14:paraId="1A7EB555"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2.3</w:t>
      </w:r>
      <w:r w:rsidRPr="00033C00">
        <w:rPr>
          <w:rStyle w:val="Strong"/>
          <w:rFonts w:ascii="Arial" w:hAnsi="Arial" w:cs="Arial"/>
          <w:i w:val="0"/>
          <w:color w:val="000000" w:themeColor="text1"/>
          <w:sz w:val="20"/>
          <w:szCs w:val="20"/>
        </w:rPr>
        <w:tab/>
        <w:t>Evaluation Metrics</w:t>
      </w:r>
    </w:p>
    <w:p w14:paraId="09FF3016"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assess the feasibility and potential impact of conversational agents, the following metrics were considered:</w:t>
      </w:r>
    </w:p>
    <w:p w14:paraId="1DE463E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Comprehension Improvement</w:t>
      </w:r>
      <w:r w:rsidRPr="00033C00">
        <w:rPr>
          <w:rFonts w:ascii="Arial" w:hAnsi="Arial" w:cs="Arial"/>
          <w:color w:val="000000" w:themeColor="text1"/>
        </w:rPr>
        <w:t>: Percentage increase in users' understanding of vaccine information after chatbot interaction.</w:t>
      </w:r>
    </w:p>
    <w:p w14:paraId="5DDA742E"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Engagement Rate</w:t>
      </w:r>
      <w:r w:rsidRPr="00033C00">
        <w:rPr>
          <w:rFonts w:ascii="Arial" w:hAnsi="Arial" w:cs="Arial"/>
          <w:color w:val="000000" w:themeColor="text1"/>
        </w:rPr>
        <w:t>: Number of interactions completed successfully per user.</w:t>
      </w:r>
    </w:p>
    <w:p w14:paraId="20A7F6EF"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Cultural Relevance</w:t>
      </w:r>
      <w:r w:rsidRPr="00033C00">
        <w:rPr>
          <w:rFonts w:ascii="Arial" w:hAnsi="Arial" w:cs="Arial"/>
          <w:color w:val="000000" w:themeColor="text1"/>
        </w:rPr>
        <w:t>: Qualitative feedback on the chatbot's ability to address cultural and linguistic nuances.</w:t>
      </w:r>
    </w:p>
    <w:p w14:paraId="66B8E9B7" w14:textId="77777777" w:rsidR="009B64BB" w:rsidRPr="00033C00" w:rsidRDefault="009B64BB" w:rsidP="0020423E">
      <w:pPr>
        <w:numPr>
          <w:ilvl w:val="0"/>
          <w:numId w:val="4"/>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Technological Accessibility</w:t>
      </w:r>
      <w:r w:rsidRPr="00033C00">
        <w:rPr>
          <w:rFonts w:ascii="Arial" w:hAnsi="Arial" w:cs="Arial"/>
          <w:color w:val="000000" w:themeColor="text1"/>
        </w:rPr>
        <w:t>: Percentage of users able to access the chatbot via mobile devices with low bandwidth.</w:t>
      </w:r>
    </w:p>
    <w:p w14:paraId="5EEB08D7" w14:textId="77777777" w:rsidR="009B64BB" w:rsidRPr="00033C00" w:rsidRDefault="009B64BB" w:rsidP="009B64BB">
      <w:pPr>
        <w:pStyle w:val="Caption"/>
        <w:spacing w:after="0"/>
        <w:jc w:val="both"/>
        <w:rPr>
          <w:rFonts w:ascii="Arial" w:hAnsi="Arial" w:cs="Arial"/>
          <w:b/>
          <w:i w:val="0"/>
          <w:color w:val="000000" w:themeColor="text1"/>
          <w:sz w:val="20"/>
          <w:szCs w:val="20"/>
        </w:rPr>
      </w:pPr>
      <w:bookmarkStart w:id="10" w:name="_Ref184244793"/>
      <w:r w:rsidRPr="00033C00">
        <w:rPr>
          <w:rFonts w:ascii="Arial" w:hAnsi="Arial" w:cs="Arial"/>
          <w:noProof/>
          <w:sz w:val="20"/>
          <w:szCs w:val="20"/>
        </w:rPr>
        <w:lastRenderedPageBreak/>
        <w:drawing>
          <wp:inline distT="0" distB="0" distL="0" distR="0" wp14:anchorId="6CCDD8B5" wp14:editId="2FFF8227">
            <wp:extent cx="5402580" cy="30784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BF0781" w14:textId="77777777" w:rsidR="009B64BB" w:rsidRPr="00033C00" w:rsidRDefault="009B64BB" w:rsidP="009B64BB">
      <w:pPr>
        <w:pStyle w:val="Caption"/>
        <w:jc w:val="both"/>
        <w:rPr>
          <w:rStyle w:val="Strong"/>
          <w:rFonts w:ascii="Arial" w:hAnsi="Arial" w:cs="Arial"/>
          <w:i w:val="0"/>
          <w:color w:val="000000" w:themeColor="text1"/>
          <w:sz w:val="20"/>
          <w:szCs w:val="20"/>
        </w:rPr>
      </w:pPr>
      <w:bookmarkStart w:id="11" w:name="_Ref186123481"/>
      <w:bookmarkStart w:id="12" w:name="_Ref185575254"/>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4</w:t>
      </w:r>
      <w:r w:rsidRPr="00033C00">
        <w:rPr>
          <w:rFonts w:ascii="Arial" w:hAnsi="Arial" w:cs="Arial"/>
          <w:i w:val="0"/>
          <w:color w:val="000000" w:themeColor="text1"/>
          <w:sz w:val="20"/>
          <w:szCs w:val="20"/>
        </w:rPr>
        <w:fldChar w:fldCharType="end"/>
      </w:r>
      <w:bookmarkEnd w:id="10"/>
      <w:bookmarkEnd w:id="11"/>
      <w:r w:rsidRPr="00033C00">
        <w:rPr>
          <w:rFonts w:ascii="Arial" w:hAnsi="Arial" w:cs="Arial"/>
          <w:i w:val="0"/>
          <w:color w:val="000000" w:themeColor="text1"/>
          <w:sz w:val="20"/>
          <w:szCs w:val="20"/>
        </w:rPr>
        <w:t>: Evaluation Metrics for Conversational Agents[</w:t>
      </w:r>
      <w:bookmarkStart w:id="13" w:name="_Ref185569503"/>
      <w:r w:rsidRPr="00033C00">
        <w:rPr>
          <w:rStyle w:val="EndnoteReference"/>
          <w:rFonts w:ascii="Arial" w:hAnsi="Arial" w:cs="Arial"/>
          <w:i w:val="0"/>
          <w:color w:val="000000" w:themeColor="text1"/>
          <w:sz w:val="20"/>
          <w:szCs w:val="20"/>
          <w:vertAlign w:val="baseline"/>
        </w:rPr>
        <w:endnoteReference w:id="54"/>
      </w:r>
      <w:bookmarkEnd w:id="13"/>
      <w:r w:rsidRPr="00033C00">
        <w:rPr>
          <w:rFonts w:ascii="Arial" w:hAnsi="Arial" w:cs="Arial"/>
          <w:i w:val="0"/>
          <w:color w:val="000000" w:themeColor="text1"/>
          <w:sz w:val="20"/>
          <w:szCs w:val="20"/>
        </w:rPr>
        <w:t>]</w:t>
      </w:r>
      <w:bookmarkEnd w:id="12"/>
    </w:p>
    <w:p w14:paraId="308FD32E"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graph in </w:t>
      </w:r>
      <w:r w:rsidRPr="00033C00">
        <w:rPr>
          <w:rFonts w:ascii="Arial" w:hAnsi="Arial" w:cs="Arial"/>
        </w:rPr>
        <w:fldChar w:fldCharType="begin"/>
      </w:r>
      <w:r w:rsidRPr="00033C00">
        <w:rPr>
          <w:rFonts w:ascii="Arial" w:hAnsi="Arial" w:cs="Arial"/>
        </w:rPr>
        <w:instrText xml:space="preserve"> REF _Ref186123481 \h  \* MERGEFORMAT </w:instrText>
      </w:r>
      <w:r w:rsidRPr="00033C00">
        <w:rPr>
          <w:rFonts w:ascii="Arial" w:hAnsi="Arial" w:cs="Arial"/>
        </w:rPr>
      </w:r>
      <w:r w:rsidRPr="00033C00">
        <w:rPr>
          <w:rFonts w:ascii="Arial" w:hAnsi="Arial" w:cs="Arial"/>
        </w:rPr>
        <w:fldChar w:fldCharType="separate"/>
      </w:r>
      <w:r w:rsidRPr="00033C00">
        <w:rPr>
          <w:rFonts w:ascii="Arial" w:hAnsi="Arial" w:cs="Arial"/>
          <w:color w:val="000000" w:themeColor="text1"/>
        </w:rPr>
        <w:t xml:space="preserve">Figure </w:t>
      </w:r>
      <w:r w:rsidRPr="00033C00">
        <w:rPr>
          <w:rFonts w:ascii="Arial" w:hAnsi="Arial" w:cs="Arial"/>
          <w:noProof/>
          <w:color w:val="000000" w:themeColor="text1"/>
        </w:rPr>
        <w:t>4</w:t>
      </w:r>
      <w:r w:rsidRPr="00033C00">
        <w:rPr>
          <w:rFonts w:ascii="Arial" w:hAnsi="Arial" w:cs="Arial"/>
        </w:rPr>
        <w:fldChar w:fldCharType="end"/>
      </w:r>
      <w:r w:rsidRPr="00033C00">
        <w:rPr>
          <w:rFonts w:ascii="Arial" w:hAnsi="Arial" w:cs="Arial"/>
        </w:rPr>
        <w:t xml:space="preserve"> </w:t>
      </w:r>
      <w:r w:rsidRPr="00033C00">
        <w:rPr>
          <w:rFonts w:ascii="Arial" w:hAnsi="Arial" w:cs="Arial"/>
        </w:rPr>
        <w:fldChar w:fldCharType="begin"/>
      </w:r>
      <w:r w:rsidRPr="00033C00">
        <w:rPr>
          <w:rFonts w:ascii="Arial" w:hAnsi="Arial" w:cs="Arial"/>
        </w:rPr>
        <w:instrText xml:space="preserve"> REF _Ref185575254 \h  \* MERGEFORMAT </w:instrText>
      </w:r>
      <w:r w:rsidRPr="00033C00">
        <w:rPr>
          <w:rFonts w:ascii="Arial" w:hAnsi="Arial" w:cs="Arial"/>
        </w:rPr>
      </w:r>
      <w:r w:rsidRPr="00033C00">
        <w:rPr>
          <w:rFonts w:ascii="Arial" w:hAnsi="Arial" w:cs="Arial"/>
        </w:rPr>
        <w:fldChar w:fldCharType="end"/>
      </w:r>
      <w:r w:rsidRPr="00033C00">
        <w:rPr>
          <w:rFonts w:ascii="Arial" w:hAnsi="Arial" w:cs="Arial"/>
        </w:rPr>
        <w:t xml:space="preserve">illustrates four key evaluation metrics used to assess the effectiveness of conversational agents (CAs) in vaccine literacy campaigns. </w:t>
      </w:r>
      <w:r w:rsidRPr="00033C00">
        <w:rPr>
          <w:rFonts w:ascii="Arial" w:hAnsi="Arial" w:cs="Arial"/>
          <w:bCs/>
        </w:rPr>
        <w:t>Comprehension improvement</w:t>
      </w:r>
      <w:r w:rsidRPr="00033C00">
        <w:rPr>
          <w:rFonts w:ascii="Arial" w:hAnsi="Arial" w:cs="Arial"/>
        </w:rPr>
        <w:t xml:space="preserve"> measures how much users' understanding of vaccine-related information improves after interacting with the chatbot. Initially, comprehension improvement starts at a lower percentage, but after implementing the chatbot, it is expected to rise significantly.</w:t>
      </w:r>
    </w:p>
    <w:p w14:paraId="18A5542B" w14:textId="77777777" w:rsidR="009B64BB" w:rsidRPr="00033C00" w:rsidRDefault="009B64BB" w:rsidP="009B64BB">
      <w:pPr>
        <w:spacing w:line="360" w:lineRule="auto"/>
        <w:jc w:val="both"/>
        <w:rPr>
          <w:rFonts w:ascii="Arial" w:hAnsi="Arial" w:cs="Arial"/>
        </w:rPr>
      </w:pPr>
      <w:r w:rsidRPr="00033C00">
        <w:rPr>
          <w:rFonts w:ascii="Arial" w:hAnsi="Arial" w:cs="Arial"/>
          <w:bCs/>
        </w:rPr>
        <w:t>Engagement rate</w:t>
      </w:r>
      <w:r w:rsidRPr="00033C00">
        <w:rPr>
          <w:rFonts w:ascii="Arial" w:hAnsi="Arial" w:cs="Arial"/>
        </w:rPr>
        <w:t xml:space="preserve"> reflects the percentage of users who actively interact with the chatbot and complete the vaccine literacy sessions. Initially, engagement is lower, but with enhanced chatbot features and functionality, the engagement rate is expected to increase.</w:t>
      </w:r>
    </w:p>
    <w:p w14:paraId="199AC1E7" w14:textId="77777777" w:rsidR="009B64BB" w:rsidRPr="00033C00" w:rsidRDefault="009B64BB" w:rsidP="009B64BB">
      <w:pPr>
        <w:spacing w:line="360" w:lineRule="auto"/>
        <w:jc w:val="both"/>
        <w:rPr>
          <w:rFonts w:ascii="Arial" w:hAnsi="Arial" w:cs="Arial"/>
        </w:rPr>
      </w:pPr>
      <w:r w:rsidRPr="00033C00">
        <w:rPr>
          <w:rFonts w:ascii="Arial" w:hAnsi="Arial" w:cs="Arial"/>
          <w:bCs/>
        </w:rPr>
        <w:t>Cultural relevance</w:t>
      </w:r>
      <w:r w:rsidRPr="00033C00">
        <w:rPr>
          <w:rFonts w:ascii="Arial" w:hAnsi="Arial" w:cs="Arial"/>
        </w:rPr>
        <w:t xml:space="preserve"> assesses how well the chatbot is adapted to the cultural context of the target audience. This metric begins at a moderate level but is projected to improve significantly with better localization and content adaptation to reflect local values and communication styles.</w:t>
      </w:r>
    </w:p>
    <w:p w14:paraId="610D6AF2" w14:textId="77777777" w:rsidR="009B64BB" w:rsidRPr="00033C00" w:rsidRDefault="009B64BB" w:rsidP="009B64BB">
      <w:pPr>
        <w:spacing w:line="360" w:lineRule="auto"/>
        <w:jc w:val="both"/>
        <w:rPr>
          <w:rFonts w:ascii="Arial" w:hAnsi="Arial" w:cs="Arial"/>
        </w:rPr>
      </w:pPr>
      <w:r w:rsidRPr="00033C00">
        <w:rPr>
          <w:rFonts w:ascii="Arial" w:hAnsi="Arial" w:cs="Arial"/>
          <w:bCs/>
        </w:rPr>
        <w:t>Technological accessibility</w:t>
      </w:r>
      <w:r w:rsidRPr="00033C00">
        <w:rPr>
          <w:rFonts w:ascii="Arial" w:hAnsi="Arial" w:cs="Arial"/>
        </w:rPr>
        <w:t xml:space="preserve"> measures how accessible the chatbot is to users in low-tech environments, where internet bandwidth may be limited, and older mobile devices are common. The accessibility of the chatbot starts low but is expected to improve as the system is optimized for these conditions. The graph provides a visual comparison between the baseline and projected outcomes, showing the anticipated improvements when multimodal AI solutions are introduced to enhance the chatbot’s effectiveness in addressing vaccine hesitancy.</w:t>
      </w:r>
    </w:p>
    <w:p w14:paraId="5ACCB050" w14:textId="77777777" w:rsidR="009B64BB" w:rsidRPr="00033C00" w:rsidRDefault="009B64BB" w:rsidP="009B64BB">
      <w:pPr>
        <w:pStyle w:val="NormalWeb"/>
        <w:spacing w:before="0" w:beforeAutospacing="0" w:after="0" w:afterAutospacing="0"/>
        <w:jc w:val="both"/>
        <w:rPr>
          <w:rFonts w:ascii="Arial" w:hAnsi="Arial" w:cs="Arial"/>
          <w:b/>
          <w:color w:val="000000" w:themeColor="text1"/>
          <w:sz w:val="20"/>
          <w:szCs w:val="20"/>
        </w:rPr>
      </w:pPr>
    </w:p>
    <w:p w14:paraId="7994C433" w14:textId="7506CA27" w:rsidR="009B64BB" w:rsidRPr="00033C00" w:rsidRDefault="009B64BB" w:rsidP="009B64BB">
      <w:pPr>
        <w:pStyle w:val="Caption"/>
        <w:keepNext/>
        <w:spacing w:after="0"/>
        <w:rPr>
          <w:rFonts w:ascii="Arial" w:hAnsi="Arial" w:cs="Arial"/>
          <w:b/>
          <w:i w:val="0"/>
          <w:color w:val="000000" w:themeColor="text1"/>
          <w:sz w:val="20"/>
          <w:szCs w:val="20"/>
        </w:rPr>
      </w:pPr>
      <w:bookmarkStart w:id="14" w:name="_Ref184238522"/>
      <w:r w:rsidRPr="00033C00">
        <w:rPr>
          <w:rFonts w:ascii="Arial" w:hAnsi="Arial" w:cs="Arial"/>
          <w:i w:val="0"/>
          <w:color w:val="000000" w:themeColor="text1"/>
          <w:sz w:val="20"/>
          <w:szCs w:val="20"/>
        </w:rPr>
        <w:t xml:space="preserve">Table </w:t>
      </w:r>
      <w:bookmarkEnd w:id="14"/>
      <w:r w:rsidR="007E1E3B">
        <w:rPr>
          <w:rFonts w:ascii="Arial" w:hAnsi="Arial" w:cs="Arial"/>
          <w:i w:val="0"/>
          <w:color w:val="000000" w:themeColor="text1"/>
          <w:sz w:val="20"/>
          <w:szCs w:val="20"/>
        </w:rPr>
        <w:t>4</w:t>
      </w:r>
      <w:r w:rsidRPr="00033C00">
        <w:rPr>
          <w:rFonts w:ascii="Arial" w:hAnsi="Arial" w:cs="Arial"/>
          <w:i w:val="0"/>
          <w:color w:val="000000" w:themeColor="text1"/>
          <w:sz w:val="20"/>
          <w:szCs w:val="20"/>
        </w:rPr>
        <w:t>:</w:t>
      </w:r>
      <w:r w:rsidRPr="00033C00">
        <w:rPr>
          <w:rFonts w:ascii="Arial" w:hAnsi="Arial" w:cs="Arial"/>
          <w:b/>
          <w:i w:val="0"/>
          <w:color w:val="000000" w:themeColor="text1"/>
          <w:sz w:val="20"/>
          <w:szCs w:val="20"/>
        </w:rPr>
        <w:t xml:space="preserve"> </w:t>
      </w:r>
      <w:r w:rsidRPr="00033C00">
        <w:rPr>
          <w:rStyle w:val="Strong"/>
          <w:rFonts w:ascii="Arial" w:hAnsi="Arial" w:cs="Arial"/>
          <w:sz w:val="20"/>
          <w:szCs w:val="20"/>
        </w:rPr>
        <w:t xml:space="preserve"> </w:t>
      </w:r>
      <w:r w:rsidRPr="00033C00">
        <w:rPr>
          <w:rStyle w:val="Strong"/>
          <w:rFonts w:ascii="Arial" w:hAnsi="Arial" w:cs="Arial"/>
          <w:i w:val="0"/>
          <w:color w:val="000000" w:themeColor="text1"/>
          <w:sz w:val="20"/>
          <w:szCs w:val="20"/>
        </w:rPr>
        <w:t>Demonstrates baseline vs. target metrics for Chatbot effectiveness in African[</w:t>
      </w:r>
      <w:r w:rsidRPr="00033C00">
        <w:rPr>
          <w:rStyle w:val="Strong"/>
          <w:rFonts w:ascii="Arial" w:hAnsi="Arial" w:cs="Arial"/>
          <w:b w:val="0"/>
          <w:i w:val="0"/>
          <w:color w:val="000000" w:themeColor="text1"/>
          <w:sz w:val="20"/>
          <w:szCs w:val="20"/>
        </w:rPr>
        <w:fldChar w:fldCharType="begin"/>
      </w:r>
      <w:r w:rsidRPr="00033C00">
        <w:rPr>
          <w:rStyle w:val="Strong"/>
          <w:rFonts w:ascii="Arial" w:hAnsi="Arial" w:cs="Arial"/>
          <w:i w:val="0"/>
          <w:color w:val="000000" w:themeColor="text1"/>
          <w:sz w:val="20"/>
          <w:szCs w:val="20"/>
        </w:rPr>
        <w:instrText xml:space="preserve"> NOTEREF _Ref185569503 \h </w:instrText>
      </w:r>
      <w:r w:rsidRPr="00033C00">
        <w:rPr>
          <w:rStyle w:val="Strong"/>
          <w:rFonts w:ascii="Arial" w:hAnsi="Arial" w:cs="Arial"/>
          <w:b w:val="0"/>
          <w:i w:val="0"/>
          <w:color w:val="000000" w:themeColor="text1"/>
          <w:sz w:val="20"/>
          <w:szCs w:val="20"/>
        </w:rPr>
        <w:instrText xml:space="preserve"> \* MERGEFORMAT </w:instrText>
      </w:r>
      <w:r w:rsidRPr="00033C00">
        <w:rPr>
          <w:rStyle w:val="Strong"/>
          <w:rFonts w:ascii="Arial" w:hAnsi="Arial" w:cs="Arial"/>
          <w:b w:val="0"/>
          <w:i w:val="0"/>
          <w:color w:val="000000" w:themeColor="text1"/>
          <w:sz w:val="20"/>
          <w:szCs w:val="20"/>
        </w:rPr>
      </w:r>
      <w:r w:rsidRPr="00033C00">
        <w:rPr>
          <w:rStyle w:val="Strong"/>
          <w:rFonts w:ascii="Arial" w:hAnsi="Arial" w:cs="Arial"/>
          <w:b w:val="0"/>
          <w:i w:val="0"/>
          <w:color w:val="000000" w:themeColor="text1"/>
          <w:sz w:val="20"/>
          <w:szCs w:val="20"/>
        </w:rPr>
        <w:fldChar w:fldCharType="separate"/>
      </w:r>
      <w:r w:rsidRPr="00033C00">
        <w:rPr>
          <w:rStyle w:val="Strong"/>
          <w:rFonts w:ascii="Arial" w:hAnsi="Arial" w:cs="Arial"/>
          <w:i w:val="0"/>
          <w:color w:val="000000" w:themeColor="text1"/>
          <w:sz w:val="20"/>
          <w:szCs w:val="20"/>
        </w:rPr>
        <w:t>51</w:t>
      </w:r>
      <w:r w:rsidRPr="00033C00">
        <w:rPr>
          <w:rStyle w:val="Strong"/>
          <w:rFonts w:ascii="Arial" w:hAnsi="Arial" w:cs="Arial"/>
          <w:b w:val="0"/>
          <w:i w:val="0"/>
          <w:color w:val="000000" w:themeColor="text1"/>
          <w:sz w:val="20"/>
          <w:szCs w:val="20"/>
        </w:rPr>
        <w:fldChar w:fldCharType="end"/>
      </w:r>
      <w:r w:rsidRPr="00033C00">
        <w:rPr>
          <w:rStyle w:val="Strong"/>
          <w:rFonts w:ascii="Arial" w:hAnsi="Arial" w:cs="Arial"/>
          <w:i w:val="0"/>
          <w:color w:val="000000" w:themeColor="text1"/>
          <w:sz w:val="20"/>
          <w:szCs w:val="20"/>
        </w:rPr>
        <w:t>]</w:t>
      </w:r>
      <w:r w:rsidRPr="00033C00">
        <w:rPr>
          <w:rStyle w:val="Strong"/>
          <w:rFonts w:ascii="Arial" w:hAnsi="Arial" w:cs="Arial"/>
          <w:color w:val="000000" w:themeColor="text1"/>
          <w:sz w:val="20"/>
          <w:szCs w:val="20"/>
        </w:rPr>
        <w:t xml:space="preserv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50"/>
        <w:gridCol w:w="2017"/>
      </w:tblGrid>
      <w:tr w:rsidR="009B64BB" w:rsidRPr="00033C00" w14:paraId="25202CC9"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37E23F" w14:textId="77777777" w:rsidR="009B64BB" w:rsidRPr="00033C00" w:rsidRDefault="009B64BB" w:rsidP="000642AB">
            <w:pPr>
              <w:jc w:val="both"/>
              <w:rPr>
                <w:rFonts w:ascii="Arial" w:hAnsi="Arial" w:cs="Arial"/>
                <w:b w:val="0"/>
                <w:color w:val="000000" w:themeColor="text1"/>
                <w:sz w:val="20"/>
                <w:szCs w:val="20"/>
              </w:rPr>
            </w:pPr>
            <w:r w:rsidRPr="00033C00">
              <w:rPr>
                <w:rStyle w:val="Strong"/>
                <w:rFonts w:ascii="Arial" w:hAnsi="Arial" w:cs="Arial"/>
                <w:color w:val="000000" w:themeColor="text1"/>
                <w:sz w:val="20"/>
                <w:szCs w:val="20"/>
              </w:rPr>
              <w:t>Metric</w:t>
            </w:r>
          </w:p>
        </w:tc>
        <w:tc>
          <w:tcPr>
            <w:tcW w:w="0" w:type="auto"/>
            <w:hideMark/>
          </w:tcPr>
          <w:p w14:paraId="09EF5F56"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Baseline (%)</w:t>
            </w:r>
          </w:p>
        </w:tc>
        <w:tc>
          <w:tcPr>
            <w:tcW w:w="0" w:type="auto"/>
            <w:hideMark/>
          </w:tcPr>
          <w:p w14:paraId="3F290E8E"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033C00">
              <w:rPr>
                <w:rStyle w:val="Strong"/>
                <w:rFonts w:ascii="Arial" w:hAnsi="Arial" w:cs="Arial"/>
                <w:color w:val="000000" w:themeColor="text1"/>
                <w:sz w:val="20"/>
                <w:szCs w:val="20"/>
              </w:rPr>
              <w:t>Target for Africa (%)</w:t>
            </w:r>
          </w:p>
        </w:tc>
      </w:tr>
      <w:tr w:rsidR="009B64BB" w:rsidRPr="00033C00" w14:paraId="14D6F34B"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62F4A2" w14:textId="77777777" w:rsidR="009B64BB" w:rsidRPr="00033C00" w:rsidRDefault="009B64BB" w:rsidP="000642AB">
            <w:pPr>
              <w:jc w:val="both"/>
              <w:rPr>
                <w:rFonts w:ascii="Arial" w:hAnsi="Arial" w:cs="Arial"/>
                <w:bCs w:val="0"/>
                <w:color w:val="000000" w:themeColor="text1"/>
                <w:sz w:val="20"/>
                <w:szCs w:val="20"/>
              </w:rPr>
            </w:pPr>
            <w:r w:rsidRPr="00033C00">
              <w:rPr>
                <w:rFonts w:ascii="Arial" w:hAnsi="Arial" w:cs="Arial"/>
                <w:color w:val="000000" w:themeColor="text1"/>
                <w:sz w:val="20"/>
                <w:szCs w:val="20"/>
              </w:rPr>
              <w:t>Comprehension</w:t>
            </w:r>
          </w:p>
        </w:tc>
        <w:tc>
          <w:tcPr>
            <w:tcW w:w="0" w:type="auto"/>
            <w:hideMark/>
          </w:tcPr>
          <w:p w14:paraId="154FCDF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319DFBF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70%</w:t>
            </w:r>
          </w:p>
        </w:tc>
      </w:tr>
      <w:tr w:rsidR="009B64BB" w:rsidRPr="00033C00" w14:paraId="6A6F20AE"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1540343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Engagement Rate</w:t>
            </w:r>
          </w:p>
        </w:tc>
        <w:tc>
          <w:tcPr>
            <w:tcW w:w="0" w:type="auto"/>
            <w:hideMark/>
          </w:tcPr>
          <w:p w14:paraId="5B1F6BF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5F7D714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r w:rsidR="009B64BB" w:rsidRPr="00033C00" w14:paraId="1F061733"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5B16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Cultural Relevance</w:t>
            </w:r>
          </w:p>
        </w:tc>
        <w:tc>
          <w:tcPr>
            <w:tcW w:w="0" w:type="auto"/>
            <w:hideMark/>
          </w:tcPr>
          <w:p w14:paraId="40B31EAC"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32AC820E"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r w:rsidR="009B64BB" w:rsidRPr="00033C00" w14:paraId="3A5E5E54" w14:textId="77777777" w:rsidTr="000642AB">
        <w:tc>
          <w:tcPr>
            <w:cnfStyle w:val="001000000000" w:firstRow="0" w:lastRow="0" w:firstColumn="1" w:lastColumn="0" w:oddVBand="0" w:evenVBand="0" w:oddHBand="0" w:evenHBand="0" w:firstRowFirstColumn="0" w:firstRowLastColumn="0" w:lastRowFirstColumn="0" w:lastRowLastColumn="0"/>
            <w:tcW w:w="0" w:type="auto"/>
            <w:hideMark/>
          </w:tcPr>
          <w:p w14:paraId="47B4B74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Technological Access</w:t>
            </w:r>
          </w:p>
        </w:tc>
        <w:tc>
          <w:tcPr>
            <w:tcW w:w="0" w:type="auto"/>
            <w:hideMark/>
          </w:tcPr>
          <w:p w14:paraId="7AE7D7A9"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20%</w:t>
            </w:r>
          </w:p>
        </w:tc>
        <w:tc>
          <w:tcPr>
            <w:tcW w:w="0" w:type="auto"/>
            <w:hideMark/>
          </w:tcPr>
          <w:p w14:paraId="2B49696E"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60%</w:t>
            </w:r>
          </w:p>
        </w:tc>
      </w:tr>
    </w:tbl>
    <w:p w14:paraId="51558D4A" w14:textId="2A56D0CC" w:rsidR="009B64BB" w:rsidRPr="00033C00"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lastRenderedPageBreak/>
        <w:t xml:space="preserve">Table 4 </w:t>
      </w:r>
      <w:r w:rsidR="009B64BB" w:rsidRPr="00033C00">
        <w:rPr>
          <w:rFonts w:ascii="Arial" w:hAnsi="Arial" w:cs="Arial"/>
          <w:sz w:val="20"/>
          <w:szCs w:val="20"/>
        </w:rPr>
        <w:t>refers to comparing the initial conditions (baseline) and the projected outcomes (target) for the effectiveness of conversational agents (chatbots) in addressing vaccine hesitancy in Africa.</w:t>
      </w:r>
    </w:p>
    <w:p w14:paraId="5A1A226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Baseline metrics</w:t>
      </w:r>
      <w:r w:rsidRPr="00033C00">
        <w:rPr>
          <w:rFonts w:ascii="Arial" w:hAnsi="Arial" w:cs="Arial"/>
          <w:b/>
          <w:sz w:val="20"/>
          <w:szCs w:val="20"/>
        </w:rPr>
        <w:t xml:space="preserve"> </w:t>
      </w:r>
      <w:r w:rsidRPr="00033C00">
        <w:rPr>
          <w:rFonts w:ascii="Arial" w:hAnsi="Arial" w:cs="Arial"/>
          <w:sz w:val="20"/>
          <w:szCs w:val="20"/>
        </w:rPr>
        <w:t>represent the current state or starting point before any improvements or interventions are made. These metrics reflect the initial levels of vaccine literacy, user engagement, cultural relevance, and technological accessibility in African contexts. For example, comprehension improvement starts at 40%, the engagement rate is 30%, cultural relevance is at 50%, and technological access is at a low 20%.</w:t>
      </w:r>
    </w:p>
    <w:p w14:paraId="37A5BC8E"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A90D0A">
        <w:rPr>
          <w:rStyle w:val="Strong"/>
          <w:rFonts w:ascii="Arial" w:hAnsi="Arial" w:cs="Arial"/>
          <w:b w:val="0"/>
          <w:bCs w:val="0"/>
          <w:sz w:val="20"/>
          <w:szCs w:val="20"/>
        </w:rPr>
        <w:t>Target metrics</w:t>
      </w:r>
      <w:r w:rsidRPr="00033C00">
        <w:rPr>
          <w:rFonts w:ascii="Arial" w:hAnsi="Arial" w:cs="Arial"/>
          <w:sz w:val="20"/>
          <w:szCs w:val="20"/>
        </w:rPr>
        <w:t xml:space="preserve"> reflect the desired outcomes after improvements are made, such as incorporating multimodal features (text, voice, and visuals) to enhance chatbot performance. After optimizing the system to be culturally relevant, accessible, and user-friendly, the target metrics aim for 70% comprehension, a 60% engagement rate, 80% cultural relevance, and 60% technological access.</w:t>
      </w:r>
    </w:p>
    <w:p w14:paraId="6C3F5AD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In summary, the comparison between the </w:t>
      </w:r>
      <w:r w:rsidRPr="00A90D0A">
        <w:rPr>
          <w:rStyle w:val="Strong"/>
          <w:rFonts w:ascii="Arial" w:hAnsi="Arial" w:cs="Arial"/>
          <w:b w:val="0"/>
          <w:bCs w:val="0"/>
          <w:sz w:val="20"/>
          <w:szCs w:val="20"/>
        </w:rPr>
        <w:t>baseline</w:t>
      </w:r>
      <w:r w:rsidRPr="00033C00">
        <w:rPr>
          <w:rFonts w:ascii="Arial" w:hAnsi="Arial" w:cs="Arial"/>
          <w:sz w:val="20"/>
          <w:szCs w:val="20"/>
        </w:rPr>
        <w:t xml:space="preserve"> and </w:t>
      </w:r>
      <w:r w:rsidRPr="00A90D0A">
        <w:rPr>
          <w:rStyle w:val="Strong"/>
          <w:rFonts w:ascii="Arial" w:hAnsi="Arial" w:cs="Arial"/>
          <w:b w:val="0"/>
          <w:bCs w:val="0"/>
          <w:sz w:val="20"/>
          <w:szCs w:val="20"/>
        </w:rPr>
        <w:t>target</w:t>
      </w:r>
      <w:r w:rsidRPr="00033C00">
        <w:rPr>
          <w:rFonts w:ascii="Arial" w:hAnsi="Arial" w:cs="Arial"/>
          <w:sz w:val="20"/>
          <w:szCs w:val="20"/>
        </w:rPr>
        <w:t xml:space="preserve"> metrics demonstrates the potential improvements that conversational agents can bring to Africa's vaccine literacy campaigns. This shift shows how effective these systems can be once fully optimized to meet the needs of African users, enhancing comprehension, engagement, cultural relevance, and technological accessibility.</w:t>
      </w:r>
    </w:p>
    <w:p w14:paraId="558CE057" w14:textId="77777777" w:rsidR="009B64BB" w:rsidRPr="00033C00" w:rsidRDefault="009B64BB" w:rsidP="009B64BB">
      <w:pPr>
        <w:jc w:val="both"/>
        <w:rPr>
          <w:rFonts w:ascii="Arial" w:hAnsi="Arial" w:cs="Arial"/>
          <w:color w:val="000000" w:themeColor="text1"/>
        </w:rPr>
      </w:pPr>
    </w:p>
    <w:p w14:paraId="18875BB9"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2.4</w:t>
      </w:r>
      <w:r w:rsidRPr="00033C00">
        <w:rPr>
          <w:rStyle w:val="Strong"/>
          <w:rFonts w:ascii="Arial" w:hAnsi="Arial" w:cs="Arial"/>
          <w:i w:val="0"/>
          <w:color w:val="000000" w:themeColor="text1"/>
          <w:sz w:val="20"/>
          <w:szCs w:val="20"/>
        </w:rPr>
        <w:tab/>
        <w:t>Pilot Study Design</w:t>
      </w:r>
    </w:p>
    <w:p w14:paraId="1BD69430"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To validate the proposed multimodal CA framework, a pilot study is proposed for deployment in two Nigerian states:</w:t>
      </w:r>
    </w:p>
    <w:p w14:paraId="11FFAFF6"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Lagos</w:t>
      </w:r>
      <w:r w:rsidRPr="00033C00">
        <w:rPr>
          <w:rFonts w:ascii="Arial" w:hAnsi="Arial" w:cs="Arial"/>
          <w:color w:val="000000" w:themeColor="text1"/>
        </w:rPr>
        <w:t>: Urban setting with higher mobile penetration and diverse population.</w:t>
      </w:r>
    </w:p>
    <w:p w14:paraId="190E1E87" w14:textId="77777777" w:rsidR="009B64BB" w:rsidRPr="00033C00" w:rsidRDefault="009B64BB" w:rsidP="0020423E">
      <w:pPr>
        <w:numPr>
          <w:ilvl w:val="0"/>
          <w:numId w:val="6"/>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Abia</w:t>
      </w:r>
      <w:r w:rsidRPr="00033C00">
        <w:rPr>
          <w:rFonts w:ascii="Arial" w:hAnsi="Arial" w:cs="Arial"/>
          <w:color w:val="000000" w:themeColor="text1"/>
        </w:rPr>
        <w:t>: Rural setting with lower literacy rates but significant public health needs.</w:t>
      </w:r>
    </w:p>
    <w:p w14:paraId="4DB5D05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Key Components of the Pilot Study</w:t>
      </w:r>
      <w:r w:rsidRPr="00033C00">
        <w:rPr>
          <w:rFonts w:ascii="Arial" w:hAnsi="Arial" w:cs="Arial"/>
          <w:color w:val="000000" w:themeColor="text1"/>
          <w:sz w:val="20"/>
          <w:szCs w:val="20"/>
        </w:rPr>
        <w:t>:</w:t>
      </w:r>
    </w:p>
    <w:p w14:paraId="5305CB3B" w14:textId="77777777" w:rsidR="009B64BB" w:rsidRPr="00A90D0A" w:rsidRDefault="009B64BB" w:rsidP="0020423E">
      <w:pPr>
        <w:numPr>
          <w:ilvl w:val="0"/>
          <w:numId w:val="5"/>
        </w:numPr>
        <w:spacing w:after="100" w:afterAutospacing="1" w:line="360" w:lineRule="auto"/>
        <w:jc w:val="both"/>
        <w:rPr>
          <w:rFonts w:ascii="Arial" w:hAnsi="Arial" w:cs="Arial"/>
          <w:b/>
          <w:bCs/>
          <w:color w:val="000000" w:themeColor="text1"/>
        </w:rPr>
      </w:pPr>
      <w:r w:rsidRPr="00A90D0A">
        <w:rPr>
          <w:rStyle w:val="Strong"/>
          <w:rFonts w:ascii="Arial" w:hAnsi="Arial" w:cs="Arial"/>
          <w:b w:val="0"/>
          <w:bCs w:val="0"/>
          <w:color w:val="000000" w:themeColor="text1"/>
        </w:rPr>
        <w:t>Chatbot Features</w:t>
      </w:r>
      <w:r w:rsidRPr="00A90D0A">
        <w:rPr>
          <w:rFonts w:ascii="Arial" w:hAnsi="Arial" w:cs="Arial"/>
          <w:b/>
          <w:bCs/>
          <w:color w:val="000000" w:themeColor="text1"/>
        </w:rPr>
        <w:t>:</w:t>
      </w:r>
    </w:p>
    <w:p w14:paraId="2052706D"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Text and voice-based interactions in Igbo, Yoruba, and English.</w:t>
      </w:r>
    </w:p>
    <w:p w14:paraId="15AFBED9"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AI-generated visuals for simplified vaccine education.</w:t>
      </w:r>
    </w:p>
    <w:p w14:paraId="1239359F" w14:textId="77777777" w:rsidR="009B64BB" w:rsidRPr="00033C00" w:rsidRDefault="009B64BB" w:rsidP="0020423E">
      <w:pPr>
        <w:pStyle w:val="ListParagraph"/>
        <w:numPr>
          <w:ilvl w:val="1"/>
          <w:numId w:val="7"/>
        </w:numPr>
        <w:spacing w:after="100" w:afterAutospacing="1"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FAQ module addressing common vaccine myths.</w:t>
      </w:r>
    </w:p>
    <w:p w14:paraId="37CABD60"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Participant Selection</w:t>
      </w:r>
      <w:r w:rsidRPr="00033C00">
        <w:rPr>
          <w:rFonts w:ascii="Arial" w:hAnsi="Arial" w:cs="Arial"/>
          <w:color w:val="000000" w:themeColor="text1"/>
        </w:rPr>
        <w:t>: 500 participants, evenly split between urban and rural areas, will interact with the chatbot over three months.</w:t>
      </w:r>
    </w:p>
    <w:p w14:paraId="77CFD095" w14:textId="77777777" w:rsidR="009B64BB" w:rsidRPr="00033C00" w:rsidRDefault="009B64BB" w:rsidP="0020423E">
      <w:pPr>
        <w:numPr>
          <w:ilvl w:val="0"/>
          <w:numId w:val="5"/>
        </w:numPr>
        <w:spacing w:after="100" w:afterAutospacing="1" w:line="360" w:lineRule="auto"/>
        <w:jc w:val="both"/>
        <w:rPr>
          <w:rFonts w:ascii="Arial" w:hAnsi="Arial" w:cs="Arial"/>
          <w:color w:val="000000" w:themeColor="text1"/>
        </w:rPr>
      </w:pPr>
      <w:r w:rsidRPr="00033C00">
        <w:rPr>
          <w:rStyle w:val="Strong"/>
          <w:rFonts w:ascii="Arial" w:hAnsi="Arial" w:cs="Arial"/>
          <w:color w:val="000000" w:themeColor="text1"/>
        </w:rPr>
        <w:t>Metrics of Success</w:t>
      </w:r>
      <w:r w:rsidRPr="00033C00">
        <w:rPr>
          <w:rFonts w:ascii="Arial" w:hAnsi="Arial" w:cs="Arial"/>
          <w:color w:val="000000" w:themeColor="text1"/>
        </w:rPr>
        <w:t>: Improvement in vaccine knowledge, user engagement, and satisfaction ratings.</w:t>
      </w:r>
    </w:p>
    <w:p w14:paraId="7A81D39E" w14:textId="77777777" w:rsidR="009B64BB" w:rsidRPr="00033C00" w:rsidRDefault="009B64BB" w:rsidP="009B64BB">
      <w:pPr>
        <w:pStyle w:val="NormalWeb"/>
        <w:spacing w:before="0" w:beforeAutospacing="0" w:after="0" w:afterAutospacing="0"/>
        <w:jc w:val="both"/>
        <w:rPr>
          <w:rFonts w:ascii="Arial" w:hAnsi="Arial" w:cs="Arial"/>
          <w:color w:val="000000" w:themeColor="text1"/>
          <w:sz w:val="20"/>
          <w:szCs w:val="20"/>
        </w:rPr>
      </w:pPr>
    </w:p>
    <w:p w14:paraId="61A05F64" w14:textId="783E6A09"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5</w:t>
      </w:r>
      <w:r w:rsidRPr="00033C00">
        <w:rPr>
          <w:rFonts w:ascii="Arial" w:hAnsi="Arial" w:cs="Arial"/>
          <w:b/>
          <w:i w:val="0"/>
          <w:color w:val="000000" w:themeColor="text1"/>
          <w:sz w:val="20"/>
          <w:szCs w:val="20"/>
        </w:rPr>
        <w:t>: Pilot Study Design Overview</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041"/>
      </w:tblGrid>
      <w:tr w:rsidR="009B64BB" w:rsidRPr="00033C00" w14:paraId="3C88B9B3"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6078571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Feature</w:t>
            </w:r>
          </w:p>
        </w:tc>
        <w:tc>
          <w:tcPr>
            <w:tcW w:w="0" w:type="auto"/>
            <w:tcBorders>
              <w:bottom w:val="none" w:sz="0" w:space="0" w:color="auto"/>
            </w:tcBorders>
            <w:hideMark/>
          </w:tcPr>
          <w:p w14:paraId="03B11BEB"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Details</w:t>
            </w:r>
          </w:p>
        </w:tc>
      </w:tr>
      <w:tr w:rsidR="009B64BB" w:rsidRPr="00033C00" w14:paraId="294CC46F"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448CBC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Chatbot Languages</w:t>
            </w:r>
          </w:p>
        </w:tc>
        <w:tc>
          <w:tcPr>
            <w:tcW w:w="0" w:type="auto"/>
            <w:hideMark/>
          </w:tcPr>
          <w:p w14:paraId="57BDD97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Yoruba, Igbo, English</w:t>
            </w:r>
          </w:p>
        </w:tc>
      </w:tr>
      <w:tr w:rsidR="009B64BB" w:rsidRPr="00033C00" w14:paraId="2FC0FE21"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118A920"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Study Duration</w:t>
            </w:r>
          </w:p>
        </w:tc>
        <w:tc>
          <w:tcPr>
            <w:tcW w:w="0" w:type="auto"/>
            <w:hideMark/>
          </w:tcPr>
          <w:p w14:paraId="2A1CD917"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 Months</w:t>
            </w:r>
          </w:p>
        </w:tc>
      </w:tr>
      <w:tr w:rsidR="009B64BB" w:rsidRPr="00033C00" w14:paraId="72CDD0E5"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9E214D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Participant Count</w:t>
            </w:r>
          </w:p>
        </w:tc>
        <w:tc>
          <w:tcPr>
            <w:tcW w:w="0" w:type="auto"/>
            <w:hideMark/>
          </w:tcPr>
          <w:p w14:paraId="11472E7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500 (Urban: 250, Rural: 250)</w:t>
            </w:r>
          </w:p>
        </w:tc>
      </w:tr>
      <w:tr w:rsidR="009B64BB" w:rsidRPr="00033C00" w14:paraId="3F080BCA"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CD3E4F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Success Metrics</w:t>
            </w:r>
          </w:p>
        </w:tc>
        <w:tc>
          <w:tcPr>
            <w:tcW w:w="0" w:type="auto"/>
            <w:hideMark/>
          </w:tcPr>
          <w:p w14:paraId="48033B55"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Knowledge improvement, engagement rate</w:t>
            </w:r>
          </w:p>
        </w:tc>
      </w:tr>
    </w:tbl>
    <w:p w14:paraId="32B90B0B"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lastRenderedPageBreak/>
        <w:t>The methodology outlined provides a structured approach to evaluating and adapting conversational agents for vaccine literacy in Nigeria and Africa. By leveraging diverse data sources, thematic analysis, and a pilot study framework, this review offers actionable insights into the design and implementation of effective, culturally relevant CAs for public health campaigns in low-resource settings.</w:t>
      </w:r>
    </w:p>
    <w:p w14:paraId="7FE9637C" w14:textId="77777777" w:rsidR="009B64BB" w:rsidRPr="00033C00" w:rsidRDefault="009B64BB" w:rsidP="009B64BB">
      <w:pPr>
        <w:jc w:val="both"/>
        <w:rPr>
          <w:rFonts w:ascii="Arial" w:hAnsi="Arial" w:cs="Arial"/>
          <w:b/>
        </w:rPr>
      </w:pPr>
    </w:p>
    <w:p w14:paraId="379A789E"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3.0</w:t>
      </w:r>
      <w:r w:rsidRPr="00033C00">
        <w:rPr>
          <w:rStyle w:val="Strong"/>
          <w:rFonts w:ascii="Arial" w:hAnsi="Arial" w:cs="Arial"/>
          <w:color w:val="000000" w:themeColor="text1"/>
          <w:sz w:val="20"/>
          <w:szCs w:val="20"/>
        </w:rPr>
        <w:tab/>
        <w:t>RESULTS AND DISCUSSION</w:t>
      </w:r>
    </w:p>
    <w:p w14:paraId="3C1226E1"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This section provides an in-depth analysis of the findings, focusing on the state-of-the-art applications of conversational agents, the challenges of deploying these technologies in Nigeria and Africa, and the benefits of implementing multimodal AI solutions to enhance vaccine literacy.</w:t>
      </w:r>
    </w:p>
    <w:p w14:paraId="1F6A6BA5" w14:textId="77777777" w:rsidR="009B64BB" w:rsidRPr="00033C00" w:rsidRDefault="009B64BB" w:rsidP="009B64BB">
      <w:pPr>
        <w:spacing w:line="360" w:lineRule="auto"/>
        <w:jc w:val="both"/>
        <w:rPr>
          <w:rFonts w:ascii="Arial" w:hAnsi="Arial" w:cs="Arial"/>
          <w:color w:val="000000" w:themeColor="text1"/>
        </w:rPr>
      </w:pPr>
    </w:p>
    <w:p w14:paraId="50B04D9E"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3.1</w:t>
      </w:r>
      <w:r w:rsidRPr="00033C00">
        <w:rPr>
          <w:rStyle w:val="Strong"/>
          <w:rFonts w:ascii="Arial" w:hAnsi="Arial" w:cs="Arial"/>
          <w:i w:val="0"/>
          <w:color w:val="000000" w:themeColor="text1"/>
          <w:sz w:val="20"/>
          <w:szCs w:val="20"/>
        </w:rPr>
        <w:tab/>
        <w:t>Current Applications of Conversational Agents in Vaccine Literacy</w:t>
      </w:r>
    </w:p>
    <w:p w14:paraId="169E747A"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Globally, conversational agents have demonstrated effectiveness in promoting vaccine literacy[</w:t>
      </w:r>
      <w:r w:rsidRPr="00033C00">
        <w:rPr>
          <w:rStyle w:val="EndnoteReference"/>
          <w:rFonts w:ascii="Arial" w:hAnsi="Arial" w:cs="Arial"/>
          <w:sz w:val="20"/>
          <w:szCs w:val="20"/>
          <w:vertAlign w:val="baseline"/>
        </w:rPr>
        <w:endnoteReference w:id="55"/>
      </w:r>
      <w:r w:rsidRPr="00033C00">
        <w:rPr>
          <w:rFonts w:ascii="Arial" w:hAnsi="Arial" w:cs="Arial"/>
          <w:sz w:val="20"/>
          <w:szCs w:val="20"/>
        </w:rPr>
        <w:t>]. One example is Vaxera[</w:t>
      </w:r>
      <w:bookmarkStart w:id="15" w:name="_Ref185586701"/>
      <w:r w:rsidRPr="00033C00">
        <w:rPr>
          <w:rStyle w:val="EndnoteReference"/>
          <w:rFonts w:ascii="Arial" w:hAnsi="Arial" w:cs="Arial"/>
          <w:sz w:val="20"/>
          <w:szCs w:val="20"/>
          <w:vertAlign w:val="baseline"/>
        </w:rPr>
        <w:endnoteReference w:id="56"/>
      </w:r>
      <w:bookmarkEnd w:id="15"/>
      <w:r w:rsidRPr="00033C00">
        <w:rPr>
          <w:rFonts w:ascii="Arial" w:hAnsi="Arial" w:cs="Arial"/>
          <w:sz w:val="20"/>
          <w:szCs w:val="20"/>
        </w:rPr>
        <w:t>], a chatbot deployed in Egypt during the COVID-19 pandemic to combat vaccine misinformation among university students[</w:t>
      </w:r>
      <w:bookmarkStart w:id="16" w:name="_Ref185586704"/>
      <w:r w:rsidRPr="00033C00">
        <w:rPr>
          <w:rStyle w:val="EndnoteReference"/>
          <w:rFonts w:ascii="Arial" w:hAnsi="Arial" w:cs="Arial"/>
          <w:sz w:val="20"/>
          <w:szCs w:val="20"/>
          <w:vertAlign w:val="baseline"/>
        </w:rPr>
        <w:endnoteReference w:id="57"/>
      </w:r>
      <w:bookmarkEnd w:id="16"/>
      <w:r w:rsidRPr="00033C00">
        <w:rPr>
          <w:rFonts w:ascii="Arial" w:hAnsi="Arial" w:cs="Arial"/>
          <w:sz w:val="20"/>
          <w:szCs w:val="20"/>
        </w:rPr>
        <w:t>], achieving an 80% improvement in vaccine literacy[</w:t>
      </w:r>
      <w:bookmarkStart w:id="17" w:name="_Ref185577933"/>
      <w:r w:rsidRPr="00033C00">
        <w:rPr>
          <w:rStyle w:val="EndnoteReference"/>
          <w:rFonts w:ascii="Arial" w:hAnsi="Arial" w:cs="Arial"/>
          <w:sz w:val="20"/>
          <w:szCs w:val="20"/>
          <w:vertAlign w:val="baseline"/>
        </w:rPr>
        <w:endnoteReference w:id="58"/>
      </w:r>
      <w:bookmarkEnd w:id="17"/>
      <w:r w:rsidRPr="00033C00">
        <w:rPr>
          <w:rFonts w:ascii="Arial" w:hAnsi="Arial" w:cs="Arial"/>
          <w:sz w:val="20"/>
          <w:szCs w:val="20"/>
        </w:rPr>
        <w:t>]. Another is RamaCovid, implemented in India to assist with vaccine scheduling and education[</w:t>
      </w:r>
      <w:bookmarkStart w:id="18" w:name="_Ref185586810"/>
      <w:r w:rsidRPr="00033C00">
        <w:rPr>
          <w:rStyle w:val="EndnoteReference"/>
          <w:rFonts w:ascii="Arial" w:hAnsi="Arial" w:cs="Arial"/>
          <w:sz w:val="20"/>
          <w:szCs w:val="20"/>
          <w:vertAlign w:val="baseline"/>
        </w:rPr>
        <w:endnoteReference w:id="59"/>
      </w:r>
      <w:bookmarkEnd w:id="18"/>
      <w:r w:rsidRPr="00033C00">
        <w:rPr>
          <w:rFonts w:ascii="Arial" w:hAnsi="Arial" w:cs="Arial"/>
          <w:sz w:val="20"/>
          <w:szCs w:val="20"/>
        </w:rPr>
        <w:t>], leading to a 56% increase in vaccine knowledge[</w:t>
      </w:r>
      <w:r w:rsidRPr="00033C00">
        <w:rPr>
          <w:rFonts w:ascii="Arial" w:hAnsi="Arial" w:cs="Arial"/>
          <w:sz w:val="20"/>
          <w:szCs w:val="20"/>
        </w:rPr>
        <w:fldChar w:fldCharType="begin"/>
      </w:r>
      <w:r w:rsidRPr="00033C00">
        <w:rPr>
          <w:rFonts w:ascii="Arial" w:hAnsi="Arial" w:cs="Arial"/>
          <w:sz w:val="20"/>
          <w:szCs w:val="20"/>
        </w:rPr>
        <w:instrText xml:space="preserve"> NOTEREF _Ref185577933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55</w:t>
      </w:r>
      <w:r w:rsidRPr="00033C00">
        <w:rPr>
          <w:rFonts w:ascii="Arial" w:hAnsi="Arial" w:cs="Arial"/>
          <w:sz w:val="20"/>
          <w:szCs w:val="20"/>
        </w:rPr>
        <w:fldChar w:fldCharType="end"/>
      </w:r>
      <w:r w:rsidRPr="00033C00">
        <w:rPr>
          <w:rFonts w:ascii="Arial" w:hAnsi="Arial" w:cs="Arial"/>
          <w:sz w:val="20"/>
          <w:szCs w:val="20"/>
        </w:rPr>
        <w:t>]. In the United States, Ana[</w:t>
      </w:r>
      <w:bookmarkStart w:id="19" w:name="_Ref185586861"/>
      <w:r w:rsidRPr="00033C00">
        <w:rPr>
          <w:rStyle w:val="EndnoteReference"/>
          <w:rFonts w:ascii="Arial" w:hAnsi="Arial" w:cs="Arial"/>
          <w:sz w:val="20"/>
          <w:szCs w:val="20"/>
          <w:vertAlign w:val="baseline"/>
        </w:rPr>
        <w:endnoteReference w:id="60"/>
      </w:r>
      <w:bookmarkEnd w:id="19"/>
      <w:r w:rsidRPr="00033C00">
        <w:rPr>
          <w:rFonts w:ascii="Arial" w:hAnsi="Arial" w:cs="Arial"/>
          <w:sz w:val="20"/>
          <w:szCs w:val="20"/>
        </w:rPr>
        <w:t>], a chatbot designed for bilingual populations,[</w:t>
      </w:r>
      <w:bookmarkStart w:id="20" w:name="_Ref185586881"/>
      <w:r w:rsidRPr="00033C00">
        <w:rPr>
          <w:rStyle w:val="EndnoteReference"/>
          <w:rFonts w:ascii="Arial" w:hAnsi="Arial" w:cs="Arial"/>
          <w:sz w:val="20"/>
          <w:szCs w:val="20"/>
          <w:vertAlign w:val="baseline"/>
        </w:rPr>
        <w:endnoteReference w:id="61"/>
      </w:r>
      <w:bookmarkEnd w:id="20"/>
      <w:r w:rsidRPr="00033C00">
        <w:rPr>
          <w:rFonts w:ascii="Arial" w:hAnsi="Arial" w:cs="Arial"/>
          <w:sz w:val="20"/>
          <w:szCs w:val="20"/>
        </w:rPr>
        <w:t>] provided vaccine information in English and Spanish[</w:t>
      </w:r>
      <w:bookmarkStart w:id="21" w:name="_Ref185586927"/>
      <w:r w:rsidRPr="00033C00">
        <w:rPr>
          <w:rStyle w:val="EndnoteReference"/>
          <w:rFonts w:ascii="Arial" w:hAnsi="Arial" w:cs="Arial"/>
          <w:sz w:val="20"/>
          <w:szCs w:val="20"/>
          <w:vertAlign w:val="baseline"/>
        </w:rPr>
        <w:endnoteReference w:id="62"/>
      </w:r>
      <w:bookmarkEnd w:id="21"/>
      <w:r w:rsidRPr="00033C00">
        <w:rPr>
          <w:rFonts w:ascii="Arial" w:hAnsi="Arial" w:cs="Arial"/>
          <w:sz w:val="20"/>
          <w:szCs w:val="20"/>
        </w:rPr>
        <w:t>] and achieved a 77% satisfaction rate.</w:t>
      </w:r>
    </w:p>
    <w:p w14:paraId="57E72A23" w14:textId="77777777" w:rsidR="009B64BB" w:rsidRPr="00033C00" w:rsidRDefault="009B64BB" w:rsidP="009B64BB">
      <w:pPr>
        <w:pStyle w:val="NormalWeb"/>
        <w:spacing w:before="0" w:before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These examples demonstrate the scalability and adaptability of conversational agents. However, in Nigeria and Africa, the deployment of such technologies has been limited[</w:t>
      </w:r>
      <w:r w:rsidRPr="00033C00">
        <w:rPr>
          <w:rStyle w:val="EndnoteReference"/>
          <w:rFonts w:ascii="Arial" w:hAnsi="Arial" w:cs="Arial"/>
          <w:color w:val="000000" w:themeColor="text1"/>
          <w:sz w:val="20"/>
          <w:szCs w:val="20"/>
          <w:vertAlign w:val="baseline"/>
        </w:rPr>
        <w:endnoteReference w:id="63"/>
      </w:r>
      <w:r w:rsidRPr="00033C00">
        <w:rPr>
          <w:rFonts w:ascii="Arial" w:hAnsi="Arial" w:cs="Arial"/>
          <w:color w:val="000000" w:themeColor="text1"/>
          <w:sz w:val="20"/>
          <w:szCs w:val="20"/>
        </w:rPr>
        <w:t>]. A major initiative was the WhatsApp-based chatbot used during the COVID-19 pandemic, which provided vaccine-related updates[</w:t>
      </w:r>
      <w:bookmarkStart w:id="22" w:name="_Ref185586951"/>
      <w:r w:rsidRPr="00033C00">
        <w:rPr>
          <w:rStyle w:val="EndnoteReference"/>
          <w:rFonts w:ascii="Arial" w:hAnsi="Arial" w:cs="Arial"/>
          <w:color w:val="000000" w:themeColor="text1"/>
          <w:sz w:val="20"/>
          <w:szCs w:val="20"/>
          <w:vertAlign w:val="baseline"/>
        </w:rPr>
        <w:endnoteReference w:id="64"/>
      </w:r>
      <w:bookmarkEnd w:id="22"/>
      <w:r w:rsidRPr="00033C00">
        <w:rPr>
          <w:rFonts w:ascii="Arial" w:hAnsi="Arial" w:cs="Arial"/>
          <w:color w:val="000000" w:themeColor="text1"/>
          <w:sz w:val="20"/>
          <w:szCs w:val="20"/>
        </w:rPr>
        <w:t>]. While impactful, its English-centric design limited accessibility for non-English-speaking populations[</w:t>
      </w:r>
      <w:bookmarkStart w:id="23" w:name="_Ref185586966"/>
      <w:r w:rsidRPr="00033C00">
        <w:rPr>
          <w:rStyle w:val="EndnoteReference"/>
          <w:rFonts w:ascii="Arial" w:hAnsi="Arial" w:cs="Arial"/>
          <w:color w:val="000000" w:themeColor="text1"/>
          <w:sz w:val="20"/>
          <w:szCs w:val="20"/>
          <w:vertAlign w:val="baseline"/>
        </w:rPr>
        <w:endnoteReference w:id="65"/>
      </w:r>
      <w:bookmarkEnd w:id="23"/>
      <w:r w:rsidRPr="00033C00">
        <w:rPr>
          <w:rFonts w:ascii="Arial" w:hAnsi="Arial" w:cs="Arial"/>
          <w:color w:val="000000" w:themeColor="text1"/>
          <w:sz w:val="20"/>
          <w:szCs w:val="20"/>
        </w:rPr>
        <w:t>].</w:t>
      </w:r>
    </w:p>
    <w:p w14:paraId="5A4854EF" w14:textId="430B9C01" w:rsidR="009B64BB" w:rsidRPr="00033C00" w:rsidRDefault="009B64BB" w:rsidP="009B64BB">
      <w:pPr>
        <w:pStyle w:val="Caption"/>
        <w:keepNext/>
        <w:spacing w:after="0"/>
        <w:rPr>
          <w:rFonts w:ascii="Arial" w:hAnsi="Arial" w:cs="Arial"/>
          <w:b/>
          <w:i w:val="0"/>
          <w:color w:val="000000" w:themeColor="text1"/>
          <w:sz w:val="20"/>
          <w:szCs w:val="20"/>
        </w:rPr>
      </w:pPr>
      <w:r w:rsidRPr="00033C00">
        <w:rPr>
          <w:rFonts w:ascii="Arial" w:hAnsi="Arial" w:cs="Arial"/>
          <w:b/>
          <w:i w:val="0"/>
          <w:color w:val="000000" w:themeColor="text1"/>
          <w:sz w:val="20"/>
          <w:szCs w:val="20"/>
        </w:rPr>
        <w:t xml:space="preserve">Table </w:t>
      </w:r>
      <w:r w:rsidR="007E1E3B">
        <w:rPr>
          <w:rFonts w:ascii="Arial" w:hAnsi="Arial" w:cs="Arial"/>
          <w:b/>
          <w:i w:val="0"/>
          <w:color w:val="000000" w:themeColor="text1"/>
          <w:sz w:val="20"/>
          <w:szCs w:val="20"/>
        </w:rPr>
        <w:t>6</w:t>
      </w:r>
      <w:r w:rsidRPr="00033C00">
        <w:rPr>
          <w:rFonts w:ascii="Arial" w:hAnsi="Arial" w:cs="Arial"/>
          <w:b/>
          <w:i w:val="0"/>
          <w:color w:val="000000" w:themeColor="text1"/>
          <w:sz w:val="20"/>
          <w:szCs w:val="20"/>
        </w:rPr>
        <w:t>: Comparative Analysis of Chatbot Applications</w:t>
      </w:r>
    </w:p>
    <w:tbl>
      <w:tblPr>
        <w:tblStyle w:val="TableGrid"/>
        <w:tblW w:w="10165" w:type="dxa"/>
        <w:tblLayout w:type="fixed"/>
        <w:tblLook w:val="04A0" w:firstRow="1" w:lastRow="0" w:firstColumn="1" w:lastColumn="0" w:noHBand="0" w:noVBand="1"/>
      </w:tblPr>
      <w:tblGrid>
        <w:gridCol w:w="1695"/>
        <w:gridCol w:w="936"/>
        <w:gridCol w:w="2824"/>
        <w:gridCol w:w="2640"/>
        <w:gridCol w:w="2070"/>
      </w:tblGrid>
      <w:tr w:rsidR="009B64BB" w:rsidRPr="00033C00" w14:paraId="6B28F487" w14:textId="77777777" w:rsidTr="000642AB">
        <w:tc>
          <w:tcPr>
            <w:tcW w:w="1695" w:type="dxa"/>
            <w:hideMark/>
          </w:tcPr>
          <w:p w14:paraId="23EF34F6"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Chatbot Name</w:t>
            </w:r>
          </w:p>
        </w:tc>
        <w:tc>
          <w:tcPr>
            <w:tcW w:w="936" w:type="dxa"/>
            <w:hideMark/>
          </w:tcPr>
          <w:p w14:paraId="2ACF7691"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2824" w:type="dxa"/>
            <w:hideMark/>
          </w:tcPr>
          <w:p w14:paraId="7404712A"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Features</w:t>
            </w:r>
          </w:p>
        </w:tc>
        <w:tc>
          <w:tcPr>
            <w:tcW w:w="2640" w:type="dxa"/>
            <w:hideMark/>
          </w:tcPr>
          <w:p w14:paraId="697645F3"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Outcomes</w:t>
            </w:r>
          </w:p>
        </w:tc>
        <w:tc>
          <w:tcPr>
            <w:tcW w:w="2070" w:type="dxa"/>
          </w:tcPr>
          <w:p w14:paraId="7966787B" w14:textId="77777777" w:rsidR="009B64BB" w:rsidRPr="00033C00" w:rsidRDefault="009B64BB" w:rsidP="000642AB">
            <w:pPr>
              <w:jc w:val="both"/>
              <w:rPr>
                <w:rStyle w:val="Strong"/>
                <w:rFonts w:ascii="Arial" w:hAnsi="Arial" w:cs="Arial"/>
                <w:color w:val="000000" w:themeColor="text1"/>
                <w:sz w:val="20"/>
                <w:szCs w:val="20"/>
              </w:rPr>
            </w:pPr>
            <w:r w:rsidRPr="00033C00">
              <w:rPr>
                <w:rStyle w:val="Strong"/>
                <w:rFonts w:ascii="Arial" w:hAnsi="Arial" w:cs="Arial"/>
                <w:color w:val="000000" w:themeColor="text1"/>
                <w:sz w:val="20"/>
                <w:szCs w:val="20"/>
              </w:rPr>
              <w:t>Citations</w:t>
            </w:r>
          </w:p>
        </w:tc>
      </w:tr>
      <w:tr w:rsidR="009B64BB" w:rsidRPr="00033C00" w14:paraId="3CEDA738" w14:textId="77777777" w:rsidTr="000642AB">
        <w:tc>
          <w:tcPr>
            <w:tcW w:w="1695" w:type="dxa"/>
            <w:hideMark/>
          </w:tcPr>
          <w:p w14:paraId="1D39C3F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Vaxera</w:t>
            </w:r>
          </w:p>
        </w:tc>
        <w:tc>
          <w:tcPr>
            <w:tcW w:w="936" w:type="dxa"/>
            <w:hideMark/>
          </w:tcPr>
          <w:p w14:paraId="4C1FF4B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Egypt</w:t>
            </w:r>
          </w:p>
        </w:tc>
        <w:tc>
          <w:tcPr>
            <w:tcW w:w="2824" w:type="dxa"/>
            <w:hideMark/>
          </w:tcPr>
          <w:p w14:paraId="00FBA80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Misinformation combat</w:t>
            </w:r>
          </w:p>
        </w:tc>
        <w:tc>
          <w:tcPr>
            <w:tcW w:w="2640" w:type="dxa"/>
            <w:hideMark/>
          </w:tcPr>
          <w:p w14:paraId="51692FEA"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80% improvement in vaccine literacy</w:t>
            </w:r>
          </w:p>
        </w:tc>
        <w:tc>
          <w:tcPr>
            <w:tcW w:w="2070" w:type="dxa"/>
          </w:tcPr>
          <w:p w14:paraId="4B600005" w14:textId="10484E7B"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53</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_Ref185586704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54</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419DB0A" w14:textId="77777777" w:rsidTr="000642AB">
        <w:tc>
          <w:tcPr>
            <w:tcW w:w="1695" w:type="dxa"/>
            <w:hideMark/>
          </w:tcPr>
          <w:p w14:paraId="0434DC4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RamaCovid</w:t>
            </w:r>
          </w:p>
        </w:tc>
        <w:tc>
          <w:tcPr>
            <w:tcW w:w="936" w:type="dxa"/>
            <w:hideMark/>
          </w:tcPr>
          <w:p w14:paraId="7AF417F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India</w:t>
            </w:r>
          </w:p>
        </w:tc>
        <w:tc>
          <w:tcPr>
            <w:tcW w:w="2824" w:type="dxa"/>
            <w:hideMark/>
          </w:tcPr>
          <w:p w14:paraId="0149309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Scheduling, education</w:t>
            </w:r>
          </w:p>
        </w:tc>
        <w:tc>
          <w:tcPr>
            <w:tcW w:w="2640" w:type="dxa"/>
            <w:hideMark/>
          </w:tcPr>
          <w:p w14:paraId="6FD99EB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56% increase in vaccine knowledge</w:t>
            </w:r>
          </w:p>
        </w:tc>
        <w:tc>
          <w:tcPr>
            <w:tcW w:w="2070" w:type="dxa"/>
          </w:tcPr>
          <w:p w14:paraId="0AAAC37A" w14:textId="6F651E9A"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_Ref185586810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56</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_Ref185577933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55</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57D13F5C" w14:textId="77777777" w:rsidTr="000642AB">
        <w:tc>
          <w:tcPr>
            <w:tcW w:w="1695" w:type="dxa"/>
            <w:hideMark/>
          </w:tcPr>
          <w:p w14:paraId="7EF4DF8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Ana</w:t>
            </w:r>
          </w:p>
        </w:tc>
        <w:tc>
          <w:tcPr>
            <w:tcW w:w="936" w:type="dxa"/>
            <w:hideMark/>
          </w:tcPr>
          <w:p w14:paraId="13312B0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USA</w:t>
            </w:r>
          </w:p>
        </w:tc>
        <w:tc>
          <w:tcPr>
            <w:tcW w:w="2824" w:type="dxa"/>
            <w:hideMark/>
          </w:tcPr>
          <w:p w14:paraId="604C2FF6"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Bilingual vaccine education</w:t>
            </w:r>
          </w:p>
        </w:tc>
        <w:tc>
          <w:tcPr>
            <w:tcW w:w="2640" w:type="dxa"/>
            <w:hideMark/>
          </w:tcPr>
          <w:p w14:paraId="65D8E5B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77% satisfaction rate</w:t>
            </w:r>
          </w:p>
        </w:tc>
        <w:tc>
          <w:tcPr>
            <w:tcW w:w="2070" w:type="dxa"/>
          </w:tcPr>
          <w:p w14:paraId="4CF11576" w14:textId="77707548"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_Ref185586861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57</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_Ref185586881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58</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_Ref185586927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59</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r w:rsidR="009B64BB" w:rsidRPr="00033C00" w14:paraId="0A9917A3" w14:textId="77777777" w:rsidTr="000642AB">
        <w:tc>
          <w:tcPr>
            <w:tcW w:w="1695" w:type="dxa"/>
            <w:hideMark/>
          </w:tcPr>
          <w:p w14:paraId="1178910E"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WhatsApp Bot</w:t>
            </w:r>
          </w:p>
        </w:tc>
        <w:tc>
          <w:tcPr>
            <w:tcW w:w="936" w:type="dxa"/>
            <w:hideMark/>
          </w:tcPr>
          <w:p w14:paraId="5961776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Nigeria</w:t>
            </w:r>
          </w:p>
        </w:tc>
        <w:tc>
          <w:tcPr>
            <w:tcW w:w="2824" w:type="dxa"/>
            <w:hideMark/>
          </w:tcPr>
          <w:p w14:paraId="0B2DFEBD"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Vaccine updates in English</w:t>
            </w:r>
          </w:p>
        </w:tc>
        <w:tc>
          <w:tcPr>
            <w:tcW w:w="2640" w:type="dxa"/>
            <w:hideMark/>
          </w:tcPr>
          <w:p w14:paraId="7E92501B"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Limited rural reach</w:t>
            </w:r>
          </w:p>
        </w:tc>
        <w:tc>
          <w:tcPr>
            <w:tcW w:w="2070" w:type="dxa"/>
          </w:tcPr>
          <w:p w14:paraId="4E180588" w14:textId="142B5161"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_Ref185586951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61</w:t>
            </w:r>
            <w:r w:rsidRPr="00033C00">
              <w:rPr>
                <w:rFonts w:ascii="Arial" w:hAnsi="Arial" w:cs="Arial"/>
                <w:color w:val="000000" w:themeColor="text1"/>
              </w:rPr>
              <w:fldChar w:fldCharType="end"/>
            </w:r>
            <w:r w:rsidRPr="00033C00">
              <w:rPr>
                <w:rFonts w:ascii="Arial" w:hAnsi="Arial" w:cs="Arial"/>
                <w:color w:val="000000" w:themeColor="text1"/>
                <w:sz w:val="20"/>
                <w:szCs w:val="20"/>
              </w:rPr>
              <w:t>][</w:t>
            </w:r>
            <w:r w:rsidRPr="00033C00">
              <w:rPr>
                <w:rFonts w:ascii="Arial" w:hAnsi="Arial" w:cs="Arial"/>
                <w:color w:val="000000" w:themeColor="text1"/>
              </w:rPr>
              <w:fldChar w:fldCharType="begin"/>
            </w:r>
            <w:r w:rsidRPr="00033C00">
              <w:rPr>
                <w:rFonts w:ascii="Arial" w:hAnsi="Arial" w:cs="Arial"/>
                <w:color w:val="000000" w:themeColor="text1"/>
                <w:sz w:val="20"/>
                <w:szCs w:val="20"/>
              </w:rPr>
              <w:instrText xml:space="preserve"> NOTEREF _Ref185586966 \h  \* MERGEFORMAT </w:instrText>
            </w:r>
            <w:r w:rsidRPr="00033C00">
              <w:rPr>
                <w:rFonts w:ascii="Arial" w:hAnsi="Arial" w:cs="Arial"/>
                <w:color w:val="000000" w:themeColor="text1"/>
              </w:rPr>
            </w:r>
            <w:r w:rsidRPr="00033C00">
              <w:rPr>
                <w:rFonts w:ascii="Arial" w:hAnsi="Arial" w:cs="Arial"/>
                <w:color w:val="000000" w:themeColor="text1"/>
              </w:rPr>
              <w:fldChar w:fldCharType="separate"/>
            </w:r>
            <w:r w:rsidRPr="00033C00">
              <w:rPr>
                <w:rFonts w:ascii="Arial" w:hAnsi="Arial" w:cs="Arial"/>
                <w:color w:val="000000" w:themeColor="text1"/>
                <w:sz w:val="20"/>
                <w:szCs w:val="20"/>
              </w:rPr>
              <w:t>62</w:t>
            </w:r>
            <w:r w:rsidRPr="00033C00">
              <w:rPr>
                <w:rFonts w:ascii="Arial" w:hAnsi="Arial" w:cs="Arial"/>
                <w:color w:val="000000" w:themeColor="text1"/>
              </w:rPr>
              <w:fldChar w:fldCharType="end"/>
            </w:r>
            <w:r w:rsidRPr="00033C00">
              <w:rPr>
                <w:rFonts w:ascii="Arial" w:hAnsi="Arial" w:cs="Arial"/>
                <w:color w:val="000000" w:themeColor="text1"/>
                <w:sz w:val="20"/>
                <w:szCs w:val="20"/>
              </w:rPr>
              <w:t>]</w:t>
            </w:r>
          </w:p>
        </w:tc>
      </w:tr>
    </w:tbl>
    <w:p w14:paraId="2E2C8AE7" w14:textId="77777777" w:rsidR="009B64BB" w:rsidRPr="00033C00" w:rsidRDefault="009B64BB" w:rsidP="009B64BB">
      <w:pPr>
        <w:jc w:val="both"/>
        <w:rPr>
          <w:rFonts w:ascii="Arial" w:hAnsi="Arial" w:cs="Arial"/>
          <w:color w:val="000000" w:themeColor="text1"/>
        </w:rPr>
      </w:pPr>
    </w:p>
    <w:p w14:paraId="7DD98CB7"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3.2</w:t>
      </w:r>
      <w:r w:rsidRPr="00033C00">
        <w:rPr>
          <w:rStyle w:val="Strong"/>
          <w:rFonts w:ascii="Arial" w:hAnsi="Arial" w:cs="Arial"/>
          <w:i w:val="0"/>
          <w:color w:val="000000" w:themeColor="text1"/>
          <w:sz w:val="20"/>
          <w:szCs w:val="20"/>
        </w:rPr>
        <w:tab/>
        <w:t>Challenges in Deploying CAs in Nigeria and Africa</w:t>
      </w:r>
    </w:p>
    <w:p w14:paraId="1DF84FA7"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The deployment of conversational agents in low-resource settings, despite their potential, is hindered by several significant </w:t>
      </w:r>
      <w:r w:rsidRPr="00307FF0">
        <w:rPr>
          <w:rFonts w:ascii="Arial" w:hAnsi="Arial" w:cs="Arial"/>
          <w:highlight w:val="yellow"/>
        </w:rPr>
        <w:t>challenges[</w:t>
      </w:r>
      <w:bookmarkStart w:id="24" w:name="_Ref186106584"/>
      <w:r w:rsidRPr="00307FF0">
        <w:rPr>
          <w:rStyle w:val="EndnoteReference"/>
          <w:rFonts w:ascii="Arial" w:hAnsi="Arial" w:cs="Arial"/>
          <w:highlight w:val="yellow"/>
          <w:vertAlign w:val="baseline"/>
        </w:rPr>
        <w:endnoteReference w:id="66"/>
      </w:r>
      <w:bookmarkEnd w:id="24"/>
      <w:r w:rsidRPr="00307FF0">
        <w:rPr>
          <w:rFonts w:ascii="Arial" w:hAnsi="Arial" w:cs="Arial"/>
          <w:highlight w:val="yellow"/>
        </w:rPr>
        <w:t>]. Language</w:t>
      </w:r>
      <w:r w:rsidRPr="00033C00">
        <w:rPr>
          <w:rFonts w:ascii="Arial" w:hAnsi="Arial" w:cs="Arial"/>
        </w:rPr>
        <w:t xml:space="preserve"> barriers are a primary concern; as most indigenous languages lack adequate digital resources necessary for training AI models[</w:t>
      </w:r>
      <w:r w:rsidRPr="00033C00">
        <w:rPr>
          <w:rStyle w:val="EndnoteReference"/>
          <w:rFonts w:ascii="Arial" w:hAnsi="Arial" w:cs="Arial"/>
          <w:vertAlign w:val="baseline"/>
        </w:rPr>
        <w:endnoteReference w:id="67"/>
      </w:r>
      <w:r w:rsidRPr="00033C00">
        <w:rPr>
          <w:rFonts w:ascii="Arial" w:hAnsi="Arial" w:cs="Arial"/>
        </w:rPr>
        <w:t xml:space="preserve">]. For instance, languages such as Igbo, Yoruba, and Hausa have limited annotated datasets, making it challenging for chatbots to process and respond accurately in these </w:t>
      </w:r>
      <w:r w:rsidRPr="00307FF0">
        <w:rPr>
          <w:rFonts w:ascii="Arial" w:hAnsi="Arial" w:cs="Arial"/>
          <w:highlight w:val="yellow"/>
        </w:rPr>
        <w:t>languages[</w:t>
      </w:r>
      <w:bookmarkStart w:id="25" w:name="_Ref185596892"/>
      <w:r w:rsidRPr="00307FF0">
        <w:rPr>
          <w:rStyle w:val="EndnoteReference"/>
          <w:rFonts w:ascii="Arial" w:hAnsi="Arial" w:cs="Arial"/>
          <w:highlight w:val="yellow"/>
          <w:vertAlign w:val="baseline"/>
        </w:rPr>
        <w:endnoteReference w:id="68"/>
      </w:r>
      <w:bookmarkEnd w:id="25"/>
      <w:r w:rsidRPr="00307FF0">
        <w:rPr>
          <w:rFonts w:ascii="Arial" w:hAnsi="Arial" w:cs="Arial"/>
          <w:highlight w:val="yellow"/>
        </w:rPr>
        <w:t>].</w:t>
      </w:r>
      <w:r w:rsidRPr="00033C00">
        <w:rPr>
          <w:rFonts w:ascii="Arial" w:hAnsi="Arial" w:cs="Arial"/>
        </w:rPr>
        <w:t xml:space="preserve"> Furthermore, dialectal diversity exacerbates this issue, as regional variations in languages like Yoruba can confuse generic AI </w:t>
      </w:r>
      <w:r w:rsidRPr="00307FF0">
        <w:rPr>
          <w:rFonts w:ascii="Arial" w:hAnsi="Arial" w:cs="Arial"/>
          <w:highlight w:val="yellow"/>
        </w:rPr>
        <w:t>systems[</w:t>
      </w:r>
      <w:bookmarkStart w:id="26" w:name="_Ref185596912"/>
      <w:r w:rsidRPr="00307FF0">
        <w:rPr>
          <w:rStyle w:val="EndnoteReference"/>
          <w:rFonts w:ascii="Arial" w:hAnsi="Arial" w:cs="Arial"/>
          <w:highlight w:val="yellow"/>
          <w:vertAlign w:val="baseline"/>
        </w:rPr>
        <w:endnoteReference w:id="69"/>
      </w:r>
      <w:bookmarkEnd w:id="26"/>
      <w:r w:rsidRPr="00307FF0">
        <w:rPr>
          <w:rFonts w:ascii="Arial" w:hAnsi="Arial" w:cs="Arial"/>
          <w:highlight w:val="yellow"/>
        </w:rPr>
        <w:t>].</w:t>
      </w:r>
      <w:r w:rsidRPr="00033C00">
        <w:rPr>
          <w:rFonts w:ascii="Arial" w:hAnsi="Arial" w:cs="Arial"/>
        </w:rPr>
        <w:t xml:space="preserve"> Cultural sensitivity also presents a notable challenge[</w:t>
      </w:r>
      <w:r w:rsidRPr="00033C00">
        <w:rPr>
          <w:rStyle w:val="EndnoteReference"/>
          <w:rFonts w:ascii="Arial" w:hAnsi="Arial" w:cs="Arial"/>
          <w:vertAlign w:val="baseline"/>
        </w:rPr>
        <w:endnoteReference w:id="70"/>
      </w:r>
      <w:r w:rsidRPr="00033C00">
        <w:rPr>
          <w:rFonts w:ascii="Arial" w:hAnsi="Arial" w:cs="Arial"/>
        </w:rPr>
        <w:t>]. African cultures often emphasiz</w:t>
      </w:r>
      <w:bookmarkStart w:id="27" w:name="_GoBack"/>
      <w:bookmarkEnd w:id="27"/>
      <w:r w:rsidRPr="00033C00">
        <w:rPr>
          <w:rFonts w:ascii="Arial" w:hAnsi="Arial" w:cs="Arial"/>
        </w:rPr>
        <w:t xml:space="preserve">e oral traditions, proverbs, and indirect </w:t>
      </w:r>
      <w:r w:rsidRPr="00033C00">
        <w:rPr>
          <w:rFonts w:ascii="Arial" w:hAnsi="Arial" w:cs="Arial"/>
        </w:rPr>
        <w:lastRenderedPageBreak/>
        <w:t>communication, which are difficult for current chatbots to interpret effectively[</w:t>
      </w:r>
      <w:r w:rsidRPr="00033C00">
        <w:rPr>
          <w:rStyle w:val="EndnoteReference"/>
          <w:rFonts w:ascii="Arial" w:hAnsi="Arial" w:cs="Arial"/>
          <w:vertAlign w:val="baseline"/>
        </w:rPr>
        <w:endnoteReference w:id="71"/>
      </w:r>
      <w:r w:rsidRPr="00033C00">
        <w:rPr>
          <w:rFonts w:ascii="Arial" w:hAnsi="Arial" w:cs="Arial"/>
        </w:rPr>
        <w:t>]. This limitation can result in reduced user engagement, particularly when chatbot content relies on Western-centric examples that may alienate local users[</w:t>
      </w:r>
      <w:r w:rsidRPr="00033C00">
        <w:rPr>
          <w:rStyle w:val="EndnoteReference"/>
          <w:rFonts w:ascii="Arial" w:hAnsi="Arial" w:cs="Arial"/>
          <w:vertAlign w:val="baseline"/>
        </w:rPr>
        <w:endnoteReference w:id="72"/>
      </w:r>
      <w:r w:rsidRPr="00033C00">
        <w:rPr>
          <w:rFonts w:ascii="Arial" w:hAnsi="Arial" w:cs="Arial"/>
        </w:rPr>
        <w:t>]. Additionally, technological barriers significantly restrict access to conversational agents[</w:t>
      </w:r>
      <w:r w:rsidRPr="00033C00">
        <w:rPr>
          <w:rStyle w:val="EndnoteReference"/>
          <w:rFonts w:ascii="Arial" w:hAnsi="Arial" w:cs="Arial"/>
          <w:vertAlign w:val="baseline"/>
        </w:rPr>
        <w:endnoteReference w:id="73"/>
      </w:r>
      <w:r w:rsidRPr="00033C00">
        <w:rPr>
          <w:rFonts w:ascii="Arial" w:hAnsi="Arial" w:cs="Arial"/>
        </w:rPr>
        <w:t>]. Low internet penetration in rural areas limits the usability of online platforms[</w:t>
      </w:r>
      <w:r w:rsidRPr="00033C00">
        <w:rPr>
          <w:rStyle w:val="EndnoteReference"/>
          <w:rFonts w:ascii="Arial" w:hAnsi="Arial" w:cs="Arial"/>
          <w:vertAlign w:val="baseline"/>
        </w:rPr>
        <w:endnoteReference w:id="74"/>
      </w:r>
      <w:r w:rsidRPr="00033C00">
        <w:rPr>
          <w:rFonts w:ascii="Arial" w:hAnsi="Arial" w:cs="Arial"/>
        </w:rPr>
        <w:t>], and the widespread reliance on feature phones, which are incompatible with advanced chatbot technologies[</w:t>
      </w:r>
      <w:r w:rsidRPr="00033C00">
        <w:rPr>
          <w:rStyle w:val="EndnoteReference"/>
          <w:rFonts w:ascii="Arial" w:hAnsi="Arial" w:cs="Arial"/>
          <w:vertAlign w:val="baseline"/>
        </w:rPr>
        <w:endnoteReference w:id="75"/>
      </w:r>
      <w:r w:rsidRPr="00033C00">
        <w:rPr>
          <w:rFonts w:ascii="Arial" w:hAnsi="Arial" w:cs="Arial"/>
        </w:rPr>
        <w:t>], further constrains their deployment.</w:t>
      </w:r>
    </w:p>
    <w:p w14:paraId="5A148738" w14:textId="77777777" w:rsidR="009B64BB" w:rsidRPr="00033C00" w:rsidRDefault="009B64BB" w:rsidP="009B64BB">
      <w:pPr>
        <w:rPr>
          <w:rFonts w:ascii="Arial" w:hAnsi="Arial" w:cs="Arial"/>
        </w:rPr>
      </w:pPr>
    </w:p>
    <w:p w14:paraId="6094491B" w14:textId="77777777" w:rsidR="009B64BB" w:rsidRPr="00033C00" w:rsidRDefault="009B64BB" w:rsidP="009B64BB">
      <w:pPr>
        <w:rPr>
          <w:rFonts w:ascii="Arial" w:hAnsi="Arial" w:cs="Arial"/>
        </w:rPr>
      </w:pPr>
    </w:p>
    <w:p w14:paraId="33C581E0" w14:textId="0ADF6497" w:rsidR="009B64BB" w:rsidRPr="00033C00" w:rsidRDefault="0003616E" w:rsidP="009B64BB">
      <w:pPr>
        <w:pStyle w:val="NormalWeb"/>
        <w:tabs>
          <w:tab w:val="left" w:pos="3420"/>
        </w:tabs>
        <w:jc w:val="both"/>
        <w:rPr>
          <w:rStyle w:val="Strong"/>
          <w:rFonts w:ascii="Arial" w:hAnsi="Arial" w:cs="Arial"/>
          <w:color w:val="000000" w:themeColor="text1"/>
          <w:sz w:val="20"/>
          <w:szCs w:val="20"/>
        </w:rPr>
      </w:pPr>
      <w:r w:rsidRPr="00033C00">
        <w:rPr>
          <w:rFonts w:ascii="Arial" w:hAnsi="Arial" w:cs="Arial"/>
          <w:noProof/>
          <w:sz w:val="20"/>
          <w:szCs w:val="20"/>
        </w:rPr>
        <mc:AlternateContent>
          <mc:Choice Requires="wps">
            <w:drawing>
              <wp:anchor distT="0" distB="0" distL="114300" distR="114300" simplePos="0" relativeHeight="251662336" behindDoc="0" locked="0" layoutInCell="1" allowOverlap="1" wp14:anchorId="5CC8DAB4" wp14:editId="20E4F6DE">
                <wp:simplePos x="0" y="0"/>
                <wp:positionH relativeFrom="column">
                  <wp:posOffset>624840</wp:posOffset>
                </wp:positionH>
                <wp:positionV relativeFrom="paragraph">
                  <wp:posOffset>3276600</wp:posOffset>
                </wp:positionV>
                <wp:extent cx="5074920" cy="302260"/>
                <wp:effectExtent l="0" t="0" r="0" b="0"/>
                <wp:wrapNone/>
                <wp:docPr id="2003097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920" cy="302260"/>
                        </a:xfrm>
                        <a:prstGeom prst="rect">
                          <a:avLst/>
                        </a:prstGeom>
                        <a:solidFill>
                          <a:prstClr val="white"/>
                        </a:solidFill>
                        <a:ln>
                          <a:noFill/>
                        </a:ln>
                      </wps:spPr>
                      <wps:txbx>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8"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8"/>
                            <w:r w:rsidRPr="000560BF">
                              <w:rPr>
                                <w:rFonts w:ascii="Times New Roman" w:hAnsi="Times New Roman" w:cs="Times New Roman"/>
                                <w:i w:val="0"/>
                                <w:color w:val="000000" w:themeColor="text1"/>
                                <w:sz w:val="24"/>
                              </w:rPr>
                              <w:t>: Challenges in Deploying Chatbots in Nigeria and Africa[</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8DAB4" id="Text Box 9" o:spid="_x0000_s1029" type="#_x0000_t202" style="position:absolute;left:0;text-align:left;margin-left:49.2pt;margin-top:258pt;width:399.6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" stroked="f">
                <v:textbox style="mso-fit-shape-to-text:t" inset="0,0,0,0">
                  <w:txbxContent>
                    <w:p w14:paraId="7B56938F" w14:textId="77777777" w:rsidR="009B64BB" w:rsidRPr="000560BF" w:rsidRDefault="009B64BB" w:rsidP="009B64BB">
                      <w:pPr>
                        <w:pStyle w:val="Caption"/>
                        <w:rPr>
                          <w:rFonts w:ascii="Times New Roman" w:eastAsia="Times New Roman" w:hAnsi="Times New Roman" w:cs="Times New Roman"/>
                          <w:bCs/>
                          <w:i w:val="0"/>
                          <w:noProof/>
                          <w:color w:val="000000" w:themeColor="text1"/>
                          <w:sz w:val="36"/>
                          <w:szCs w:val="24"/>
                        </w:rPr>
                      </w:pPr>
                      <w:bookmarkStart w:id="28" w:name="_Ref184244895"/>
                      <w:r w:rsidRPr="000560BF">
                        <w:rPr>
                          <w:rFonts w:ascii="Times New Roman" w:hAnsi="Times New Roman" w:cs="Times New Roman"/>
                          <w:i w:val="0"/>
                          <w:color w:val="000000" w:themeColor="text1"/>
                          <w:sz w:val="24"/>
                        </w:rPr>
                        <w:t xml:space="preserve">Figure </w:t>
                      </w:r>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SEQ Figure \* ARABIC </w:instrText>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0560BF">
                        <w:rPr>
                          <w:rFonts w:ascii="Times New Roman" w:hAnsi="Times New Roman" w:cs="Times New Roman"/>
                          <w:i w:val="0"/>
                          <w:color w:val="000000" w:themeColor="text1"/>
                          <w:sz w:val="24"/>
                        </w:rPr>
                        <w:fldChar w:fldCharType="end"/>
                      </w:r>
                      <w:bookmarkEnd w:id="28"/>
                      <w:r w:rsidRPr="000560BF">
                        <w:rPr>
                          <w:rFonts w:ascii="Times New Roman" w:hAnsi="Times New Roman" w:cs="Times New Roman"/>
                          <w:i w:val="0"/>
                          <w:color w:val="000000" w:themeColor="text1"/>
                          <w:sz w:val="24"/>
                        </w:rPr>
                        <w:t xml:space="preserve">: Challenges in Deploying Chatbots in Nigeria and </w:t>
                      </w:r>
                      <w:proofErr w:type="gramStart"/>
                      <w:r w:rsidRPr="000560BF">
                        <w:rPr>
                          <w:rFonts w:ascii="Times New Roman" w:hAnsi="Times New Roman" w:cs="Times New Roman"/>
                          <w:i w:val="0"/>
                          <w:color w:val="000000" w:themeColor="text1"/>
                          <w:sz w:val="24"/>
                        </w:rPr>
                        <w:t>Africa[</w:t>
                      </w:r>
                      <w:proofErr w:type="gramEnd"/>
                      <w:r w:rsidRPr="000560BF">
                        <w:rPr>
                          <w:rFonts w:ascii="Times New Roman" w:hAnsi="Times New Roman" w:cs="Times New Roman"/>
                          <w:i w:val="0"/>
                          <w:color w:val="000000" w:themeColor="text1"/>
                          <w:sz w:val="24"/>
                        </w:rPr>
                        <w:fldChar w:fldCharType="begin"/>
                      </w:r>
                      <w:r w:rsidRPr="000560BF">
                        <w:rPr>
                          <w:rFonts w:ascii="Times New Roman" w:hAnsi="Times New Roman" w:cs="Times New Roman"/>
                          <w:i w:val="0"/>
                          <w:color w:val="000000" w:themeColor="text1"/>
                          <w:sz w:val="24"/>
                        </w:rPr>
                        <w:instrText xml:space="preserve"> NOTEREF _Ref186106584 \h </w:instrText>
                      </w:r>
                      <w:r>
                        <w:rPr>
                          <w:rFonts w:ascii="Times New Roman" w:hAnsi="Times New Roman" w:cs="Times New Roman"/>
                          <w:i w:val="0"/>
                          <w:color w:val="000000" w:themeColor="text1"/>
                          <w:sz w:val="24"/>
                        </w:rPr>
                        <w:instrText xml:space="preserve"> \* MERGEFORMAT </w:instrText>
                      </w:r>
                      <w:r w:rsidRPr="000560BF">
                        <w:rPr>
                          <w:rFonts w:ascii="Times New Roman" w:hAnsi="Times New Roman" w:cs="Times New Roman"/>
                          <w:i w:val="0"/>
                          <w:color w:val="000000" w:themeColor="text1"/>
                          <w:sz w:val="24"/>
                        </w:rPr>
                      </w:r>
                      <w:r w:rsidRPr="000560BF">
                        <w:rPr>
                          <w:rFonts w:ascii="Times New Roman" w:hAnsi="Times New Roman" w:cs="Times New Roman"/>
                          <w:i w:val="0"/>
                          <w:color w:val="000000" w:themeColor="text1"/>
                          <w:sz w:val="24"/>
                        </w:rPr>
                        <w:fldChar w:fldCharType="separate"/>
                      </w:r>
                      <w:r>
                        <w:rPr>
                          <w:rFonts w:ascii="Times New Roman" w:hAnsi="Times New Roman" w:cs="Times New Roman"/>
                          <w:i w:val="0"/>
                          <w:color w:val="000000" w:themeColor="text1"/>
                          <w:sz w:val="24"/>
                        </w:rPr>
                        <w:t>63</w:t>
                      </w:r>
                      <w:r w:rsidRPr="000560BF">
                        <w:rPr>
                          <w:rFonts w:ascii="Times New Roman" w:hAnsi="Times New Roman" w:cs="Times New Roman"/>
                          <w:i w:val="0"/>
                          <w:color w:val="000000" w:themeColor="text1"/>
                          <w:sz w:val="24"/>
                        </w:rPr>
                        <w:fldChar w:fldCharType="end"/>
                      </w:r>
                      <w:r w:rsidRPr="000560BF">
                        <w:rPr>
                          <w:rFonts w:ascii="Times New Roman" w:hAnsi="Times New Roman" w:cs="Times New Roman"/>
                          <w:i w:val="0"/>
                          <w:color w:val="000000" w:themeColor="text1"/>
                          <w:sz w:val="24"/>
                        </w:rPr>
                        <w:t>]</w:t>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6432" behindDoc="0" locked="0" layoutInCell="1" allowOverlap="1" wp14:anchorId="5989ED4C" wp14:editId="469E11F0">
                <wp:simplePos x="0" y="0"/>
                <wp:positionH relativeFrom="column">
                  <wp:posOffset>2682240</wp:posOffset>
                </wp:positionH>
                <wp:positionV relativeFrom="paragraph">
                  <wp:posOffset>434340</wp:posOffset>
                </wp:positionV>
                <wp:extent cx="1288415" cy="708660"/>
                <wp:effectExtent l="0" t="0" r="0" b="0"/>
                <wp:wrapNone/>
                <wp:docPr id="16649945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7">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9ED4C" id="Text Box 7" o:spid="_x0000_s1030" type="#_x0000_t202" style="position:absolute;left:0;text-align:left;margin-left:211.2pt;margin-top:34.2pt;width:101.45pt;height:5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" filled="f" stroked="f" strokeweight=".5pt">
                <v:textbox>
                  <w:txbxContent>
                    <w:p w14:paraId="02ED1989" w14:textId="77777777" w:rsidR="009B64BB" w:rsidRDefault="009B64BB" w:rsidP="009B64BB">
                      <w:r>
                        <w:rPr>
                          <w:noProof/>
                        </w:rPr>
                        <w:drawing>
                          <wp:inline distT="0" distB="0" distL="0" distR="0" wp14:anchorId="62AAFC84" wp14:editId="54A64EC2">
                            <wp:extent cx="713105" cy="610870"/>
                            <wp:effectExtent l="0" t="0" r="0" b="0"/>
                            <wp:docPr id="1502095679" name="Picture 15020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6-12-2024_112921_images.search.yahoo.png"/>
                                    <pic:cNvPicPr/>
                                  </pic:nvPicPr>
                                  <pic:blipFill>
                                    <a:blip r:embed="rId28">
                                      <a:extLst>
                                        <a:ext uri="{28A0092B-C50C-407E-A947-70E740481C1C}">
                                          <a14:useLocalDpi xmlns:a14="http://schemas.microsoft.com/office/drawing/2010/main" val="0"/>
                                        </a:ext>
                                      </a:extLst>
                                    </a:blip>
                                    <a:stretch>
                                      <a:fillRect/>
                                    </a:stretch>
                                  </pic:blipFill>
                                  <pic:spPr>
                                    <a:xfrm>
                                      <a:off x="0" y="0"/>
                                      <a:ext cx="713105" cy="610870"/>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5408" behindDoc="0" locked="0" layoutInCell="1" allowOverlap="1" wp14:anchorId="4C5084E4" wp14:editId="4EBE7800">
                <wp:simplePos x="0" y="0"/>
                <wp:positionH relativeFrom="column">
                  <wp:posOffset>1828800</wp:posOffset>
                </wp:positionH>
                <wp:positionV relativeFrom="paragraph">
                  <wp:posOffset>441960</wp:posOffset>
                </wp:positionV>
                <wp:extent cx="1288415" cy="708660"/>
                <wp:effectExtent l="0" t="0" r="0" b="0"/>
                <wp:wrapNone/>
                <wp:docPr id="19671197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29">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5084E4" id="Text Box 5" o:spid="_x0000_s1031" type="#_x0000_t202" style="position:absolute;left:0;text-align:left;margin-left:2in;margin-top:34.8pt;width:101.45pt;height: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" filled="f" stroked="f" strokeweight=".5pt">
                <v:textbox>
                  <w:txbxContent>
                    <w:p w14:paraId="0B285D85" w14:textId="77777777" w:rsidR="009B64BB" w:rsidRDefault="009B64BB" w:rsidP="009B64BB">
                      <w:r>
                        <w:rPr>
                          <w:noProof/>
                        </w:rPr>
                        <w:drawing>
                          <wp:inline distT="0" distB="0" distL="0" distR="0" wp14:anchorId="3EAD91C8" wp14:editId="23BE88CA">
                            <wp:extent cx="731520" cy="693322"/>
                            <wp:effectExtent l="0" t="0" r="0" b="0"/>
                            <wp:docPr id="2112054743" name="Picture 21120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6-12-2024_113341_images.search.yahoo.png"/>
                                    <pic:cNvPicPr/>
                                  </pic:nvPicPr>
                                  <pic:blipFill>
                                    <a:blip r:embed="rId30">
                                      <a:extLst>
                                        <a:ext uri="{28A0092B-C50C-407E-A947-70E740481C1C}">
                                          <a14:useLocalDpi xmlns:a14="http://schemas.microsoft.com/office/drawing/2010/main" val="0"/>
                                        </a:ext>
                                      </a:extLst>
                                    </a:blip>
                                    <a:stretch>
                                      <a:fillRect/>
                                    </a:stretch>
                                  </pic:blipFill>
                                  <pic:spPr>
                                    <a:xfrm>
                                      <a:off x="0" y="0"/>
                                      <a:ext cx="736273" cy="697826"/>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4384" behindDoc="0" locked="0" layoutInCell="1" allowOverlap="1" wp14:anchorId="2DEDA9D3" wp14:editId="38950A88">
                <wp:simplePos x="0" y="0"/>
                <wp:positionH relativeFrom="column">
                  <wp:posOffset>2080260</wp:posOffset>
                </wp:positionH>
                <wp:positionV relativeFrom="paragraph">
                  <wp:posOffset>1866900</wp:posOffset>
                </wp:positionV>
                <wp:extent cx="1288415" cy="708660"/>
                <wp:effectExtent l="0" t="0" r="0" b="0"/>
                <wp:wrapNone/>
                <wp:docPr id="16162198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708660"/>
                        </a:xfrm>
                        <a:prstGeom prst="rect">
                          <a:avLst/>
                        </a:prstGeom>
                        <a:noFill/>
                        <a:ln w="6350">
                          <a:noFill/>
                        </a:ln>
                      </wps:spPr>
                      <wps:txb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31">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DA9D3" id="Text Box 3" o:spid="_x0000_s1032" type="#_x0000_t202" style="position:absolute;left:0;text-align:left;margin-left:163.8pt;margin-top:147pt;width:101.4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" filled="f" stroked="f" strokeweight=".5pt">
                <v:textbox>
                  <w:txbxContent>
                    <w:p w14:paraId="5F926CC5" w14:textId="77777777" w:rsidR="009B64BB" w:rsidRDefault="009B64BB" w:rsidP="009B64BB">
                      <w:r>
                        <w:rPr>
                          <w:noProof/>
                        </w:rPr>
                        <w:drawing>
                          <wp:inline distT="0" distB="0" distL="0" distR="0" wp14:anchorId="7F24CA38" wp14:editId="416ED023">
                            <wp:extent cx="1095846" cy="411480"/>
                            <wp:effectExtent l="0" t="0" r="0" b="7620"/>
                            <wp:docPr id="1116413573" name="Picture 11164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6-12-2024_113829_images.search.yahoo.png"/>
                                    <pic:cNvPicPr/>
                                  </pic:nvPicPr>
                                  <pic:blipFill>
                                    <a:blip r:embed="rId32">
                                      <a:extLst>
                                        <a:ext uri="{28A0092B-C50C-407E-A947-70E740481C1C}">
                                          <a14:useLocalDpi xmlns:a14="http://schemas.microsoft.com/office/drawing/2010/main" val="0"/>
                                        </a:ext>
                                      </a:extLst>
                                    </a:blip>
                                    <a:stretch>
                                      <a:fillRect/>
                                    </a:stretch>
                                  </pic:blipFill>
                                  <pic:spPr>
                                    <a:xfrm>
                                      <a:off x="0" y="0"/>
                                      <a:ext cx="1109607" cy="416647"/>
                                    </a:xfrm>
                                    <a:prstGeom prst="rect">
                                      <a:avLst/>
                                    </a:prstGeom>
                                  </pic:spPr>
                                </pic:pic>
                              </a:graphicData>
                            </a:graphic>
                          </wp:inline>
                        </w:drawing>
                      </w:r>
                    </w:p>
                  </w:txbxContent>
                </v:textbox>
              </v:shape>
            </w:pict>
          </mc:Fallback>
        </mc:AlternateContent>
      </w:r>
      <w:r w:rsidRPr="00033C00">
        <w:rPr>
          <w:rFonts w:ascii="Arial" w:hAnsi="Arial" w:cs="Arial"/>
          <w:noProof/>
          <w:sz w:val="20"/>
          <w:szCs w:val="20"/>
        </w:rPr>
        <mc:AlternateContent>
          <mc:Choice Requires="wps">
            <w:drawing>
              <wp:anchor distT="0" distB="0" distL="114300" distR="114300" simplePos="0" relativeHeight="251663360" behindDoc="0" locked="0" layoutInCell="1" allowOverlap="1" wp14:anchorId="1EB1D79B" wp14:editId="17F40CFB">
                <wp:simplePos x="0" y="0"/>
                <wp:positionH relativeFrom="column">
                  <wp:posOffset>2796540</wp:posOffset>
                </wp:positionH>
                <wp:positionV relativeFrom="paragraph">
                  <wp:posOffset>421640</wp:posOffset>
                </wp:positionV>
                <wp:extent cx="251460" cy="237490"/>
                <wp:effectExtent l="0" t="0" r="0" b="0"/>
                <wp:wrapNone/>
                <wp:docPr id="1082995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37490"/>
                        </a:xfrm>
                        <a:prstGeom prst="rect">
                          <a:avLst/>
                        </a:prstGeom>
                        <a:noFill/>
                        <a:ln w="6350">
                          <a:noFill/>
                        </a:ln>
                      </wps:spPr>
                      <wps:txbx>
                        <w:txbxContent>
                          <w:p w14:paraId="5333AA0D" w14:textId="77777777" w:rsidR="009B64BB" w:rsidRDefault="009B64BB" w:rsidP="009B64B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1D79B" id="Text Box 1" o:spid="_x0000_s1033" type="#_x0000_t202" style="position:absolute;left:0;text-align:left;margin-left:220.2pt;margin-top:33.2pt;width:19.8pt;height:18.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" filled="f" stroked="f" strokeweight=".5pt">
                <v:textbox style="mso-fit-shape-to-text:t">
                  <w:txbxContent>
                    <w:p w14:paraId="5333AA0D" w14:textId="77777777" w:rsidR="009B64BB" w:rsidRDefault="009B64BB" w:rsidP="009B64BB"/>
                  </w:txbxContent>
                </v:textbox>
              </v:shape>
            </w:pict>
          </mc:Fallback>
        </mc:AlternateContent>
      </w:r>
      <w:r w:rsidR="009B64BB" w:rsidRPr="00033C00">
        <w:rPr>
          <w:rFonts w:ascii="Arial" w:hAnsi="Arial" w:cs="Arial"/>
          <w:b/>
          <w:bCs/>
          <w:noProof/>
          <w:color w:val="000000" w:themeColor="text1"/>
          <w:sz w:val="20"/>
          <w:szCs w:val="20"/>
        </w:rPr>
        <w:drawing>
          <wp:inline distT="0" distB="0" distL="0" distR="0" wp14:anchorId="4B94C557" wp14:editId="25637904">
            <wp:extent cx="5486400" cy="3200400"/>
            <wp:effectExtent l="0" t="19050" r="0" b="1524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B144BE3" w14:textId="3DFE4C14"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The diagram in </w:t>
      </w: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illustrates the key barriers to successfully implementing conversational agents in low-resource settings. Linguistic barriers are a significant challenge, as most indigenous languages in Nigeria, such as Yoruba, Hausa, and Igbo, lack sufficient digital resources and annotated datasets[</w:t>
      </w:r>
      <w:r w:rsidRPr="00033C00">
        <w:rPr>
          <w:rStyle w:val="EndnoteReference"/>
          <w:rFonts w:ascii="Arial" w:hAnsi="Arial" w:cs="Arial"/>
          <w:sz w:val="20"/>
          <w:szCs w:val="20"/>
          <w:vertAlign w:val="baseline"/>
        </w:rPr>
        <w:endnoteReference w:id="76"/>
      </w:r>
      <w:r w:rsidRPr="00033C00">
        <w:rPr>
          <w:rFonts w:ascii="Arial" w:hAnsi="Arial" w:cs="Arial"/>
          <w:sz w:val="20"/>
          <w:szCs w:val="20"/>
        </w:rPr>
        <w:t>]. This limitation makes it difficult for chatbots to effectively comprehend and respond in these languages, reducing their accessibility and relevance [</w:t>
      </w:r>
      <w:r w:rsidRPr="00033C00">
        <w:rPr>
          <w:rStyle w:val="EndnoteReference"/>
          <w:rFonts w:ascii="Arial" w:hAnsi="Arial" w:cs="Arial"/>
          <w:sz w:val="20"/>
          <w:szCs w:val="20"/>
          <w:vertAlign w:val="baseline"/>
        </w:rPr>
        <w:endnoteReference w:id="77"/>
      </w:r>
      <w:r w:rsidRPr="00033C00">
        <w:rPr>
          <w:rFonts w:ascii="Arial" w:hAnsi="Arial" w:cs="Arial"/>
          <w:sz w:val="20"/>
          <w:szCs w:val="20"/>
        </w:rPr>
        <w:t>]. Dialectal variations further complicate the problem[</w:t>
      </w:r>
      <w:r w:rsidRPr="00033C00">
        <w:rPr>
          <w:rFonts w:ascii="Arial" w:hAnsi="Arial" w:cs="Arial"/>
          <w:sz w:val="20"/>
          <w:szCs w:val="20"/>
        </w:rPr>
        <w:fldChar w:fldCharType="begin"/>
      </w:r>
      <w:r w:rsidRPr="00033C00">
        <w:rPr>
          <w:rFonts w:ascii="Arial" w:hAnsi="Arial" w:cs="Arial"/>
          <w:sz w:val="20"/>
          <w:szCs w:val="20"/>
        </w:rPr>
        <w:instrText xml:space="preserve"> NOTEREF _Ref185596892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65</w:t>
      </w:r>
      <w:r w:rsidRPr="00033C00">
        <w:rPr>
          <w:rFonts w:ascii="Arial" w:hAnsi="Arial" w:cs="Arial"/>
          <w:sz w:val="20"/>
          <w:szCs w:val="20"/>
        </w:rPr>
        <w:fldChar w:fldCharType="end"/>
      </w:r>
      <w:r w:rsidRPr="00033C00">
        <w:rPr>
          <w:rFonts w:ascii="Arial" w:hAnsi="Arial" w:cs="Arial"/>
          <w:sz w:val="20"/>
          <w:szCs w:val="20"/>
        </w:rPr>
        <w:t>], as a single language may have multiple regional variations that require specialized understanding[</w:t>
      </w:r>
      <w:r w:rsidRPr="00033C00">
        <w:rPr>
          <w:rFonts w:ascii="Arial" w:hAnsi="Arial" w:cs="Arial"/>
          <w:sz w:val="20"/>
          <w:szCs w:val="20"/>
        </w:rPr>
        <w:fldChar w:fldCharType="begin"/>
      </w:r>
      <w:r w:rsidRPr="00033C00">
        <w:rPr>
          <w:rFonts w:ascii="Arial" w:hAnsi="Arial" w:cs="Arial"/>
          <w:sz w:val="20"/>
          <w:szCs w:val="20"/>
        </w:rPr>
        <w:instrText xml:space="preserve"> NOTEREF _Ref185596912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sz w:val="20"/>
          <w:szCs w:val="20"/>
        </w:rPr>
        <w:t>66</w:t>
      </w:r>
      <w:r w:rsidRPr="00033C00">
        <w:rPr>
          <w:rFonts w:ascii="Arial" w:hAnsi="Arial" w:cs="Arial"/>
          <w:sz w:val="20"/>
          <w:szCs w:val="20"/>
        </w:rPr>
        <w:fldChar w:fldCharType="end"/>
      </w:r>
      <w:r w:rsidRPr="00033C00">
        <w:rPr>
          <w:rFonts w:ascii="Arial" w:hAnsi="Arial" w:cs="Arial"/>
          <w:sz w:val="20"/>
          <w:szCs w:val="20"/>
        </w:rPr>
        <w:t>].</w:t>
      </w:r>
    </w:p>
    <w:p w14:paraId="14B0115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Cultural sensitivity is another critical issue. Chatbots often struggle to interpret the nuanced communication styles, idioms, and traditional values common in African cultures[</w:t>
      </w:r>
      <w:r w:rsidRPr="00033C00">
        <w:rPr>
          <w:rStyle w:val="EndnoteReference"/>
          <w:rFonts w:ascii="Arial" w:hAnsi="Arial" w:cs="Arial"/>
          <w:sz w:val="20"/>
          <w:szCs w:val="20"/>
          <w:vertAlign w:val="baseline"/>
        </w:rPr>
        <w:endnoteReference w:id="78"/>
      </w:r>
      <w:r w:rsidRPr="00033C00">
        <w:rPr>
          <w:rFonts w:ascii="Arial" w:hAnsi="Arial" w:cs="Arial"/>
          <w:sz w:val="20"/>
          <w:szCs w:val="20"/>
        </w:rPr>
        <w:t>]. Misaligned or culturally irrelevant content can lead to distrust or disengagement from users[</w:t>
      </w:r>
      <w:r w:rsidRPr="00033C00">
        <w:rPr>
          <w:rStyle w:val="EndnoteReference"/>
          <w:rFonts w:ascii="Arial" w:hAnsi="Arial" w:cs="Arial"/>
          <w:sz w:val="20"/>
          <w:szCs w:val="20"/>
          <w:vertAlign w:val="baseline"/>
        </w:rPr>
        <w:endnoteReference w:id="79"/>
      </w:r>
      <w:r w:rsidRPr="00033C00">
        <w:rPr>
          <w:rFonts w:ascii="Arial" w:hAnsi="Arial" w:cs="Arial"/>
          <w:sz w:val="20"/>
          <w:szCs w:val="20"/>
        </w:rPr>
        <w:t>], particularly when traditional beliefs conflict with the content provided by the chatbot[</w:t>
      </w:r>
      <w:r w:rsidRPr="00033C00">
        <w:rPr>
          <w:rStyle w:val="EndnoteReference"/>
          <w:rFonts w:ascii="Arial" w:hAnsi="Arial" w:cs="Arial"/>
          <w:sz w:val="20"/>
          <w:szCs w:val="20"/>
          <w:vertAlign w:val="baseline"/>
        </w:rPr>
        <w:endnoteReference w:id="80"/>
      </w:r>
      <w:r w:rsidRPr="00033C00">
        <w:rPr>
          <w:rFonts w:ascii="Arial" w:hAnsi="Arial" w:cs="Arial"/>
          <w:sz w:val="20"/>
          <w:szCs w:val="20"/>
        </w:rPr>
        <w:t>].</w:t>
      </w:r>
    </w:p>
    <w:p w14:paraId="41951FB3"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Technological barriers exacerbate these challenges, especially in rural and underserved areas[</w:t>
      </w:r>
      <w:r w:rsidRPr="00033C00">
        <w:rPr>
          <w:rStyle w:val="EndnoteReference"/>
          <w:rFonts w:ascii="Arial" w:hAnsi="Arial" w:cs="Arial"/>
          <w:sz w:val="20"/>
          <w:szCs w:val="20"/>
          <w:vertAlign w:val="baseline"/>
        </w:rPr>
        <w:endnoteReference w:id="81"/>
      </w:r>
      <w:r w:rsidRPr="00033C00">
        <w:rPr>
          <w:rFonts w:ascii="Arial" w:hAnsi="Arial" w:cs="Arial"/>
          <w:sz w:val="20"/>
          <w:szCs w:val="20"/>
        </w:rPr>
        <w:t xml:space="preserve">]. Limited internet access, low smartphone penetration, and inadequate technology infrastructure make it difficult for </w:t>
      </w:r>
      <w:r w:rsidRPr="00033C00">
        <w:rPr>
          <w:rFonts w:ascii="Arial" w:hAnsi="Arial" w:cs="Arial"/>
          <w:sz w:val="20"/>
          <w:szCs w:val="20"/>
        </w:rPr>
        <w:lastRenderedPageBreak/>
        <w:t>many people to access chatbot systems[</w:t>
      </w:r>
      <w:r w:rsidRPr="00033C00">
        <w:rPr>
          <w:rStyle w:val="EndnoteReference"/>
          <w:rFonts w:ascii="Arial" w:hAnsi="Arial" w:cs="Arial"/>
          <w:sz w:val="20"/>
          <w:szCs w:val="20"/>
          <w:vertAlign w:val="baseline"/>
        </w:rPr>
        <w:endnoteReference w:id="82"/>
      </w:r>
      <w:r w:rsidRPr="00033C00">
        <w:rPr>
          <w:rFonts w:ascii="Arial" w:hAnsi="Arial" w:cs="Arial"/>
          <w:sz w:val="20"/>
          <w:szCs w:val="20"/>
        </w:rPr>
        <w:t>]. Even where technology is available, the high costs of data or low digital literacy levels can hinder effective interaction with AI-driven solutions[</w:t>
      </w:r>
      <w:r w:rsidRPr="00033C00">
        <w:rPr>
          <w:rStyle w:val="EndnoteReference"/>
          <w:rFonts w:ascii="Arial" w:hAnsi="Arial" w:cs="Arial"/>
          <w:sz w:val="20"/>
          <w:szCs w:val="20"/>
          <w:vertAlign w:val="baseline"/>
        </w:rPr>
        <w:endnoteReference w:id="83"/>
      </w:r>
      <w:r w:rsidRPr="00033C00">
        <w:rPr>
          <w:rFonts w:ascii="Arial" w:hAnsi="Arial" w:cs="Arial"/>
          <w:sz w:val="20"/>
          <w:szCs w:val="20"/>
        </w:rPr>
        <w:t>].</w:t>
      </w:r>
    </w:p>
    <w:p w14:paraId="10EDF69D"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fldChar w:fldCharType="begin"/>
      </w:r>
      <w:r w:rsidRPr="00033C00">
        <w:rPr>
          <w:rFonts w:ascii="Arial" w:hAnsi="Arial" w:cs="Arial"/>
          <w:sz w:val="20"/>
          <w:szCs w:val="20"/>
        </w:rPr>
        <w:instrText xml:space="preserve"> REF _Ref184244895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5</w:t>
      </w:r>
      <w:r w:rsidRPr="00033C00">
        <w:rPr>
          <w:rFonts w:ascii="Arial" w:hAnsi="Arial" w:cs="Arial"/>
          <w:sz w:val="20"/>
          <w:szCs w:val="20"/>
        </w:rPr>
        <w:fldChar w:fldCharType="end"/>
      </w:r>
      <w:r w:rsidRPr="00033C00">
        <w:rPr>
          <w:rFonts w:ascii="Arial" w:hAnsi="Arial" w:cs="Arial"/>
          <w:sz w:val="20"/>
          <w:szCs w:val="20"/>
        </w:rPr>
        <w:t xml:space="preserve"> highlights how these three challenges linguistic barriers, cultural sensitivity, and technological barriers interact and create compounded difficulties in deploying chatbots. Addressing these issues is essential to ensuring that chatbots can effectively promote vaccine literacy and other public health initiatives in Nigeria and across Africa. </w:t>
      </w:r>
    </w:p>
    <w:p w14:paraId="141A9DAF" w14:textId="77777777" w:rsidR="009B64BB" w:rsidRPr="00033C00" w:rsidRDefault="009B64BB" w:rsidP="009B64BB">
      <w:pPr>
        <w:jc w:val="both"/>
        <w:rPr>
          <w:rFonts w:ascii="Arial" w:hAnsi="Arial" w:cs="Arial"/>
          <w:b/>
          <w:color w:val="000000" w:themeColor="text1"/>
        </w:rPr>
      </w:pPr>
    </w:p>
    <w:p w14:paraId="5C200256" w14:textId="77777777" w:rsidR="009B64BB" w:rsidRPr="00033C00" w:rsidRDefault="009B64BB" w:rsidP="009B64BB">
      <w:pPr>
        <w:pStyle w:val="Heading4"/>
        <w:spacing w:before="0" w:line="360" w:lineRule="auto"/>
        <w:jc w:val="both"/>
        <w:rPr>
          <w:rStyle w:val="Strong"/>
          <w:rFonts w:ascii="Arial" w:hAnsi="Arial" w:cs="Arial"/>
          <w:bCs w:val="0"/>
          <w:i w:val="0"/>
          <w:color w:val="000000" w:themeColor="text1"/>
          <w:sz w:val="20"/>
          <w:szCs w:val="20"/>
        </w:rPr>
      </w:pPr>
      <w:r w:rsidRPr="00033C00">
        <w:rPr>
          <w:rStyle w:val="Strong"/>
          <w:rFonts w:ascii="Arial" w:hAnsi="Arial" w:cs="Arial"/>
          <w:i w:val="0"/>
          <w:color w:val="000000" w:themeColor="text1"/>
          <w:sz w:val="20"/>
          <w:szCs w:val="20"/>
        </w:rPr>
        <w:t>3.3</w:t>
      </w:r>
      <w:r w:rsidRPr="00033C00">
        <w:rPr>
          <w:rStyle w:val="Strong"/>
          <w:rFonts w:ascii="Arial" w:hAnsi="Arial" w:cs="Arial"/>
          <w:i w:val="0"/>
          <w:color w:val="000000" w:themeColor="text1"/>
          <w:sz w:val="20"/>
          <w:szCs w:val="20"/>
        </w:rPr>
        <w:tab/>
        <w:t>Multimodal AI Solutions for Vaccine Literacy</w:t>
      </w:r>
    </w:p>
    <w:p w14:paraId="53068D2F" w14:textId="77777777" w:rsidR="009B64BB" w:rsidRPr="00033C00" w:rsidRDefault="009B64BB" w:rsidP="009B64BB">
      <w:pPr>
        <w:spacing w:line="360" w:lineRule="auto"/>
        <w:jc w:val="both"/>
        <w:rPr>
          <w:rFonts w:ascii="Arial" w:hAnsi="Arial" w:cs="Arial"/>
        </w:rPr>
      </w:pPr>
      <w:r w:rsidRPr="00033C00">
        <w:rPr>
          <w:rFonts w:ascii="Arial" w:hAnsi="Arial" w:cs="Arial"/>
        </w:rPr>
        <w:t>Multimodal AI solutions, which integrate text, voice, and visuals[</w:t>
      </w:r>
      <w:r w:rsidRPr="00033C00">
        <w:rPr>
          <w:rStyle w:val="EndnoteReference"/>
          <w:rFonts w:ascii="Arial" w:hAnsi="Arial" w:cs="Arial"/>
          <w:vertAlign w:val="baseline"/>
        </w:rPr>
        <w:endnoteReference w:id="84"/>
      </w:r>
      <w:r w:rsidRPr="00033C00">
        <w:rPr>
          <w:rFonts w:ascii="Arial" w:hAnsi="Arial" w:cs="Arial"/>
        </w:rPr>
        <w:t>], provide more accessible[</w:t>
      </w:r>
      <w:r w:rsidRPr="00033C00">
        <w:rPr>
          <w:rStyle w:val="EndnoteReference"/>
          <w:rFonts w:ascii="Arial" w:hAnsi="Arial" w:cs="Arial"/>
          <w:vertAlign w:val="baseline"/>
        </w:rPr>
        <w:endnoteReference w:id="85"/>
      </w:r>
      <w:r w:rsidRPr="00033C00">
        <w:rPr>
          <w:rFonts w:ascii="Arial" w:hAnsi="Arial" w:cs="Arial"/>
        </w:rPr>
        <w:t>] and engaging content, helping to address barriers unique to Nigeria and Africa[</w:t>
      </w:r>
      <w:bookmarkStart w:id="29" w:name="_Ref186108937"/>
      <w:r w:rsidRPr="00033C00">
        <w:rPr>
          <w:rStyle w:val="EndnoteReference"/>
          <w:rFonts w:ascii="Arial" w:hAnsi="Arial" w:cs="Arial"/>
          <w:vertAlign w:val="baseline"/>
        </w:rPr>
        <w:endnoteReference w:id="86"/>
      </w:r>
      <w:bookmarkEnd w:id="29"/>
      <w:r w:rsidRPr="00033C00">
        <w:rPr>
          <w:rFonts w:ascii="Arial" w:hAnsi="Arial" w:cs="Arial"/>
        </w:rPr>
        <w:t>]. Voice integration enables chatbots to deliver information audibly in languages such as Yoruba, Igbo, and Hausa, effectively addressing literacy challenges[</w:t>
      </w:r>
      <w:r w:rsidRPr="00033C00">
        <w:rPr>
          <w:rStyle w:val="EndnoteReference"/>
          <w:rFonts w:ascii="Arial" w:hAnsi="Arial" w:cs="Arial"/>
          <w:vertAlign w:val="baseline"/>
        </w:rPr>
        <w:endnoteReference w:id="87"/>
      </w:r>
      <w:r w:rsidRPr="00033C00">
        <w:rPr>
          <w:rFonts w:ascii="Arial" w:hAnsi="Arial" w:cs="Arial"/>
        </w:rPr>
        <w:t>]. For instance, a chatbot explaining vaccine safety in Igbo can cater to rural users who prefer oral communication[</w:t>
      </w:r>
      <w:r w:rsidRPr="00033C00">
        <w:rPr>
          <w:rStyle w:val="EndnoteReference"/>
          <w:rFonts w:ascii="Arial" w:hAnsi="Arial" w:cs="Arial"/>
          <w:vertAlign w:val="baseline"/>
        </w:rPr>
        <w:endnoteReference w:id="88"/>
      </w:r>
      <w:r w:rsidRPr="00033C00">
        <w:rPr>
          <w:rFonts w:ascii="Arial" w:hAnsi="Arial" w:cs="Arial"/>
        </w:rPr>
        <w:t>]. Additionally, culturally relevant visuals, such as AI-generated images featuring local attire, landmarks, and symbols, can make vaccine campaigns more relatable[</w:t>
      </w:r>
      <w:r w:rsidRPr="00033C00">
        <w:rPr>
          <w:rStyle w:val="EndnoteReference"/>
          <w:rFonts w:ascii="Arial" w:hAnsi="Arial" w:cs="Arial"/>
          <w:vertAlign w:val="baseline"/>
        </w:rPr>
        <w:endnoteReference w:id="89"/>
      </w:r>
      <w:r w:rsidRPr="00033C00">
        <w:rPr>
          <w:rFonts w:ascii="Arial" w:hAnsi="Arial" w:cs="Arial"/>
        </w:rPr>
        <w:t>]. An example would be infographics showing a traditional chief endorsing vaccines, fostering trust in rural communities. Simplified infographics also play a crucial role by making complex medical information easier to understand. For example, diagrams illustrating how vaccines work can enhance comprehension among users with low health literacy.</w:t>
      </w:r>
    </w:p>
    <w:p w14:paraId="3D632C26" w14:textId="77777777" w:rsidR="009B64BB" w:rsidRPr="00033C00" w:rsidRDefault="009B64BB" w:rsidP="009B64BB">
      <w:pPr>
        <w:pStyle w:val="NormalWeb"/>
        <w:jc w:val="both"/>
        <w:rPr>
          <w:rFonts w:ascii="Arial" w:hAnsi="Arial" w:cs="Arial"/>
          <w:b/>
          <w:color w:val="000000" w:themeColor="text1"/>
          <w:sz w:val="20"/>
          <w:szCs w:val="20"/>
        </w:rPr>
      </w:pPr>
      <w:r w:rsidRPr="00033C00">
        <w:rPr>
          <w:rStyle w:val="Strong"/>
          <w:rFonts w:ascii="Arial" w:hAnsi="Arial" w:cs="Arial"/>
          <w:color w:val="000000" w:themeColor="text1"/>
          <w:sz w:val="20"/>
          <w:szCs w:val="20"/>
        </w:rPr>
        <w:t>Table 7: Proposed Multimodal Framework Components</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951"/>
        <w:gridCol w:w="3474"/>
      </w:tblGrid>
      <w:tr w:rsidR="008A2137" w:rsidRPr="00033C00" w14:paraId="2CE8B8FF"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0A1931C"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Component</w:t>
            </w:r>
          </w:p>
        </w:tc>
        <w:tc>
          <w:tcPr>
            <w:tcW w:w="0" w:type="auto"/>
            <w:hideMark/>
          </w:tcPr>
          <w:p w14:paraId="719562D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Function</w:t>
            </w:r>
          </w:p>
        </w:tc>
        <w:tc>
          <w:tcPr>
            <w:tcW w:w="0" w:type="auto"/>
            <w:hideMark/>
          </w:tcPr>
          <w:p w14:paraId="0AFD27B3"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033C00">
              <w:rPr>
                <w:rStyle w:val="Strong"/>
                <w:rFonts w:ascii="Arial" w:hAnsi="Arial" w:cs="Arial"/>
                <w:color w:val="000000" w:themeColor="text1"/>
                <w:sz w:val="20"/>
                <w:szCs w:val="20"/>
              </w:rPr>
              <w:t>Example Application</w:t>
            </w:r>
          </w:p>
        </w:tc>
      </w:tr>
      <w:tr w:rsidR="009B64BB" w:rsidRPr="00033C00" w14:paraId="092F20D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0DE699"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6B54853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FAQ and vaccine myth-busting</w:t>
            </w:r>
          </w:p>
        </w:tc>
        <w:tc>
          <w:tcPr>
            <w:tcW w:w="0" w:type="auto"/>
            <w:hideMark/>
          </w:tcPr>
          <w:p w14:paraId="2487CF79"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Interactive vaccine information chats</w:t>
            </w:r>
          </w:p>
        </w:tc>
      </w:tr>
      <w:tr w:rsidR="009B64BB" w:rsidRPr="00033C00" w14:paraId="2A53FC7C"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00C71D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Integration</w:t>
            </w:r>
          </w:p>
        </w:tc>
        <w:tc>
          <w:tcPr>
            <w:tcW w:w="0" w:type="auto"/>
            <w:hideMark/>
          </w:tcPr>
          <w:p w14:paraId="2877F76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Indigenous language delivery</w:t>
            </w:r>
          </w:p>
        </w:tc>
        <w:tc>
          <w:tcPr>
            <w:tcW w:w="0" w:type="auto"/>
            <w:hideMark/>
          </w:tcPr>
          <w:p w14:paraId="1D5A3FF3"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Igbo-speaking chatbot for rural users</w:t>
            </w:r>
          </w:p>
        </w:tc>
      </w:tr>
      <w:tr w:rsidR="009B64BB" w:rsidRPr="00033C00" w14:paraId="12069F3C"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309E527"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Visuals and Infographics</w:t>
            </w:r>
          </w:p>
        </w:tc>
        <w:tc>
          <w:tcPr>
            <w:tcW w:w="0" w:type="auto"/>
            <w:hideMark/>
          </w:tcPr>
          <w:p w14:paraId="5DA90DA4"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Simplify medical information</w:t>
            </w:r>
          </w:p>
        </w:tc>
        <w:tc>
          <w:tcPr>
            <w:tcW w:w="0" w:type="auto"/>
            <w:hideMark/>
          </w:tcPr>
          <w:p w14:paraId="397D2BD0"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Infographic on vaccine safety</w:t>
            </w:r>
          </w:p>
        </w:tc>
      </w:tr>
    </w:tbl>
    <w:p w14:paraId="23177E04" w14:textId="77777777" w:rsidR="009B64BB" w:rsidRPr="00033C00" w:rsidRDefault="009B64BB" w:rsidP="009B64BB">
      <w:pPr>
        <w:pStyle w:val="NormalWeb"/>
        <w:jc w:val="both"/>
        <w:rPr>
          <w:rStyle w:val="Strong"/>
          <w:rFonts w:ascii="Arial" w:hAnsi="Arial" w:cs="Arial"/>
          <w:color w:val="000000" w:themeColor="text1"/>
          <w:sz w:val="20"/>
          <w:szCs w:val="20"/>
        </w:rPr>
      </w:pPr>
    </w:p>
    <w:p w14:paraId="574A224A" w14:textId="77777777" w:rsidR="009B64BB" w:rsidRPr="00033C00" w:rsidRDefault="009B64BB" w:rsidP="009B64BB">
      <w:pPr>
        <w:pStyle w:val="NormalWeb"/>
        <w:jc w:val="both"/>
        <w:rPr>
          <w:rStyle w:val="Strong"/>
          <w:rFonts w:ascii="Arial" w:hAnsi="Arial" w:cs="Arial"/>
          <w:color w:val="000000" w:themeColor="text1"/>
          <w:sz w:val="20"/>
          <w:szCs w:val="20"/>
        </w:rPr>
      </w:pPr>
    </w:p>
    <w:p w14:paraId="52124B9F" w14:textId="77777777" w:rsidR="009B64BB" w:rsidRPr="00033C00" w:rsidRDefault="009B64BB" w:rsidP="009B64BB">
      <w:pPr>
        <w:pStyle w:val="NormalWeb"/>
        <w:jc w:val="both"/>
        <w:rPr>
          <w:rStyle w:val="Strong"/>
          <w:rFonts w:ascii="Arial" w:hAnsi="Arial" w:cs="Arial"/>
          <w:color w:val="000000" w:themeColor="text1"/>
          <w:sz w:val="20"/>
          <w:szCs w:val="20"/>
        </w:rPr>
      </w:pPr>
    </w:p>
    <w:p w14:paraId="22EBEB54" w14:textId="77777777" w:rsidR="009B64BB" w:rsidRPr="00033C00" w:rsidRDefault="009B64BB" w:rsidP="009B64BB">
      <w:pPr>
        <w:pStyle w:val="NormalWeb"/>
        <w:jc w:val="both"/>
        <w:rPr>
          <w:rStyle w:val="Strong"/>
          <w:rFonts w:ascii="Arial" w:hAnsi="Arial" w:cs="Arial"/>
          <w:color w:val="000000" w:themeColor="text1"/>
          <w:sz w:val="20"/>
          <w:szCs w:val="20"/>
        </w:rPr>
      </w:pPr>
    </w:p>
    <w:p w14:paraId="4FAFC3D1" w14:textId="77777777" w:rsidR="009B64BB" w:rsidRPr="00033C00" w:rsidRDefault="009B64BB" w:rsidP="009B64BB">
      <w:pPr>
        <w:pStyle w:val="NormalWeb"/>
        <w:keepNext/>
        <w:jc w:val="both"/>
        <w:rPr>
          <w:rFonts w:ascii="Arial" w:hAnsi="Arial" w:cs="Arial"/>
          <w:sz w:val="20"/>
          <w:szCs w:val="20"/>
        </w:rPr>
      </w:pPr>
      <w:r w:rsidRPr="00033C00">
        <w:rPr>
          <w:rFonts w:ascii="Arial" w:hAnsi="Arial" w:cs="Arial"/>
          <w:noProof/>
          <w:sz w:val="20"/>
          <w:szCs w:val="20"/>
        </w:rPr>
        <w:lastRenderedPageBreak/>
        <w:drawing>
          <wp:inline distT="0" distB="0" distL="0" distR="0" wp14:anchorId="74266332" wp14:editId="7FB85FB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F7FBA6" w14:textId="5FB95E1A" w:rsidR="009B64BB" w:rsidRPr="00033C00" w:rsidRDefault="009B64BB" w:rsidP="009B64BB">
      <w:pPr>
        <w:pStyle w:val="Caption"/>
        <w:jc w:val="both"/>
        <w:rPr>
          <w:rStyle w:val="Strong"/>
          <w:rFonts w:ascii="Arial" w:hAnsi="Arial" w:cs="Arial"/>
          <w:i w:val="0"/>
          <w:color w:val="000000" w:themeColor="text1"/>
          <w:sz w:val="20"/>
          <w:szCs w:val="20"/>
        </w:rPr>
      </w:pPr>
      <w:bookmarkStart w:id="30" w:name="_Ref186119871"/>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6</w:t>
      </w:r>
      <w:r w:rsidRPr="00033C00">
        <w:rPr>
          <w:rFonts w:ascii="Arial" w:hAnsi="Arial" w:cs="Arial"/>
          <w:i w:val="0"/>
          <w:color w:val="000000" w:themeColor="text1"/>
          <w:sz w:val="20"/>
          <w:szCs w:val="20"/>
        </w:rPr>
        <w:fldChar w:fldCharType="end"/>
      </w:r>
      <w:bookmarkEnd w:id="30"/>
      <w:r w:rsidRPr="00033C00">
        <w:rPr>
          <w:rFonts w:ascii="Arial" w:hAnsi="Arial" w:cs="Arial"/>
          <w:i w:val="0"/>
          <w:color w:val="000000" w:themeColor="text1"/>
          <w:sz w:val="20"/>
          <w:szCs w:val="20"/>
        </w:rPr>
        <w:t>: Multimodal Solutions’ Impact on Vaccine Literacy[</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p w14:paraId="587DD729" w14:textId="77777777" w:rsidR="009B64BB" w:rsidRPr="00033C00" w:rsidRDefault="009B64BB" w:rsidP="009B64BB">
      <w:pPr>
        <w:jc w:val="both"/>
        <w:rPr>
          <w:rFonts w:ascii="Arial" w:hAnsi="Arial" w:cs="Arial"/>
          <w:color w:val="000000" w:themeColor="text1"/>
        </w:rPr>
      </w:pPr>
    </w:p>
    <w:p w14:paraId="6EB42126" w14:textId="10E93BB2" w:rsidR="009B64BB" w:rsidRPr="00033C00" w:rsidRDefault="009B64BB" w:rsidP="009B64BB">
      <w:pPr>
        <w:pStyle w:val="Caption"/>
        <w:keepNext/>
        <w:spacing w:after="0"/>
        <w:rPr>
          <w:rFonts w:ascii="Arial" w:hAnsi="Arial" w:cs="Arial"/>
          <w:i w:val="0"/>
          <w:color w:val="000000" w:themeColor="text1"/>
          <w:sz w:val="20"/>
          <w:szCs w:val="20"/>
        </w:rPr>
      </w:pPr>
      <w:bookmarkStart w:id="31" w:name="_Ref186119853"/>
      <w:r w:rsidRPr="00033C00">
        <w:rPr>
          <w:rFonts w:ascii="Arial" w:hAnsi="Arial" w:cs="Arial"/>
          <w:i w:val="0"/>
          <w:color w:val="000000" w:themeColor="text1"/>
          <w:sz w:val="20"/>
          <w:szCs w:val="20"/>
        </w:rPr>
        <w:t xml:space="preserve">Table </w:t>
      </w:r>
      <w:bookmarkEnd w:id="31"/>
      <w:r w:rsidR="007E1E3B">
        <w:rPr>
          <w:rFonts w:ascii="Arial" w:hAnsi="Arial" w:cs="Arial"/>
          <w:i w:val="0"/>
          <w:color w:val="000000" w:themeColor="text1"/>
          <w:sz w:val="20"/>
          <w:szCs w:val="20"/>
        </w:rPr>
        <w:t>8</w:t>
      </w:r>
      <w:r w:rsidRPr="00033C00">
        <w:rPr>
          <w:rFonts w:ascii="Arial" w:hAnsi="Arial" w:cs="Arial"/>
          <w:i w:val="0"/>
          <w:color w:val="000000" w:themeColor="text1"/>
          <w:sz w:val="20"/>
          <w:szCs w:val="20"/>
        </w:rPr>
        <w:t>:  Multimodal Solutions’ Impact on Vaccine Literacy[</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NOTEREF _Ref186108937 \h  \* MERGEFORMAT </w:instrText>
      </w:r>
      <w:r w:rsidRPr="00033C00">
        <w:rPr>
          <w:rFonts w:ascii="Arial" w:hAnsi="Arial" w:cs="Arial"/>
          <w:i w:val="0"/>
          <w:color w:val="000000" w:themeColor="text1"/>
          <w:sz w:val="20"/>
          <w:szCs w:val="20"/>
        </w:rPr>
      </w:r>
      <w:r w:rsidRPr="00033C00">
        <w:rPr>
          <w:rFonts w:ascii="Arial" w:hAnsi="Arial" w:cs="Arial"/>
          <w:i w:val="0"/>
          <w:color w:val="000000" w:themeColor="text1"/>
          <w:sz w:val="20"/>
          <w:szCs w:val="20"/>
        </w:rPr>
        <w:fldChar w:fldCharType="separate"/>
      </w:r>
      <w:r w:rsidRPr="00033C00">
        <w:rPr>
          <w:rFonts w:ascii="Arial" w:hAnsi="Arial" w:cs="Arial"/>
          <w:i w:val="0"/>
          <w:color w:val="000000" w:themeColor="text1"/>
          <w:sz w:val="20"/>
          <w:szCs w:val="20"/>
        </w:rPr>
        <w:t>83</w:t>
      </w:r>
      <w:r w:rsidRPr="00033C00">
        <w:rPr>
          <w:rFonts w:ascii="Arial" w:hAnsi="Arial" w:cs="Arial"/>
          <w:i w:val="0"/>
          <w:color w:val="000000" w:themeColor="text1"/>
          <w:sz w:val="20"/>
          <w:szCs w:val="20"/>
        </w:rPr>
        <w:fldChar w:fldCharType="end"/>
      </w:r>
      <w:r w:rsidRPr="00033C00">
        <w:rPr>
          <w:rFonts w:ascii="Arial" w:hAnsi="Arial" w:cs="Arial"/>
          <w:i w:val="0"/>
          <w:color w:val="000000" w:themeColor="text1"/>
          <w:sz w:val="20"/>
          <w:szCs w:val="20"/>
        </w:rPr>
        <w:t>]</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06"/>
        <w:gridCol w:w="2561"/>
      </w:tblGrid>
      <w:tr w:rsidR="009B64BB" w:rsidRPr="00033C00" w14:paraId="2BB1A89B" w14:textId="77777777" w:rsidTr="000642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0F68A62B" w14:textId="77777777" w:rsidR="009B64BB" w:rsidRPr="00033C00" w:rsidRDefault="009B64BB" w:rsidP="000642AB">
            <w:pPr>
              <w:jc w:val="both"/>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Metric</w:t>
            </w:r>
          </w:p>
        </w:tc>
        <w:tc>
          <w:tcPr>
            <w:tcW w:w="0" w:type="auto"/>
            <w:tcBorders>
              <w:bottom w:val="none" w:sz="0" w:space="0" w:color="auto"/>
            </w:tcBorders>
            <w:hideMark/>
          </w:tcPr>
          <w:p w14:paraId="3CBB80BC"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Baseline (%)</w:t>
            </w:r>
          </w:p>
        </w:tc>
        <w:tc>
          <w:tcPr>
            <w:tcW w:w="0" w:type="auto"/>
            <w:tcBorders>
              <w:bottom w:val="none" w:sz="0" w:space="0" w:color="auto"/>
            </w:tcBorders>
            <w:hideMark/>
          </w:tcPr>
          <w:p w14:paraId="00468039" w14:textId="77777777" w:rsidR="009B64BB" w:rsidRPr="00033C00" w:rsidRDefault="009B64BB" w:rsidP="000642AB">
            <w:pPr>
              <w:jc w:val="both"/>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0"/>
                <w:szCs w:val="20"/>
              </w:rPr>
            </w:pPr>
            <w:r w:rsidRPr="00033C00">
              <w:rPr>
                <w:rStyle w:val="Strong"/>
                <w:rFonts w:ascii="Arial" w:hAnsi="Arial" w:cs="Arial"/>
                <w:i w:val="0"/>
                <w:color w:val="000000" w:themeColor="text1"/>
                <w:sz w:val="20"/>
                <w:szCs w:val="20"/>
              </w:rPr>
              <w:t>Post-Implementation (%)</w:t>
            </w:r>
          </w:p>
        </w:tc>
      </w:tr>
      <w:tr w:rsidR="009B64BB" w:rsidRPr="00033C00" w14:paraId="55329CCE"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99E07FE"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Comprehension</w:t>
            </w:r>
          </w:p>
        </w:tc>
        <w:tc>
          <w:tcPr>
            <w:tcW w:w="0" w:type="auto"/>
            <w:hideMark/>
          </w:tcPr>
          <w:p w14:paraId="1EA580A7"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40%</w:t>
            </w:r>
          </w:p>
        </w:tc>
        <w:tc>
          <w:tcPr>
            <w:tcW w:w="0" w:type="auto"/>
            <w:hideMark/>
          </w:tcPr>
          <w:p w14:paraId="4E45574A"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75%</w:t>
            </w:r>
          </w:p>
        </w:tc>
      </w:tr>
      <w:tr w:rsidR="009B64BB" w:rsidRPr="00033C00" w14:paraId="17AF9FDE" w14:textId="77777777" w:rsidTr="000642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1B66C65"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Engagement Rate</w:t>
            </w:r>
          </w:p>
        </w:tc>
        <w:tc>
          <w:tcPr>
            <w:tcW w:w="0" w:type="auto"/>
            <w:hideMark/>
          </w:tcPr>
          <w:p w14:paraId="1E692534"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30%</w:t>
            </w:r>
          </w:p>
        </w:tc>
        <w:tc>
          <w:tcPr>
            <w:tcW w:w="0" w:type="auto"/>
            <w:hideMark/>
          </w:tcPr>
          <w:p w14:paraId="42C4EC72" w14:textId="77777777" w:rsidR="009B64BB" w:rsidRPr="00033C00" w:rsidRDefault="009B64BB" w:rsidP="000642A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65%</w:t>
            </w:r>
          </w:p>
        </w:tc>
      </w:tr>
      <w:tr w:rsidR="009B64BB" w:rsidRPr="00033C00" w14:paraId="55C665AD" w14:textId="77777777" w:rsidTr="00064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794C1F1" w14:textId="77777777" w:rsidR="009B64BB" w:rsidRPr="00033C00" w:rsidRDefault="009B64BB" w:rsidP="000642AB">
            <w:pPr>
              <w:jc w:val="both"/>
              <w:rPr>
                <w:rFonts w:ascii="Arial" w:hAnsi="Arial" w:cs="Arial"/>
                <w:i w:val="0"/>
                <w:color w:val="000000" w:themeColor="text1"/>
                <w:sz w:val="20"/>
                <w:szCs w:val="20"/>
              </w:rPr>
            </w:pPr>
            <w:r w:rsidRPr="00033C00">
              <w:rPr>
                <w:rFonts w:ascii="Arial" w:hAnsi="Arial" w:cs="Arial"/>
                <w:i w:val="0"/>
                <w:color w:val="000000" w:themeColor="text1"/>
                <w:sz w:val="20"/>
                <w:szCs w:val="20"/>
              </w:rPr>
              <w:t>Trust in Vaccines</w:t>
            </w:r>
          </w:p>
        </w:tc>
        <w:tc>
          <w:tcPr>
            <w:tcW w:w="0" w:type="auto"/>
            <w:hideMark/>
          </w:tcPr>
          <w:p w14:paraId="30E12088"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50%</w:t>
            </w:r>
          </w:p>
        </w:tc>
        <w:tc>
          <w:tcPr>
            <w:tcW w:w="0" w:type="auto"/>
            <w:hideMark/>
          </w:tcPr>
          <w:p w14:paraId="47A9BD0D" w14:textId="77777777" w:rsidR="009B64BB" w:rsidRPr="00033C00" w:rsidRDefault="009B64BB" w:rsidP="000642A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33C00">
              <w:rPr>
                <w:rFonts w:ascii="Arial" w:hAnsi="Arial" w:cs="Arial"/>
                <w:color w:val="000000" w:themeColor="text1"/>
                <w:sz w:val="20"/>
                <w:szCs w:val="20"/>
              </w:rPr>
              <w:t>80%</w:t>
            </w:r>
          </w:p>
        </w:tc>
      </w:tr>
    </w:tbl>
    <w:p w14:paraId="3737826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p>
    <w:p w14:paraId="67927A1D" w14:textId="6B824137" w:rsidR="009B64BB" w:rsidRPr="008A2137" w:rsidRDefault="007E1E3B" w:rsidP="009B64BB">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Table 8 </w:t>
      </w:r>
      <w:r w:rsidR="009B64BB" w:rsidRPr="008A2137">
        <w:rPr>
          <w:rFonts w:ascii="Arial" w:hAnsi="Arial" w:cs="Arial"/>
          <w:sz w:val="20"/>
          <w:szCs w:val="20"/>
        </w:rPr>
        <w:t xml:space="preserve"> </w:t>
      </w:r>
      <w:r w:rsidR="009B64BB" w:rsidRPr="008A2137">
        <w:rPr>
          <w:rStyle w:val="Strong"/>
          <w:rFonts w:ascii="Arial" w:hAnsi="Arial" w:cs="Arial"/>
          <w:b w:val="0"/>
          <w:bCs w:val="0"/>
          <w:sz w:val="20"/>
          <w:szCs w:val="20"/>
        </w:rPr>
        <w:t>and</w:t>
      </w:r>
      <w:r w:rsidR="009B64BB" w:rsidRPr="008A2137">
        <w:rPr>
          <w:rStyle w:val="Strong"/>
          <w:rFonts w:ascii="Arial" w:hAnsi="Arial" w:cs="Arial"/>
          <w:sz w:val="20"/>
          <w:szCs w:val="20"/>
        </w:rPr>
        <w:t xml:space="preserve"> </w:t>
      </w:r>
      <w:r w:rsidR="009B64BB" w:rsidRPr="008A2137">
        <w:rPr>
          <w:rStyle w:val="Strong"/>
          <w:rFonts w:ascii="Arial" w:hAnsi="Arial" w:cs="Arial"/>
          <w:sz w:val="20"/>
          <w:szCs w:val="20"/>
        </w:rPr>
        <w:fldChar w:fldCharType="begin"/>
      </w:r>
      <w:r w:rsidR="009B64BB" w:rsidRPr="008A2137">
        <w:rPr>
          <w:rStyle w:val="Strong"/>
          <w:rFonts w:ascii="Arial" w:hAnsi="Arial" w:cs="Arial"/>
          <w:sz w:val="20"/>
          <w:szCs w:val="20"/>
        </w:rPr>
        <w:instrText xml:space="preserve"> REF _Ref186119871 \h  \* MERGEFORMAT </w:instrText>
      </w:r>
      <w:r w:rsidR="009B64BB" w:rsidRPr="008A2137">
        <w:rPr>
          <w:rStyle w:val="Strong"/>
          <w:rFonts w:ascii="Arial" w:hAnsi="Arial" w:cs="Arial"/>
          <w:sz w:val="20"/>
          <w:szCs w:val="20"/>
        </w:rPr>
      </w:r>
      <w:r w:rsidR="009B64BB" w:rsidRPr="008A2137">
        <w:rPr>
          <w:rStyle w:val="Strong"/>
          <w:rFonts w:ascii="Arial" w:hAnsi="Arial" w:cs="Arial"/>
          <w:sz w:val="20"/>
          <w:szCs w:val="20"/>
        </w:rPr>
        <w:fldChar w:fldCharType="separate"/>
      </w:r>
      <w:r w:rsidR="009B64BB" w:rsidRPr="008A2137">
        <w:rPr>
          <w:rFonts w:ascii="Arial" w:hAnsi="Arial" w:cs="Arial"/>
          <w:i/>
          <w:color w:val="000000" w:themeColor="text1"/>
          <w:sz w:val="20"/>
          <w:szCs w:val="20"/>
        </w:rPr>
        <w:t xml:space="preserve">Figure </w:t>
      </w:r>
      <w:r w:rsidR="009B64BB" w:rsidRPr="008A2137">
        <w:rPr>
          <w:rFonts w:ascii="Arial" w:hAnsi="Arial" w:cs="Arial"/>
          <w:i/>
          <w:noProof/>
          <w:color w:val="000000" w:themeColor="text1"/>
          <w:sz w:val="20"/>
          <w:szCs w:val="20"/>
        </w:rPr>
        <w:t>6</w:t>
      </w:r>
      <w:r w:rsidR="009B64BB" w:rsidRPr="008A2137">
        <w:rPr>
          <w:rStyle w:val="Strong"/>
          <w:rFonts w:ascii="Arial" w:hAnsi="Arial" w:cs="Arial"/>
          <w:sz w:val="20"/>
          <w:szCs w:val="20"/>
        </w:rPr>
        <w:fldChar w:fldCharType="end"/>
      </w:r>
      <w:r w:rsidR="009B64BB" w:rsidRPr="008A2137">
        <w:rPr>
          <w:rStyle w:val="Strong"/>
          <w:rFonts w:ascii="Arial" w:hAnsi="Arial" w:cs="Arial"/>
          <w:sz w:val="20"/>
          <w:szCs w:val="20"/>
        </w:rPr>
        <w:t xml:space="preserve"> </w:t>
      </w:r>
      <w:r w:rsidR="009B64BB" w:rsidRPr="008A2137">
        <w:rPr>
          <w:rFonts w:ascii="Arial" w:hAnsi="Arial" w:cs="Arial"/>
          <w:sz w:val="20"/>
          <w:szCs w:val="20"/>
        </w:rPr>
        <w:t>illustrate the impact of multimodal AI solutions on vaccine literacy metrics in Africa, comparing baseline values with projected outcomes after implementation.</w:t>
      </w:r>
    </w:p>
    <w:p w14:paraId="79639C6C"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baseline metrics</w:t>
      </w:r>
      <w:r w:rsidRPr="008A2137">
        <w:rPr>
          <w:rFonts w:ascii="Arial" w:hAnsi="Arial" w:cs="Arial"/>
          <w:sz w:val="20"/>
          <w:szCs w:val="20"/>
        </w:rPr>
        <w:t xml:space="preserve"> reflect the current state of vaccine literacy, showing lower levels of comprehension, engagement, and trust in vaccines. For instance, comprehension starts at 40%, engagement rate at 30%, and trust in vaccines at 50%. These figures indicate the challenges in effectively reaching and educating populations in low-resource settings.</w:t>
      </w:r>
    </w:p>
    <w:p w14:paraId="7D74DF08"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 xml:space="preserve">The </w:t>
      </w:r>
      <w:r w:rsidRPr="008A2137">
        <w:rPr>
          <w:rStyle w:val="Strong"/>
          <w:rFonts w:ascii="Arial" w:hAnsi="Arial" w:cs="Arial"/>
          <w:b w:val="0"/>
          <w:bCs w:val="0"/>
          <w:sz w:val="20"/>
          <w:szCs w:val="20"/>
        </w:rPr>
        <w:t>projected outcomes</w:t>
      </w:r>
      <w:r w:rsidRPr="008A2137">
        <w:rPr>
          <w:rFonts w:ascii="Arial" w:hAnsi="Arial" w:cs="Arial"/>
          <w:sz w:val="20"/>
          <w:szCs w:val="20"/>
        </w:rPr>
        <w:t xml:space="preserve"> demonstrate the significant improvements expected with multimodal AI solutions that integrate text, voice, and visuals. Comprehension is projected to increase to 75%, engagement rate to 65%, and trust in vaccines to 80%. These improvements highlight the potential of multimodal approaches to make vaccine education more accessible, engaging, and culturally relevant, thereby overcoming barriers such as illiteracy, language diversity, and misinformation.</w:t>
      </w:r>
    </w:p>
    <w:p w14:paraId="079D233B" w14:textId="77777777" w:rsidR="009B64BB" w:rsidRPr="008A2137" w:rsidRDefault="009B64BB" w:rsidP="009B64BB">
      <w:pPr>
        <w:pStyle w:val="NormalWeb"/>
        <w:spacing w:before="0" w:beforeAutospacing="0" w:after="0" w:afterAutospacing="0" w:line="360" w:lineRule="auto"/>
        <w:jc w:val="both"/>
        <w:rPr>
          <w:rFonts w:ascii="Arial" w:hAnsi="Arial" w:cs="Arial"/>
          <w:sz w:val="20"/>
          <w:szCs w:val="20"/>
        </w:rPr>
      </w:pPr>
      <w:r w:rsidRPr="008A2137">
        <w:rPr>
          <w:rFonts w:ascii="Arial" w:hAnsi="Arial" w:cs="Arial"/>
          <w:sz w:val="20"/>
          <w:szCs w:val="20"/>
        </w:rPr>
        <w:t>The visual comparison in the diagram reinforces the transformative impact of these solutions, making it clear that multimodal AI can play a crucial role in addressing vaccine hesitancy and improving public health outcomes in Africa.</w:t>
      </w:r>
    </w:p>
    <w:p w14:paraId="325D4283" w14:textId="77777777" w:rsidR="009B64BB" w:rsidRPr="00033C00" w:rsidRDefault="009B64BB" w:rsidP="009B64BB">
      <w:pPr>
        <w:pStyle w:val="Heading4"/>
        <w:spacing w:before="0" w:line="360" w:lineRule="auto"/>
        <w:jc w:val="both"/>
        <w:rPr>
          <w:rStyle w:val="Strong"/>
          <w:rFonts w:ascii="Arial" w:hAnsi="Arial" w:cs="Arial"/>
          <w:bCs w:val="0"/>
          <w:color w:val="000000" w:themeColor="text1"/>
          <w:sz w:val="20"/>
          <w:szCs w:val="20"/>
        </w:rPr>
      </w:pPr>
      <w:r w:rsidRPr="00033C00">
        <w:rPr>
          <w:rStyle w:val="Strong"/>
          <w:rFonts w:ascii="Arial" w:hAnsi="Arial" w:cs="Arial"/>
          <w:color w:val="000000" w:themeColor="text1"/>
          <w:sz w:val="20"/>
          <w:szCs w:val="20"/>
        </w:rPr>
        <w:t xml:space="preserve"> </w:t>
      </w:r>
    </w:p>
    <w:p w14:paraId="3ECD5848"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3.4 Pilot Study Insights</w:t>
      </w:r>
    </w:p>
    <w:p w14:paraId="66C0A0F0" w14:textId="77777777" w:rsidR="009B64BB" w:rsidRPr="00033C00" w:rsidRDefault="009B64BB" w:rsidP="009B64BB">
      <w:pPr>
        <w:spacing w:line="360" w:lineRule="auto"/>
        <w:jc w:val="both"/>
        <w:rPr>
          <w:rFonts w:ascii="Arial" w:hAnsi="Arial" w:cs="Arial"/>
        </w:rPr>
      </w:pPr>
      <w:r w:rsidRPr="00033C00">
        <w:rPr>
          <w:rFonts w:ascii="Arial" w:hAnsi="Arial" w:cs="Arial"/>
        </w:rPr>
        <w:t xml:space="preserve">A proposed pilot study in Lagos, an urban setting, and Abia, a rural area, highlights the effectiveness of multimodal AI systems in addressing vaccine literacy challenges. In Lagos, chatbot interactions in English </w:t>
      </w:r>
      <w:r w:rsidRPr="00033C00">
        <w:rPr>
          <w:rFonts w:ascii="Arial" w:hAnsi="Arial" w:cs="Arial"/>
        </w:rPr>
        <w:lastRenderedPageBreak/>
        <w:t>and Yoruba significantly improved comprehension, with a 70% increase among participants. Users in this setting favored text-based FAQs for quick and accessible vaccine-related information.</w:t>
      </w:r>
    </w:p>
    <w:p w14:paraId="06EB0EC7" w14:textId="77777777" w:rsidR="009B64BB" w:rsidRPr="00033C00" w:rsidRDefault="009B64BB" w:rsidP="009B64BB">
      <w:pPr>
        <w:spacing w:after="100" w:afterAutospacing="1" w:line="360" w:lineRule="auto"/>
        <w:jc w:val="both"/>
        <w:rPr>
          <w:rFonts w:ascii="Arial" w:hAnsi="Arial" w:cs="Arial"/>
        </w:rPr>
      </w:pPr>
      <w:r w:rsidRPr="00033C00">
        <w:rPr>
          <w:rFonts w:ascii="Arial" w:hAnsi="Arial" w:cs="Arial"/>
        </w:rPr>
        <w:t>In Abia, voice-enabled chatbots delivering information in Igbo achieved a 60% engagement rate, effectively reaching rural users who prefer oral communication. Additionally, visual aids addressing common myths, such as concerns about infertility, helped build trust in vaccines among the local population. This study demonstrates the potential of localized, multimodal approaches to improve vaccine literacy in both urban and rural contexts.</w:t>
      </w:r>
    </w:p>
    <w:p w14:paraId="02A297E0" w14:textId="388125A2" w:rsidR="009B64BB" w:rsidRPr="00033C00" w:rsidRDefault="009B64BB" w:rsidP="009B64BB">
      <w:pPr>
        <w:pStyle w:val="Caption"/>
        <w:keepNext/>
        <w:spacing w:after="0"/>
        <w:rPr>
          <w:rFonts w:ascii="Arial" w:hAnsi="Arial" w:cs="Arial"/>
          <w:i w:val="0"/>
          <w:color w:val="000000" w:themeColor="text1"/>
          <w:sz w:val="20"/>
          <w:szCs w:val="20"/>
        </w:rPr>
      </w:pPr>
      <w:r w:rsidRPr="00033C00">
        <w:rPr>
          <w:rFonts w:ascii="Arial" w:hAnsi="Arial" w:cs="Arial"/>
          <w:i w:val="0"/>
          <w:color w:val="000000" w:themeColor="text1"/>
          <w:sz w:val="20"/>
          <w:szCs w:val="20"/>
        </w:rPr>
        <w:t xml:space="preserve">Table </w:t>
      </w:r>
      <w:r w:rsidR="007E1E3B">
        <w:rPr>
          <w:rFonts w:ascii="Arial" w:hAnsi="Arial" w:cs="Arial"/>
          <w:i w:val="0"/>
          <w:color w:val="000000" w:themeColor="text1"/>
          <w:sz w:val="20"/>
          <w:szCs w:val="20"/>
        </w:rPr>
        <w:t>9</w:t>
      </w:r>
      <w:r w:rsidRPr="00033C00">
        <w:rPr>
          <w:rFonts w:ascii="Arial" w:hAnsi="Arial" w:cs="Arial"/>
          <w:i w:val="0"/>
          <w:color w:val="000000" w:themeColor="text1"/>
          <w:sz w:val="20"/>
          <w:szCs w:val="20"/>
        </w:rPr>
        <w:t>: Pilot Study Results</w:t>
      </w:r>
    </w:p>
    <w:tbl>
      <w:tblPr>
        <w:tblStyle w:val="TableGrid"/>
        <w:tblW w:w="0" w:type="auto"/>
        <w:tblLook w:val="04A0" w:firstRow="1" w:lastRow="0" w:firstColumn="1" w:lastColumn="0" w:noHBand="0" w:noVBand="1"/>
      </w:tblPr>
      <w:tblGrid>
        <w:gridCol w:w="894"/>
        <w:gridCol w:w="1962"/>
        <w:gridCol w:w="2262"/>
        <w:gridCol w:w="3385"/>
      </w:tblGrid>
      <w:tr w:rsidR="009B64BB" w:rsidRPr="00033C00" w14:paraId="26DC3BAF" w14:textId="77777777" w:rsidTr="000642AB">
        <w:tc>
          <w:tcPr>
            <w:tcW w:w="0" w:type="auto"/>
            <w:hideMark/>
          </w:tcPr>
          <w:p w14:paraId="32A92CF7"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Region</w:t>
            </w:r>
          </w:p>
        </w:tc>
        <w:tc>
          <w:tcPr>
            <w:tcW w:w="0" w:type="auto"/>
            <w:hideMark/>
          </w:tcPr>
          <w:p w14:paraId="1F2EC93D"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Primary Language</w:t>
            </w:r>
          </w:p>
        </w:tc>
        <w:tc>
          <w:tcPr>
            <w:tcW w:w="0" w:type="auto"/>
            <w:hideMark/>
          </w:tcPr>
          <w:p w14:paraId="60EAFAE8"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Preferred Modality</w:t>
            </w:r>
          </w:p>
        </w:tc>
        <w:tc>
          <w:tcPr>
            <w:tcW w:w="0" w:type="auto"/>
            <w:hideMark/>
          </w:tcPr>
          <w:p w14:paraId="31A876A4" w14:textId="77777777" w:rsidR="009B64BB" w:rsidRPr="00033C00" w:rsidRDefault="009B64BB" w:rsidP="000642AB">
            <w:pPr>
              <w:jc w:val="both"/>
              <w:rPr>
                <w:rFonts w:ascii="Arial" w:hAnsi="Arial" w:cs="Arial"/>
                <w:b/>
                <w:bCs/>
                <w:color w:val="000000" w:themeColor="text1"/>
                <w:sz w:val="20"/>
                <w:szCs w:val="20"/>
              </w:rPr>
            </w:pPr>
            <w:r w:rsidRPr="00033C00">
              <w:rPr>
                <w:rStyle w:val="Strong"/>
                <w:rFonts w:ascii="Arial" w:hAnsi="Arial" w:cs="Arial"/>
                <w:color w:val="000000" w:themeColor="text1"/>
                <w:sz w:val="20"/>
                <w:szCs w:val="20"/>
              </w:rPr>
              <w:t>Key Outcome</w:t>
            </w:r>
          </w:p>
        </w:tc>
      </w:tr>
      <w:tr w:rsidR="009B64BB" w:rsidRPr="00033C00" w14:paraId="288778B6" w14:textId="77777777" w:rsidTr="000642AB">
        <w:tc>
          <w:tcPr>
            <w:tcW w:w="0" w:type="auto"/>
            <w:hideMark/>
          </w:tcPr>
          <w:p w14:paraId="69EA74B3"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Lagos</w:t>
            </w:r>
          </w:p>
        </w:tc>
        <w:tc>
          <w:tcPr>
            <w:tcW w:w="0" w:type="auto"/>
            <w:hideMark/>
          </w:tcPr>
          <w:p w14:paraId="628BE5D8"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English, Yoruba</w:t>
            </w:r>
          </w:p>
        </w:tc>
        <w:tc>
          <w:tcPr>
            <w:tcW w:w="0" w:type="auto"/>
            <w:hideMark/>
          </w:tcPr>
          <w:p w14:paraId="2BFD821C"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Text-Based Messaging</w:t>
            </w:r>
          </w:p>
        </w:tc>
        <w:tc>
          <w:tcPr>
            <w:tcW w:w="0" w:type="auto"/>
            <w:hideMark/>
          </w:tcPr>
          <w:p w14:paraId="37754291"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70% increase in vaccine knowledge</w:t>
            </w:r>
          </w:p>
        </w:tc>
      </w:tr>
      <w:tr w:rsidR="009B64BB" w:rsidRPr="00033C00" w14:paraId="618A9B5D" w14:textId="77777777" w:rsidTr="000642AB">
        <w:tc>
          <w:tcPr>
            <w:tcW w:w="0" w:type="auto"/>
            <w:hideMark/>
          </w:tcPr>
          <w:p w14:paraId="702EB54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Abia</w:t>
            </w:r>
          </w:p>
        </w:tc>
        <w:tc>
          <w:tcPr>
            <w:tcW w:w="0" w:type="auto"/>
            <w:hideMark/>
          </w:tcPr>
          <w:p w14:paraId="4AEC8855"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Igbo</w:t>
            </w:r>
          </w:p>
        </w:tc>
        <w:tc>
          <w:tcPr>
            <w:tcW w:w="0" w:type="auto"/>
            <w:hideMark/>
          </w:tcPr>
          <w:p w14:paraId="6F36F952"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Voice and Visuals</w:t>
            </w:r>
          </w:p>
        </w:tc>
        <w:tc>
          <w:tcPr>
            <w:tcW w:w="0" w:type="auto"/>
            <w:hideMark/>
          </w:tcPr>
          <w:p w14:paraId="2B07B3D4" w14:textId="77777777" w:rsidR="009B64BB" w:rsidRPr="00033C00" w:rsidRDefault="009B64BB" w:rsidP="000642AB">
            <w:pPr>
              <w:jc w:val="both"/>
              <w:rPr>
                <w:rFonts w:ascii="Arial" w:hAnsi="Arial" w:cs="Arial"/>
                <w:color w:val="000000" w:themeColor="text1"/>
                <w:sz w:val="20"/>
                <w:szCs w:val="20"/>
              </w:rPr>
            </w:pPr>
            <w:r w:rsidRPr="00033C00">
              <w:rPr>
                <w:rFonts w:ascii="Arial" w:hAnsi="Arial" w:cs="Arial"/>
                <w:color w:val="000000" w:themeColor="text1"/>
                <w:sz w:val="20"/>
                <w:szCs w:val="20"/>
              </w:rPr>
              <w:t>60% engagement rate</w:t>
            </w:r>
          </w:p>
        </w:tc>
      </w:tr>
    </w:tbl>
    <w:p w14:paraId="1D772657" w14:textId="77777777" w:rsidR="009B64BB" w:rsidRPr="00033C00" w:rsidRDefault="009B64BB" w:rsidP="009B64BB">
      <w:pPr>
        <w:jc w:val="both"/>
        <w:rPr>
          <w:rFonts w:ascii="Arial" w:hAnsi="Arial" w:cs="Arial"/>
          <w:color w:val="000000" w:themeColor="text1"/>
        </w:rPr>
      </w:pPr>
    </w:p>
    <w:p w14:paraId="7F068C20" w14:textId="563949DA"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color w:val="000000" w:themeColor="text1"/>
          <w:sz w:val="20"/>
          <w:szCs w:val="20"/>
        </w:rPr>
        <w:t xml:space="preserve">The results in </w:t>
      </w:r>
      <w:r w:rsidR="007E1E3B">
        <w:rPr>
          <w:rFonts w:ascii="Arial" w:hAnsi="Arial" w:cs="Arial"/>
          <w:color w:val="000000" w:themeColor="text1"/>
          <w:sz w:val="20"/>
          <w:szCs w:val="20"/>
        </w:rPr>
        <w:t>table 9</w:t>
      </w:r>
      <w:r w:rsidRPr="00033C00">
        <w:rPr>
          <w:rFonts w:ascii="Arial" w:hAnsi="Arial" w:cs="Arial"/>
          <w:color w:val="000000" w:themeColor="text1"/>
          <w:sz w:val="20"/>
          <w:szCs w:val="20"/>
        </w:rPr>
        <w:t xml:space="preserve"> demonstrate the immense potential of conversational agents to address vaccine hesitancy in Nigeria and Africa. Multimodal solutions tailored to the linguistic, cultural, and technological needs of these regions can significantly improve vaccine literacy, engagement, and trust. However, successful implementation requires a focus on developing linguistic datasets, fostering cultural sensitivity, and ensuring access through low-bandwidth technologies.</w:t>
      </w:r>
    </w:p>
    <w:p w14:paraId="393AB47E" w14:textId="77777777" w:rsidR="009B64BB" w:rsidRPr="00033C00" w:rsidRDefault="009B64BB" w:rsidP="009B64BB">
      <w:pPr>
        <w:jc w:val="both"/>
        <w:rPr>
          <w:rFonts w:ascii="Arial" w:hAnsi="Arial" w:cs="Arial"/>
          <w:b/>
          <w:color w:val="000000" w:themeColor="text1"/>
        </w:rPr>
      </w:pPr>
    </w:p>
    <w:p w14:paraId="1C2B0BD5" w14:textId="77777777" w:rsidR="009B64BB" w:rsidRPr="00033C00" w:rsidRDefault="009B64BB" w:rsidP="009B64BB">
      <w:pPr>
        <w:jc w:val="both"/>
        <w:rPr>
          <w:rFonts w:ascii="Arial" w:hAnsi="Arial" w:cs="Arial"/>
          <w:b/>
          <w:color w:val="000000" w:themeColor="text1"/>
        </w:rPr>
      </w:pPr>
    </w:p>
    <w:p w14:paraId="3A71BDDA" w14:textId="77777777" w:rsidR="009B64BB" w:rsidRPr="00033C00" w:rsidRDefault="009B64BB" w:rsidP="009B64BB">
      <w:pPr>
        <w:pStyle w:val="Heading3"/>
        <w:spacing w:before="0" w:line="360" w:lineRule="auto"/>
        <w:jc w:val="both"/>
        <w:rPr>
          <w:rFonts w:ascii="Arial" w:hAnsi="Arial" w:cs="Arial"/>
          <w:color w:val="000000" w:themeColor="text1"/>
          <w:sz w:val="20"/>
          <w:szCs w:val="20"/>
        </w:rPr>
      </w:pPr>
      <w:r w:rsidRPr="00033C00">
        <w:rPr>
          <w:rStyle w:val="Strong"/>
          <w:rFonts w:ascii="Arial" w:hAnsi="Arial" w:cs="Arial"/>
          <w:color w:val="000000" w:themeColor="text1"/>
          <w:sz w:val="20"/>
          <w:szCs w:val="20"/>
        </w:rPr>
        <w:t>4.0</w:t>
      </w:r>
      <w:r w:rsidRPr="00033C00">
        <w:rPr>
          <w:rStyle w:val="Strong"/>
          <w:rFonts w:ascii="Arial" w:hAnsi="Arial" w:cs="Arial"/>
          <w:color w:val="000000" w:themeColor="text1"/>
          <w:sz w:val="20"/>
          <w:szCs w:val="20"/>
        </w:rPr>
        <w:tab/>
        <w:t>CONCLUSION</w:t>
      </w:r>
    </w:p>
    <w:p w14:paraId="388D1502" w14:textId="77777777" w:rsidR="009B64BB" w:rsidRPr="00033C00" w:rsidRDefault="009B64BB" w:rsidP="009B64BB">
      <w:pPr>
        <w:pStyle w:val="NormalWeb"/>
        <w:spacing w:before="0" w:beforeAutospacing="0" w:after="0" w:afterAutospacing="0" w:line="360" w:lineRule="auto"/>
        <w:jc w:val="both"/>
        <w:rPr>
          <w:rFonts w:ascii="Arial" w:hAnsi="Arial" w:cs="Arial"/>
          <w:color w:val="000000" w:themeColor="text1"/>
          <w:sz w:val="20"/>
          <w:szCs w:val="20"/>
        </w:rPr>
      </w:pPr>
      <w:r w:rsidRPr="00033C00">
        <w:rPr>
          <w:rFonts w:ascii="Arial" w:hAnsi="Arial" w:cs="Arial"/>
          <w:sz w:val="20"/>
          <w:szCs w:val="20"/>
        </w:rPr>
        <w:t xml:space="preserve">The findings of this study highlight the transformative potential of conversational agents (CAs) in tackling vaccine hesitancy, especially in low-resource settings like Nigeria and other parts of Africa. </w:t>
      </w:r>
      <w:r w:rsidRPr="00033C00">
        <w:rPr>
          <w:rFonts w:ascii="Arial" w:hAnsi="Arial" w:cs="Arial"/>
          <w:color w:val="000000" w:themeColor="text1"/>
          <w:sz w:val="20"/>
          <w:szCs w:val="20"/>
        </w:rPr>
        <w:t>By leveraging AI-driven technologies, CAs can provide scalable, cost-effective, and culturally adaptable solutions to bridge the gap in vaccine literacy. However, realizing this potential requires overcoming significant challenges, including limited linguistic resources, cultural nuances, and technological barriers.</w:t>
      </w:r>
    </w:p>
    <w:p w14:paraId="176BCC24" w14:textId="77777777" w:rsidR="009B64BB" w:rsidRPr="00033C00" w:rsidRDefault="009B64BB" w:rsidP="009B64BB">
      <w:pPr>
        <w:spacing w:line="360" w:lineRule="auto"/>
        <w:jc w:val="both"/>
        <w:rPr>
          <w:rFonts w:ascii="Arial" w:hAnsi="Arial" w:cs="Arial"/>
        </w:rPr>
      </w:pPr>
      <w:r w:rsidRPr="00033C00">
        <w:rPr>
          <w:rFonts w:ascii="Arial" w:hAnsi="Arial" w:cs="Arial"/>
        </w:rPr>
        <w:t>Conversational agents (CAs) have demonstrated their potential to improve vaccine literacy by addressing misinformation and providing tailored education. Examples like "Vaxera" and "RamaCovid" highlight their effectiveness. In Nigeria, the integration of local languages and culturally relevant content is essential for increasing the adoption and impact of these systems.</w:t>
      </w:r>
    </w:p>
    <w:p w14:paraId="1D832F76" w14:textId="77777777" w:rsidR="009B64BB" w:rsidRPr="00033C00" w:rsidRDefault="009B64BB" w:rsidP="009B64BB">
      <w:pPr>
        <w:spacing w:line="360" w:lineRule="auto"/>
        <w:jc w:val="both"/>
        <w:rPr>
          <w:rFonts w:ascii="Arial" w:hAnsi="Arial" w:cs="Arial"/>
        </w:rPr>
      </w:pPr>
      <w:r w:rsidRPr="00033C00">
        <w:rPr>
          <w:rFonts w:ascii="Arial" w:hAnsi="Arial" w:cs="Arial"/>
        </w:rPr>
        <w:t>Multimodal AI frameworks that incorporate text, voice, and visuals offer significant benefits by enhancing user engagement and comprehension. These systems are particularly effective in rural areas where literacy rates are lower, as they cater to diverse user needs and ensure inclusivity and accessibility.</w:t>
      </w:r>
    </w:p>
    <w:p w14:paraId="4CC0860D" w14:textId="77777777" w:rsidR="009B64BB" w:rsidRPr="00033C00" w:rsidRDefault="009B64BB" w:rsidP="009B64BB">
      <w:pPr>
        <w:spacing w:line="360" w:lineRule="auto"/>
        <w:jc w:val="both"/>
        <w:rPr>
          <w:rFonts w:ascii="Arial" w:hAnsi="Arial" w:cs="Arial"/>
        </w:rPr>
      </w:pPr>
      <w:r w:rsidRPr="00033C00">
        <w:rPr>
          <w:rFonts w:ascii="Arial" w:hAnsi="Arial" w:cs="Arial"/>
        </w:rPr>
        <w:t>Localized approaches are crucial for deploying CAs in Nigeria and Africa. Developing natural language understanding (NLU) models for indigenous languages such as Yoruba, Igbo, and Hausa is vital for adapting the technology to local contexts. Collaboration with local communities and stakeholders plays a key role in creating culturally sensitive and contextually appropriate AI solutions.</w:t>
      </w:r>
    </w:p>
    <w:p w14:paraId="10E385CE" w14:textId="77777777" w:rsidR="009B64BB" w:rsidRPr="00033C00" w:rsidRDefault="009B64BB" w:rsidP="009B64BB">
      <w:pPr>
        <w:jc w:val="both"/>
        <w:rPr>
          <w:rFonts w:ascii="Arial" w:hAnsi="Arial" w:cs="Arial"/>
          <w:color w:val="000000" w:themeColor="text1"/>
        </w:rPr>
      </w:pPr>
    </w:p>
    <w:p w14:paraId="0390E497"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lastRenderedPageBreak/>
        <w:t>4.1</w:t>
      </w:r>
      <w:r w:rsidRPr="00033C00">
        <w:rPr>
          <w:rStyle w:val="Strong"/>
          <w:rFonts w:ascii="Arial" w:hAnsi="Arial" w:cs="Arial"/>
          <w:i w:val="0"/>
          <w:color w:val="000000" w:themeColor="text1"/>
          <w:sz w:val="20"/>
          <w:szCs w:val="20"/>
        </w:rPr>
        <w:tab/>
        <w:t>Recommendations for Future Development</w:t>
      </w:r>
    </w:p>
    <w:p w14:paraId="689E2389" w14:textId="77777777" w:rsidR="009B64BB" w:rsidRPr="00033C00" w:rsidRDefault="009B64BB" w:rsidP="009B64BB">
      <w:pPr>
        <w:spacing w:line="360" w:lineRule="auto"/>
        <w:jc w:val="both"/>
        <w:rPr>
          <w:rFonts w:ascii="Arial" w:hAnsi="Arial" w:cs="Arial"/>
        </w:rPr>
      </w:pPr>
      <w:r w:rsidRPr="00033C00">
        <w:rPr>
          <w:rFonts w:ascii="Arial" w:hAnsi="Arial" w:cs="Arial"/>
        </w:rPr>
        <w:t>To maximize the impact of conversational agents in vaccine literacy campaigns across Nigeria and Africa, several key actions are recommended. Investing in linguistic resources is crucial, including developing annotated datasets for indigenous languages to enhance natural language understanding (NLU) capabilities. Collaborating with linguists and local communities can help create comprehensive language corpora tailored to local needs.</w:t>
      </w:r>
    </w:p>
    <w:p w14:paraId="15C61ED5" w14:textId="77777777" w:rsidR="009B64BB" w:rsidRPr="00033C00" w:rsidRDefault="009B64BB" w:rsidP="009B64BB">
      <w:pPr>
        <w:spacing w:line="360" w:lineRule="auto"/>
        <w:jc w:val="both"/>
        <w:rPr>
          <w:rFonts w:ascii="Arial" w:hAnsi="Arial" w:cs="Arial"/>
        </w:rPr>
      </w:pPr>
      <w:r w:rsidRPr="00033C00">
        <w:rPr>
          <w:rFonts w:ascii="Arial" w:hAnsi="Arial" w:cs="Arial"/>
        </w:rPr>
        <w:t>Enhancing multimodal capabilities is also essential. Incorporating voice recognition for low-literacy populations and AI-generated visuals for simplified communication can make chatbots more accessible. Developing lightweight AI models optimized for low-bandwidth environments ensures usability in areas with limited technological infrastructure.</w:t>
      </w:r>
    </w:p>
    <w:p w14:paraId="6C997F9B" w14:textId="77777777" w:rsidR="009B64BB" w:rsidRPr="00033C00" w:rsidRDefault="009B64BB" w:rsidP="009B64BB">
      <w:pPr>
        <w:spacing w:line="360" w:lineRule="auto"/>
        <w:jc w:val="both"/>
        <w:rPr>
          <w:rFonts w:ascii="Arial" w:hAnsi="Arial" w:cs="Arial"/>
        </w:rPr>
      </w:pPr>
      <w:r w:rsidRPr="00033C00">
        <w:rPr>
          <w:rFonts w:ascii="Arial" w:hAnsi="Arial" w:cs="Arial"/>
        </w:rPr>
        <w:t>Addressing ethical considerations is vital to ensure successful deployment. Implementing robust data privacy measures will protect user information, while maintaining transparency in chatbot operations can build trust among users.</w:t>
      </w:r>
    </w:p>
    <w:p w14:paraId="57C16048" w14:textId="77777777" w:rsidR="009B64BB" w:rsidRPr="00033C00" w:rsidRDefault="009B64BB" w:rsidP="009B64BB">
      <w:pPr>
        <w:spacing w:before="100" w:beforeAutospacing="1" w:after="100" w:afterAutospacing="1" w:line="360" w:lineRule="auto"/>
        <w:jc w:val="both"/>
        <w:rPr>
          <w:rFonts w:ascii="Arial" w:hAnsi="Arial" w:cs="Arial"/>
        </w:rPr>
      </w:pPr>
      <w:r w:rsidRPr="00033C00">
        <w:rPr>
          <w:rFonts w:ascii="Arial" w:hAnsi="Arial" w:cs="Arial"/>
        </w:rPr>
        <w:t>Finally, piloting multimodal solutions in urban and rural settings can help evaluate the effectiveness of proposed frameworks. Feedback from participants in these pilots can guide refinements to chatbot designs and support broader deployment efforts. These strategies collectively aim to enhance the effectiveness, inclusivity, and scalability of conversational agents in vaccine literacy initiatives across Africa.</w:t>
      </w:r>
    </w:p>
    <w:p w14:paraId="3097977A" w14:textId="77777777" w:rsidR="009B64BB" w:rsidRPr="00033C00" w:rsidRDefault="009B64BB" w:rsidP="009B64BB">
      <w:pPr>
        <w:jc w:val="both"/>
        <w:rPr>
          <w:rFonts w:ascii="Arial" w:hAnsi="Arial" w:cs="Arial"/>
          <w:color w:val="000000" w:themeColor="text1"/>
        </w:rPr>
      </w:pPr>
    </w:p>
    <w:p w14:paraId="429AFDAF" w14:textId="77777777" w:rsidR="009B64BB" w:rsidRPr="00033C00" w:rsidRDefault="009B64BB" w:rsidP="009B64BB">
      <w:pPr>
        <w:pStyle w:val="Heading4"/>
        <w:spacing w:before="0"/>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4.2</w:t>
      </w:r>
      <w:r w:rsidRPr="00033C00">
        <w:rPr>
          <w:rStyle w:val="Strong"/>
          <w:rFonts w:ascii="Arial" w:hAnsi="Arial" w:cs="Arial"/>
          <w:i w:val="0"/>
          <w:color w:val="000000" w:themeColor="text1"/>
          <w:sz w:val="20"/>
          <w:szCs w:val="20"/>
        </w:rPr>
        <w:tab/>
        <w:t>Projected Outcomes</w:t>
      </w:r>
    </w:p>
    <w:p w14:paraId="4F02FEA9" w14:textId="77777777" w:rsidR="009B64BB" w:rsidRPr="00033C00" w:rsidRDefault="009B64BB" w:rsidP="009B64BB">
      <w:pPr>
        <w:pStyle w:val="Heading4"/>
        <w:spacing w:before="0" w:line="360" w:lineRule="auto"/>
        <w:jc w:val="both"/>
        <w:rPr>
          <w:rStyle w:val="Strong"/>
          <w:rFonts w:ascii="Arial" w:hAnsi="Arial" w:cs="Arial"/>
          <w:b w:val="0"/>
          <w:bCs w:val="0"/>
          <w:i w:val="0"/>
          <w:color w:val="000000" w:themeColor="text1"/>
          <w:sz w:val="20"/>
          <w:szCs w:val="20"/>
        </w:rPr>
      </w:pPr>
      <w:r w:rsidRPr="00033C00">
        <w:rPr>
          <w:rFonts w:ascii="Arial" w:hAnsi="Arial" w:cs="Arial"/>
          <w:i w:val="0"/>
          <w:color w:val="000000" w:themeColor="text1"/>
          <w:sz w:val="20"/>
          <w:szCs w:val="20"/>
        </w:rPr>
        <w:t>If implemented effectively, conversational agents have the potential to significantly enhance vaccine literacy and uptake in Nigeria and across Africa. It is projected that vaccine knowledge could increase by more than 75% among users of multimodal chatbots. Additionally, user interaction rates with chatbots are expected to rise by 65%, particularly in rural areas. Furthermore, trust in vaccines could experience a 30% increase, driven by targeted myth-busting and culturally relevant messaging. These outcomes suggest that conversational agents could play a crucial role in improving public health outcomes by addressing key barriers to vaccine acceptance.</w:t>
      </w:r>
    </w:p>
    <w:p w14:paraId="40F07C4D" w14:textId="77777777" w:rsidR="009B64BB" w:rsidRPr="00033C00" w:rsidRDefault="009B64BB" w:rsidP="009B64BB">
      <w:pPr>
        <w:rPr>
          <w:rFonts w:ascii="Arial" w:hAnsi="Arial" w:cs="Arial"/>
        </w:rPr>
      </w:pPr>
    </w:p>
    <w:p w14:paraId="64DD66D2" w14:textId="77777777" w:rsidR="009B64BB" w:rsidRPr="00033C00" w:rsidRDefault="009B64BB" w:rsidP="009B64BB">
      <w:pPr>
        <w:pStyle w:val="Heading4"/>
        <w:spacing w:before="0" w:line="360" w:lineRule="auto"/>
        <w:jc w:val="both"/>
        <w:rPr>
          <w:rFonts w:ascii="Arial" w:hAnsi="Arial" w:cs="Arial"/>
          <w:i w:val="0"/>
          <w:color w:val="000000" w:themeColor="text1"/>
          <w:sz w:val="20"/>
          <w:szCs w:val="20"/>
        </w:rPr>
      </w:pPr>
      <w:r w:rsidRPr="00033C00">
        <w:rPr>
          <w:rStyle w:val="Strong"/>
          <w:rFonts w:ascii="Arial" w:hAnsi="Arial" w:cs="Arial"/>
          <w:i w:val="0"/>
          <w:color w:val="000000" w:themeColor="text1"/>
          <w:sz w:val="20"/>
          <w:szCs w:val="20"/>
        </w:rPr>
        <w:t>4.3</w:t>
      </w:r>
      <w:r w:rsidRPr="00033C00">
        <w:rPr>
          <w:rStyle w:val="Strong"/>
          <w:rFonts w:ascii="Arial" w:hAnsi="Arial" w:cs="Arial"/>
          <w:i w:val="0"/>
          <w:color w:val="000000" w:themeColor="text1"/>
          <w:sz w:val="20"/>
          <w:szCs w:val="20"/>
        </w:rPr>
        <w:tab/>
        <w:t>Limitations and Future Research</w:t>
      </w:r>
    </w:p>
    <w:p w14:paraId="1CBE5FC2"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While this study highlights the potential of conversational agents, several limitations must be addressed. The scarcity of linguistic resources for indigenous languages poses a significant challenge to the development of chatbots, as it restricts the ability to create models that can effectively engage with diverse populations. Furthermore, technological access remains a barrier, particularly in rural areas where low internet penetration may limit the reach and effectiveness of AI-driven solutions. Additionally, user trust in technology continues to be a substantial obstacle, with misinformation and skepticism about AI systems contributing to reluctance in adopting these tools.</w:t>
      </w:r>
    </w:p>
    <w:p w14:paraId="4E6C444E" w14:textId="77777777" w:rsidR="009B64BB" w:rsidRPr="00033C00" w:rsidRDefault="009B64BB" w:rsidP="009B64BB">
      <w:pPr>
        <w:pStyle w:val="NormalWeb"/>
        <w:spacing w:line="360" w:lineRule="auto"/>
        <w:jc w:val="both"/>
        <w:rPr>
          <w:rFonts w:ascii="Arial" w:hAnsi="Arial" w:cs="Arial"/>
          <w:sz w:val="20"/>
          <w:szCs w:val="20"/>
        </w:rPr>
      </w:pPr>
      <w:r w:rsidRPr="00033C00">
        <w:rPr>
          <w:rFonts w:ascii="Arial" w:hAnsi="Arial" w:cs="Arial"/>
          <w:sz w:val="20"/>
          <w:szCs w:val="20"/>
        </w:rPr>
        <w:lastRenderedPageBreak/>
        <w:t>Future research should prioritize the development of hybrid AI systems that combine rule-based approaches with machine learning to enhance natural language understanding (NLU) capabilities. It is also essential to explore offline chatbot solutions for regions with limited internet connectivity to ensure broader accessibility. Finally, conducting longitudinal studies will be crucial to measure the long-term impact of conversational agents on vaccine uptake and overall public health outcomes.</w:t>
      </w:r>
    </w:p>
    <w:p w14:paraId="2A855255" w14:textId="77777777" w:rsidR="009B64BB" w:rsidRPr="00033C00" w:rsidRDefault="009B64BB" w:rsidP="009B64BB">
      <w:pPr>
        <w:keepNext/>
        <w:jc w:val="both"/>
        <w:rPr>
          <w:rFonts w:ascii="Arial" w:hAnsi="Arial" w:cs="Arial"/>
        </w:rPr>
      </w:pPr>
      <w:r w:rsidRPr="00033C00">
        <w:rPr>
          <w:rFonts w:ascii="Arial" w:hAnsi="Arial" w:cs="Arial"/>
          <w:noProof/>
          <w:color w:val="000000" w:themeColor="text1"/>
        </w:rPr>
        <w:drawing>
          <wp:inline distT="0" distB="0" distL="0" distR="0" wp14:anchorId="5F3CAE58" wp14:editId="5E33034C">
            <wp:extent cx="5037529" cy="3619500"/>
            <wp:effectExtent l="0" t="0" r="0" b="0"/>
            <wp:docPr id="25" name="Picture 25" descr="C:\Users\obiut\OneDrive\Desktop\Pathway to Sustainable Chatbot Deployment in 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biut\OneDrive\Desktop\Pathway to Sustainable Chatbot Deployment in Afric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7529" cy="3619500"/>
                    </a:xfrm>
                    <a:prstGeom prst="rect">
                      <a:avLst/>
                    </a:prstGeom>
                    <a:noFill/>
                    <a:ln>
                      <a:noFill/>
                    </a:ln>
                  </pic:spPr>
                </pic:pic>
              </a:graphicData>
            </a:graphic>
          </wp:inline>
        </w:drawing>
      </w:r>
    </w:p>
    <w:p w14:paraId="57B4533B" w14:textId="77777777" w:rsidR="009B64BB" w:rsidRPr="00033C00" w:rsidRDefault="009B64BB" w:rsidP="009B64BB">
      <w:pPr>
        <w:pStyle w:val="Caption"/>
        <w:jc w:val="both"/>
        <w:rPr>
          <w:rFonts w:ascii="Arial" w:hAnsi="Arial" w:cs="Arial"/>
          <w:i w:val="0"/>
          <w:color w:val="000000" w:themeColor="text1"/>
          <w:sz w:val="20"/>
          <w:szCs w:val="20"/>
        </w:rPr>
      </w:pPr>
      <w:bookmarkStart w:id="32" w:name="_Ref186119195"/>
      <w:r w:rsidRPr="00033C00">
        <w:rPr>
          <w:rFonts w:ascii="Arial" w:hAnsi="Arial" w:cs="Arial"/>
          <w:i w:val="0"/>
          <w:color w:val="000000" w:themeColor="text1"/>
          <w:sz w:val="20"/>
          <w:szCs w:val="20"/>
        </w:rPr>
        <w:t xml:space="preserve">Figure </w:t>
      </w:r>
      <w:r w:rsidRPr="00033C00">
        <w:rPr>
          <w:rFonts w:ascii="Arial" w:hAnsi="Arial" w:cs="Arial"/>
          <w:i w:val="0"/>
          <w:color w:val="000000" w:themeColor="text1"/>
          <w:sz w:val="20"/>
          <w:szCs w:val="20"/>
        </w:rPr>
        <w:fldChar w:fldCharType="begin"/>
      </w:r>
      <w:r w:rsidRPr="00033C00">
        <w:rPr>
          <w:rFonts w:ascii="Arial" w:hAnsi="Arial" w:cs="Arial"/>
          <w:i w:val="0"/>
          <w:color w:val="000000" w:themeColor="text1"/>
          <w:sz w:val="20"/>
          <w:szCs w:val="20"/>
        </w:rPr>
        <w:instrText xml:space="preserve"> SEQ Figure \* ARABIC </w:instrText>
      </w:r>
      <w:r w:rsidRPr="00033C00">
        <w:rPr>
          <w:rFonts w:ascii="Arial" w:hAnsi="Arial" w:cs="Arial"/>
          <w:i w:val="0"/>
          <w:color w:val="000000" w:themeColor="text1"/>
          <w:sz w:val="20"/>
          <w:szCs w:val="20"/>
        </w:rPr>
        <w:fldChar w:fldCharType="separate"/>
      </w:r>
      <w:r w:rsidRPr="00033C00">
        <w:rPr>
          <w:rFonts w:ascii="Arial" w:hAnsi="Arial" w:cs="Arial"/>
          <w:i w:val="0"/>
          <w:noProof/>
          <w:color w:val="000000" w:themeColor="text1"/>
          <w:sz w:val="20"/>
          <w:szCs w:val="20"/>
        </w:rPr>
        <w:t>7</w:t>
      </w:r>
      <w:r w:rsidRPr="00033C00">
        <w:rPr>
          <w:rFonts w:ascii="Arial" w:hAnsi="Arial" w:cs="Arial"/>
          <w:i w:val="0"/>
          <w:color w:val="000000" w:themeColor="text1"/>
          <w:sz w:val="20"/>
          <w:szCs w:val="20"/>
        </w:rPr>
        <w:fldChar w:fldCharType="end"/>
      </w:r>
      <w:bookmarkEnd w:id="32"/>
      <w:r w:rsidRPr="00033C00">
        <w:rPr>
          <w:rFonts w:ascii="Arial" w:hAnsi="Arial" w:cs="Arial"/>
          <w:i w:val="0"/>
          <w:color w:val="000000" w:themeColor="text1"/>
          <w:sz w:val="20"/>
          <w:szCs w:val="20"/>
        </w:rPr>
        <w:t>: Pathway to Sustainable Chatbot Deployment in Africa</w:t>
      </w:r>
    </w:p>
    <w:p w14:paraId="3BE9DBCB"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Conversational agents offer a transformative solution to vaccine hesitancy in Nigeria and Africa by leveraging multimodal AI systems and localized approaches. These systems can significantly enhance vaccine literacy, build trust, and strengthen public health initiatives. Achieving these outcomes requires following key steps, as illustrated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w:t>
      </w:r>
    </w:p>
    <w:p w14:paraId="15A1E107"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Identifying linguistic and cultural needs is crucial to tailoring content for diverse languages and cultural contexts. Developing hybrid AI models that combine rule-based systems with machine learning ensures robust and context-aware performance. Incorporating multimodal features, such as text, voice, and visuals, increases accessibility and inclusivity. Testing and localizing systems through pilot studies in varied settings ensures they remain relevant and user-friendly. Building user trust and engagement through culturally appropriate messaging and transparent operations fosters greater acceptance. Finally, evaluating and iterating these systems based on user feedback and longitudinal studies enables continuous refinement and improvement.</w:t>
      </w:r>
    </w:p>
    <w:p w14:paraId="7E427AB1" w14:textId="77777777" w:rsidR="009B64BB" w:rsidRPr="00033C00" w:rsidRDefault="009B64BB" w:rsidP="009B64BB">
      <w:pPr>
        <w:pStyle w:val="NormalWeb"/>
        <w:spacing w:before="0" w:beforeAutospacing="0" w:after="0" w:afterAutospacing="0" w:line="360" w:lineRule="auto"/>
        <w:jc w:val="both"/>
        <w:rPr>
          <w:rFonts w:ascii="Arial" w:hAnsi="Arial" w:cs="Arial"/>
          <w:sz w:val="20"/>
          <w:szCs w:val="20"/>
        </w:rPr>
      </w:pPr>
      <w:r w:rsidRPr="00033C00">
        <w:rPr>
          <w:rFonts w:ascii="Arial" w:hAnsi="Arial" w:cs="Arial"/>
          <w:sz w:val="20"/>
          <w:szCs w:val="20"/>
        </w:rPr>
        <w:t xml:space="preserve">As shown in </w:t>
      </w:r>
      <w:r w:rsidRPr="00033C00">
        <w:rPr>
          <w:rFonts w:ascii="Arial" w:hAnsi="Arial" w:cs="Arial"/>
          <w:sz w:val="20"/>
          <w:szCs w:val="20"/>
        </w:rPr>
        <w:fldChar w:fldCharType="begin"/>
      </w:r>
      <w:r w:rsidRPr="00033C00">
        <w:rPr>
          <w:rFonts w:ascii="Arial" w:hAnsi="Arial" w:cs="Arial"/>
          <w:sz w:val="20"/>
          <w:szCs w:val="20"/>
        </w:rPr>
        <w:instrText xml:space="preserve"> REF _Ref186119195 \h  \* MERGEFORMAT </w:instrText>
      </w:r>
      <w:r w:rsidRPr="00033C00">
        <w:rPr>
          <w:rFonts w:ascii="Arial" w:hAnsi="Arial" w:cs="Arial"/>
          <w:sz w:val="20"/>
          <w:szCs w:val="20"/>
        </w:rPr>
      </w:r>
      <w:r w:rsidRPr="00033C00">
        <w:rPr>
          <w:rFonts w:ascii="Arial" w:hAnsi="Arial" w:cs="Arial"/>
          <w:sz w:val="20"/>
          <w:szCs w:val="20"/>
        </w:rPr>
        <w:fldChar w:fldCharType="separate"/>
      </w:r>
      <w:r w:rsidRPr="00033C00">
        <w:rPr>
          <w:rFonts w:ascii="Arial" w:hAnsi="Arial" w:cs="Arial"/>
          <w:color w:val="000000" w:themeColor="text1"/>
          <w:sz w:val="20"/>
          <w:szCs w:val="20"/>
        </w:rPr>
        <w:t xml:space="preserve">Figure </w:t>
      </w:r>
      <w:r w:rsidRPr="00033C00">
        <w:rPr>
          <w:rFonts w:ascii="Arial" w:hAnsi="Arial" w:cs="Arial"/>
          <w:noProof/>
          <w:color w:val="000000" w:themeColor="text1"/>
          <w:sz w:val="20"/>
          <w:szCs w:val="20"/>
        </w:rPr>
        <w:t>7</w:t>
      </w:r>
      <w:r w:rsidRPr="00033C00">
        <w:rPr>
          <w:rFonts w:ascii="Arial" w:hAnsi="Arial" w:cs="Arial"/>
          <w:sz w:val="20"/>
          <w:szCs w:val="20"/>
        </w:rPr>
        <w:fldChar w:fldCharType="end"/>
      </w:r>
      <w:r w:rsidRPr="00033C00">
        <w:rPr>
          <w:rFonts w:ascii="Arial" w:hAnsi="Arial" w:cs="Arial"/>
          <w:sz w:val="20"/>
          <w:szCs w:val="20"/>
        </w:rPr>
        <w:t xml:space="preserve">, collaboration among governments, NGOs, and technology providers is essential to overcoming linguistic, technological, and ethical challenges. Such coordinated efforts will ensure the </w:t>
      </w:r>
      <w:r w:rsidRPr="00033C00">
        <w:rPr>
          <w:rFonts w:ascii="Arial" w:hAnsi="Arial" w:cs="Arial"/>
          <w:sz w:val="20"/>
          <w:szCs w:val="20"/>
        </w:rPr>
        <w:lastRenderedPageBreak/>
        <w:t>scalable, ethical, and sustainable deployment of conversational agents, paving the way for inclusive and impactful AI-driven public health solutions.</w:t>
      </w:r>
    </w:p>
    <w:p w14:paraId="7B737A62" w14:textId="77777777" w:rsidR="009B64BB" w:rsidRPr="00033C00" w:rsidRDefault="009B64BB" w:rsidP="009B64BB">
      <w:pPr>
        <w:jc w:val="both"/>
        <w:rPr>
          <w:rFonts w:ascii="Times New Roman" w:hAnsi="Times New Roman"/>
          <w:b/>
          <w:color w:val="000000" w:themeColor="text1"/>
          <w:sz w:val="24"/>
          <w:szCs w:val="24"/>
        </w:rPr>
      </w:pPr>
    </w:p>
    <w:p w14:paraId="71251DA6" w14:textId="77777777" w:rsidR="00033C00" w:rsidRPr="00033C00" w:rsidRDefault="00033C00" w:rsidP="00033C00">
      <w:pPr>
        <w:pStyle w:val="Heading4"/>
        <w:spacing w:before="0"/>
        <w:jc w:val="both"/>
        <w:rPr>
          <w:rFonts w:ascii="Times New Roman" w:hAnsi="Times New Roman" w:cs="Times New Roman"/>
          <w:i w:val="0"/>
          <w:color w:val="000000" w:themeColor="text1"/>
          <w:sz w:val="24"/>
          <w:szCs w:val="20"/>
        </w:rPr>
      </w:pPr>
    </w:p>
    <w:p w14:paraId="37EF65FC" w14:textId="77777777" w:rsidR="00033C00" w:rsidRPr="00033C00" w:rsidRDefault="00033C00" w:rsidP="00033C00">
      <w:pPr>
        <w:pStyle w:val="Heading4"/>
        <w:spacing w:before="0"/>
        <w:jc w:val="both"/>
        <w:rPr>
          <w:rFonts w:ascii="Arial" w:hAnsi="Arial" w:cs="Arial"/>
          <w:b/>
          <w:i w:val="0"/>
          <w:color w:val="000000" w:themeColor="text1"/>
          <w:sz w:val="20"/>
          <w:szCs w:val="16"/>
        </w:rPr>
      </w:pPr>
      <w:r w:rsidRPr="00033C00">
        <w:rPr>
          <w:rFonts w:ascii="Arial" w:hAnsi="Arial" w:cs="Arial"/>
          <w:b/>
          <w:i w:val="0"/>
          <w:color w:val="000000" w:themeColor="text1"/>
          <w:sz w:val="20"/>
          <w:szCs w:val="16"/>
        </w:rPr>
        <w:t>Conflicts of Interest</w:t>
      </w:r>
    </w:p>
    <w:p w14:paraId="762857F9" w14:textId="77777777" w:rsidR="00033C00" w:rsidRPr="00033C00" w:rsidRDefault="00033C00" w:rsidP="00033C00">
      <w:pPr>
        <w:spacing w:line="276" w:lineRule="auto"/>
        <w:jc w:val="both"/>
        <w:rPr>
          <w:rFonts w:ascii="Arial" w:hAnsi="Arial" w:cs="Arial"/>
          <w:b/>
          <w:color w:val="000000" w:themeColor="text1"/>
          <w:szCs w:val="16"/>
        </w:rPr>
      </w:pPr>
      <w:r w:rsidRPr="00033C00">
        <w:rPr>
          <w:rFonts w:ascii="Arial" w:hAnsi="Arial" w:cs="Arial"/>
          <w:color w:val="000000" w:themeColor="text1"/>
          <w:szCs w:val="16"/>
        </w:rPr>
        <w:t>The authors declare no conflict of interest related to the publication of this review article. All aspects of the study were conducted with academic integrity, and there were no financial or personal relationships that could have influenced the outcomes of this research.</w:t>
      </w:r>
    </w:p>
    <w:p w14:paraId="04C3ED16" w14:textId="77777777" w:rsidR="00033C00" w:rsidRPr="00033C00" w:rsidRDefault="00033C00" w:rsidP="00033C00">
      <w:pPr>
        <w:jc w:val="both"/>
        <w:rPr>
          <w:rFonts w:ascii="Times New Roman" w:hAnsi="Times New Roman"/>
          <w:b/>
          <w:color w:val="000000" w:themeColor="text1"/>
          <w:sz w:val="24"/>
          <w:szCs w:val="24"/>
        </w:rPr>
      </w:pPr>
    </w:p>
    <w:p w14:paraId="1646B460" w14:textId="77777777" w:rsidR="00033C00" w:rsidRPr="00033C00" w:rsidRDefault="00033C00" w:rsidP="009B64BB">
      <w:pPr>
        <w:jc w:val="both"/>
        <w:rPr>
          <w:rFonts w:ascii="Times New Roman" w:hAnsi="Times New Roman"/>
          <w:b/>
          <w:color w:val="000000" w:themeColor="text1"/>
          <w:sz w:val="24"/>
          <w:szCs w:val="24"/>
        </w:rPr>
      </w:pPr>
    </w:p>
    <w:p w14:paraId="40FA7A51" w14:textId="77777777" w:rsidR="00033C00" w:rsidRPr="00033C00" w:rsidRDefault="00033C00" w:rsidP="009B64BB">
      <w:pPr>
        <w:jc w:val="both"/>
        <w:rPr>
          <w:rFonts w:ascii="Times New Roman" w:hAnsi="Times New Roman"/>
          <w:b/>
          <w:color w:val="000000" w:themeColor="text1"/>
          <w:sz w:val="24"/>
          <w:szCs w:val="24"/>
        </w:rPr>
      </w:pPr>
    </w:p>
    <w:p w14:paraId="4FB490E0" w14:textId="77777777" w:rsidR="00315186" w:rsidRPr="00033C00" w:rsidRDefault="00315186" w:rsidP="00441B6F"/>
    <w:p w14:paraId="4BE4FC54" w14:textId="77777777" w:rsidR="007E1E3B" w:rsidRPr="007E1E3B" w:rsidRDefault="007E1E3B" w:rsidP="007E1E3B">
      <w:pPr>
        <w:spacing w:after="200" w:line="276" w:lineRule="auto"/>
        <w:jc w:val="both"/>
        <w:outlineLvl w:val="0"/>
        <w:rPr>
          <w:rFonts w:ascii="Arial" w:eastAsiaTheme="minorEastAsia" w:hAnsi="Arial" w:cs="Arial"/>
          <w:sz w:val="22"/>
          <w:szCs w:val="22"/>
          <w:lang w:val="en-GB" w:eastAsia="en-GB"/>
        </w:rPr>
      </w:pPr>
      <w:r w:rsidRPr="007E1E3B">
        <w:rPr>
          <w:rFonts w:ascii="Arial" w:eastAsiaTheme="minorEastAsia" w:hAnsi="Arial" w:cs="Arial"/>
          <w:b/>
          <w:bCs/>
          <w:sz w:val="22"/>
          <w:szCs w:val="22"/>
          <w:lang w:val="en-GB" w:eastAsia="en-GB"/>
        </w:rPr>
        <w:t>COMPETING INTERESTS DISCLAIMER:</w:t>
      </w:r>
    </w:p>
    <w:p w14:paraId="2AB0EE7F" w14:textId="77777777" w:rsidR="007E1E3B" w:rsidRPr="007E1E3B" w:rsidRDefault="007E1E3B" w:rsidP="007E1E3B">
      <w:pPr>
        <w:spacing w:after="200" w:line="276" w:lineRule="auto"/>
        <w:rPr>
          <w:rFonts w:asciiTheme="minorHAnsi" w:eastAsiaTheme="minorEastAsia" w:hAnsiTheme="minorHAnsi" w:cstheme="minorBidi"/>
          <w:sz w:val="22"/>
          <w:szCs w:val="22"/>
          <w:lang w:val="en-GB" w:eastAsia="en-GB"/>
        </w:rPr>
      </w:pPr>
      <w:r w:rsidRPr="007E1E3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D26C0D5" w14:textId="77777777" w:rsidR="00315186" w:rsidRPr="00033C00" w:rsidRDefault="00315186" w:rsidP="00441B6F"/>
    <w:p w14:paraId="6FE08049" w14:textId="77777777" w:rsidR="00860000" w:rsidRPr="00033C00" w:rsidRDefault="00860000" w:rsidP="00441B6F">
      <w:pPr>
        <w:pStyle w:val="ReferHead"/>
        <w:spacing w:after="0"/>
        <w:jc w:val="both"/>
        <w:rPr>
          <w:rFonts w:ascii="Arial" w:hAnsi="Arial" w:cs="Arial"/>
        </w:rPr>
      </w:pPr>
    </w:p>
    <w:p w14:paraId="12A66B55" w14:textId="77777777" w:rsidR="00B01FCD" w:rsidRPr="00033C00" w:rsidRDefault="00B01FCD" w:rsidP="00441B6F">
      <w:pPr>
        <w:pStyle w:val="ReferHead"/>
        <w:spacing w:after="0"/>
        <w:jc w:val="both"/>
        <w:rPr>
          <w:rFonts w:ascii="Arial" w:hAnsi="Arial" w:cs="Arial"/>
        </w:rPr>
      </w:pPr>
      <w:r w:rsidRPr="00033C00">
        <w:rPr>
          <w:rFonts w:ascii="Arial" w:hAnsi="Arial" w:cs="Arial"/>
        </w:rPr>
        <w:t>References</w:t>
      </w:r>
    </w:p>
    <w:p w14:paraId="28C22DE5" w14:textId="77777777" w:rsidR="00284C4C" w:rsidRPr="00033C00" w:rsidRDefault="00284C4C" w:rsidP="00441B6F">
      <w:pPr>
        <w:pStyle w:val="Body"/>
        <w:spacing w:after="0"/>
        <w:rPr>
          <w:rFonts w:ascii="Arial" w:hAnsi="Arial" w:cs="Arial"/>
          <w:i/>
          <w:u w:val="single"/>
        </w:rPr>
      </w:pPr>
    </w:p>
    <w:sectPr w:rsidR="00284C4C" w:rsidRPr="00033C00" w:rsidSect="00872CBD">
      <w:headerReference w:type="even" r:id="rId40"/>
      <w:headerReference w:type="default" r:id="rId41"/>
      <w:footerReference w:type="default" r:id="rId42"/>
      <w:headerReference w:type="first" r:id="rId43"/>
      <w:endnotePr>
        <w:numFmt w:val="decimal"/>
      </w:endnotePr>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User" w:date="2025-10-27T05:42:00Z" w:initials="U">
    <w:p w14:paraId="53C39207" w14:textId="4F5C465F" w:rsidR="00307FF0" w:rsidRDefault="00307FF0">
      <w:pPr>
        <w:pStyle w:val="CommentText"/>
      </w:pPr>
      <w:r>
        <w:rPr>
          <w:rStyle w:val="CommentReference"/>
        </w:rPr>
        <w:annotationRef/>
      </w:r>
      <w:r>
        <w:t>Add space between reference and word in all documents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C3920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1EC8A" w14:textId="77777777" w:rsidR="00E46E25" w:rsidRDefault="00E46E25" w:rsidP="00C37E61">
      <w:r>
        <w:separator/>
      </w:r>
    </w:p>
  </w:endnote>
  <w:endnote w:type="continuationSeparator" w:id="0">
    <w:p w14:paraId="70517A29" w14:textId="77777777" w:rsidR="00E46E25" w:rsidRDefault="00E46E25" w:rsidP="00C37E61">
      <w:r>
        <w:continuationSeparator/>
      </w:r>
    </w:p>
  </w:endnote>
  <w:endnote w:id="1">
    <w:p w14:paraId="385C1F7D" w14:textId="77777777" w:rsidR="009B64BB" w:rsidRPr="00033C00" w:rsidRDefault="009B64BB" w:rsidP="009B64BB">
      <w:pPr>
        <w:pStyle w:val="EndnoteText"/>
        <w:spacing w:after="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Li, W., Sewolo, F., Aoun, A., Boltena, M. T., Musad, A., Lindstrand, A., ... &amp; El-Khatib, Z. (2025). Characteristics of Studies Focusing on Vaccine Series Completion Among Children Aged 12–23 Months in Sub-Saharan Africa: A Scoping Review. </w:t>
      </w:r>
      <w:r w:rsidRPr="00033C00">
        <w:rPr>
          <w:rFonts w:ascii="Arial" w:hAnsi="Arial" w:cs="Arial"/>
          <w:i/>
          <w:iCs/>
        </w:rPr>
        <w:t>Children</w:t>
      </w:r>
      <w:r w:rsidRPr="00033C00">
        <w:rPr>
          <w:rFonts w:ascii="Arial" w:hAnsi="Arial" w:cs="Arial"/>
        </w:rPr>
        <w:t xml:space="preserve">, </w:t>
      </w:r>
      <w:r w:rsidRPr="00033C00">
        <w:rPr>
          <w:rFonts w:ascii="Arial" w:hAnsi="Arial" w:cs="Arial"/>
          <w:i/>
          <w:iCs/>
        </w:rPr>
        <w:t>12</w:t>
      </w:r>
      <w:r w:rsidRPr="00033C00">
        <w:rPr>
          <w:rFonts w:ascii="Arial" w:hAnsi="Arial" w:cs="Arial"/>
        </w:rPr>
        <w:t xml:space="preserve">(4), 415. </w:t>
      </w:r>
    </w:p>
  </w:endnote>
  <w:endnote w:id="2">
    <w:p w14:paraId="4130DB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Okesanya, O. J., Olatunji, G., Olaleke, N. O., Mercy, M. O., Ilesanmi, A. O., Kayode, H. H., ... &amp; Lucero-Prisno III, D. E. (2024). Advancing Immunization in Africa: Overcoming Challenges to Achieve the 2030 Global Immunization Targets. </w:t>
      </w:r>
      <w:r w:rsidRPr="00033C00">
        <w:rPr>
          <w:rFonts w:ascii="Arial" w:hAnsi="Arial" w:cs="Arial"/>
          <w:i/>
          <w:iCs/>
        </w:rPr>
        <w:t>Adolescent Health, Medicine and Therapeutics</w:t>
      </w:r>
      <w:r w:rsidRPr="00033C00">
        <w:rPr>
          <w:rFonts w:ascii="Arial" w:hAnsi="Arial" w:cs="Arial"/>
        </w:rPr>
        <w:t>, 83-91.</w:t>
      </w:r>
    </w:p>
  </w:endnote>
  <w:endnote w:id="3">
    <w:p w14:paraId="0A521C0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Abdaal, K., Batool, A., Navid, M. T., Ahmed, S., Qazi, A. S., Safdar, W., ... &amp; Rafaqat, S. (2024). Advancements in vaccination strategies: from historical milestones to modern innovations in viral disease prevention and public health. </w:t>
      </w:r>
      <w:r w:rsidRPr="00033C00">
        <w:rPr>
          <w:rFonts w:ascii="Arial" w:hAnsi="Arial" w:cs="Arial"/>
          <w:i/>
          <w:iCs/>
        </w:rPr>
        <w:t>Res J. Vet. Pract</w:t>
      </w:r>
      <w:r w:rsidRPr="00033C00">
        <w:rPr>
          <w:rFonts w:ascii="Arial" w:hAnsi="Arial" w:cs="Arial"/>
        </w:rPr>
        <w:t xml:space="preserve">, </w:t>
      </w:r>
      <w:r w:rsidRPr="00033C00">
        <w:rPr>
          <w:rFonts w:ascii="Arial" w:hAnsi="Arial" w:cs="Arial"/>
          <w:i/>
          <w:iCs/>
        </w:rPr>
        <w:t>12</w:t>
      </w:r>
      <w:r w:rsidRPr="00033C00">
        <w:rPr>
          <w:rFonts w:ascii="Arial" w:hAnsi="Arial" w:cs="Arial"/>
        </w:rPr>
        <w:t>(1), 11-21.</w:t>
      </w:r>
    </w:p>
  </w:endnote>
  <w:endnote w:id="4">
    <w:p w14:paraId="0B094EF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Carter, A., Msemburi, W., Sim, S. Y., Gaythorpe, K. A., Lambach, P., Lindstrand, A., &amp; Hutubessy, R. (2024). Modeling the impact of vaccination for the immunization Agenda 2030: Deaths averted due to vaccination against 14 pathogens in 194 countries from 2021 to 2030.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42</w:t>
      </w:r>
      <w:r w:rsidRPr="00033C00">
        <w:rPr>
          <w:rFonts w:ascii="Arial" w:hAnsi="Arial" w:cs="Arial"/>
        </w:rPr>
        <w:t>, S28-S37.</w:t>
      </w:r>
    </w:p>
  </w:endnote>
  <w:endnote w:id="5">
    <w:p w14:paraId="7F275C8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Baidya, A., Willens, V., Wonodi, C., &amp; Moss, W. J. (2024). Maintaining Immunizations for Vaccine-Preventable Diseases in a Changing World. </w:t>
      </w:r>
      <w:r w:rsidRPr="00033C00">
        <w:rPr>
          <w:rFonts w:ascii="Arial" w:hAnsi="Arial" w:cs="Arial"/>
          <w:i/>
          <w:iCs/>
        </w:rPr>
        <w:t>Annual Review of Public Health</w:t>
      </w:r>
      <w:r w:rsidRPr="00033C00">
        <w:rPr>
          <w:rFonts w:ascii="Arial" w:hAnsi="Arial" w:cs="Arial"/>
        </w:rPr>
        <w:t xml:space="preserve">, </w:t>
      </w:r>
      <w:r w:rsidRPr="00033C00">
        <w:rPr>
          <w:rFonts w:ascii="Arial" w:hAnsi="Arial" w:cs="Arial"/>
          <w:i/>
          <w:iCs/>
        </w:rPr>
        <w:t>46</w:t>
      </w:r>
      <w:r w:rsidRPr="00033C00">
        <w:rPr>
          <w:rFonts w:ascii="Arial" w:hAnsi="Arial" w:cs="Arial"/>
        </w:rPr>
        <w:t>.</w:t>
      </w:r>
    </w:p>
  </w:endnote>
  <w:endnote w:id="6">
    <w:p w14:paraId="241692F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Baidya, A., Willens, V., Wonodi, C., &amp; Moss, W. J. (2024). Maintaining Immunizations for Vaccine-Preventable Diseases in a Changing World. </w:t>
      </w:r>
      <w:r w:rsidRPr="00033C00">
        <w:rPr>
          <w:rFonts w:ascii="Arial" w:hAnsi="Arial" w:cs="Arial"/>
          <w:i/>
          <w:iCs/>
        </w:rPr>
        <w:t>Annual Review of Public Health</w:t>
      </w:r>
      <w:r w:rsidRPr="00033C00">
        <w:rPr>
          <w:rFonts w:ascii="Arial" w:hAnsi="Arial" w:cs="Arial"/>
        </w:rPr>
        <w:t xml:space="preserve">, </w:t>
      </w:r>
      <w:r w:rsidRPr="00033C00">
        <w:rPr>
          <w:rFonts w:ascii="Arial" w:hAnsi="Arial" w:cs="Arial"/>
          <w:i/>
          <w:iCs/>
        </w:rPr>
        <w:t>46</w:t>
      </w:r>
      <w:r w:rsidRPr="00033C00">
        <w:rPr>
          <w:rFonts w:ascii="Arial" w:hAnsi="Arial" w:cs="Arial"/>
        </w:rPr>
        <w:t>.</w:t>
      </w:r>
    </w:p>
  </w:endnote>
  <w:endnote w:id="7">
    <w:p w14:paraId="111116C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Etowa, J., Beauchamp, S., Fseifes, M., Osandatuwa, G., Brenneman, P., Salam-Alada, K., ... &amp; Cole, V. (2024). Understanding Low Vaccine Uptake in the Context of Public Health in High-Income Countries: A Scoping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(3), 269.</w:t>
      </w:r>
    </w:p>
  </w:endnote>
  <w:endnote w:id="8">
    <w:p w14:paraId="57A38C3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Sinumvayo, J. P., Munezero, P. C., Tope, A. T., Adeyemo, R. O., Bale, M. I., Mutsaka-Makuvaza, M. J., ... &amp; Adedeji, A. A. (2024). Vaccination and vaccine-preventable diseases in Africa. </w:t>
      </w:r>
      <w:r w:rsidRPr="00033C00">
        <w:rPr>
          <w:rFonts w:ascii="Arial" w:hAnsi="Arial" w:cs="Arial"/>
          <w:i/>
          <w:iCs/>
        </w:rPr>
        <w:t>Scientific African</w:t>
      </w:r>
      <w:r w:rsidRPr="00033C00">
        <w:rPr>
          <w:rFonts w:ascii="Arial" w:hAnsi="Arial" w:cs="Arial"/>
        </w:rPr>
        <w:t>, e02199.</w:t>
      </w:r>
    </w:p>
  </w:endnote>
  <w:endnote w:id="9">
    <w:p w14:paraId="3847BFA0"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Cosma, C., Radi, A., Cattano, R., Zanobini,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10">
    <w:p w14:paraId="338F313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Kumari, G., &amp; Dana, L. P. (2025). The Beneficence of Folk Art On Socio-cultural Psychology Amid COVID-19. </w:t>
      </w:r>
      <w:r w:rsidRPr="00033C00">
        <w:rPr>
          <w:rFonts w:ascii="Arial" w:hAnsi="Arial" w:cs="Arial"/>
          <w:i/>
          <w:iCs/>
        </w:rPr>
        <w:t>Journal of Rural and Community Development</w:t>
      </w:r>
      <w:r w:rsidRPr="00033C00">
        <w:rPr>
          <w:rFonts w:ascii="Arial" w:hAnsi="Arial" w:cs="Arial"/>
        </w:rPr>
        <w:t xml:space="preserve">, </w:t>
      </w:r>
      <w:r w:rsidRPr="00033C00">
        <w:rPr>
          <w:rFonts w:ascii="Arial" w:hAnsi="Arial" w:cs="Arial"/>
          <w:i/>
          <w:iCs/>
        </w:rPr>
        <w:t>20</w:t>
      </w:r>
      <w:r w:rsidRPr="00033C00">
        <w:rPr>
          <w:rFonts w:ascii="Arial" w:hAnsi="Arial" w:cs="Arial"/>
        </w:rPr>
        <w:t xml:space="preserve">(1). </w:t>
      </w:r>
    </w:p>
  </w:endnote>
  <w:endnote w:id="11">
    <w:p w14:paraId="175F1D5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Chow, J. C. (2025). Quantum Computing and Machine Learning in Medical Decision-Making: A Comprehensive Review. </w:t>
      </w:r>
      <w:r w:rsidRPr="00033C00">
        <w:rPr>
          <w:rFonts w:ascii="Arial" w:hAnsi="Arial" w:cs="Arial"/>
          <w:i/>
          <w:iCs/>
        </w:rPr>
        <w:t>Algorithms</w:t>
      </w:r>
      <w:r w:rsidRPr="00033C00">
        <w:rPr>
          <w:rFonts w:ascii="Arial" w:hAnsi="Arial" w:cs="Arial"/>
        </w:rPr>
        <w:t xml:space="preserve">, </w:t>
      </w:r>
      <w:r w:rsidRPr="00033C00">
        <w:rPr>
          <w:rFonts w:ascii="Arial" w:hAnsi="Arial" w:cs="Arial"/>
          <w:i/>
          <w:iCs/>
        </w:rPr>
        <w:t>18</w:t>
      </w:r>
      <w:r w:rsidRPr="00033C00">
        <w:rPr>
          <w:rFonts w:ascii="Arial" w:hAnsi="Arial" w:cs="Arial"/>
        </w:rPr>
        <w:t>(3), 156.</w:t>
      </w:r>
    </w:p>
  </w:endnote>
  <w:endnote w:id="12">
    <w:p w14:paraId="36F6363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Gayathri, S., Pradeep, M. S., &amp; Prasad, N. S. S. L. V. (2025, February). MANAS: Integrating Advanced AI for Personalized Mental Health Support, Crisis Intervention, and Medical Insights. In </w:t>
      </w:r>
      <w:r w:rsidRPr="00033C00">
        <w:rPr>
          <w:rFonts w:ascii="Arial" w:hAnsi="Arial" w:cs="Arial"/>
          <w:i/>
          <w:iCs/>
        </w:rPr>
        <w:t>2025 3rd International Conference on Intelligent Data Communication Technologies and Internet of Things (IDCIoT)</w:t>
      </w:r>
      <w:r w:rsidRPr="00033C00">
        <w:rPr>
          <w:rFonts w:ascii="Arial" w:hAnsi="Arial" w:cs="Arial"/>
        </w:rPr>
        <w:t xml:space="preserve"> (pp. 2253-2262). IEEE.</w:t>
      </w:r>
    </w:p>
  </w:endnote>
  <w:endnote w:id="13">
    <w:p w14:paraId="1E8B26D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Ma, Y., Lessard, D., Schuster, T., Engler, K., &amp; Lebouché,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14">
    <w:p w14:paraId="5B5CC7F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Siddiqi, D. A., Miraj, F., Raza, H., Hussain, O. A., Munir, M., Dharma, V. K., ... &amp; Chandir, S. (2024). Development and feasibility testing of an artificially intelligent chatbot to answer immunization-related queries of caregivers in Pakistan: A mixed-methods study. </w:t>
      </w:r>
      <w:r w:rsidRPr="00033C00">
        <w:rPr>
          <w:rFonts w:ascii="Arial" w:hAnsi="Arial" w:cs="Arial"/>
          <w:i/>
          <w:iCs/>
        </w:rPr>
        <w:t>International Journal of Medical Informatics</w:t>
      </w:r>
      <w:r w:rsidRPr="00033C00">
        <w:rPr>
          <w:rFonts w:ascii="Arial" w:hAnsi="Arial" w:cs="Arial"/>
        </w:rPr>
        <w:t xml:space="preserve">, </w:t>
      </w:r>
      <w:r w:rsidRPr="00033C00">
        <w:rPr>
          <w:rFonts w:ascii="Arial" w:hAnsi="Arial" w:cs="Arial"/>
          <w:i/>
          <w:iCs/>
        </w:rPr>
        <w:t>181</w:t>
      </w:r>
      <w:r w:rsidRPr="00033C00">
        <w:rPr>
          <w:rFonts w:ascii="Arial" w:hAnsi="Arial" w:cs="Arial"/>
        </w:rPr>
        <w:t>, 105288.</w:t>
      </w:r>
    </w:p>
  </w:endnote>
  <w:endnote w:id="15">
    <w:p w14:paraId="116F1BE1"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Pennisi, F., Genovese, C., &amp; Gianfredi, V. (2024). Lessons from the COVID-19 Pandemic: Promoting Vaccination and Public Health Resilience, a Narrative Review.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891.</w:t>
      </w:r>
    </w:p>
  </w:endnote>
  <w:endnote w:id="16">
    <w:p w14:paraId="6E8D4A7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Anmella, G., Sanabra, M., Primé-Tous, M., Segú, X., Cavero, M., Morilla, I., ... &amp; Hidalgo-Mazzei, D. (2023). Vickybot, a chatbot for anxiety-depressive symptoms and work-related burnout in primary care and health care professionals: development, feasibility, and potential effectiveness studies.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e43293.</w:t>
      </w:r>
    </w:p>
  </w:endnote>
  <w:endnote w:id="17">
    <w:p w14:paraId="3D6EE59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Nwabueze, Eudorah Amarachi, and Gladys Abiodun. "The Evolution of Mass Communication in the Age of AI: Opportunities and Challenges." </w:t>
      </w:r>
      <w:r w:rsidRPr="00033C00">
        <w:rPr>
          <w:rFonts w:ascii="Arial" w:hAnsi="Arial" w:cs="Arial"/>
          <w:i/>
          <w:iCs/>
        </w:rPr>
        <w:t>Available at SSRN 5219267</w:t>
      </w:r>
      <w:r w:rsidRPr="00033C00">
        <w:rPr>
          <w:rFonts w:ascii="Arial" w:hAnsi="Arial" w:cs="Arial"/>
        </w:rPr>
        <w:t xml:space="preserve"> (2025).</w:t>
      </w:r>
    </w:p>
  </w:endnote>
  <w:endnote w:id="18">
    <w:p w14:paraId="626A9F68"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Sufi, F., &amp; Alsulami, M. (2025). Unmasking Media Bias, Economic Resilience, and the Hidden Patterns of Global Catastrophes.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17</w:t>
      </w:r>
      <w:r w:rsidRPr="00033C00">
        <w:rPr>
          <w:rFonts w:ascii="Arial" w:hAnsi="Arial" w:cs="Arial"/>
        </w:rPr>
        <w:t>(9), 3951.</w:t>
      </w:r>
    </w:p>
  </w:endnote>
  <w:endnote w:id="19">
    <w:p w14:paraId="2F72328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Miftari Basholli, F., Haxhiu, E., Humolli, I., Berisha, M., Nielsen, S. M., &amp; Warsi, S. K. (2025). Rapid Development of a Theory-Based Targeted Intervention and Communication Plan for HPV Vaccine Introduction in Kosovo Using the Behaviour Change Wheel Model.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13</w:t>
      </w:r>
      <w:r w:rsidRPr="00033C00">
        <w:rPr>
          <w:rFonts w:ascii="Arial" w:hAnsi="Arial" w:cs="Arial"/>
        </w:rPr>
        <w:t>(8), 848.</w:t>
      </w:r>
    </w:p>
  </w:endnote>
  <w:endnote w:id="20">
    <w:p w14:paraId="4B09EF9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Hembade, S. C., Yelikar, B. V., Mahadik, R. V., Ayarekar, S., Desai, S., &amp; Yadav, J. S. (2025). Mapping Administrative Models for Cost Effective Microinsurance Delivery to Rural Farmers. </w:t>
      </w:r>
      <w:r w:rsidRPr="00033C00">
        <w:rPr>
          <w:rFonts w:ascii="Arial" w:hAnsi="Arial" w:cs="Arial"/>
          <w:i/>
          <w:iCs/>
        </w:rPr>
        <w:t>Enterprise Development &amp; Microfinance</w:t>
      </w:r>
      <w:r w:rsidRPr="00033C00">
        <w:rPr>
          <w:rFonts w:ascii="Arial" w:hAnsi="Arial" w:cs="Arial"/>
        </w:rPr>
        <w:t xml:space="preserve">, </w:t>
      </w:r>
      <w:r w:rsidRPr="00033C00">
        <w:rPr>
          <w:rFonts w:ascii="Arial" w:hAnsi="Arial" w:cs="Arial"/>
          <w:i/>
          <w:iCs/>
        </w:rPr>
        <w:t>35</w:t>
      </w:r>
      <w:r w:rsidRPr="00033C00">
        <w:rPr>
          <w:rFonts w:ascii="Arial" w:hAnsi="Arial" w:cs="Arial"/>
        </w:rPr>
        <w:t>(1), 177-187.</w:t>
      </w:r>
    </w:p>
  </w:endnote>
  <w:endnote w:id="21">
    <w:p w14:paraId="573844D2"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Ekechi, C. C., Chukwurah, E. G., Oyeniyi, L. D., &amp; Okeke, C. D. (2024). AI-infused chatbots for customer support: a cross-country evaluation of user satisfaction in the USA and the UK. </w:t>
      </w:r>
      <w:r w:rsidRPr="00033C00">
        <w:rPr>
          <w:rFonts w:ascii="Arial" w:hAnsi="Arial" w:cs="Arial"/>
          <w:i/>
          <w:iCs/>
        </w:rPr>
        <w:t>International Journal of Management &amp; Entrepreneurship Research</w:t>
      </w:r>
      <w:r w:rsidRPr="00033C00">
        <w:rPr>
          <w:rFonts w:ascii="Arial" w:hAnsi="Arial" w:cs="Arial"/>
        </w:rPr>
        <w:t xml:space="preserve">, </w:t>
      </w:r>
      <w:r w:rsidRPr="00033C00">
        <w:rPr>
          <w:rFonts w:ascii="Arial" w:hAnsi="Arial" w:cs="Arial"/>
          <w:i/>
          <w:iCs/>
        </w:rPr>
        <w:t>6</w:t>
      </w:r>
      <w:r w:rsidRPr="00033C00">
        <w:rPr>
          <w:rFonts w:ascii="Arial" w:hAnsi="Arial" w:cs="Arial"/>
        </w:rPr>
        <w:t>(4), 1259-1272.</w:t>
      </w:r>
    </w:p>
  </w:endnote>
  <w:endnote w:id="22">
    <w:p w14:paraId="24B520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Li, Y., Zhou, X., &amp; Chiu, T. K. (2025). Systematics review on artificial intelligence chatbots and ChatGPT for language learning and research from self-determination theory (SDT): what are the roles of teachers?. </w:t>
      </w:r>
      <w:r w:rsidRPr="00033C00">
        <w:rPr>
          <w:rFonts w:ascii="Arial" w:hAnsi="Arial" w:cs="Arial"/>
          <w:i/>
          <w:iCs/>
        </w:rPr>
        <w:t>Interactive Learning Environments</w:t>
      </w:r>
      <w:r w:rsidRPr="00033C00">
        <w:rPr>
          <w:rFonts w:ascii="Arial" w:hAnsi="Arial" w:cs="Arial"/>
        </w:rPr>
        <w:t xml:space="preserve">, </w:t>
      </w:r>
      <w:r w:rsidRPr="00033C00">
        <w:rPr>
          <w:rFonts w:ascii="Arial" w:hAnsi="Arial" w:cs="Arial"/>
          <w:i/>
          <w:iCs/>
        </w:rPr>
        <w:t>33</w:t>
      </w:r>
      <w:r w:rsidRPr="00033C00">
        <w:rPr>
          <w:rFonts w:ascii="Arial" w:hAnsi="Arial" w:cs="Arial"/>
        </w:rPr>
        <w:t>(3), 1850-1864.</w:t>
      </w:r>
    </w:p>
  </w:endnote>
  <w:endnote w:id="23">
    <w:p w14:paraId="53ACC423"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Zheng, H., Dong, H., &amp; Zhao, H. (2025). Trends and advances in ChatGPT applications in ophthalmology. </w:t>
      </w:r>
      <w:r w:rsidRPr="00033C00">
        <w:rPr>
          <w:rFonts w:ascii="Arial" w:hAnsi="Arial" w:cs="Arial"/>
          <w:i/>
          <w:iCs/>
        </w:rPr>
        <w:t>Journal Français d'Ophtalmologie</w:t>
      </w:r>
      <w:r w:rsidRPr="00033C00">
        <w:rPr>
          <w:rFonts w:ascii="Arial" w:hAnsi="Arial" w:cs="Arial"/>
        </w:rPr>
        <w:t xml:space="preserve">, </w:t>
      </w:r>
      <w:r w:rsidRPr="00033C00">
        <w:rPr>
          <w:rFonts w:ascii="Arial" w:hAnsi="Arial" w:cs="Arial"/>
          <w:i/>
          <w:iCs/>
        </w:rPr>
        <w:t>48</w:t>
      </w:r>
      <w:r w:rsidRPr="00033C00">
        <w:rPr>
          <w:rFonts w:ascii="Arial" w:hAnsi="Arial" w:cs="Arial"/>
        </w:rPr>
        <w:t>(8), 104622.</w:t>
      </w:r>
    </w:p>
  </w:endnote>
  <w:endnote w:id="24">
    <w:p w14:paraId="25ED534D" w14:textId="77777777" w:rsidR="009B64BB" w:rsidRPr="00033C00" w:rsidRDefault="009B64BB" w:rsidP="009B64BB">
      <w:pPr>
        <w:ind w:left="720" w:hanging="720"/>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Gong, Z., &amp; Su, L. Y. F. (2025). Exploring the influence of interactive and empathetic chatbots on health misinformation correction and vaccination intentions. </w:t>
      </w:r>
      <w:r w:rsidRPr="00033C00">
        <w:rPr>
          <w:rFonts w:ascii="Arial" w:hAnsi="Arial" w:cs="Arial"/>
          <w:i/>
          <w:iCs/>
        </w:rPr>
        <w:t>Science Communication</w:t>
      </w:r>
      <w:r w:rsidRPr="00033C00">
        <w:rPr>
          <w:rFonts w:ascii="Arial" w:hAnsi="Arial" w:cs="Arial"/>
        </w:rPr>
        <w:t xml:space="preserve">, </w:t>
      </w:r>
      <w:r w:rsidRPr="00033C00">
        <w:rPr>
          <w:rFonts w:ascii="Arial" w:hAnsi="Arial" w:cs="Arial"/>
          <w:i/>
          <w:iCs/>
        </w:rPr>
        <w:t>47</w:t>
      </w:r>
      <w:r w:rsidRPr="00033C00">
        <w:rPr>
          <w:rFonts w:ascii="Arial" w:hAnsi="Arial" w:cs="Arial"/>
        </w:rPr>
        <w:t>(2), 276-308.</w:t>
      </w:r>
    </w:p>
  </w:endnote>
  <w:endnote w:id="25">
    <w:p w14:paraId="1CA1699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Zhong, L., Dong, Y., Qi, X., Li, M., Wang, Y., &amp; Coca-Stefaniak, J. A. (2025). Towards a multidimensional big data index for urban tourism resilience. </w:t>
      </w:r>
      <w:r w:rsidRPr="00033C00">
        <w:rPr>
          <w:rFonts w:ascii="Arial" w:hAnsi="Arial" w:cs="Arial"/>
          <w:i/>
          <w:iCs/>
        </w:rPr>
        <w:t>International Journal of Tourism Cities</w:t>
      </w:r>
      <w:r w:rsidRPr="00033C00">
        <w:rPr>
          <w:rFonts w:ascii="Arial" w:hAnsi="Arial" w:cs="Arial"/>
        </w:rPr>
        <w:t>, 1-24.</w:t>
      </w:r>
    </w:p>
  </w:endnote>
  <w:endnote w:id="26">
    <w:p w14:paraId="775DB88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Kittipimpanon, K., Noyudom, A., Panjatharakul, P., &amp; Visudtibhan,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27">
    <w:p w14:paraId="617CDC9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Mogaji, E., Balakrishnan, J., Nwoba, A. C., &amp; Nguyen, N. P. (2021). Emerging-market consumers’ interactions with banking chatbots. </w:t>
      </w:r>
      <w:r w:rsidRPr="00033C00">
        <w:rPr>
          <w:rFonts w:ascii="Arial" w:hAnsi="Arial" w:cs="Arial"/>
          <w:i/>
          <w:iCs/>
        </w:rPr>
        <w:t>Telematics and Informatics</w:t>
      </w:r>
      <w:r w:rsidRPr="00033C00">
        <w:rPr>
          <w:rFonts w:ascii="Arial" w:hAnsi="Arial" w:cs="Arial"/>
        </w:rPr>
        <w:t xml:space="preserve">, </w:t>
      </w:r>
      <w:r w:rsidRPr="00033C00">
        <w:rPr>
          <w:rFonts w:ascii="Arial" w:hAnsi="Arial" w:cs="Arial"/>
          <w:i/>
          <w:iCs/>
        </w:rPr>
        <w:t>65</w:t>
      </w:r>
      <w:r w:rsidRPr="00033C00">
        <w:rPr>
          <w:rFonts w:ascii="Arial" w:hAnsi="Arial" w:cs="Arial"/>
        </w:rPr>
        <w:t>, 101711.</w:t>
      </w:r>
    </w:p>
  </w:endnote>
  <w:endnote w:id="28">
    <w:p w14:paraId="0E28A7F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Cassano, F., Gouwar, J., Lucchetti, F., Schlesinger, C., Freeman, A., Anderson, C. J., ... &amp; Guha, A. (2024). Knowledge transfer from high-resource to low-resource programming languages for code llms. </w:t>
      </w:r>
      <w:r w:rsidRPr="00033C00">
        <w:rPr>
          <w:rFonts w:ascii="Arial" w:hAnsi="Arial" w:cs="Arial"/>
          <w:i/>
          <w:iCs/>
        </w:rPr>
        <w:t>Proceedings of the ACM on Programming Languages</w:t>
      </w:r>
      <w:r w:rsidRPr="00033C00">
        <w:rPr>
          <w:rFonts w:ascii="Arial" w:hAnsi="Arial" w:cs="Arial"/>
        </w:rPr>
        <w:t xml:space="preserve">, </w:t>
      </w:r>
      <w:r w:rsidRPr="00033C00">
        <w:rPr>
          <w:rFonts w:ascii="Arial" w:hAnsi="Arial" w:cs="Arial"/>
          <w:i/>
          <w:iCs/>
        </w:rPr>
        <w:t>8</w:t>
      </w:r>
      <w:r w:rsidRPr="00033C00">
        <w:rPr>
          <w:rFonts w:ascii="Arial" w:hAnsi="Arial" w:cs="Arial"/>
        </w:rPr>
        <w:t>(OOPSLA2), 677-708.</w:t>
      </w:r>
    </w:p>
  </w:endnote>
  <w:endnote w:id="29">
    <w:p w14:paraId="48C161C9"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Pinhanez, C., Cavalin, P., Storto, L., Finbow, T., Cobbinah, A., Nogima, J., ... &amp; Gonçalves, I. (2024). Harnessing the Power of Artificial Intelligence to Vitalize Endangered Indigenous Languages: Technologies and Experiences. </w:t>
      </w:r>
      <w:r w:rsidRPr="00033C00">
        <w:rPr>
          <w:rFonts w:ascii="Arial" w:hAnsi="Arial" w:cs="Arial"/>
          <w:i/>
          <w:iCs/>
        </w:rPr>
        <w:t>arXiv preprint arXiv:2407.12620</w:t>
      </w:r>
      <w:r w:rsidRPr="00033C00">
        <w:rPr>
          <w:rFonts w:ascii="Arial" w:hAnsi="Arial" w:cs="Arial"/>
        </w:rPr>
        <w:t>.</w:t>
      </w:r>
    </w:p>
  </w:endnote>
  <w:endnote w:id="30">
    <w:p w14:paraId="3DD143CC"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Yigezu, M. G., Mersha, M., Gelbukh, A., Kalita, J., Kolesnikova, O., &amp; Sidorov, G. Data-Efficient Approaches for Hate Speech Detection Tasks in Under-Resourced Languages. </w:t>
      </w:r>
      <w:r w:rsidRPr="00033C00">
        <w:rPr>
          <w:rFonts w:ascii="Arial" w:hAnsi="Arial" w:cs="Arial"/>
          <w:i/>
          <w:iCs/>
        </w:rPr>
        <w:t>Available at SSRN 5139083</w:t>
      </w:r>
      <w:r w:rsidRPr="00033C00">
        <w:rPr>
          <w:rFonts w:ascii="Arial" w:hAnsi="Arial" w:cs="Arial"/>
        </w:rPr>
        <w:t>.</w:t>
      </w:r>
    </w:p>
  </w:endnote>
  <w:endnote w:id="31">
    <w:p w14:paraId="2022B28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32">
    <w:p w14:paraId="6E28324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Parsons Leigh, J., Moss, S. J., MacDonald, J., Cherak, M. S., Stelfox, H. T., Dubé, È., ... &amp; Halperin, S. A. (2025). Considering the impact of vaccine communication in the COVID-19 pandemic among adults in Canada: A qualitative study of lessons learned for future vaccine campaigns. </w:t>
      </w:r>
      <w:r w:rsidRPr="00033C00">
        <w:rPr>
          <w:rFonts w:ascii="Arial" w:hAnsi="Arial" w:cs="Arial"/>
          <w:i/>
          <w:iCs/>
        </w:rPr>
        <w:t>Human vaccines &amp; immunotherapeutics</w:t>
      </w:r>
      <w:r w:rsidRPr="00033C00">
        <w:rPr>
          <w:rFonts w:ascii="Arial" w:hAnsi="Arial" w:cs="Arial"/>
        </w:rPr>
        <w:t xml:space="preserve">, </w:t>
      </w:r>
      <w:r w:rsidRPr="00033C00">
        <w:rPr>
          <w:rFonts w:ascii="Arial" w:hAnsi="Arial" w:cs="Arial"/>
          <w:i/>
          <w:iCs/>
        </w:rPr>
        <w:t>21</w:t>
      </w:r>
      <w:r w:rsidRPr="00033C00">
        <w:rPr>
          <w:rFonts w:ascii="Arial" w:hAnsi="Arial" w:cs="Arial"/>
        </w:rPr>
        <w:t>(1), 2448052.</w:t>
      </w:r>
    </w:p>
  </w:endnote>
  <w:endnote w:id="33">
    <w:p w14:paraId="171D6E9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Bezbaruah, R., Sailo, N., Deka, K., Bhutia, Y. D., &amp; Kakoti, B. B. (2024). Myths and facts about vaccination: Dispelling myths and misconceptions with science. In </w:t>
      </w:r>
      <w:r w:rsidRPr="00033C00">
        <w:rPr>
          <w:rFonts w:ascii="Arial" w:hAnsi="Arial" w:cs="Arial"/>
          <w:i/>
          <w:iCs/>
        </w:rPr>
        <w:t>Advanced Vaccination Technologies for Infectious and Chronic Diseases</w:t>
      </w:r>
      <w:r w:rsidRPr="00033C00">
        <w:rPr>
          <w:rFonts w:ascii="Arial" w:hAnsi="Arial" w:cs="Arial"/>
        </w:rPr>
        <w:t xml:space="preserve"> (pp. 441-454). Academic Press.</w:t>
      </w:r>
    </w:p>
  </w:endnote>
  <w:endnote w:id="34">
    <w:p w14:paraId="5F29461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Nuwarda, R. F., Ramzan, I., Weekes, L., &amp; Kayser, V. (2022). Vaccine hesitancy: contemporary issues and historical background.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10</w:t>
      </w:r>
      <w:r w:rsidRPr="00033C00">
        <w:rPr>
          <w:rFonts w:ascii="Arial" w:hAnsi="Arial" w:cs="Arial"/>
        </w:rPr>
        <w:t>(10), 1595.</w:t>
      </w:r>
    </w:p>
  </w:endnote>
  <w:endnote w:id="35">
    <w:p w14:paraId="4D72BE0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Agbede, G. T., Emezirinwune, D., Adedokun, T., &amp; Idowu-Collins, P. (2024). Vaccine hesitancy in Nigeria: overcoming cultural, linguistic and religious obstacles. </w:t>
      </w:r>
      <w:r w:rsidRPr="00033C00">
        <w:rPr>
          <w:rFonts w:ascii="Arial" w:hAnsi="Arial" w:cs="Arial"/>
          <w:i/>
          <w:iCs/>
        </w:rPr>
        <w:t>Information Impact: Journal of Information and Knowledge Management</w:t>
      </w:r>
      <w:r w:rsidRPr="00033C00">
        <w:rPr>
          <w:rFonts w:ascii="Arial" w:hAnsi="Arial" w:cs="Arial"/>
        </w:rPr>
        <w:t xml:space="preserve">, </w:t>
      </w:r>
      <w:r w:rsidRPr="00033C00">
        <w:rPr>
          <w:rFonts w:ascii="Arial" w:hAnsi="Arial" w:cs="Arial"/>
          <w:i/>
          <w:iCs/>
        </w:rPr>
        <w:t>15</w:t>
      </w:r>
      <w:r w:rsidRPr="00033C00">
        <w:rPr>
          <w:rFonts w:ascii="Arial" w:hAnsi="Arial" w:cs="Arial"/>
        </w:rPr>
        <w:t>(1), 153-168.</w:t>
      </w:r>
    </w:p>
  </w:endnote>
  <w:endnote w:id="36">
    <w:p w14:paraId="45F07B3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Adeyanju, G. C., Schrage, P., Jalo, R. I., Abreu, L., &amp; Schaub, M. (2025). Armed violent conflict and healthcare-seeking behavior for maternal and child health in sub-Saharan Africa: A systematic review. </w:t>
      </w:r>
      <w:r w:rsidRPr="00033C00">
        <w:rPr>
          <w:rFonts w:ascii="Arial" w:hAnsi="Arial" w:cs="Arial"/>
          <w:i/>
          <w:iCs/>
        </w:rPr>
        <w:t>PloS one</w:t>
      </w:r>
      <w:r w:rsidRPr="00033C00">
        <w:rPr>
          <w:rFonts w:ascii="Arial" w:hAnsi="Arial" w:cs="Arial"/>
        </w:rPr>
        <w:t xml:space="preserve">, </w:t>
      </w:r>
      <w:r w:rsidRPr="00033C00">
        <w:rPr>
          <w:rFonts w:ascii="Arial" w:hAnsi="Arial" w:cs="Arial"/>
          <w:i/>
          <w:iCs/>
        </w:rPr>
        <w:t>20</w:t>
      </w:r>
      <w:r w:rsidRPr="00033C00">
        <w:rPr>
          <w:rFonts w:ascii="Arial" w:hAnsi="Arial" w:cs="Arial"/>
        </w:rPr>
        <w:t>(2), e0317094.</w:t>
      </w:r>
    </w:p>
  </w:endnote>
  <w:endnote w:id="37">
    <w:p w14:paraId="35B4C08E"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Njemanze, V. C., &amp; Nwosu, I. A. (2024). Sociocultural Determinants and Implications of Resistance to COVID-19 Vaccination among Academic Staff of a Nigerian University. </w:t>
      </w:r>
      <w:r w:rsidRPr="00033C00">
        <w:rPr>
          <w:rFonts w:ascii="Arial" w:hAnsi="Arial" w:cs="Arial"/>
          <w:i/>
          <w:iCs/>
        </w:rPr>
        <w:t>ESUT JOURNAL OF SOCIAL SCIENCES</w:t>
      </w:r>
      <w:r w:rsidRPr="00033C00">
        <w:rPr>
          <w:rFonts w:ascii="Arial" w:hAnsi="Arial" w:cs="Arial"/>
        </w:rPr>
        <w:t xml:space="preserve">, </w:t>
      </w:r>
      <w:r w:rsidRPr="00033C00">
        <w:rPr>
          <w:rFonts w:ascii="Arial" w:hAnsi="Arial" w:cs="Arial"/>
          <w:i/>
          <w:iCs/>
        </w:rPr>
        <w:t>9</w:t>
      </w:r>
      <w:r w:rsidRPr="00033C00">
        <w:rPr>
          <w:rFonts w:ascii="Arial" w:hAnsi="Arial" w:cs="Arial"/>
        </w:rPr>
        <w:t>(1).</w:t>
      </w:r>
    </w:p>
  </w:endnote>
  <w:endnote w:id="38">
    <w:p w14:paraId="724BE8E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Pavia, G., Branda, F., Ciccozzi, A., Romano, C., Locci, C., Azzena, I., ... &amp; Scarpa, F. (2024). Integrating Digital Health Solutions with Immunization Strategies: Improving Immunization Coverage and Monitoring in the Post-COVID-19 Era. </w:t>
      </w:r>
      <w:r w:rsidRPr="00033C00">
        <w:rPr>
          <w:rFonts w:ascii="Arial" w:hAnsi="Arial" w:cs="Arial"/>
          <w:i/>
          <w:iCs/>
        </w:rPr>
        <w:t>Vaccines</w:t>
      </w:r>
      <w:r w:rsidRPr="00033C00">
        <w:rPr>
          <w:rFonts w:ascii="Arial" w:hAnsi="Arial" w:cs="Arial"/>
        </w:rPr>
        <w:t xml:space="preserve">, </w:t>
      </w:r>
      <w:r w:rsidRPr="00033C00">
        <w:rPr>
          <w:rFonts w:ascii="Arial" w:hAnsi="Arial" w:cs="Arial"/>
          <w:i/>
          <w:iCs/>
        </w:rPr>
        <w:t>12</w:t>
      </w:r>
      <w:r w:rsidRPr="00033C00">
        <w:rPr>
          <w:rFonts w:ascii="Arial" w:hAnsi="Arial" w:cs="Arial"/>
        </w:rPr>
        <w:t>(8), 847.</w:t>
      </w:r>
    </w:p>
  </w:endnote>
  <w:endnote w:id="39">
    <w:p w14:paraId="65335756"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Aggarwal, S., Simmy, S., Mahajan, N., &amp; Nigam, K. (2024). Challenges Experienced by Health Care Workers During Service Delivery in the Geographically Challenging Terrains of North-East India: Study Involving a Thematic Analysis.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8</w:t>
      </w:r>
      <w:r w:rsidRPr="00033C00">
        <w:rPr>
          <w:rFonts w:ascii="Arial" w:hAnsi="Arial" w:cs="Arial"/>
        </w:rPr>
        <w:t>, e57384.</w:t>
      </w:r>
    </w:p>
  </w:endnote>
  <w:endnote w:id="40">
    <w:p w14:paraId="7DAA61A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Fekadu, H., Mekonnen, W., Adugna, A., Kloos, H., &amp; Hailemariam, D. (2024). Barriers to equitable healthcare services for under-five children in Ethiopia: a qualitative exploratory study. </w:t>
      </w:r>
      <w:r w:rsidRPr="00033C00">
        <w:rPr>
          <w:rFonts w:ascii="Arial" w:hAnsi="Arial" w:cs="Arial"/>
          <w:i/>
          <w:iCs/>
        </w:rPr>
        <w:t>BMC Health Services Research</w:t>
      </w:r>
      <w:r w:rsidRPr="00033C00">
        <w:rPr>
          <w:rFonts w:ascii="Arial" w:hAnsi="Arial" w:cs="Arial"/>
        </w:rPr>
        <w:t xml:space="preserve">, </w:t>
      </w:r>
      <w:r w:rsidRPr="00033C00">
        <w:rPr>
          <w:rFonts w:ascii="Arial" w:hAnsi="Arial" w:cs="Arial"/>
          <w:i/>
          <w:iCs/>
        </w:rPr>
        <w:t>24</w:t>
      </w:r>
      <w:r w:rsidRPr="00033C00">
        <w:rPr>
          <w:rFonts w:ascii="Arial" w:hAnsi="Arial" w:cs="Arial"/>
        </w:rPr>
        <w:t>(1), 613.</w:t>
      </w:r>
    </w:p>
  </w:endnote>
  <w:endnote w:id="41">
    <w:p w14:paraId="0C71DEC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Zimba, B., Mpinganjira, S., Msosa, T., &amp; Bickton, F. M. (2024). The urban-poor vaccination: Challenges and strategies in low-and-middle income countries. </w:t>
      </w:r>
      <w:r w:rsidRPr="00033C00">
        <w:rPr>
          <w:rFonts w:ascii="Arial" w:hAnsi="Arial" w:cs="Arial"/>
          <w:i/>
          <w:iCs/>
        </w:rPr>
        <w:t>Human Vaccines &amp; Immunotherapeutics</w:t>
      </w:r>
      <w:r w:rsidRPr="00033C00">
        <w:rPr>
          <w:rFonts w:ascii="Arial" w:hAnsi="Arial" w:cs="Arial"/>
        </w:rPr>
        <w:t xml:space="preserve">, </w:t>
      </w:r>
      <w:r w:rsidRPr="00033C00">
        <w:rPr>
          <w:rFonts w:ascii="Arial" w:hAnsi="Arial" w:cs="Arial"/>
          <w:i/>
          <w:iCs/>
        </w:rPr>
        <w:t>20</w:t>
      </w:r>
      <w:r w:rsidRPr="00033C00">
        <w:rPr>
          <w:rFonts w:ascii="Arial" w:hAnsi="Arial" w:cs="Arial"/>
        </w:rPr>
        <w:t>(1), 2295977.</w:t>
      </w:r>
    </w:p>
  </w:endnote>
  <w:endnote w:id="42">
    <w:p w14:paraId="077B288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Biks, G. A., Shiferie, F., Tsegaye, D. A., Asefa, W., Alemayehu, L., Wondie, T., ... &amp; Gebremedhin, S. (2024). In-depth reasons for the high proportion of zero-dose children in underserved populations of Ethiopia: Results from a qualitative study. </w:t>
      </w:r>
      <w:r w:rsidRPr="00033C00">
        <w:rPr>
          <w:rFonts w:ascii="Arial" w:hAnsi="Arial" w:cs="Arial"/>
          <w:i/>
          <w:iCs/>
        </w:rPr>
        <w:t>Vaccine: X</w:t>
      </w:r>
      <w:r w:rsidRPr="00033C00">
        <w:rPr>
          <w:rFonts w:ascii="Arial" w:hAnsi="Arial" w:cs="Arial"/>
        </w:rPr>
        <w:t xml:space="preserve">, </w:t>
      </w:r>
      <w:r w:rsidRPr="00033C00">
        <w:rPr>
          <w:rFonts w:ascii="Arial" w:hAnsi="Arial" w:cs="Arial"/>
          <w:i/>
          <w:iCs/>
        </w:rPr>
        <w:t>16</w:t>
      </w:r>
      <w:r w:rsidRPr="00033C00">
        <w:rPr>
          <w:rFonts w:ascii="Arial" w:hAnsi="Arial" w:cs="Arial"/>
        </w:rPr>
        <w:t>, 100454.</w:t>
      </w:r>
    </w:p>
  </w:endnote>
  <w:endnote w:id="43">
    <w:p w14:paraId="1ACE35B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Patel, J., More, S., Sohani, P., Bedarkar, S., Dinesh, K. K., Sharma, D., ... &amp; Ghosh, R. S. (2024). Reshaping the equitable and inclusive access to healthcare: A qualitative study. </w:t>
      </w:r>
      <w:r w:rsidRPr="00033C00">
        <w:rPr>
          <w:rFonts w:ascii="Arial" w:hAnsi="Arial" w:cs="Arial"/>
          <w:i/>
          <w:iCs/>
        </w:rPr>
        <w:t>Clinical Epidemiology and Global Health</w:t>
      </w:r>
      <w:r w:rsidRPr="00033C00">
        <w:rPr>
          <w:rFonts w:ascii="Arial" w:hAnsi="Arial" w:cs="Arial"/>
        </w:rPr>
        <w:t xml:space="preserve">, </w:t>
      </w:r>
      <w:r w:rsidRPr="00033C00">
        <w:rPr>
          <w:rFonts w:ascii="Arial" w:hAnsi="Arial" w:cs="Arial"/>
          <w:i/>
          <w:iCs/>
        </w:rPr>
        <w:t>26</w:t>
      </w:r>
      <w:r w:rsidRPr="00033C00">
        <w:rPr>
          <w:rFonts w:ascii="Arial" w:hAnsi="Arial" w:cs="Arial"/>
        </w:rPr>
        <w:t>, 101544.</w:t>
      </w:r>
    </w:p>
  </w:endnote>
  <w:endnote w:id="44">
    <w:p w14:paraId="73EF2DD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A. (2023). </w:t>
      </w:r>
      <w:r w:rsidRPr="00033C00">
        <w:rPr>
          <w:rFonts w:ascii="Arial" w:hAnsi="Arial" w:cs="Arial"/>
          <w:i/>
          <w:iCs/>
        </w:rPr>
        <w:t>Informing the Development of a Chatbot for Pharmacist Needs in HIV Care</w:t>
      </w:r>
      <w:r w:rsidRPr="00033C00">
        <w:rPr>
          <w:rFonts w:ascii="Arial" w:hAnsi="Arial" w:cs="Arial"/>
        </w:rPr>
        <w:t>. McGill University (Canada).</w:t>
      </w:r>
    </w:p>
  </w:endnote>
  <w:endnote w:id="45">
    <w:p w14:paraId="39BF00E0"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Evans, W. D., Bardus, M., &amp; French, J. (2024). A Vision of the Future: Harnessing Artificial Intelligence for Strategic Social Marketing. </w:t>
      </w:r>
      <w:r w:rsidRPr="00033C00">
        <w:rPr>
          <w:rFonts w:ascii="Arial" w:hAnsi="Arial" w:cs="Arial"/>
          <w:i/>
          <w:iCs/>
        </w:rPr>
        <w:t>Businesses</w:t>
      </w:r>
      <w:r w:rsidRPr="00033C00">
        <w:rPr>
          <w:rFonts w:ascii="Arial" w:hAnsi="Arial" w:cs="Arial"/>
        </w:rPr>
        <w:t xml:space="preserve">, </w:t>
      </w:r>
      <w:r w:rsidRPr="00033C00">
        <w:rPr>
          <w:rFonts w:ascii="Arial" w:hAnsi="Arial" w:cs="Arial"/>
          <w:i/>
          <w:iCs/>
        </w:rPr>
        <w:t>4</w:t>
      </w:r>
      <w:r w:rsidRPr="00033C00">
        <w:rPr>
          <w:rFonts w:ascii="Arial" w:hAnsi="Arial" w:cs="Arial"/>
        </w:rPr>
        <w:t>(2), 196-210.</w:t>
      </w:r>
    </w:p>
  </w:endnote>
  <w:endnote w:id="46">
    <w:p w14:paraId="6F9174C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Kekana, L. F. (2020). </w:t>
      </w:r>
      <w:r w:rsidRPr="00033C00">
        <w:rPr>
          <w:rFonts w:ascii="Arial" w:hAnsi="Arial" w:cs="Arial"/>
          <w:i/>
          <w:iCs/>
        </w:rPr>
        <w:t>'Studying Up'Vaccine Hesitancy: An Ethnographic Study of the National Institute for Communicable Diseases (NICD) in Johannesburg, South Africa</w:t>
      </w:r>
      <w:r w:rsidRPr="00033C00">
        <w:rPr>
          <w:rFonts w:ascii="Arial" w:hAnsi="Arial" w:cs="Arial"/>
        </w:rPr>
        <w:t>. University of Johannesburg (South Africa).</w:t>
      </w:r>
    </w:p>
  </w:endnote>
  <w:endnote w:id="47">
    <w:p w14:paraId="3A3ADE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Stewart, M., Brown, J. B., Weston, W. W., Freeman, T., Ryan, B. L., McWilliam, C. L., &amp; McWhinney, I. R. (2024). </w:t>
      </w:r>
      <w:r w:rsidRPr="00033C00">
        <w:rPr>
          <w:rFonts w:ascii="Arial" w:hAnsi="Arial" w:cs="Arial"/>
          <w:i/>
          <w:iCs/>
        </w:rPr>
        <w:t>Patient-centered medicine: transforming the clinical method</w:t>
      </w:r>
      <w:r w:rsidRPr="00033C00">
        <w:rPr>
          <w:rFonts w:ascii="Arial" w:hAnsi="Arial" w:cs="Arial"/>
        </w:rPr>
        <w:t>. CRC press.</w:t>
      </w:r>
    </w:p>
  </w:endnote>
  <w:endnote w:id="48">
    <w:p w14:paraId="7F67483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Nedungadi, P., Tang, K. Y., &amp; Raman, R. (2024). The Transformative Power of Generative Artificial Intelligence for Achieving the Sustainable Development Goal of Quality Education. </w:t>
      </w:r>
      <w:r w:rsidRPr="00033C00">
        <w:rPr>
          <w:rFonts w:ascii="Arial" w:hAnsi="Arial" w:cs="Arial"/>
          <w:i/>
          <w:iCs/>
        </w:rPr>
        <w:t>Sustainability</w:t>
      </w:r>
      <w:r w:rsidRPr="00033C00">
        <w:rPr>
          <w:rFonts w:ascii="Arial" w:hAnsi="Arial" w:cs="Arial"/>
        </w:rPr>
        <w:t xml:space="preserve">, </w:t>
      </w:r>
      <w:r w:rsidRPr="00033C00">
        <w:rPr>
          <w:rFonts w:ascii="Arial" w:hAnsi="Arial" w:cs="Arial"/>
          <w:i/>
          <w:iCs/>
        </w:rPr>
        <w:t>16</w:t>
      </w:r>
      <w:r w:rsidRPr="00033C00">
        <w:rPr>
          <w:rFonts w:ascii="Arial" w:hAnsi="Arial" w:cs="Arial"/>
        </w:rPr>
        <w:t>(22), 9779.</w:t>
      </w:r>
    </w:p>
  </w:endnote>
  <w:endnote w:id="49">
    <w:p w14:paraId="384A255F"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Ali, G., Mijwil, M. M., Adamopoulos, I., Buruga, B. A., Gök, M., &amp; Sallam, M. (2024). Harnessing the Potential of Artificial Intelligence in Managing Viral Hepatitis. </w:t>
      </w:r>
      <w:r w:rsidRPr="00033C00">
        <w:rPr>
          <w:rFonts w:ascii="Arial" w:hAnsi="Arial" w:cs="Arial"/>
          <w:i/>
          <w:iCs/>
        </w:rPr>
        <w:t>Mesopotamian Journal of Big Data</w:t>
      </w:r>
      <w:r w:rsidRPr="00033C00">
        <w:rPr>
          <w:rFonts w:ascii="Arial" w:hAnsi="Arial" w:cs="Arial"/>
        </w:rPr>
        <w:t xml:space="preserve">, </w:t>
      </w:r>
      <w:r w:rsidRPr="00033C00">
        <w:rPr>
          <w:rFonts w:ascii="Arial" w:hAnsi="Arial" w:cs="Arial"/>
          <w:i/>
          <w:iCs/>
        </w:rPr>
        <w:t>2024</w:t>
      </w:r>
      <w:r w:rsidRPr="00033C00">
        <w:rPr>
          <w:rFonts w:ascii="Arial" w:hAnsi="Arial" w:cs="Arial"/>
        </w:rPr>
        <w:t>, 128-163.</w:t>
      </w:r>
    </w:p>
  </w:endnote>
  <w:endnote w:id="50">
    <w:p w14:paraId="0F887AC4"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Ireri, E. M., Mutugi, M. W., Falisse, J. B., Mwitari, J. M., &amp; Atambo, L. K. (2023). Influence of conspiracy theories and distrust of community health volunteers on adherence to COVID-19 guidelines and vaccine uptake in Kenya. </w:t>
      </w:r>
      <w:r w:rsidRPr="00033C00">
        <w:rPr>
          <w:rFonts w:ascii="Arial" w:hAnsi="Arial" w:cs="Arial"/>
          <w:i/>
          <w:iCs/>
        </w:rPr>
        <w:t>PLOS global public health</w:t>
      </w:r>
      <w:r w:rsidRPr="00033C00">
        <w:rPr>
          <w:rFonts w:ascii="Arial" w:hAnsi="Arial" w:cs="Arial"/>
        </w:rPr>
        <w:t xml:space="preserve">, </w:t>
      </w:r>
      <w:r w:rsidRPr="00033C00">
        <w:rPr>
          <w:rFonts w:ascii="Arial" w:hAnsi="Arial" w:cs="Arial"/>
          <w:i/>
          <w:iCs/>
        </w:rPr>
        <w:t>3</w:t>
      </w:r>
      <w:r w:rsidRPr="00033C00">
        <w:rPr>
          <w:rFonts w:ascii="Arial" w:hAnsi="Arial" w:cs="Arial"/>
        </w:rPr>
        <w:t>(3), e0001146.</w:t>
      </w:r>
    </w:p>
  </w:endnote>
  <w:endnote w:id="51">
    <w:p w14:paraId="01DA6F1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Chang, F. (2024). Utilization of AI to Enhance Student Entrepreneurship on Social Media Platforms. </w:t>
      </w:r>
      <w:r w:rsidRPr="00033C00">
        <w:rPr>
          <w:rFonts w:ascii="Arial" w:hAnsi="Arial" w:cs="Arial"/>
          <w:i/>
          <w:iCs/>
        </w:rPr>
        <w:t>Adpebi Science Series</w:t>
      </w:r>
      <w:r w:rsidRPr="00033C00">
        <w:rPr>
          <w:rFonts w:ascii="Arial" w:hAnsi="Arial" w:cs="Arial"/>
        </w:rPr>
        <w:t xml:space="preserve">, </w:t>
      </w:r>
      <w:r w:rsidRPr="00033C00">
        <w:rPr>
          <w:rFonts w:ascii="Arial" w:hAnsi="Arial" w:cs="Arial"/>
          <w:i/>
          <w:iCs/>
        </w:rPr>
        <w:t>2</w:t>
      </w:r>
      <w:r w:rsidRPr="00033C00">
        <w:rPr>
          <w:rFonts w:ascii="Arial" w:hAnsi="Arial" w:cs="Arial"/>
        </w:rPr>
        <w:t>(1), 1-11.</w:t>
      </w:r>
    </w:p>
  </w:endnote>
  <w:endnote w:id="52">
    <w:p w14:paraId="33E4C6E8"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Chikumba, S. (2024, December). Challenges and Opportunities of Developing Countries for Implementation of Emerging ICT Technologies. In </w:t>
      </w:r>
      <w:r w:rsidRPr="00033C00">
        <w:rPr>
          <w:rFonts w:ascii="Arial" w:hAnsi="Arial" w:cs="Arial"/>
          <w:i/>
          <w:iCs/>
        </w:rPr>
        <w:t>International Conference on Intelligent and Innovative Computing Applications</w:t>
      </w:r>
      <w:r w:rsidRPr="00033C00">
        <w:rPr>
          <w:rFonts w:ascii="Arial" w:hAnsi="Arial" w:cs="Arial"/>
        </w:rPr>
        <w:t xml:space="preserve"> (pp. 9-15).</w:t>
      </w:r>
    </w:p>
  </w:endnote>
  <w:endnote w:id="53">
    <w:p w14:paraId="6AAF8E4B"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Sharma, K., &amp; Giannakos, M. (2020). Multimodal data capabilities for learning: What can multimodal data tell us about learning?. </w:t>
      </w:r>
      <w:r w:rsidRPr="00033C00">
        <w:rPr>
          <w:rFonts w:ascii="Arial" w:hAnsi="Arial" w:cs="Arial"/>
          <w:i/>
          <w:iCs/>
        </w:rPr>
        <w:t>British Journal of Educational Technology</w:t>
      </w:r>
      <w:r w:rsidRPr="00033C00">
        <w:rPr>
          <w:rFonts w:ascii="Arial" w:hAnsi="Arial" w:cs="Arial"/>
        </w:rPr>
        <w:t xml:space="preserve">, </w:t>
      </w:r>
      <w:r w:rsidRPr="00033C00">
        <w:rPr>
          <w:rFonts w:ascii="Arial" w:hAnsi="Arial" w:cs="Arial"/>
          <w:i/>
          <w:iCs/>
        </w:rPr>
        <w:t>51</w:t>
      </w:r>
      <w:r w:rsidRPr="00033C00">
        <w:rPr>
          <w:rFonts w:ascii="Arial" w:hAnsi="Arial" w:cs="Arial"/>
        </w:rPr>
        <w:t>(5), 1450-1484.</w:t>
      </w:r>
    </w:p>
  </w:endnote>
  <w:endnote w:id="54">
    <w:p w14:paraId="6BF2C62F" w14:textId="77777777" w:rsidR="009B64BB" w:rsidRPr="00033C00" w:rsidRDefault="009B64BB" w:rsidP="009B64BB">
      <w:pPr>
        <w:pStyle w:val="EndnoteText"/>
        <w:spacing w:after="16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Yusup, M. (2023). Analysis of Chatbot Development for learning and Teaching Principles Based on service efficiency: Chatbot Development for learning and Teaching. </w:t>
      </w:r>
      <w:r w:rsidRPr="00033C00">
        <w:rPr>
          <w:rFonts w:ascii="Arial" w:hAnsi="Arial" w:cs="Arial"/>
          <w:i/>
          <w:iCs/>
        </w:rPr>
        <w:t>International Journal Of Computer Sciences and Mathematics Engineering</w:t>
      </w:r>
      <w:r w:rsidRPr="00033C00">
        <w:rPr>
          <w:rFonts w:ascii="Arial" w:hAnsi="Arial" w:cs="Arial"/>
        </w:rPr>
        <w:t xml:space="preserve">, </w:t>
      </w:r>
      <w:r w:rsidRPr="00033C00">
        <w:rPr>
          <w:rFonts w:ascii="Arial" w:hAnsi="Arial" w:cs="Arial"/>
          <w:i/>
          <w:iCs/>
        </w:rPr>
        <w:t>2</w:t>
      </w:r>
      <w:r w:rsidRPr="00033C00">
        <w:rPr>
          <w:rFonts w:ascii="Arial" w:hAnsi="Arial" w:cs="Arial"/>
        </w:rPr>
        <w:t>(1), 45-51.</w:t>
      </w:r>
    </w:p>
  </w:endnote>
  <w:endnote w:id="55">
    <w:p w14:paraId="5BA9EB57"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Qureshi, A. A., &amp; Imam, M. (2023). Assessing AI Chatbot Responses in Promoting COVID-19 Vaccine Acceptance. </w:t>
      </w:r>
      <w:r w:rsidRPr="00033C00">
        <w:rPr>
          <w:rFonts w:ascii="Arial" w:hAnsi="Arial" w:cs="Arial"/>
          <w:i/>
          <w:iCs/>
        </w:rPr>
        <w:t>Available at SSRN 4851422</w:t>
      </w:r>
      <w:r w:rsidRPr="00033C00">
        <w:rPr>
          <w:rFonts w:ascii="Arial" w:hAnsi="Arial" w:cs="Arial"/>
        </w:rPr>
        <w:t>.</w:t>
      </w:r>
    </w:p>
  </w:endnote>
  <w:endnote w:id="56">
    <w:p w14:paraId="20B64299"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El Hefny, W., Elshimy, M., El Bolock, A., &amp; Abdennadher, S. (2022, July). Vaxera: An Empathetic Chatbot for COVID-19 Vaccination. In </w:t>
      </w:r>
      <w:r w:rsidRPr="00033C00">
        <w:rPr>
          <w:rFonts w:ascii="Arial" w:hAnsi="Arial" w:cs="Arial"/>
          <w:i/>
          <w:iCs/>
        </w:rPr>
        <w:t>International Conference on Practical Applications of Agents and Multi-Agent Systems</w:t>
      </w:r>
      <w:r w:rsidRPr="00033C00">
        <w:rPr>
          <w:rFonts w:ascii="Arial" w:hAnsi="Arial" w:cs="Arial"/>
        </w:rPr>
        <w:t xml:space="preserve"> (pp. 157-168). Cham: Springer International Publishing.</w:t>
      </w:r>
    </w:p>
  </w:endnote>
  <w:endnote w:id="57">
    <w:p w14:paraId="0B25A0D5"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Abdennadher, S. (2022, October). Vaxera: An Empathetic Chatbot for COVID-19 Vaccination. In </w:t>
      </w:r>
      <w:r w:rsidRPr="00033C00">
        <w:rPr>
          <w:rFonts w:ascii="Arial" w:hAnsi="Arial" w:cs="Arial"/>
          <w:i/>
          <w:iCs/>
        </w:rPr>
        <w:t>Highlights in Practical Applications of Agents, Multi-Agent Systems, and Complex Systems Simulation. The PAAMS Collection: International Workshops of PAAMS 2022, L'Aquila, Italy, July 13–15, 2022, Proceedings</w:t>
      </w:r>
      <w:r w:rsidRPr="00033C00">
        <w:rPr>
          <w:rFonts w:ascii="Arial" w:hAnsi="Arial" w:cs="Arial"/>
        </w:rPr>
        <w:t xml:space="preserve"> (p. 157). Springer Nature.</w:t>
      </w:r>
    </w:p>
  </w:endnote>
  <w:endnote w:id="58">
    <w:p w14:paraId="3D97B62A"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Cosma, C., Radi, A., Cattano, R., Zanobini, P., Bonaccorsi, G., Lorini, C., &amp; Del Riccio, M. (2025). Exploring Chatbot contributions to enhancing vaccine literacy and uptake: A scoping review of the literature. </w:t>
      </w:r>
      <w:r w:rsidRPr="00033C00">
        <w:rPr>
          <w:rFonts w:ascii="Arial" w:hAnsi="Arial" w:cs="Arial"/>
          <w:i/>
          <w:iCs/>
        </w:rPr>
        <w:t>Vaccine</w:t>
      </w:r>
      <w:r w:rsidRPr="00033C00">
        <w:rPr>
          <w:rFonts w:ascii="Arial" w:hAnsi="Arial" w:cs="Arial"/>
        </w:rPr>
        <w:t xml:space="preserve">, </w:t>
      </w:r>
      <w:r w:rsidRPr="00033C00">
        <w:rPr>
          <w:rFonts w:ascii="Arial" w:hAnsi="Arial" w:cs="Arial"/>
          <w:i/>
          <w:iCs/>
        </w:rPr>
        <w:t>44</w:t>
      </w:r>
      <w:r w:rsidRPr="00033C00">
        <w:rPr>
          <w:rFonts w:ascii="Arial" w:hAnsi="Arial" w:cs="Arial"/>
        </w:rPr>
        <w:t>, 126559.</w:t>
      </w:r>
    </w:p>
  </w:endnote>
  <w:endnote w:id="59">
    <w:p w14:paraId="0034383D"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Kittipimpanon, K., Noyudom, A., Panjatharakul, P., &amp; Visudtibhan, P. J. (2023). Use of and satisfaction with mobile health education during the COVID-19 pandemic in Thailand: Cross-sectional study.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 e43639.</w:t>
      </w:r>
    </w:p>
  </w:endnote>
  <w:endnote w:id="60">
    <w:p w14:paraId="6E5E1A81" w14:textId="77777777" w:rsidR="009B64BB" w:rsidRPr="00033C00" w:rsidRDefault="009B64BB" w:rsidP="009B64BB">
      <w:pPr>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Perez-Ramos, J. G., Leon-Thomas, M., Smith, S. L., Silverman, L., Perez-Torres, C., Hall, W. C., &amp; Iadarola, S. (2023). COVID-19 vaccine equity and access: case study for health care chatbots. </w:t>
      </w:r>
      <w:r w:rsidRPr="00033C00">
        <w:rPr>
          <w:rFonts w:ascii="Arial" w:hAnsi="Arial" w:cs="Arial"/>
          <w:i/>
          <w:iCs/>
        </w:rPr>
        <w:t>JMIR Formative Research</w:t>
      </w:r>
      <w:r w:rsidRPr="00033C00">
        <w:rPr>
          <w:rFonts w:ascii="Arial" w:hAnsi="Arial" w:cs="Arial"/>
        </w:rPr>
        <w:t xml:space="preserve">, </w:t>
      </w:r>
      <w:r w:rsidRPr="00033C00">
        <w:rPr>
          <w:rFonts w:ascii="Arial" w:hAnsi="Arial" w:cs="Arial"/>
          <w:i/>
          <w:iCs/>
        </w:rPr>
        <w:t>7</w:t>
      </w:r>
      <w:r w:rsidRPr="00033C00">
        <w:rPr>
          <w:rFonts w:ascii="Arial" w:hAnsi="Arial" w:cs="Arial"/>
        </w:rPr>
        <w:t>(1), e39045.</w:t>
      </w:r>
    </w:p>
  </w:endnote>
  <w:endnote w:id="61">
    <w:p w14:paraId="2B2BB65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Yang, L. W. Y., Ng, W. Y., Lei, X., Tan, S. C. Y., Wang, Z., Yan, M., ... &amp; Ting, D. S. W. (2023). Development and testing of a multi-lingual Natural Language Processing-based deep learning system in 10 languages for COVID-19 pandemic crisis: A multi-center study. </w:t>
      </w:r>
      <w:r w:rsidRPr="00033C00">
        <w:rPr>
          <w:rFonts w:ascii="Arial" w:hAnsi="Arial" w:cs="Arial"/>
          <w:i/>
          <w:iCs/>
        </w:rPr>
        <w:t>Frontiers in Public Health</w:t>
      </w:r>
      <w:r w:rsidRPr="00033C00">
        <w:rPr>
          <w:rFonts w:ascii="Arial" w:hAnsi="Arial" w:cs="Arial"/>
        </w:rPr>
        <w:t xml:space="preserve">, </w:t>
      </w:r>
      <w:r w:rsidRPr="00033C00">
        <w:rPr>
          <w:rFonts w:ascii="Arial" w:hAnsi="Arial" w:cs="Arial"/>
          <w:i/>
          <w:iCs/>
        </w:rPr>
        <w:t>11</w:t>
      </w:r>
      <w:r w:rsidRPr="00033C00">
        <w:rPr>
          <w:rFonts w:ascii="Arial" w:hAnsi="Arial" w:cs="Arial"/>
        </w:rPr>
        <w:t>, 1063466.</w:t>
      </w:r>
    </w:p>
  </w:endnote>
  <w:endnote w:id="62">
    <w:p w14:paraId="46FFB41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Robertson, S., &amp; Díaz, M. (2022, June). Understanding and Being Understood: User Strategies for Identifying and Recovering From Mistranslations in Machine Translation-Mediated Chat. In </w:t>
      </w:r>
      <w:r w:rsidRPr="00033C00">
        <w:rPr>
          <w:rFonts w:ascii="Arial" w:hAnsi="Arial" w:cs="Arial"/>
          <w:i/>
          <w:iCs/>
        </w:rPr>
        <w:t>Proceedings of the 2022 ACM Conference on Fairness, Accountability, and Transparency</w:t>
      </w:r>
      <w:r w:rsidRPr="00033C00">
        <w:rPr>
          <w:rFonts w:ascii="Arial" w:hAnsi="Arial" w:cs="Arial"/>
        </w:rPr>
        <w:t xml:space="preserve"> (pp. 2223-2238).</w:t>
      </w:r>
    </w:p>
  </w:endnote>
  <w:endnote w:id="63">
    <w:p w14:paraId="5AAC0FC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Phiri, M., &amp; Munoriyarwa, A. (2023). Health chatbots in Africa: scoping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25</w:t>
      </w:r>
      <w:r w:rsidRPr="00033C00">
        <w:rPr>
          <w:rFonts w:ascii="Arial" w:hAnsi="Arial" w:cs="Arial"/>
        </w:rPr>
        <w:t>, e35573.</w:t>
      </w:r>
    </w:p>
  </w:endnote>
  <w:endnote w:id="64">
    <w:p w14:paraId="15E5F4B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Borokini, F., Wakunuma, K., &amp; Akintoye, S. (2023). The Use of Gendered Chatbots in Nigeria: Critical Perspectives. In </w:t>
      </w:r>
      <w:r w:rsidRPr="00033C00">
        <w:rPr>
          <w:rFonts w:ascii="Arial" w:hAnsi="Arial" w:cs="Arial"/>
          <w:i/>
          <w:iCs/>
        </w:rPr>
        <w:t>Responsible AI in Africa: Challenges and Opportunities</w:t>
      </w:r>
      <w:r w:rsidRPr="00033C00">
        <w:rPr>
          <w:rFonts w:ascii="Arial" w:hAnsi="Arial" w:cs="Arial"/>
        </w:rPr>
        <w:t xml:space="preserve"> (pp. 119-139). Cham: Springer International Publishing.</w:t>
      </w:r>
    </w:p>
  </w:endnote>
  <w:endnote w:id="65">
    <w:p w14:paraId="31EA363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Nyongesa, G., Omieno, K., &amp; Otanga, D. (2025). Chatbot Adoption Framework for Real-Time Customer Care Support. </w:t>
      </w:r>
      <w:r w:rsidRPr="00033C00">
        <w:rPr>
          <w:rFonts w:ascii="Arial" w:hAnsi="Arial" w:cs="Arial"/>
          <w:i/>
          <w:iCs/>
        </w:rPr>
        <w:t>International Journal of Informatics, Information System and Computer Engineering (INJIISCOM)</w:t>
      </w:r>
      <w:r w:rsidRPr="00033C00">
        <w:rPr>
          <w:rFonts w:ascii="Arial" w:hAnsi="Arial" w:cs="Arial"/>
        </w:rPr>
        <w:t xml:space="preserve">, </w:t>
      </w:r>
      <w:r w:rsidRPr="00033C00">
        <w:rPr>
          <w:rFonts w:ascii="Arial" w:hAnsi="Arial" w:cs="Arial"/>
          <w:i/>
          <w:iCs/>
        </w:rPr>
        <w:t>6</w:t>
      </w:r>
      <w:r w:rsidRPr="00033C00">
        <w:rPr>
          <w:rFonts w:ascii="Arial" w:hAnsi="Arial" w:cs="Arial"/>
        </w:rPr>
        <w:t xml:space="preserve">(1), 106-129. </w:t>
      </w:r>
    </w:p>
  </w:endnote>
  <w:endnote w:id="66">
    <w:p w14:paraId="012EFA75"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Adewumi, T., Liwicki, F., &amp; Liwicki, M. (2022). State-of-the-art in Open-domain Conversational AI: A Survey. </w:t>
      </w:r>
      <w:r w:rsidRPr="00033C00">
        <w:rPr>
          <w:rFonts w:ascii="Arial" w:hAnsi="Arial" w:cs="Arial"/>
          <w:i/>
          <w:iCs/>
        </w:rPr>
        <w:t>Information</w:t>
      </w:r>
      <w:r w:rsidRPr="00033C00">
        <w:rPr>
          <w:rFonts w:ascii="Arial" w:hAnsi="Arial" w:cs="Arial"/>
        </w:rPr>
        <w:t xml:space="preserve">, </w:t>
      </w:r>
      <w:r w:rsidRPr="00033C00">
        <w:rPr>
          <w:rFonts w:ascii="Arial" w:hAnsi="Arial" w:cs="Arial"/>
          <w:i/>
          <w:iCs/>
        </w:rPr>
        <w:t>13</w:t>
      </w:r>
      <w:r w:rsidRPr="00033C00">
        <w:rPr>
          <w:rFonts w:ascii="Arial" w:hAnsi="Arial" w:cs="Arial"/>
        </w:rPr>
        <w:t>(6), 298.</w:t>
      </w:r>
    </w:p>
  </w:endnote>
  <w:endnote w:id="67">
    <w:p w14:paraId="024B148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Costa-jussà, M. R., Cross, J., Çelebi, O., Elbayad, M., Heafield, K., Heffernan, K., ... &amp; NLLB Team. (2022). No language left behind: Scaling human-centered machine translation. </w:t>
      </w:r>
      <w:r w:rsidRPr="00033C00">
        <w:rPr>
          <w:rFonts w:ascii="Arial" w:hAnsi="Arial" w:cs="Arial"/>
          <w:i/>
          <w:iCs/>
        </w:rPr>
        <w:t>arXiv preprint arXiv:2207.04672</w:t>
      </w:r>
      <w:r w:rsidRPr="00033C00">
        <w:rPr>
          <w:rFonts w:ascii="Arial" w:hAnsi="Arial" w:cs="Arial"/>
        </w:rPr>
        <w:t>.</w:t>
      </w:r>
    </w:p>
  </w:endnote>
  <w:endnote w:id="68">
    <w:p w14:paraId="155E3C9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Aremu, A. O. (2024). Utilising AI-powered Chatbots for Learning Endangered Nigerian Languages and Considerations for Their Development. </w:t>
      </w:r>
      <w:r w:rsidRPr="00033C00">
        <w:rPr>
          <w:rFonts w:ascii="Arial" w:hAnsi="Arial" w:cs="Arial"/>
          <w:i/>
          <w:iCs/>
        </w:rPr>
        <w:t>Journal of Communication, Language and Culture</w:t>
      </w:r>
      <w:r w:rsidRPr="00033C00">
        <w:rPr>
          <w:rFonts w:ascii="Arial" w:hAnsi="Arial" w:cs="Arial"/>
        </w:rPr>
        <w:t xml:space="preserve">, </w:t>
      </w:r>
      <w:r w:rsidRPr="00033C00">
        <w:rPr>
          <w:rFonts w:ascii="Arial" w:hAnsi="Arial" w:cs="Arial"/>
          <w:i/>
          <w:iCs/>
        </w:rPr>
        <w:t>4</w:t>
      </w:r>
      <w:r w:rsidRPr="00033C00">
        <w:rPr>
          <w:rFonts w:ascii="Arial" w:hAnsi="Arial" w:cs="Arial"/>
        </w:rPr>
        <w:t>(2), 41-56.</w:t>
      </w:r>
    </w:p>
    <w:p w14:paraId="5B47DDEF" w14:textId="77777777" w:rsidR="009B64BB" w:rsidRPr="00033C00" w:rsidRDefault="009B64BB" w:rsidP="009B64BB">
      <w:pPr>
        <w:pStyle w:val="EndnoteText"/>
        <w:spacing w:before="240"/>
        <w:jc w:val="both"/>
        <w:rPr>
          <w:rFonts w:ascii="Arial" w:hAnsi="Arial" w:cs="Arial"/>
        </w:rPr>
      </w:pPr>
    </w:p>
  </w:endnote>
  <w:endnote w:id="69">
    <w:p w14:paraId="6F1A004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Doshi, J., Kashyap Jois, A. K., Hanna, K., &amp; Anandan, P. (2023). The LLM Landscape for LMICs.</w:t>
      </w:r>
    </w:p>
  </w:endnote>
  <w:endnote w:id="70">
    <w:p w14:paraId="5389EC9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Zhai, C., Wibowo, S., &amp; Li, L. D. (2024). Evaluating the AI dialogue System's intercultural, humorous, and empathetic dimensions in English language learning: A case study. </w:t>
      </w:r>
      <w:r w:rsidRPr="00033C00">
        <w:rPr>
          <w:rFonts w:ascii="Arial" w:hAnsi="Arial" w:cs="Arial"/>
          <w:i/>
          <w:iCs/>
        </w:rPr>
        <w:t>Computers and Education: Artificial Intelligence</w:t>
      </w:r>
      <w:r w:rsidRPr="00033C00">
        <w:rPr>
          <w:rFonts w:ascii="Arial" w:hAnsi="Arial" w:cs="Arial"/>
        </w:rPr>
        <w:t xml:space="preserve">, </w:t>
      </w:r>
      <w:r w:rsidRPr="00033C00">
        <w:rPr>
          <w:rFonts w:ascii="Arial" w:hAnsi="Arial" w:cs="Arial"/>
          <w:i/>
          <w:iCs/>
        </w:rPr>
        <w:t>7</w:t>
      </w:r>
      <w:r w:rsidRPr="00033C00">
        <w:rPr>
          <w:rFonts w:ascii="Arial" w:hAnsi="Arial" w:cs="Arial"/>
        </w:rPr>
        <w:t>, 100262.</w:t>
      </w:r>
    </w:p>
  </w:endnote>
  <w:endnote w:id="71">
    <w:p w14:paraId="6D46A1F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Rojas, R. V. B., &amp; Martínez-Cano, F. J. (Eds.). (2024). </w:t>
      </w:r>
      <w:r w:rsidRPr="00033C00">
        <w:rPr>
          <w:rFonts w:ascii="Arial" w:hAnsi="Arial" w:cs="Arial"/>
          <w:i/>
          <w:iCs/>
        </w:rPr>
        <w:t>Revolutionizing Communication: The Role of Artificial Intelligence</w:t>
      </w:r>
      <w:r w:rsidRPr="00033C00">
        <w:rPr>
          <w:rFonts w:ascii="Arial" w:hAnsi="Arial" w:cs="Arial"/>
        </w:rPr>
        <w:t>. CRC Press.</w:t>
      </w:r>
    </w:p>
  </w:endnote>
  <w:endnote w:id="72">
    <w:p w14:paraId="49C16324"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Mwenda, A. (2022). Using science fiction storytelling to decolonise representations of artificial intelligence: Exploring Zambian futures through smartphone filmmaking.</w:t>
      </w:r>
    </w:p>
  </w:endnote>
  <w:endnote w:id="73">
    <w:p w14:paraId="1B053C3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Casheekar, A., Lahiri, A., Rath, K., Prabhakar, K. S., &amp; Srinivasan, K. (2024). A contemporary review on chatbots, AI-powered virtual conversational agents, ChatGPT: Applications, open challenges and future research directions. </w:t>
      </w:r>
      <w:r w:rsidRPr="00033C00">
        <w:rPr>
          <w:rFonts w:ascii="Arial" w:hAnsi="Arial" w:cs="Arial"/>
          <w:i/>
          <w:iCs/>
        </w:rPr>
        <w:t>Computer Science Review</w:t>
      </w:r>
      <w:r w:rsidRPr="00033C00">
        <w:rPr>
          <w:rFonts w:ascii="Arial" w:hAnsi="Arial" w:cs="Arial"/>
        </w:rPr>
        <w:t xml:space="preserve">, </w:t>
      </w:r>
      <w:r w:rsidRPr="00033C00">
        <w:rPr>
          <w:rFonts w:ascii="Arial" w:hAnsi="Arial" w:cs="Arial"/>
          <w:i/>
          <w:iCs/>
        </w:rPr>
        <w:t>52</w:t>
      </w:r>
      <w:r w:rsidRPr="00033C00">
        <w:rPr>
          <w:rFonts w:ascii="Arial" w:hAnsi="Arial" w:cs="Arial"/>
        </w:rPr>
        <w:t>, 100632.</w:t>
      </w:r>
    </w:p>
  </w:endnote>
  <w:endnote w:id="74">
    <w:p w14:paraId="32E3BF2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Ngũnjiri, A., Memiah, P., Kimathi, R., Wagner, F. A., Ikahu, A., Omanga, E., ... &amp; Otiso, L. (2023). Utilizing User Preferences in Designing the AGILE (Accelerating Access to Gender-Based Violence Information and Services Leveraging on Technology Enhanced) Chatbot. </w:t>
      </w:r>
      <w:r w:rsidRPr="00033C00">
        <w:rPr>
          <w:rFonts w:ascii="Arial" w:hAnsi="Arial" w:cs="Arial"/>
          <w:i/>
          <w:iCs/>
        </w:rPr>
        <w:t>International journal of environmental research and public health</w:t>
      </w:r>
      <w:r w:rsidRPr="00033C00">
        <w:rPr>
          <w:rFonts w:ascii="Arial" w:hAnsi="Arial" w:cs="Arial"/>
        </w:rPr>
        <w:t xml:space="preserve">, </w:t>
      </w:r>
      <w:r w:rsidRPr="00033C00">
        <w:rPr>
          <w:rFonts w:ascii="Arial" w:hAnsi="Arial" w:cs="Arial"/>
          <w:i/>
          <w:iCs/>
        </w:rPr>
        <w:t>20</w:t>
      </w:r>
      <w:r w:rsidRPr="00033C00">
        <w:rPr>
          <w:rFonts w:ascii="Arial" w:hAnsi="Arial" w:cs="Arial"/>
        </w:rPr>
        <w:t>(21), 7018.</w:t>
      </w:r>
    </w:p>
  </w:endnote>
  <w:endnote w:id="75">
    <w:p w14:paraId="662A2033"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Bhatti, A. A. (2022). </w:t>
      </w:r>
      <w:r w:rsidRPr="00033C00">
        <w:rPr>
          <w:rFonts w:ascii="Arial" w:hAnsi="Arial" w:cs="Arial"/>
          <w:i/>
          <w:iCs/>
        </w:rPr>
        <w:t>How the Use of a Chatbot in Cellsite PLC Influences Customer Experience</w:t>
      </w:r>
      <w:r w:rsidRPr="00033C00">
        <w:rPr>
          <w:rFonts w:ascii="Arial" w:hAnsi="Arial" w:cs="Arial"/>
        </w:rPr>
        <w:t xml:space="preserve"> (Doctoral dissertation, Trident University International).</w:t>
      </w:r>
    </w:p>
  </w:endnote>
  <w:endnote w:id="76">
    <w:p w14:paraId="79223238"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Tangmoh, Zemoh Yannick, and Gildas Nyugha. "The Importance of Artificial Intelligence to Africa's Development Process: Prospects and Challenges." (2024).</w:t>
      </w:r>
    </w:p>
  </w:endnote>
  <w:endnote w:id="77">
    <w:p w14:paraId="2FED8B8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Babatunde, A. N., Babatunde, R. S., Balogun, B. F., Umar, E., Mohammed, S. B., Oke, A. A., &amp; Obiwusi, K. Y. (2024). Speech-to-Text Hybrid English to Yoruba SMS Translator. </w:t>
      </w:r>
      <w:r w:rsidRPr="00033C00">
        <w:rPr>
          <w:rFonts w:ascii="Arial" w:hAnsi="Arial" w:cs="Arial"/>
          <w:i/>
          <w:iCs/>
        </w:rPr>
        <w:t>Innovative Computing Review</w:t>
      </w:r>
      <w:r w:rsidRPr="00033C00">
        <w:rPr>
          <w:rFonts w:ascii="Arial" w:hAnsi="Arial" w:cs="Arial"/>
        </w:rPr>
        <w:t xml:space="preserve">, </w:t>
      </w:r>
      <w:r w:rsidRPr="00033C00">
        <w:rPr>
          <w:rFonts w:ascii="Arial" w:hAnsi="Arial" w:cs="Arial"/>
          <w:i/>
          <w:iCs/>
        </w:rPr>
        <w:t>4</w:t>
      </w:r>
      <w:r w:rsidRPr="00033C00">
        <w:rPr>
          <w:rFonts w:ascii="Arial" w:hAnsi="Arial" w:cs="Arial"/>
        </w:rPr>
        <w:t>(1), 15-36.</w:t>
      </w:r>
    </w:p>
  </w:endnote>
  <w:endnote w:id="78">
    <w:p w14:paraId="470F67C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Jacoba, R. C. (2023). Exploring the Role of Artificial Intelligence in Interreligious Discourse. </w:t>
      </w:r>
      <w:r w:rsidRPr="00033C00">
        <w:rPr>
          <w:rFonts w:ascii="Arial" w:hAnsi="Arial" w:cs="Arial"/>
          <w:i/>
          <w:iCs/>
        </w:rPr>
        <w:t>RELIGION AND SOCIAL COMMUNICATION Journal of the</w:t>
      </w:r>
      <w:r w:rsidRPr="00033C00">
        <w:rPr>
          <w:rFonts w:ascii="Arial" w:hAnsi="Arial" w:cs="Arial"/>
        </w:rPr>
        <w:t>, 375.</w:t>
      </w:r>
    </w:p>
  </w:endnote>
  <w:endnote w:id="79">
    <w:p w14:paraId="350D290A"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Samantray, K., İZGİ, F. D., Ocampo, M. B., Dehghan, M., Mohammadpour, S., Siriphaprapagon, Y., ... &amp; Babu, S. D. (2024). </w:t>
      </w:r>
      <w:r w:rsidRPr="00033C00">
        <w:rPr>
          <w:rFonts w:ascii="Arial" w:hAnsi="Arial" w:cs="Arial"/>
          <w:i/>
          <w:iCs/>
        </w:rPr>
        <w:t>The Power of Words in AI-Driven World: Exploring the Interplay of Language, Culture, and Communication</w:t>
      </w:r>
      <w:r w:rsidRPr="00033C00">
        <w:rPr>
          <w:rFonts w:ascii="Arial" w:hAnsi="Arial" w:cs="Arial"/>
        </w:rPr>
        <w:t>. SKETSAMEDIA.</w:t>
      </w:r>
    </w:p>
  </w:endnote>
  <w:endnote w:id="80">
    <w:p w14:paraId="54EC461D"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Hazra, S. (2024). Stereotypes in the Machines: Exploring Bias Against Women in Generative AI Chatbot Answers across various Sociocultural Contexts and Genders. </w:t>
      </w:r>
      <w:r w:rsidRPr="00033C00">
        <w:rPr>
          <w:rFonts w:ascii="Arial" w:hAnsi="Arial" w:cs="Arial"/>
          <w:i/>
          <w:iCs/>
        </w:rPr>
        <w:t>Available at SSRN 4985889</w:t>
      </w:r>
      <w:r w:rsidRPr="00033C00">
        <w:rPr>
          <w:rFonts w:ascii="Arial" w:hAnsi="Arial" w:cs="Arial"/>
        </w:rPr>
        <w:t>.</w:t>
      </w:r>
    </w:p>
  </w:endnote>
  <w:endnote w:id="81">
    <w:p w14:paraId="074AAC7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Suresh, D., &amp; Shaw, R. (2024). Artificial Intelligence to Enhance Resilience of Rural Sector. In </w:t>
      </w:r>
      <w:r w:rsidRPr="00033C00">
        <w:rPr>
          <w:rFonts w:ascii="Arial" w:hAnsi="Arial" w:cs="Arial"/>
          <w:i/>
          <w:iCs/>
        </w:rPr>
        <w:t>Disaster Risk Reduction and Rural Resilience: With a Focus on Agriculture, Water, Gender and Technology</w:t>
      </w:r>
      <w:r w:rsidRPr="00033C00">
        <w:rPr>
          <w:rFonts w:ascii="Arial" w:hAnsi="Arial" w:cs="Arial"/>
        </w:rPr>
        <w:t xml:space="preserve"> (pp. 267-278). Singapore: Springer Nature Singapore.</w:t>
      </w:r>
    </w:p>
  </w:endnote>
  <w:endnote w:id="82">
    <w:p w14:paraId="56C61FB9"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Laymouna, M., Ma, Y., Lessard, D., Schuster, T., Engler, K., &amp; Lebouché, B. (2024). Roles, users, benefits, and limitations of chatbots in health care: rapid review. </w:t>
      </w:r>
      <w:r w:rsidRPr="00033C00">
        <w:rPr>
          <w:rFonts w:ascii="Arial" w:hAnsi="Arial" w:cs="Arial"/>
          <w:i/>
          <w:iCs/>
        </w:rPr>
        <w:t>Journal of medical Internet research</w:t>
      </w:r>
      <w:r w:rsidRPr="00033C00">
        <w:rPr>
          <w:rFonts w:ascii="Arial" w:hAnsi="Arial" w:cs="Arial"/>
        </w:rPr>
        <w:t xml:space="preserve">, </w:t>
      </w:r>
      <w:r w:rsidRPr="00033C00">
        <w:rPr>
          <w:rFonts w:ascii="Arial" w:hAnsi="Arial" w:cs="Arial"/>
          <w:i/>
          <w:iCs/>
        </w:rPr>
        <w:t>26</w:t>
      </w:r>
      <w:r w:rsidRPr="00033C00">
        <w:rPr>
          <w:rFonts w:ascii="Arial" w:hAnsi="Arial" w:cs="Arial"/>
        </w:rPr>
        <w:t>, e56930.</w:t>
      </w:r>
    </w:p>
  </w:endnote>
  <w:endnote w:id="83">
    <w:p w14:paraId="09BBF0A6"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Utami, R. B., Hadi, M., Palupi, R., Santoso, E., Nikmah, F., &amp; Sukma, E. (2025). Publication trends in Counselling and Artificial Intelligence: A Bibliometric Analysis. </w:t>
      </w:r>
      <w:r w:rsidRPr="00033C00">
        <w:rPr>
          <w:rFonts w:ascii="Arial" w:hAnsi="Arial" w:cs="Arial"/>
          <w:i/>
          <w:iCs/>
        </w:rPr>
        <w:t>Jurnal Kajian Bimbingan dan Konseling</w:t>
      </w:r>
      <w:r w:rsidRPr="00033C00">
        <w:rPr>
          <w:rFonts w:ascii="Arial" w:hAnsi="Arial" w:cs="Arial"/>
        </w:rPr>
        <w:t xml:space="preserve">, </w:t>
      </w:r>
      <w:r w:rsidRPr="00033C00">
        <w:rPr>
          <w:rFonts w:ascii="Arial" w:hAnsi="Arial" w:cs="Arial"/>
          <w:i/>
          <w:iCs/>
        </w:rPr>
        <w:t>10</w:t>
      </w:r>
      <w:r w:rsidRPr="00033C00">
        <w:rPr>
          <w:rFonts w:ascii="Arial" w:hAnsi="Arial" w:cs="Arial"/>
        </w:rPr>
        <w:t>(1), 42-54.</w:t>
      </w:r>
    </w:p>
  </w:endnote>
  <w:endnote w:id="84">
    <w:p w14:paraId="0A0BCE20"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Akinyele, A. R., Ihayere, O., Eromhonsele, O., Aigbogun, E., &amp; Nurudeen, A. (2024). Multimodal Foundation Models for Unified Image, Video and Text Understanding.</w:t>
      </w:r>
    </w:p>
  </w:endnote>
  <w:endnote w:id="85">
    <w:p w14:paraId="01EF4F7C" w14:textId="77777777" w:rsidR="009B64BB" w:rsidRPr="00033C00" w:rsidRDefault="009B64BB" w:rsidP="009B64BB">
      <w:pPr>
        <w:pStyle w:val="EndnoteText"/>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Ouédraogo, I. (2024). </w:t>
      </w:r>
      <w:r w:rsidRPr="00033C00">
        <w:rPr>
          <w:rFonts w:ascii="Arial" w:hAnsi="Arial" w:cs="Arial"/>
          <w:i/>
          <w:iCs/>
        </w:rPr>
        <w:t>Mobile technology and artificial intelligence for improving health literacy among underserved communities</w:t>
      </w:r>
      <w:r w:rsidRPr="00033C00">
        <w:rPr>
          <w:rFonts w:ascii="Arial" w:hAnsi="Arial" w:cs="Arial"/>
        </w:rPr>
        <w:t xml:space="preserve"> (Doctoral dissertation, Université de Bordeaux; Université Nazi Boni (Bobo-Dioulasso, Burkina Faso))</w:t>
      </w:r>
    </w:p>
  </w:endnote>
  <w:endnote w:id="86">
    <w:p w14:paraId="54C901D1"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Onyejelem, T. E., &amp; Aondover, E. M. (2024). Digital Generative Multimedia Tool Theory (DGMTT): A Theoretical Postulation. </w:t>
      </w:r>
      <w:r w:rsidRPr="00033C00">
        <w:rPr>
          <w:rFonts w:ascii="Arial" w:hAnsi="Arial" w:cs="Arial"/>
          <w:i/>
          <w:iCs/>
        </w:rPr>
        <w:t>Journalism</w:t>
      </w:r>
      <w:r w:rsidRPr="00033C00">
        <w:rPr>
          <w:rFonts w:ascii="Arial" w:hAnsi="Arial" w:cs="Arial"/>
        </w:rPr>
        <w:t xml:space="preserve">, </w:t>
      </w:r>
      <w:r w:rsidRPr="00033C00">
        <w:rPr>
          <w:rFonts w:ascii="Arial" w:hAnsi="Arial" w:cs="Arial"/>
          <w:i/>
          <w:iCs/>
        </w:rPr>
        <w:t>14</w:t>
      </w:r>
      <w:r w:rsidRPr="00033C00">
        <w:rPr>
          <w:rFonts w:ascii="Arial" w:hAnsi="Arial" w:cs="Arial"/>
        </w:rPr>
        <w:t>(3), 189-204.</w:t>
      </w:r>
    </w:p>
  </w:endnote>
  <w:endnote w:id="87">
    <w:p w14:paraId="3E578A7E"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w:t>
      </w:r>
      <w:r w:rsidRPr="00033C00">
        <w:rPr>
          <w:rFonts w:ascii="Arial" w:hAnsi="Arial" w:cs="Arial"/>
        </w:rPr>
        <w:tab/>
        <w:t xml:space="preserve">Enjam, G. R., Tekale, K. M., &amp; Chandragowda, S. C. (2024). Chatbot &amp; Voice Bot Integration with Guidewire Digital Portals. </w:t>
      </w:r>
      <w:r w:rsidRPr="00033C00">
        <w:rPr>
          <w:rFonts w:ascii="Arial" w:hAnsi="Arial" w:cs="Arial"/>
          <w:i/>
          <w:iCs/>
        </w:rPr>
        <w:t>International Journal of Emerging Trends in Computer Science and Information Technology</w:t>
      </w:r>
      <w:r w:rsidRPr="00033C00">
        <w:rPr>
          <w:rFonts w:ascii="Arial" w:hAnsi="Arial" w:cs="Arial"/>
        </w:rPr>
        <w:t xml:space="preserve">, </w:t>
      </w:r>
      <w:r w:rsidRPr="00033C00">
        <w:rPr>
          <w:rFonts w:ascii="Arial" w:hAnsi="Arial" w:cs="Arial"/>
          <w:i/>
          <w:iCs/>
        </w:rPr>
        <w:t>5</w:t>
      </w:r>
      <w:r w:rsidRPr="00033C00">
        <w:rPr>
          <w:rFonts w:ascii="Arial" w:hAnsi="Arial" w:cs="Arial"/>
        </w:rPr>
        <w:t>(1), 82-93.</w:t>
      </w:r>
    </w:p>
  </w:endnote>
  <w:endnote w:id="88">
    <w:p w14:paraId="3F68CCE7"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Decker, S., Draegan, K., Keeling, T., Moulton, H., &amp; Gelfand, L. (2024). Health and Science. </w:t>
      </w:r>
      <w:r w:rsidRPr="00033C00">
        <w:rPr>
          <w:rFonts w:ascii="Arial" w:hAnsi="Arial" w:cs="Arial"/>
          <w:i/>
          <w:iCs/>
        </w:rPr>
        <w:t>ENG 101 &amp; 102 Rhetoric</w:t>
      </w:r>
      <w:r w:rsidRPr="00033C00">
        <w:rPr>
          <w:rFonts w:ascii="Arial" w:hAnsi="Arial" w:cs="Arial"/>
        </w:rPr>
        <w:t>.</w:t>
      </w:r>
    </w:p>
  </w:endnote>
  <w:endnote w:id="89">
    <w:p w14:paraId="32899E8C" w14:textId="77777777" w:rsidR="009B64BB" w:rsidRPr="00033C00" w:rsidRDefault="009B64BB" w:rsidP="009B64BB">
      <w:pPr>
        <w:spacing w:before="240"/>
        <w:ind w:left="720" w:hanging="720"/>
        <w:jc w:val="both"/>
        <w:rPr>
          <w:rFonts w:ascii="Arial" w:hAnsi="Arial" w:cs="Arial"/>
        </w:rPr>
      </w:pPr>
      <w:r w:rsidRPr="00033C00">
        <w:rPr>
          <w:rFonts w:ascii="Arial" w:hAnsi="Arial" w:cs="Arial"/>
        </w:rPr>
        <w:t>[</w:t>
      </w:r>
      <w:r w:rsidRPr="00033C00">
        <w:rPr>
          <w:rStyle w:val="EndnoteReference"/>
          <w:rFonts w:ascii="Arial" w:hAnsi="Arial" w:cs="Arial"/>
          <w:vertAlign w:val="baseline"/>
        </w:rPr>
        <w:endnoteRef/>
      </w:r>
      <w:r w:rsidRPr="00033C00">
        <w:rPr>
          <w:rFonts w:ascii="Arial" w:hAnsi="Arial" w:cs="Arial"/>
        </w:rPr>
        <w:t xml:space="preserve"> ]</w:t>
      </w:r>
      <w:r w:rsidRPr="00033C00">
        <w:rPr>
          <w:rFonts w:ascii="Arial" w:hAnsi="Arial" w:cs="Arial"/>
        </w:rPr>
        <w:tab/>
        <w:t xml:space="preserve">Bush, M., Elven, T., Ferrier, A., Knight, C., Kolster, T., &amp; Timke, E. (2024). Roundtable on International Responses to COVID-19: The Unfolding of Pandemic Advertising. </w:t>
      </w:r>
      <w:r w:rsidRPr="00033C00">
        <w:rPr>
          <w:rFonts w:ascii="Arial" w:hAnsi="Arial" w:cs="Arial"/>
          <w:i/>
          <w:iCs/>
        </w:rPr>
        <w:t>Advertising &amp; Society Quarterly</w:t>
      </w:r>
      <w:r w:rsidRPr="00033C00">
        <w:rPr>
          <w:rFonts w:ascii="Arial" w:hAnsi="Arial" w:cs="Arial"/>
        </w:rPr>
        <w:t xml:space="preserve">, </w:t>
      </w:r>
      <w:r w:rsidRPr="00033C00">
        <w:rPr>
          <w:rFonts w:ascii="Arial" w:hAnsi="Arial" w:cs="Arial"/>
          <w:i/>
          <w:iCs/>
        </w:rPr>
        <w:t>25</w:t>
      </w:r>
      <w:r w:rsidRPr="00033C00">
        <w:rPr>
          <w:rFonts w:ascii="Arial" w:hAnsi="Arial" w:cs="Arial"/>
        </w:rPr>
        <w:t>(1).</w:t>
      </w:r>
    </w:p>
    <w:p w14:paraId="64943886" w14:textId="77777777" w:rsidR="009B64BB" w:rsidRPr="00033C00" w:rsidRDefault="009B64BB" w:rsidP="009B64BB">
      <w:pPr>
        <w:spacing w:before="240"/>
        <w:ind w:left="720" w:hanging="720"/>
        <w:jc w:val="both"/>
        <w:rPr>
          <w:rFonts w:ascii="Arial" w:hAnsi="Arial" w:cs="Arial"/>
        </w:rPr>
      </w:pPr>
    </w:p>
    <w:p w14:paraId="25495A74" w14:textId="77777777" w:rsidR="009B64BB" w:rsidRPr="00033C00" w:rsidRDefault="009B64BB" w:rsidP="009B64BB">
      <w:pPr>
        <w:pStyle w:val="EndnoteText"/>
        <w:jc w:val="both"/>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1475"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E73D5" w14:textId="3E7B8683" w:rsidR="00C37E61" w:rsidRPr="007E1E3B" w:rsidRDefault="00C37E61" w:rsidP="007E1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D6CB5" w14:textId="6B650731" w:rsidR="00754C9A" w:rsidRPr="007E1E3B" w:rsidRDefault="00754C9A" w:rsidP="007E1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59C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AE2B8" w14:textId="77777777" w:rsidR="00E46E25" w:rsidRDefault="00E46E25" w:rsidP="00C37E61">
      <w:r>
        <w:separator/>
      </w:r>
    </w:p>
  </w:footnote>
  <w:footnote w:type="continuationSeparator" w:id="0">
    <w:p w14:paraId="3D512A3F" w14:textId="77777777" w:rsidR="00E46E25" w:rsidRDefault="00E46E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3E2E" w14:textId="3397B5B1" w:rsidR="00BF121F" w:rsidRDefault="00E46E25">
    <w:pPr>
      <w:pStyle w:val="Header"/>
    </w:pPr>
    <w:r>
      <w:rPr>
        <w:noProof/>
      </w:rPr>
      <w:pict w14:anchorId="185C9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3BD9A" w14:textId="0F15F648" w:rsidR="00BF121F" w:rsidRDefault="00E46E25">
    <w:pPr>
      <w:pStyle w:val="Header"/>
    </w:pPr>
    <w:r>
      <w:rPr>
        <w:noProof/>
      </w:rPr>
      <w:pict w14:anchorId="3A0FE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0BCE" w14:textId="49C8E1E0" w:rsidR="00296529" w:rsidRPr="00296529" w:rsidRDefault="00E46E25" w:rsidP="00296529">
    <w:pPr>
      <w:ind w:left="2160"/>
      <w:jc w:val="center"/>
      <w:rPr>
        <w:rFonts w:ascii="Times New Roman" w:eastAsia="Calibri" w:hAnsi="Times New Roman"/>
        <w:i/>
        <w:sz w:val="18"/>
        <w:szCs w:val="22"/>
      </w:rPr>
    </w:pPr>
    <w:r>
      <w:rPr>
        <w:noProof/>
      </w:rPr>
      <w:pict w14:anchorId="49E0A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5"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B1D7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A8C2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37B2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B970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1841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87624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862BB" w14:textId="3CB5E680" w:rsidR="00872CBD" w:rsidRDefault="00E46E25">
    <w:pPr>
      <w:pStyle w:val="Header"/>
    </w:pPr>
    <w:r>
      <w:rPr>
        <w:noProof/>
      </w:rPr>
      <w:pict w14:anchorId="01412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9"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083D6" w14:textId="1828538E" w:rsidR="00872CBD" w:rsidRDefault="00E46E25">
    <w:pPr>
      <w:pStyle w:val="Header"/>
    </w:pPr>
    <w:r>
      <w:rPr>
        <w:noProof/>
      </w:rPr>
      <w:pict w14:anchorId="01C25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80"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0EF07" w14:textId="73A2D917" w:rsidR="00872CBD" w:rsidRDefault="00E46E25">
    <w:pPr>
      <w:pStyle w:val="Header"/>
    </w:pPr>
    <w:r>
      <w:rPr>
        <w:noProof/>
      </w:rPr>
      <w:pict w14:anchorId="09E36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72378"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349C9"/>
    <w:multiLevelType w:val="multilevel"/>
    <w:tmpl w:val="BDCA9CB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C8708A"/>
    <w:multiLevelType w:val="multilevel"/>
    <w:tmpl w:val="6C58F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D7FC2"/>
    <w:multiLevelType w:val="multilevel"/>
    <w:tmpl w:val="202CA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15:restartNumberingAfterBreak="0">
    <w:nsid w:val="72126E50"/>
    <w:multiLevelType w:val="multilevel"/>
    <w:tmpl w:val="6748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EA5C7D"/>
    <w:multiLevelType w:val="multilevel"/>
    <w:tmpl w:val="C1B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251405"/>
    <w:multiLevelType w:val="multilevel"/>
    <w:tmpl w:val="6E960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3C00"/>
    <w:rsid w:val="0003616E"/>
    <w:rsid w:val="0004579C"/>
    <w:rsid w:val="000A47FA"/>
    <w:rsid w:val="000A65D3"/>
    <w:rsid w:val="000B1E33"/>
    <w:rsid w:val="000D689F"/>
    <w:rsid w:val="000E0806"/>
    <w:rsid w:val="000E7B7B"/>
    <w:rsid w:val="000E7D62"/>
    <w:rsid w:val="00103357"/>
    <w:rsid w:val="00123C9F"/>
    <w:rsid w:val="00126190"/>
    <w:rsid w:val="00130F17"/>
    <w:rsid w:val="001320BF"/>
    <w:rsid w:val="00163BC4"/>
    <w:rsid w:val="00191062"/>
    <w:rsid w:val="00192B72"/>
    <w:rsid w:val="001A29D8"/>
    <w:rsid w:val="001A5CAA"/>
    <w:rsid w:val="001B0427"/>
    <w:rsid w:val="001C42EE"/>
    <w:rsid w:val="001D3A51"/>
    <w:rsid w:val="001E10D2"/>
    <w:rsid w:val="001E25B4"/>
    <w:rsid w:val="001E44FE"/>
    <w:rsid w:val="00200595"/>
    <w:rsid w:val="0020423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7FF0"/>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2320"/>
    <w:rsid w:val="0053056E"/>
    <w:rsid w:val="00554FDA"/>
    <w:rsid w:val="005C784C"/>
    <w:rsid w:val="005D17F6"/>
    <w:rsid w:val="005E5539"/>
    <w:rsid w:val="005F310B"/>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111B"/>
    <w:rsid w:val="007D2288"/>
    <w:rsid w:val="007E088F"/>
    <w:rsid w:val="007E1E3B"/>
    <w:rsid w:val="007F7B32"/>
    <w:rsid w:val="00804BC2"/>
    <w:rsid w:val="0081431A"/>
    <w:rsid w:val="0083216F"/>
    <w:rsid w:val="00860000"/>
    <w:rsid w:val="00861F1C"/>
    <w:rsid w:val="00863BD3"/>
    <w:rsid w:val="008641ED"/>
    <w:rsid w:val="00866D66"/>
    <w:rsid w:val="008671C6"/>
    <w:rsid w:val="00872CBD"/>
    <w:rsid w:val="00875803"/>
    <w:rsid w:val="008A2137"/>
    <w:rsid w:val="008B459E"/>
    <w:rsid w:val="008E13AE"/>
    <w:rsid w:val="008E1506"/>
    <w:rsid w:val="008E710C"/>
    <w:rsid w:val="008F69D6"/>
    <w:rsid w:val="00902823"/>
    <w:rsid w:val="00915CA6"/>
    <w:rsid w:val="00927834"/>
    <w:rsid w:val="009500A6"/>
    <w:rsid w:val="00957C18"/>
    <w:rsid w:val="009659BA"/>
    <w:rsid w:val="00983040"/>
    <w:rsid w:val="009B3FB9"/>
    <w:rsid w:val="009B64B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0D0A"/>
    <w:rsid w:val="00A94063"/>
    <w:rsid w:val="00AA6219"/>
    <w:rsid w:val="00AA74E0"/>
    <w:rsid w:val="00AB703F"/>
    <w:rsid w:val="00AC6BB8"/>
    <w:rsid w:val="00AE008F"/>
    <w:rsid w:val="00B01FCD"/>
    <w:rsid w:val="00B1776C"/>
    <w:rsid w:val="00B52583"/>
    <w:rsid w:val="00B52896"/>
    <w:rsid w:val="00B6608F"/>
    <w:rsid w:val="00B95236"/>
    <w:rsid w:val="00B96BD9"/>
    <w:rsid w:val="00BA1B01"/>
    <w:rsid w:val="00BA2641"/>
    <w:rsid w:val="00BB37AA"/>
    <w:rsid w:val="00BC53A0"/>
    <w:rsid w:val="00BE5681"/>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46E25"/>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7774"/>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75DCA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9B64B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B64BB"/>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B64B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9B64BB"/>
    <w:rPr>
      <w:b/>
      <w:bCs/>
      <w:sz w:val="36"/>
      <w:szCs w:val="36"/>
    </w:rPr>
  </w:style>
  <w:style w:type="character" w:customStyle="1" w:styleId="Heading3Char">
    <w:name w:val="Heading 3 Char"/>
    <w:basedOn w:val="DefaultParagraphFont"/>
    <w:link w:val="Heading3"/>
    <w:uiPriority w:val="9"/>
    <w:semiHidden/>
    <w:rsid w:val="009B64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B64BB"/>
    <w:rPr>
      <w:rFonts w:asciiTheme="majorHAnsi" w:eastAsiaTheme="majorEastAsia" w:hAnsiTheme="majorHAnsi" w:cstheme="majorBidi"/>
      <w:i/>
      <w:iCs/>
      <w:color w:val="365F91" w:themeColor="accent1" w:themeShade="BF"/>
      <w:sz w:val="22"/>
      <w:szCs w:val="22"/>
    </w:rPr>
  </w:style>
  <w:style w:type="paragraph" w:styleId="NormalWeb">
    <w:name w:val="Normal (Web)"/>
    <w:basedOn w:val="Normal"/>
    <w:uiPriority w:val="99"/>
    <w:unhideWhenUsed/>
    <w:rsid w:val="009B64B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B64BB"/>
    <w:rPr>
      <w:b/>
      <w:bCs/>
    </w:rPr>
  </w:style>
  <w:style w:type="paragraph" w:styleId="ListParagraph">
    <w:name w:val="List Paragraph"/>
    <w:basedOn w:val="Normal"/>
    <w:uiPriority w:val="34"/>
    <w:qFormat/>
    <w:rsid w:val="009B64BB"/>
    <w:pPr>
      <w:spacing w:after="160" w:line="259" w:lineRule="auto"/>
      <w:ind w:left="720"/>
      <w:contextualSpacing/>
    </w:pPr>
    <w:rPr>
      <w:rFonts w:asciiTheme="minorHAnsi" w:eastAsiaTheme="minorHAnsi" w:hAnsiTheme="minorHAnsi" w:cstheme="minorBidi"/>
      <w:sz w:val="22"/>
      <w:szCs w:val="22"/>
    </w:rPr>
  </w:style>
  <w:style w:type="table" w:styleId="PlainTable5">
    <w:name w:val="Plain Table 5"/>
    <w:basedOn w:val="TableNormal"/>
    <w:uiPriority w:val="45"/>
    <w:rsid w:val="009B64B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B64BB"/>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9B64BB"/>
    <w:pPr>
      <w:spacing w:after="200"/>
    </w:pPr>
    <w:rPr>
      <w:rFonts w:asciiTheme="minorHAnsi" w:eastAsiaTheme="minorHAnsi" w:hAnsiTheme="minorHAnsi" w:cstheme="minorBidi"/>
      <w:i/>
      <w:iCs/>
      <w:color w:val="1F497D" w:themeColor="text2"/>
      <w:sz w:val="18"/>
      <w:szCs w:val="18"/>
    </w:rPr>
  </w:style>
  <w:style w:type="paragraph" w:styleId="EndnoteText">
    <w:name w:val="endnote text"/>
    <w:basedOn w:val="Normal"/>
    <w:link w:val="EndnoteTextChar"/>
    <w:uiPriority w:val="99"/>
    <w:semiHidden/>
    <w:unhideWhenUsed/>
    <w:rsid w:val="009B64B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9B64B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9B64BB"/>
    <w:rPr>
      <w:vertAlign w:val="superscript"/>
    </w:rPr>
  </w:style>
  <w:style w:type="table" w:styleId="PlainTable2">
    <w:name w:val="Plain Table 2"/>
    <w:basedOn w:val="TableNormal"/>
    <w:uiPriority w:val="42"/>
    <w:rsid w:val="009B64BB"/>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verflow-hidden">
    <w:name w:val="overflow-hidden"/>
    <w:basedOn w:val="DefaultParagraphFont"/>
    <w:rsid w:val="009B64BB"/>
  </w:style>
  <w:style w:type="table" w:styleId="PlainTable1">
    <w:name w:val="Plain Table 1"/>
    <w:basedOn w:val="TableNormal"/>
    <w:uiPriority w:val="41"/>
    <w:rsid w:val="009B64BB"/>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semiHidden/>
    <w:unhideWhenUsed/>
    <w:rsid w:val="00307FF0"/>
    <w:rPr>
      <w:rFonts w:ascii="Helvetica" w:hAnsi="Helvetica"/>
      <w:b/>
      <w:bCs/>
      <w:lang w:val="en-US" w:eastAsia="en-US"/>
    </w:rPr>
  </w:style>
  <w:style w:type="character" w:customStyle="1" w:styleId="CommentSubjectChar">
    <w:name w:val="Comment Subject Char"/>
    <w:basedOn w:val="CommentTextChar"/>
    <w:link w:val="CommentSubject"/>
    <w:semiHidden/>
    <w:rsid w:val="00307FF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0.xml"/><Relationship Id="rId26" Type="http://schemas.openxmlformats.org/officeDocument/2006/relationships/chart" Target="charts/chart2.xml"/><Relationship Id="rId39" Type="http://schemas.openxmlformats.org/officeDocument/2006/relationships/image" Target="media/image10.jpeg"/><Relationship Id="rId21" Type="http://schemas.openxmlformats.org/officeDocument/2006/relationships/diagramData" Target="diagrams/data1.xml"/><Relationship Id="rId34" Type="http://schemas.openxmlformats.org/officeDocument/2006/relationships/diagramLayout" Target="diagrams/layout2.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90.png"/><Relationship Id="rId37" Type="http://schemas.microsoft.com/office/2007/relationships/diagramDrawing" Target="diagrams/drawing2.xml"/><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diagramQuickStyle" Target="diagrams/quickStyle1.xml"/><Relationship Id="rId28" Type="http://schemas.openxmlformats.org/officeDocument/2006/relationships/image" Target="media/image70.png"/><Relationship Id="rId36" Type="http://schemas.openxmlformats.org/officeDocument/2006/relationships/diagramColors" Target="diagrams/colors2.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diagramLayout" Target="diagrams/layout1.xm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diagramQuickStyle" Target="diagrams/quickStyle2.xm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microsoft.com/office/2007/relationships/diagramDrawing" Target="diagrams/drawing1.xml"/><Relationship Id="rId33" Type="http://schemas.openxmlformats.org/officeDocument/2006/relationships/diagramData" Target="diagrams/data2.xml"/><Relationship Id="rId38" Type="http://schemas.openxmlformats.org/officeDocument/2006/relationships/chart" Target="charts/chart3.xml"/><Relationship Id="rId46" Type="http://schemas.openxmlformats.org/officeDocument/2006/relationships/theme" Target="theme/theme1.xml"/><Relationship Id="rId20" Type="http://schemas.openxmlformats.org/officeDocument/2006/relationships/image" Target="media/image20.png"/><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Internet Penetration (%)</c:v>
                </c:pt>
              </c:strCache>
            </c:strRef>
          </c:tx>
          <c:spPr>
            <a:solidFill>
              <a:srgbClr val="155E6D"/>
            </a:solidFill>
            <a:ln w="19050" cap="flat" cmpd="sng" algn="ctr">
              <a:solidFill>
                <a:schemeClr val="lt1"/>
              </a:solidFill>
              <a:prstDash val="solid"/>
              <a:miter lim="800000"/>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0.28000000000000003</c:v>
                </c:pt>
                <c:pt idx="1">
                  <c:v>0.32</c:v>
                </c:pt>
                <c:pt idx="2">
                  <c:v>0.38</c:v>
                </c:pt>
                <c:pt idx="3">
                  <c:v>0.43</c:v>
                </c:pt>
                <c:pt idx="4">
                  <c:v>0.5</c:v>
                </c:pt>
              </c:numCache>
            </c:numRef>
          </c:val>
          <c:extLst>
            <c:ext xmlns:c16="http://schemas.microsoft.com/office/drawing/2014/chart" uri="{C3380CC4-5D6E-409C-BE32-E72D297353CC}">
              <c16:uniqueId val="{00000000-B1A6-4A7A-BB35-EA07CCD3673B}"/>
            </c:ext>
          </c:extLst>
        </c:ser>
        <c:ser>
          <c:idx val="1"/>
          <c:order val="1"/>
          <c:tx>
            <c:strRef>
              <c:f>Sheet1!$C$1</c:f>
              <c:strCache>
                <c:ptCount val="1"/>
                <c:pt idx="0">
                  <c:v>Mobile Penetration (%)</c:v>
                </c:pt>
              </c:strCache>
            </c:strRef>
          </c:tx>
          <c:spPr>
            <a:solidFill>
              <a:schemeClr val="accent2"/>
            </a:solidFill>
            <a:ln>
              <a:solidFill>
                <a:srgbClr val="C00000"/>
              </a:solidFill>
            </a:ln>
            <a:effectLst/>
            <a:scene3d>
              <a:camera prst="orthographicFront"/>
              <a:lightRig rig="threePt" dir="t"/>
            </a:scene3d>
            <a:sp3d prstMaterial="matte">
              <a:bevelT w="63500" h="63500" prst="artDeco"/>
              <a:contourClr>
                <a:srgbClr val="000000"/>
              </a:contourClr>
            </a:sp3d>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0.45</c:v>
                </c:pt>
                <c:pt idx="1">
                  <c:v>0.5</c:v>
                </c:pt>
                <c:pt idx="2">
                  <c:v>0.55000000000000004</c:v>
                </c:pt>
                <c:pt idx="3">
                  <c:v>0.6</c:v>
                </c:pt>
                <c:pt idx="4">
                  <c:v>0.65</c:v>
                </c:pt>
              </c:numCache>
            </c:numRef>
          </c:val>
          <c:extLst>
            <c:ext xmlns:c16="http://schemas.microsoft.com/office/drawing/2014/chart" uri="{C3380CC4-5D6E-409C-BE32-E72D297353CC}">
              <c16:uniqueId val="{00000001-B1A6-4A7A-BB35-EA07CCD3673B}"/>
            </c:ext>
          </c:extLst>
        </c:ser>
        <c:dLbls>
          <c:showLegendKey val="0"/>
          <c:showVal val="0"/>
          <c:showCatName val="0"/>
          <c:showSerName val="0"/>
          <c:showPercent val="0"/>
          <c:showBubbleSize val="0"/>
        </c:dLbls>
        <c:gapWidth val="219"/>
        <c:overlap val="-27"/>
        <c:axId val="421935320"/>
        <c:axId val="421939912"/>
      </c:barChart>
      <c:catAx>
        <c:axId val="42193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9912"/>
        <c:crosses val="autoZero"/>
        <c:auto val="1"/>
        <c:lblAlgn val="ctr"/>
        <c:lblOffset val="100"/>
        <c:noMultiLvlLbl val="0"/>
      </c:catAx>
      <c:valAx>
        <c:axId val="42193991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noFill/>
    <a:ln w="28575" cap="flat" cmpd="sng" algn="ctr">
      <a:solidFill>
        <a:schemeClr val="tx2"/>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Internet Penetration (%)</c:v>
                </c:pt>
              </c:strCache>
            </c:strRef>
          </c:tx>
          <c:spPr>
            <a:solidFill>
              <a:srgbClr val="155E6D"/>
            </a:solidFill>
            <a:ln w="19050" cap="flat" cmpd="sng" algn="ctr">
              <a:solidFill>
                <a:schemeClr val="lt1"/>
              </a:solidFill>
              <a:prstDash val="solid"/>
              <a:miter lim="800000"/>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0.28000000000000003</c:v>
                </c:pt>
                <c:pt idx="1">
                  <c:v>0.32</c:v>
                </c:pt>
                <c:pt idx="2">
                  <c:v>0.38</c:v>
                </c:pt>
                <c:pt idx="3">
                  <c:v>0.43</c:v>
                </c:pt>
                <c:pt idx="4">
                  <c:v>0.5</c:v>
                </c:pt>
              </c:numCache>
            </c:numRef>
          </c:val>
          <c:extLst>
            <c:ext xmlns:c16="http://schemas.microsoft.com/office/drawing/2014/chart" uri="{C3380CC4-5D6E-409C-BE32-E72D297353CC}">
              <c16:uniqueId val="{00000000-B1A6-4A7A-BB35-EA07CCD3673B}"/>
            </c:ext>
          </c:extLst>
        </c:ser>
        <c:ser>
          <c:idx val="1"/>
          <c:order val="1"/>
          <c:tx>
            <c:strRef>
              <c:f>Sheet1!$C$1</c:f>
              <c:strCache>
                <c:ptCount val="1"/>
                <c:pt idx="0">
                  <c:v>Mobile Penetration (%)</c:v>
                </c:pt>
              </c:strCache>
            </c:strRef>
          </c:tx>
          <c:spPr>
            <a:solidFill>
              <a:schemeClr val="accent2"/>
            </a:solidFill>
            <a:ln>
              <a:solidFill>
                <a:srgbClr val="C00000"/>
              </a:solidFill>
            </a:ln>
            <a:effectLst/>
            <a:scene3d>
              <a:camera prst="orthographicFront"/>
              <a:lightRig rig="threePt" dir="t"/>
            </a:scene3d>
            <a:sp3d prstMaterial="matte">
              <a:bevelT w="63500" h="63500" prst="artDeco"/>
              <a:contourClr>
                <a:srgbClr val="000000"/>
              </a:contourClr>
            </a:sp3d>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0.45</c:v>
                </c:pt>
                <c:pt idx="1">
                  <c:v>0.5</c:v>
                </c:pt>
                <c:pt idx="2">
                  <c:v>0.55000000000000004</c:v>
                </c:pt>
                <c:pt idx="3">
                  <c:v>0.6</c:v>
                </c:pt>
                <c:pt idx="4">
                  <c:v>0.65</c:v>
                </c:pt>
              </c:numCache>
            </c:numRef>
          </c:val>
          <c:extLst>
            <c:ext xmlns:c16="http://schemas.microsoft.com/office/drawing/2014/chart" uri="{C3380CC4-5D6E-409C-BE32-E72D297353CC}">
              <c16:uniqueId val="{00000001-B1A6-4A7A-BB35-EA07CCD3673B}"/>
            </c:ext>
          </c:extLst>
        </c:ser>
        <c:dLbls>
          <c:showLegendKey val="0"/>
          <c:showVal val="0"/>
          <c:showCatName val="0"/>
          <c:showSerName val="0"/>
          <c:showPercent val="0"/>
          <c:showBubbleSize val="0"/>
        </c:dLbls>
        <c:gapWidth val="219"/>
        <c:overlap val="-27"/>
        <c:axId val="421935320"/>
        <c:axId val="421939912"/>
      </c:barChart>
      <c:catAx>
        <c:axId val="42193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9912"/>
        <c:crosses val="autoZero"/>
        <c:auto val="1"/>
        <c:lblAlgn val="ctr"/>
        <c:lblOffset val="100"/>
        <c:noMultiLvlLbl val="0"/>
      </c:catAx>
      <c:valAx>
        <c:axId val="42193991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193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noFill/>
    <a:ln w="28575" cap="flat" cmpd="sng" algn="ctr">
      <a:solidFill>
        <a:schemeClr val="tx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Baseline (%)</c:v>
                </c:pt>
              </c:strCache>
            </c:strRef>
          </c:tx>
          <c:spPr>
            <a:solidFill>
              <a:srgbClr val="C00000"/>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Sheet1!$B$2:$B$5</c:f>
              <c:numCache>
                <c:formatCode>0%</c:formatCode>
                <c:ptCount val="4"/>
                <c:pt idx="0">
                  <c:v>0.4</c:v>
                </c:pt>
                <c:pt idx="1">
                  <c:v>0.3</c:v>
                </c:pt>
                <c:pt idx="2">
                  <c:v>0.5</c:v>
                </c:pt>
                <c:pt idx="3">
                  <c:v>0.2</c:v>
                </c:pt>
              </c:numCache>
            </c:numRef>
          </c:val>
          <c:extLst>
            <c:ext xmlns:c16="http://schemas.microsoft.com/office/drawing/2014/chart" uri="{C3380CC4-5D6E-409C-BE32-E72D297353CC}">
              <c16:uniqueId val="{00000000-70A6-4364-A030-15C56E8ABC33}"/>
            </c:ext>
          </c:extLst>
        </c:ser>
        <c:ser>
          <c:idx val="1"/>
          <c:order val="1"/>
          <c:tx>
            <c:strRef>
              <c:f>Sheet1!$C$1</c:f>
              <c:strCache>
                <c:ptCount val="1"/>
                <c:pt idx="0">
                  <c:v>Target for Africa (%)</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Comprehension</c:v>
                </c:pt>
                <c:pt idx="1">
                  <c:v>Engagement Rate</c:v>
                </c:pt>
                <c:pt idx="2">
                  <c:v>Cultural Relevance</c:v>
                </c:pt>
                <c:pt idx="3">
                  <c:v>Technological Access</c:v>
                </c:pt>
              </c:strCache>
            </c:strRef>
          </c:cat>
          <c:val>
            <c:numRef>
              <c:f>Sheet1!$C$2:$C$5</c:f>
              <c:numCache>
                <c:formatCode>0%</c:formatCode>
                <c:ptCount val="4"/>
                <c:pt idx="0">
                  <c:v>0.7</c:v>
                </c:pt>
                <c:pt idx="1">
                  <c:v>0.6</c:v>
                </c:pt>
                <c:pt idx="2">
                  <c:v>0.8</c:v>
                </c:pt>
                <c:pt idx="3">
                  <c:v>0.6</c:v>
                </c:pt>
              </c:numCache>
            </c:numRef>
          </c:val>
          <c:extLst>
            <c:ext xmlns:c16="http://schemas.microsoft.com/office/drawing/2014/chart" uri="{C3380CC4-5D6E-409C-BE32-E72D297353CC}">
              <c16:uniqueId val="{00000001-70A6-4364-A030-15C56E8ABC33}"/>
            </c:ext>
          </c:extLst>
        </c:ser>
        <c:dLbls>
          <c:dLblPos val="outEnd"/>
          <c:showLegendKey val="0"/>
          <c:showVal val="1"/>
          <c:showCatName val="0"/>
          <c:showSerName val="0"/>
          <c:showPercent val="0"/>
          <c:showBubbleSize val="0"/>
        </c:dLbls>
        <c:gapWidth val="219"/>
        <c:overlap val="-27"/>
        <c:axId val="333388176"/>
        <c:axId val="333387520"/>
      </c:barChart>
      <c:catAx>
        <c:axId val="333388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333387520"/>
        <c:crosses val="autoZero"/>
        <c:auto val="1"/>
        <c:lblAlgn val="ctr"/>
        <c:lblOffset val="100"/>
        <c:noMultiLvlLbl val="0"/>
      </c:catAx>
      <c:valAx>
        <c:axId val="333387520"/>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3388176"/>
        <c:crosses val="autoZero"/>
        <c:crossBetween val="between"/>
      </c:valAx>
      <c:spPr>
        <a:noFill/>
        <a:ln w="12700">
          <a:solidFill>
            <a:schemeClr val="tx1"/>
          </a:solidFill>
        </a:ln>
        <a:effectLst/>
      </c:spPr>
    </c:plotArea>
    <c:legend>
      <c:legendPos val="t"/>
      <c:layout>
        <c:manualLayout>
          <c:xMode val="edge"/>
          <c:yMode val="edge"/>
          <c:x val="0.67796500437445317"/>
          <c:y val="2.7777777777777776E-2"/>
          <c:w val="0.28018110236220473"/>
          <c:h val="0.1192421259842519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Baseline (%)</c:v>
                </c:pt>
              </c:strCache>
            </c:strRef>
          </c:tx>
          <c:spPr>
            <a:solidFill>
              <a:srgbClr val="FFC000"/>
            </a:solidFill>
            <a:ln>
              <a:noFill/>
            </a:ln>
            <a:effectLst/>
            <a:sp3d/>
          </c:spPr>
          <c:invertIfNegative val="0"/>
          <c:cat>
            <c:strRef>
              <c:f>Sheet1!$A$2:$A$4</c:f>
              <c:strCache>
                <c:ptCount val="3"/>
                <c:pt idx="0">
                  <c:v>Comprehension</c:v>
                </c:pt>
                <c:pt idx="1">
                  <c:v>Engagement Rate</c:v>
                </c:pt>
                <c:pt idx="2">
                  <c:v>Trust in Vaccines</c:v>
                </c:pt>
              </c:strCache>
            </c:strRef>
          </c:cat>
          <c:val>
            <c:numRef>
              <c:f>Sheet1!$B$2:$B$4</c:f>
              <c:numCache>
                <c:formatCode>0%</c:formatCode>
                <c:ptCount val="3"/>
                <c:pt idx="0">
                  <c:v>0.4</c:v>
                </c:pt>
                <c:pt idx="1">
                  <c:v>0.3</c:v>
                </c:pt>
                <c:pt idx="2">
                  <c:v>0.5</c:v>
                </c:pt>
              </c:numCache>
            </c:numRef>
          </c:val>
          <c:extLst>
            <c:ext xmlns:c16="http://schemas.microsoft.com/office/drawing/2014/chart" uri="{C3380CC4-5D6E-409C-BE32-E72D297353CC}">
              <c16:uniqueId val="{00000000-423C-4E9F-ACDA-3A0C5D363831}"/>
            </c:ext>
          </c:extLst>
        </c:ser>
        <c:ser>
          <c:idx val="1"/>
          <c:order val="1"/>
          <c:tx>
            <c:strRef>
              <c:f>Sheet1!$C$1</c:f>
              <c:strCache>
                <c:ptCount val="1"/>
                <c:pt idx="0">
                  <c:v>Post-Implementation (%)</c:v>
                </c:pt>
              </c:strCache>
            </c:strRef>
          </c:tx>
          <c:spPr>
            <a:solidFill>
              <a:srgbClr val="002060"/>
            </a:solidFill>
            <a:ln>
              <a:noFill/>
            </a:ln>
            <a:effectLst/>
            <a:sp3d/>
          </c:spPr>
          <c:invertIfNegative val="0"/>
          <c:cat>
            <c:strRef>
              <c:f>Sheet1!$A$2:$A$4</c:f>
              <c:strCache>
                <c:ptCount val="3"/>
                <c:pt idx="0">
                  <c:v>Comprehension</c:v>
                </c:pt>
                <c:pt idx="1">
                  <c:v>Engagement Rate</c:v>
                </c:pt>
                <c:pt idx="2">
                  <c:v>Trust in Vaccines</c:v>
                </c:pt>
              </c:strCache>
            </c:strRef>
          </c:cat>
          <c:val>
            <c:numRef>
              <c:f>Sheet1!$C$2:$C$4</c:f>
              <c:numCache>
                <c:formatCode>0%</c:formatCode>
                <c:ptCount val="3"/>
                <c:pt idx="0">
                  <c:v>0.75</c:v>
                </c:pt>
                <c:pt idx="1">
                  <c:v>0.65</c:v>
                </c:pt>
                <c:pt idx="2">
                  <c:v>0.8</c:v>
                </c:pt>
              </c:numCache>
            </c:numRef>
          </c:val>
          <c:extLst>
            <c:ext xmlns:c16="http://schemas.microsoft.com/office/drawing/2014/chart" uri="{C3380CC4-5D6E-409C-BE32-E72D297353CC}">
              <c16:uniqueId val="{00000001-423C-4E9F-ACDA-3A0C5D363831}"/>
            </c:ext>
          </c:extLst>
        </c:ser>
        <c:dLbls>
          <c:showLegendKey val="0"/>
          <c:showVal val="0"/>
          <c:showCatName val="0"/>
          <c:showSerName val="0"/>
          <c:showPercent val="0"/>
          <c:showBubbleSize val="0"/>
        </c:dLbls>
        <c:gapWidth val="150"/>
        <c:shape val="box"/>
        <c:axId val="397354992"/>
        <c:axId val="397351384"/>
        <c:axId val="0"/>
      </c:bar3DChart>
      <c:catAx>
        <c:axId val="39735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en-US"/>
          </a:p>
        </c:txPr>
        <c:crossAx val="397351384"/>
        <c:crosses val="autoZero"/>
        <c:auto val="1"/>
        <c:lblAlgn val="ctr"/>
        <c:lblOffset val="100"/>
        <c:noMultiLvlLbl val="0"/>
      </c:catAx>
      <c:valAx>
        <c:axId val="39735138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39735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rgbClr val="C00000"/>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02106-5992-415A-8E30-D060F132BC27}"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E5F40673-85D0-46D9-B760-EF8AEE654D1E}">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Data Collection</a:t>
          </a:r>
        </a:p>
      </dgm:t>
    </dgm:pt>
    <dgm:pt modelId="{BA4C25A3-26EB-497B-9AFC-0F29EFD8B671}" type="parTrans" cxnId="{1556AA10-6071-49A9-8E9A-A15AB544FD08}">
      <dgm:prSet/>
      <dgm:spPr/>
      <dgm:t>
        <a:bodyPr/>
        <a:lstStyle/>
        <a:p>
          <a:endParaRPr lang="en-US"/>
        </a:p>
      </dgm:t>
    </dgm:pt>
    <dgm:pt modelId="{868AD237-9868-4064-AAD6-8569238F1C51}" type="sibTrans" cxnId="{1556AA10-6071-49A9-8E9A-A15AB544FD08}">
      <dgm:prSet/>
      <dgm:spPr/>
      <dgm:t>
        <a:bodyPr/>
        <a:lstStyle/>
        <a:p>
          <a:endParaRPr lang="en-US"/>
        </a:p>
      </dgm:t>
    </dgm:pt>
    <dgm:pt modelId="{3657E811-AFCF-4B18-A7D6-ACA28EF771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Thematic Classification </a:t>
          </a:r>
        </a:p>
      </dgm:t>
    </dgm:pt>
    <dgm:pt modelId="{3FFA2799-75F2-41E4-934E-A886D1F17D87}" type="parTrans" cxnId="{97821078-EB0C-4A28-B5AB-D663472AC4F4}">
      <dgm:prSet/>
      <dgm:spPr/>
      <dgm:t>
        <a:bodyPr/>
        <a:lstStyle/>
        <a:p>
          <a:endParaRPr lang="en-US"/>
        </a:p>
      </dgm:t>
    </dgm:pt>
    <dgm:pt modelId="{9183D609-6118-4179-8978-B857552F5C01}" type="sibTrans" cxnId="{97821078-EB0C-4A28-B5AB-D663472AC4F4}">
      <dgm:prSet/>
      <dgm:spPr/>
      <dgm:t>
        <a:bodyPr/>
        <a:lstStyle/>
        <a:p>
          <a:endParaRPr lang="en-US"/>
        </a:p>
      </dgm:t>
    </dgm:pt>
    <dgm:pt modelId="{6C9B0F55-5971-4541-80AD-24B3228C3138}">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Case Study Evaluation</a:t>
          </a:r>
        </a:p>
      </dgm:t>
    </dgm:pt>
    <dgm:pt modelId="{1D9973F6-79F6-4E70-AA64-C59D8F6A977A}" type="parTrans" cxnId="{2A7D0237-09ED-4958-9CF4-7A2F4770B282}">
      <dgm:prSet/>
      <dgm:spPr/>
      <dgm:t>
        <a:bodyPr/>
        <a:lstStyle/>
        <a:p>
          <a:endParaRPr lang="en-US"/>
        </a:p>
      </dgm:t>
    </dgm:pt>
    <dgm:pt modelId="{6FD05F11-D39B-4495-890A-4A3FB11EB553}" type="sibTrans" cxnId="{2A7D0237-09ED-4958-9CF4-7A2F4770B282}">
      <dgm:prSet/>
      <dgm:spPr/>
      <dgm:t>
        <a:bodyPr/>
        <a:lstStyle/>
        <a:p>
          <a:endParaRPr lang="en-US"/>
        </a:p>
      </dgm:t>
    </dgm:pt>
    <dgm:pt modelId="{1254E05F-D67E-4202-9BAD-DDE1A1E0C442}">
      <dgm:prSet phldrT="[Text]" custT="1">
        <dgm:style>
          <a:lnRef idx="0">
            <a:schemeClr val="dk1"/>
          </a:lnRef>
          <a:fillRef idx="3">
            <a:schemeClr val="dk1"/>
          </a:fillRef>
          <a:effectRef idx="3">
            <a:schemeClr val="dk1"/>
          </a:effectRef>
          <a:fontRef idx="minor">
            <a:schemeClr val="lt1"/>
          </a:fontRef>
        </dgm:style>
      </dgm:prSet>
      <dgm:spPr>
        <a:solidFill>
          <a:schemeClr val="accent5">
            <a:lumMod val="50000"/>
          </a:schemeClr>
        </a:solidFill>
        <a:ln w="19050">
          <a:solidFill>
            <a:srgbClr val="C00000"/>
          </a:solidFill>
        </a:ln>
      </dgm:spPr>
      <dgm:t>
        <a:bodyPr/>
        <a:lstStyle/>
        <a:p>
          <a:r>
            <a:rPr lang="en-US" sz="1000" b="1">
              <a:latin typeface="Tahoma" panose="020B0604030504040204" pitchFamily="34" charset="0"/>
              <a:ea typeface="Tahoma" panose="020B0604030504040204" pitchFamily="34" charset="0"/>
              <a:cs typeface="Tahoma" panose="020B0604030504040204" pitchFamily="34" charset="0"/>
            </a:rPr>
            <a:t>Multimodal Framework Design</a:t>
          </a:r>
        </a:p>
      </dgm:t>
    </dgm:pt>
    <dgm:pt modelId="{C29807E3-5F97-441C-B8DF-FB01FDF015C5}" type="sibTrans" cxnId="{DA146941-5380-40B8-ABE0-B68B6921FBB9}">
      <dgm:prSet/>
      <dgm:spPr/>
      <dgm:t>
        <a:bodyPr/>
        <a:lstStyle/>
        <a:p>
          <a:endParaRPr lang="en-US"/>
        </a:p>
      </dgm:t>
    </dgm:pt>
    <dgm:pt modelId="{72C99C7B-C72A-4E5D-A55B-01BA7B51494B}" type="parTrans" cxnId="{DA146941-5380-40B8-ABE0-B68B6921FBB9}">
      <dgm:prSet/>
      <dgm:spPr/>
      <dgm:t>
        <a:bodyPr/>
        <a:lstStyle/>
        <a:p>
          <a:endParaRPr lang="en-US"/>
        </a:p>
      </dgm:t>
    </dgm:pt>
    <dgm:pt modelId="{117C005C-0741-4451-9741-A62815D02F2F}" type="pres">
      <dgm:prSet presAssocID="{A5002106-5992-415A-8E30-D060F132BC27}" presName="Name0" presStyleCnt="0">
        <dgm:presLayoutVars>
          <dgm:dir/>
          <dgm:resizeHandles val="exact"/>
        </dgm:presLayoutVars>
      </dgm:prSet>
      <dgm:spPr/>
      <dgm:t>
        <a:bodyPr/>
        <a:lstStyle/>
        <a:p>
          <a:endParaRPr lang="en-US"/>
        </a:p>
      </dgm:t>
    </dgm:pt>
    <dgm:pt modelId="{542B969E-0D3A-4459-A6E5-B8CB22B6D8EF}" type="pres">
      <dgm:prSet presAssocID="{E5F40673-85D0-46D9-B760-EF8AEE654D1E}" presName="composite" presStyleCnt="0"/>
      <dgm:spPr/>
    </dgm:pt>
    <dgm:pt modelId="{30077939-FDA3-4068-9A3E-12443A6F304D}" type="pres">
      <dgm:prSet presAssocID="{E5F40673-85D0-46D9-B760-EF8AEE654D1E}" presName="imagSh" presStyleLbl="bgImgPlace1" presStyleIdx="0" presStyleCnt="4"/>
      <dgm:spPr>
        <a:blipFill rotWithShape="1">
          <a:blip xmlns:r="http://schemas.openxmlformats.org/officeDocument/2006/relationships" r:embed="rId1"/>
          <a:stretch>
            <a:fillRect/>
          </a:stretch>
        </a:blipFill>
        <a:ln w="28575">
          <a:solidFill>
            <a:srgbClr val="C00000"/>
          </a:solidFill>
        </a:ln>
        <a:scene3d>
          <a:camera prst="orthographicFront"/>
          <a:lightRig rig="threePt" dir="t"/>
        </a:scene3d>
        <a:sp3d>
          <a:bevelT/>
        </a:sp3d>
      </dgm:spPr>
    </dgm:pt>
    <dgm:pt modelId="{BBF8A889-455E-408F-816E-A71E15610AED}" type="pres">
      <dgm:prSet presAssocID="{E5F40673-85D0-46D9-B760-EF8AEE654D1E}" presName="txNode" presStyleLbl="node1" presStyleIdx="0" presStyleCnt="4">
        <dgm:presLayoutVars>
          <dgm:bulletEnabled val="1"/>
        </dgm:presLayoutVars>
      </dgm:prSet>
      <dgm:spPr/>
      <dgm:t>
        <a:bodyPr/>
        <a:lstStyle/>
        <a:p>
          <a:endParaRPr lang="en-US"/>
        </a:p>
      </dgm:t>
    </dgm:pt>
    <dgm:pt modelId="{CF038D87-6860-47D7-B694-7ADFB88BD0C9}" type="pres">
      <dgm:prSet presAssocID="{868AD237-9868-4064-AAD6-8569238F1C51}" presName="sibTrans" presStyleLbl="sibTrans2D1" presStyleIdx="0" presStyleCnt="3"/>
      <dgm:spPr/>
      <dgm:t>
        <a:bodyPr/>
        <a:lstStyle/>
        <a:p>
          <a:endParaRPr lang="en-US"/>
        </a:p>
      </dgm:t>
    </dgm:pt>
    <dgm:pt modelId="{11ED64C4-DB55-4B0E-A8DF-3808F2C2D7AB}" type="pres">
      <dgm:prSet presAssocID="{868AD237-9868-4064-AAD6-8569238F1C51}" presName="connTx" presStyleLbl="sibTrans2D1" presStyleIdx="0" presStyleCnt="3"/>
      <dgm:spPr/>
      <dgm:t>
        <a:bodyPr/>
        <a:lstStyle/>
        <a:p>
          <a:endParaRPr lang="en-US"/>
        </a:p>
      </dgm:t>
    </dgm:pt>
    <dgm:pt modelId="{A168D183-9EA9-4E31-A4BD-08F8795E8505}" type="pres">
      <dgm:prSet presAssocID="{3657E811-AFCF-4B18-A7D6-ACA28EF77142}" presName="composite" presStyleCnt="0"/>
      <dgm:spPr/>
    </dgm:pt>
    <dgm:pt modelId="{C4AF36FA-194B-44D5-8A82-8A0653595F6E}" type="pres">
      <dgm:prSet presAssocID="{3657E811-AFCF-4B18-A7D6-ACA28EF77142}" presName="imagSh" presStyleLbl="bgImgPlace1" presStyleIdx="1" presStyleCnt="4"/>
      <dgm:spPr>
        <a:blipFill rotWithShape="1">
          <a:blip xmlns:r="http://schemas.openxmlformats.org/officeDocument/2006/relationships" r:embed="rId2"/>
          <a:stretch>
            <a:fillRect/>
          </a:stretch>
        </a:blipFill>
        <a:ln w="28575">
          <a:solidFill>
            <a:srgbClr val="C00000"/>
          </a:solidFill>
        </a:ln>
        <a:scene3d>
          <a:camera prst="orthographicFront"/>
          <a:lightRig rig="threePt" dir="t"/>
        </a:scene3d>
        <a:sp3d>
          <a:bevelT/>
        </a:sp3d>
      </dgm:spPr>
    </dgm:pt>
    <dgm:pt modelId="{1C581179-C521-4124-8F23-636DBBBA40B6}" type="pres">
      <dgm:prSet presAssocID="{3657E811-AFCF-4B18-A7D6-ACA28EF77142}" presName="txNode" presStyleLbl="node1" presStyleIdx="1" presStyleCnt="4">
        <dgm:presLayoutVars>
          <dgm:bulletEnabled val="1"/>
        </dgm:presLayoutVars>
      </dgm:prSet>
      <dgm:spPr/>
      <dgm:t>
        <a:bodyPr/>
        <a:lstStyle/>
        <a:p>
          <a:endParaRPr lang="en-US"/>
        </a:p>
      </dgm:t>
    </dgm:pt>
    <dgm:pt modelId="{CD426B0A-C786-4F8A-BA3B-6A5305A9C0D3}" type="pres">
      <dgm:prSet presAssocID="{9183D609-6118-4179-8978-B857552F5C01}" presName="sibTrans" presStyleLbl="sibTrans2D1" presStyleIdx="1" presStyleCnt="3"/>
      <dgm:spPr/>
      <dgm:t>
        <a:bodyPr/>
        <a:lstStyle/>
        <a:p>
          <a:endParaRPr lang="en-US"/>
        </a:p>
      </dgm:t>
    </dgm:pt>
    <dgm:pt modelId="{4B32DFD5-786A-4557-B705-61D146600941}" type="pres">
      <dgm:prSet presAssocID="{9183D609-6118-4179-8978-B857552F5C01}" presName="connTx" presStyleLbl="sibTrans2D1" presStyleIdx="1" presStyleCnt="3"/>
      <dgm:spPr/>
      <dgm:t>
        <a:bodyPr/>
        <a:lstStyle/>
        <a:p>
          <a:endParaRPr lang="en-US"/>
        </a:p>
      </dgm:t>
    </dgm:pt>
    <dgm:pt modelId="{86FEB2EF-7089-4DD0-837D-22CD2C3E7337}" type="pres">
      <dgm:prSet presAssocID="{6C9B0F55-5971-4541-80AD-24B3228C3138}" presName="composite" presStyleCnt="0"/>
      <dgm:spPr/>
    </dgm:pt>
    <dgm:pt modelId="{4DE236BF-A438-4214-B18F-3F7106827A92}" type="pres">
      <dgm:prSet presAssocID="{6C9B0F55-5971-4541-80AD-24B3228C3138}" presName="imagSh" presStyleLbl="bgImgPlace1" presStyleIdx="2" presStyleCnt="4"/>
      <dgm:spPr>
        <a:blipFill rotWithShape="1">
          <a:blip xmlns:r="http://schemas.openxmlformats.org/officeDocument/2006/relationships" r:embed="rId3"/>
          <a:stretch>
            <a:fillRect/>
          </a:stretch>
        </a:blipFill>
        <a:ln w="28575">
          <a:solidFill>
            <a:srgbClr val="C00000"/>
          </a:solidFill>
        </a:ln>
        <a:scene3d>
          <a:camera prst="orthographicFront"/>
          <a:lightRig rig="threePt" dir="t"/>
        </a:scene3d>
        <a:sp3d>
          <a:bevelT/>
        </a:sp3d>
      </dgm:spPr>
    </dgm:pt>
    <dgm:pt modelId="{4E70B12F-1CD7-457C-94BB-5886D83D57A9}" type="pres">
      <dgm:prSet presAssocID="{6C9B0F55-5971-4541-80AD-24B3228C3138}" presName="txNode" presStyleLbl="node1" presStyleIdx="2" presStyleCnt="4">
        <dgm:presLayoutVars>
          <dgm:bulletEnabled val="1"/>
        </dgm:presLayoutVars>
      </dgm:prSet>
      <dgm:spPr/>
      <dgm:t>
        <a:bodyPr/>
        <a:lstStyle/>
        <a:p>
          <a:endParaRPr lang="en-US"/>
        </a:p>
      </dgm:t>
    </dgm:pt>
    <dgm:pt modelId="{4B6A9E79-F8E9-4C36-A2B1-93309ADC2503}" type="pres">
      <dgm:prSet presAssocID="{6FD05F11-D39B-4495-890A-4A3FB11EB553}" presName="sibTrans" presStyleLbl="sibTrans2D1" presStyleIdx="2" presStyleCnt="3"/>
      <dgm:spPr/>
      <dgm:t>
        <a:bodyPr/>
        <a:lstStyle/>
        <a:p>
          <a:endParaRPr lang="en-US"/>
        </a:p>
      </dgm:t>
    </dgm:pt>
    <dgm:pt modelId="{0A39DCC0-2557-44DC-9728-12E0A1150843}" type="pres">
      <dgm:prSet presAssocID="{6FD05F11-D39B-4495-890A-4A3FB11EB553}" presName="connTx" presStyleLbl="sibTrans2D1" presStyleIdx="2" presStyleCnt="3"/>
      <dgm:spPr/>
      <dgm:t>
        <a:bodyPr/>
        <a:lstStyle/>
        <a:p>
          <a:endParaRPr lang="en-US"/>
        </a:p>
      </dgm:t>
    </dgm:pt>
    <dgm:pt modelId="{C98C1473-4D79-487F-824A-E7F0D9531E6D}" type="pres">
      <dgm:prSet presAssocID="{1254E05F-D67E-4202-9BAD-DDE1A1E0C442}" presName="composite" presStyleCnt="0"/>
      <dgm:spPr/>
    </dgm:pt>
    <dgm:pt modelId="{BC27983E-75C8-4987-AFA8-C76D51E8E55F}" type="pres">
      <dgm:prSet presAssocID="{1254E05F-D67E-4202-9BAD-DDE1A1E0C442}" presName="imagSh" presStyleLbl="bgImgPlace1" presStyleIdx="3" presStyleCnt="4"/>
      <dgm:spPr>
        <a:blipFill rotWithShape="1">
          <a:blip xmlns:r="http://schemas.openxmlformats.org/officeDocument/2006/relationships" r:embed="rId4"/>
          <a:stretch>
            <a:fillRect/>
          </a:stretch>
        </a:blipFill>
        <a:ln w="28575">
          <a:solidFill>
            <a:srgbClr val="C00000"/>
          </a:solidFill>
        </a:ln>
        <a:scene3d>
          <a:camera prst="orthographicFront"/>
          <a:lightRig rig="threePt" dir="t"/>
        </a:scene3d>
        <a:sp3d>
          <a:bevelT/>
        </a:sp3d>
      </dgm:spPr>
    </dgm:pt>
    <dgm:pt modelId="{20C1E9E2-15BA-42EA-83E9-75BCE45FD442}" type="pres">
      <dgm:prSet presAssocID="{1254E05F-D67E-4202-9BAD-DDE1A1E0C442}" presName="txNode" presStyleLbl="node1" presStyleIdx="3" presStyleCnt="4">
        <dgm:presLayoutVars>
          <dgm:bulletEnabled val="1"/>
        </dgm:presLayoutVars>
      </dgm:prSet>
      <dgm:spPr/>
      <dgm:t>
        <a:bodyPr/>
        <a:lstStyle/>
        <a:p>
          <a:endParaRPr lang="en-US"/>
        </a:p>
      </dgm:t>
    </dgm:pt>
  </dgm:ptLst>
  <dgm:cxnLst>
    <dgm:cxn modelId="{2A7D0237-09ED-4958-9CF4-7A2F4770B282}" srcId="{A5002106-5992-415A-8E30-D060F132BC27}" destId="{6C9B0F55-5971-4541-80AD-24B3228C3138}" srcOrd="2" destOrd="0" parTransId="{1D9973F6-79F6-4E70-AA64-C59D8F6A977A}" sibTransId="{6FD05F11-D39B-4495-890A-4A3FB11EB553}"/>
    <dgm:cxn modelId="{97821078-EB0C-4A28-B5AB-D663472AC4F4}" srcId="{A5002106-5992-415A-8E30-D060F132BC27}" destId="{3657E811-AFCF-4B18-A7D6-ACA28EF77142}" srcOrd="1" destOrd="0" parTransId="{3FFA2799-75F2-41E4-934E-A886D1F17D87}" sibTransId="{9183D609-6118-4179-8978-B857552F5C01}"/>
    <dgm:cxn modelId="{89D17193-A373-4220-9903-8DD790AC3469}" type="presOf" srcId="{1254E05F-D67E-4202-9BAD-DDE1A1E0C442}" destId="{20C1E9E2-15BA-42EA-83E9-75BCE45FD442}" srcOrd="0" destOrd="0" presId="urn:microsoft.com/office/officeart/2005/8/layout/hProcess10"/>
    <dgm:cxn modelId="{9A7DE9AE-82D2-4BAF-8D1E-6F35D36091DC}" type="presOf" srcId="{6C9B0F55-5971-4541-80AD-24B3228C3138}" destId="{4E70B12F-1CD7-457C-94BB-5886D83D57A9}" srcOrd="0" destOrd="0" presId="urn:microsoft.com/office/officeart/2005/8/layout/hProcess10"/>
    <dgm:cxn modelId="{0390ADE9-5D54-4B43-9763-05008851626A}" type="presOf" srcId="{6FD05F11-D39B-4495-890A-4A3FB11EB553}" destId="{4B6A9E79-F8E9-4C36-A2B1-93309ADC2503}" srcOrd="0" destOrd="0" presId="urn:microsoft.com/office/officeart/2005/8/layout/hProcess10"/>
    <dgm:cxn modelId="{66E1FD3A-A320-4AA1-B8A9-8B1E606D6C03}" type="presOf" srcId="{868AD237-9868-4064-AAD6-8569238F1C51}" destId="{CF038D87-6860-47D7-B694-7ADFB88BD0C9}" srcOrd="0" destOrd="0" presId="urn:microsoft.com/office/officeart/2005/8/layout/hProcess10"/>
    <dgm:cxn modelId="{14F2C67F-1784-4FBC-B6BB-A403431BECCA}" type="presOf" srcId="{6FD05F11-D39B-4495-890A-4A3FB11EB553}" destId="{0A39DCC0-2557-44DC-9728-12E0A1150843}" srcOrd="1" destOrd="0" presId="urn:microsoft.com/office/officeart/2005/8/layout/hProcess10"/>
    <dgm:cxn modelId="{4611A6F6-58D5-4951-B86A-D3F17CC22F0A}" type="presOf" srcId="{A5002106-5992-415A-8E30-D060F132BC27}" destId="{117C005C-0741-4451-9741-A62815D02F2F}" srcOrd="0" destOrd="0" presId="urn:microsoft.com/office/officeart/2005/8/layout/hProcess10"/>
    <dgm:cxn modelId="{1556AA10-6071-49A9-8E9A-A15AB544FD08}" srcId="{A5002106-5992-415A-8E30-D060F132BC27}" destId="{E5F40673-85D0-46D9-B760-EF8AEE654D1E}" srcOrd="0" destOrd="0" parTransId="{BA4C25A3-26EB-497B-9AFC-0F29EFD8B671}" sibTransId="{868AD237-9868-4064-AAD6-8569238F1C51}"/>
    <dgm:cxn modelId="{DF9C6536-2758-405D-9930-E139CA5DB939}" type="presOf" srcId="{868AD237-9868-4064-AAD6-8569238F1C51}" destId="{11ED64C4-DB55-4B0E-A8DF-3808F2C2D7AB}" srcOrd="1" destOrd="0" presId="urn:microsoft.com/office/officeart/2005/8/layout/hProcess10"/>
    <dgm:cxn modelId="{93B8D21A-E8F7-4B7E-882B-8C79883C6598}" type="presOf" srcId="{9183D609-6118-4179-8978-B857552F5C01}" destId="{4B32DFD5-786A-4557-B705-61D146600941}" srcOrd="1" destOrd="0" presId="urn:microsoft.com/office/officeart/2005/8/layout/hProcess10"/>
    <dgm:cxn modelId="{5B95BB3C-3328-4AA6-9F21-4A87BEA1283B}" type="presOf" srcId="{9183D609-6118-4179-8978-B857552F5C01}" destId="{CD426B0A-C786-4F8A-BA3B-6A5305A9C0D3}" srcOrd="0" destOrd="0" presId="urn:microsoft.com/office/officeart/2005/8/layout/hProcess10"/>
    <dgm:cxn modelId="{53D8CDF6-77E6-4232-9AA0-E486C7C3A70A}" type="presOf" srcId="{E5F40673-85D0-46D9-B760-EF8AEE654D1E}" destId="{BBF8A889-455E-408F-816E-A71E15610AED}" srcOrd="0" destOrd="0" presId="urn:microsoft.com/office/officeart/2005/8/layout/hProcess10"/>
    <dgm:cxn modelId="{DA146941-5380-40B8-ABE0-B68B6921FBB9}" srcId="{A5002106-5992-415A-8E30-D060F132BC27}" destId="{1254E05F-D67E-4202-9BAD-DDE1A1E0C442}" srcOrd="3" destOrd="0" parTransId="{72C99C7B-C72A-4E5D-A55B-01BA7B51494B}" sibTransId="{C29807E3-5F97-441C-B8DF-FB01FDF015C5}"/>
    <dgm:cxn modelId="{9F15161B-4F19-460E-8B3F-D523AE61D22D}" type="presOf" srcId="{3657E811-AFCF-4B18-A7D6-ACA28EF77142}" destId="{1C581179-C521-4124-8F23-636DBBBA40B6}" srcOrd="0" destOrd="0" presId="urn:microsoft.com/office/officeart/2005/8/layout/hProcess10"/>
    <dgm:cxn modelId="{5591730F-AFC1-4987-B9C5-355DC4413645}" type="presParOf" srcId="{117C005C-0741-4451-9741-A62815D02F2F}" destId="{542B969E-0D3A-4459-A6E5-B8CB22B6D8EF}" srcOrd="0" destOrd="0" presId="urn:microsoft.com/office/officeart/2005/8/layout/hProcess10"/>
    <dgm:cxn modelId="{526321DD-2FF4-4DFA-9B21-ECF71C5FC890}" type="presParOf" srcId="{542B969E-0D3A-4459-A6E5-B8CB22B6D8EF}" destId="{30077939-FDA3-4068-9A3E-12443A6F304D}" srcOrd="0" destOrd="0" presId="urn:microsoft.com/office/officeart/2005/8/layout/hProcess10"/>
    <dgm:cxn modelId="{0452EDB2-F280-418A-A9A3-E9A246F4849E}" type="presParOf" srcId="{542B969E-0D3A-4459-A6E5-B8CB22B6D8EF}" destId="{BBF8A889-455E-408F-816E-A71E15610AED}" srcOrd="1" destOrd="0" presId="urn:microsoft.com/office/officeart/2005/8/layout/hProcess10"/>
    <dgm:cxn modelId="{C837BE51-7324-434C-ACA3-972BC8AB8183}" type="presParOf" srcId="{117C005C-0741-4451-9741-A62815D02F2F}" destId="{CF038D87-6860-47D7-B694-7ADFB88BD0C9}" srcOrd="1" destOrd="0" presId="urn:microsoft.com/office/officeart/2005/8/layout/hProcess10"/>
    <dgm:cxn modelId="{C508F6E3-6969-4058-9B62-1CC8EE44439A}" type="presParOf" srcId="{CF038D87-6860-47D7-B694-7ADFB88BD0C9}" destId="{11ED64C4-DB55-4B0E-A8DF-3808F2C2D7AB}" srcOrd="0" destOrd="0" presId="urn:microsoft.com/office/officeart/2005/8/layout/hProcess10"/>
    <dgm:cxn modelId="{946BA28E-4F4F-4724-9638-14825874A275}" type="presParOf" srcId="{117C005C-0741-4451-9741-A62815D02F2F}" destId="{A168D183-9EA9-4E31-A4BD-08F8795E8505}" srcOrd="2" destOrd="0" presId="urn:microsoft.com/office/officeart/2005/8/layout/hProcess10"/>
    <dgm:cxn modelId="{052439AB-AF52-4107-A970-898C57C362CC}" type="presParOf" srcId="{A168D183-9EA9-4E31-A4BD-08F8795E8505}" destId="{C4AF36FA-194B-44D5-8A82-8A0653595F6E}" srcOrd="0" destOrd="0" presId="urn:microsoft.com/office/officeart/2005/8/layout/hProcess10"/>
    <dgm:cxn modelId="{49278A5D-BFD1-43B6-BBE5-53FAF6774F78}" type="presParOf" srcId="{A168D183-9EA9-4E31-A4BD-08F8795E8505}" destId="{1C581179-C521-4124-8F23-636DBBBA40B6}" srcOrd="1" destOrd="0" presId="urn:microsoft.com/office/officeart/2005/8/layout/hProcess10"/>
    <dgm:cxn modelId="{4191DB67-B4F7-45C0-B69E-6CE60EE5432A}" type="presParOf" srcId="{117C005C-0741-4451-9741-A62815D02F2F}" destId="{CD426B0A-C786-4F8A-BA3B-6A5305A9C0D3}" srcOrd="3" destOrd="0" presId="urn:microsoft.com/office/officeart/2005/8/layout/hProcess10"/>
    <dgm:cxn modelId="{04F2E5DE-4DF6-432F-9263-F8A3F41EB493}" type="presParOf" srcId="{CD426B0A-C786-4F8A-BA3B-6A5305A9C0D3}" destId="{4B32DFD5-786A-4557-B705-61D146600941}" srcOrd="0" destOrd="0" presId="urn:microsoft.com/office/officeart/2005/8/layout/hProcess10"/>
    <dgm:cxn modelId="{BBBFE341-DA77-4DD3-99BE-ABA5A182E427}" type="presParOf" srcId="{117C005C-0741-4451-9741-A62815D02F2F}" destId="{86FEB2EF-7089-4DD0-837D-22CD2C3E7337}" srcOrd="4" destOrd="0" presId="urn:microsoft.com/office/officeart/2005/8/layout/hProcess10"/>
    <dgm:cxn modelId="{E7B6F123-606C-4DC4-9DA5-E851B3072DA5}" type="presParOf" srcId="{86FEB2EF-7089-4DD0-837D-22CD2C3E7337}" destId="{4DE236BF-A438-4214-B18F-3F7106827A92}" srcOrd="0" destOrd="0" presId="urn:microsoft.com/office/officeart/2005/8/layout/hProcess10"/>
    <dgm:cxn modelId="{CB821D43-E3B1-40AB-96D6-F6C214F09739}" type="presParOf" srcId="{86FEB2EF-7089-4DD0-837D-22CD2C3E7337}" destId="{4E70B12F-1CD7-457C-94BB-5886D83D57A9}" srcOrd="1" destOrd="0" presId="urn:microsoft.com/office/officeart/2005/8/layout/hProcess10"/>
    <dgm:cxn modelId="{F78A1A41-4E31-4FD3-ADAC-513B59730194}" type="presParOf" srcId="{117C005C-0741-4451-9741-A62815D02F2F}" destId="{4B6A9E79-F8E9-4C36-A2B1-93309ADC2503}" srcOrd="5" destOrd="0" presId="urn:microsoft.com/office/officeart/2005/8/layout/hProcess10"/>
    <dgm:cxn modelId="{87EF8815-F12C-4BBF-957C-BB0658DD6E51}" type="presParOf" srcId="{4B6A9E79-F8E9-4C36-A2B1-93309ADC2503}" destId="{0A39DCC0-2557-44DC-9728-12E0A1150843}" srcOrd="0" destOrd="0" presId="urn:microsoft.com/office/officeart/2005/8/layout/hProcess10"/>
    <dgm:cxn modelId="{78B2A528-2EAD-471E-9837-50BF1BA71861}" type="presParOf" srcId="{117C005C-0741-4451-9741-A62815D02F2F}" destId="{C98C1473-4D79-487F-824A-E7F0D9531E6D}" srcOrd="6" destOrd="0" presId="urn:microsoft.com/office/officeart/2005/8/layout/hProcess10"/>
    <dgm:cxn modelId="{F60B536B-3B1F-44A2-8D5F-C9EB5EF86553}" type="presParOf" srcId="{C98C1473-4D79-487F-824A-E7F0D9531E6D}" destId="{BC27983E-75C8-4987-AFA8-C76D51E8E55F}" srcOrd="0" destOrd="0" presId="urn:microsoft.com/office/officeart/2005/8/layout/hProcess10"/>
    <dgm:cxn modelId="{2F43A2CA-BC42-4877-B80D-CBAF16C25B98}" type="presParOf" srcId="{C98C1473-4D79-487F-824A-E7F0D9531E6D}" destId="{20C1E9E2-15BA-42EA-83E9-75BCE45FD442}" srcOrd="1" destOrd="0" presId="urn:microsoft.com/office/officeart/2005/8/layout/hProcess10"/>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6BA29A-A435-49C1-AE54-6C0A12A7D4EF}" type="doc">
      <dgm:prSet loTypeId="urn:microsoft.com/office/officeart/2005/8/layout/cycle8" loCatId="cycle" qsTypeId="urn:microsoft.com/office/officeart/2005/8/quickstyle/simple3" qsCatId="simple" csTypeId="urn:microsoft.com/office/officeart/2005/8/colors/colorful3" csCatId="colorful" phldr="1"/>
      <dgm:spPr/>
      <dgm:t>
        <a:bodyPr/>
        <a:lstStyle/>
        <a:p>
          <a:endParaRPr lang="en-US"/>
        </a:p>
      </dgm:t>
    </dgm:pt>
    <dgm:pt modelId="{CCA228BA-67C0-4C48-BCCE-5E9CA106E71F}">
      <dgm:prSet phldrT="[Text]"/>
      <dgm:spPr>
        <a:solidFill>
          <a:schemeClr val="accent6">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Cultural Sensitivity</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630F9D84-C846-4231-917C-A8FF95CB25A3}" type="parTrans" cxnId="{D416E137-D76B-4775-AC01-415FC05EE945}">
      <dgm:prSet/>
      <dgm:spPr/>
      <dgm:t>
        <a:bodyPr/>
        <a:lstStyle/>
        <a:p>
          <a:endParaRPr lang="en-US"/>
        </a:p>
      </dgm:t>
    </dgm:pt>
    <dgm:pt modelId="{F84331CF-864D-4362-9FF3-6F17F4160830}" type="sibTrans" cxnId="{D416E137-D76B-4775-AC01-415FC05EE945}">
      <dgm:prSet/>
      <dgm:spPr/>
      <dgm:t>
        <a:bodyPr/>
        <a:lstStyle/>
        <a:p>
          <a:endParaRPr lang="en-US"/>
        </a:p>
      </dgm:t>
    </dgm:pt>
    <dgm:pt modelId="{A0F88D4A-80DD-4A85-B3F3-11AC40C08EC3}">
      <dgm:prSet phldrT="[Text]"/>
      <dgm:spPr>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Technological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3EB498C6-4EE9-4A4A-B1A1-29B0F370BB33}" type="parTrans" cxnId="{776A6887-8DB3-48BA-93BA-F7488D6A94A1}">
      <dgm:prSet/>
      <dgm:spPr/>
      <dgm:t>
        <a:bodyPr/>
        <a:lstStyle/>
        <a:p>
          <a:endParaRPr lang="en-US"/>
        </a:p>
      </dgm:t>
    </dgm:pt>
    <dgm:pt modelId="{B2A5E56A-EBA2-4F86-BCCF-48F8D7502426}" type="sibTrans" cxnId="{776A6887-8DB3-48BA-93BA-F7488D6A94A1}">
      <dgm:prSet/>
      <dgm:spPr/>
      <dgm:t>
        <a:bodyPr/>
        <a:lstStyle/>
        <a:p>
          <a:endParaRPr lang="en-US"/>
        </a:p>
      </dgm:t>
    </dgm:pt>
    <dgm:pt modelId="{0F296B4C-D4BC-4FE9-88C3-88EF000F8056}">
      <dgm:prSet phldrT="[Text]"/>
      <dgm:spPr>
        <a:solidFill>
          <a:schemeClr val="accent5">
            <a:lumMod val="40000"/>
            <a:lumOff val="6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ln/>
              <a:latin typeface="Tahoma" panose="020B0604030504040204" pitchFamily="34" charset="0"/>
              <a:ea typeface="Tahoma" panose="020B0604030504040204" pitchFamily="34" charset="0"/>
              <a:cs typeface="Tahoma" panose="020B0604030504040204" pitchFamily="34" charset="0"/>
            </a:rPr>
            <a:t>Linguistic Barriers</a:t>
          </a:r>
          <a:endParaRPr lang="en-US">
            <a:ln/>
            <a:latin typeface="Tahoma" panose="020B0604030504040204" pitchFamily="34" charset="0"/>
            <a:ea typeface="Tahoma" panose="020B0604030504040204" pitchFamily="34" charset="0"/>
            <a:cs typeface="Tahoma" panose="020B0604030504040204" pitchFamily="34" charset="0"/>
          </a:endParaRPr>
        </a:p>
      </dgm:t>
    </dgm:pt>
    <dgm:pt modelId="{CD3BE0CA-24FF-4679-A5CF-2A499574E3B4}" type="parTrans" cxnId="{1246053C-5043-42FB-B7DD-B9D80565D775}">
      <dgm:prSet/>
      <dgm:spPr/>
      <dgm:t>
        <a:bodyPr/>
        <a:lstStyle/>
        <a:p>
          <a:endParaRPr lang="en-US"/>
        </a:p>
      </dgm:t>
    </dgm:pt>
    <dgm:pt modelId="{6489DDB0-B971-46A7-AA28-2E4AD25DCAD3}" type="sibTrans" cxnId="{1246053C-5043-42FB-B7DD-B9D80565D775}">
      <dgm:prSet/>
      <dgm:spPr/>
      <dgm:t>
        <a:bodyPr/>
        <a:lstStyle/>
        <a:p>
          <a:endParaRPr lang="en-US"/>
        </a:p>
      </dgm:t>
    </dgm:pt>
    <dgm:pt modelId="{D9D83C11-08CB-4DE4-A2AC-D2A0AAA3D6AB}" type="pres">
      <dgm:prSet presAssocID="{856BA29A-A435-49C1-AE54-6C0A12A7D4EF}" presName="compositeShape" presStyleCnt="0">
        <dgm:presLayoutVars>
          <dgm:chMax val="7"/>
          <dgm:dir/>
          <dgm:resizeHandles val="exact"/>
        </dgm:presLayoutVars>
      </dgm:prSet>
      <dgm:spPr/>
      <dgm:t>
        <a:bodyPr/>
        <a:lstStyle/>
        <a:p>
          <a:endParaRPr lang="en-US"/>
        </a:p>
      </dgm:t>
    </dgm:pt>
    <dgm:pt modelId="{7F831FE1-7EC8-462D-8CE6-5D8FBEA8EAB2}" type="pres">
      <dgm:prSet presAssocID="{856BA29A-A435-49C1-AE54-6C0A12A7D4EF}" presName="wedge1" presStyleLbl="node1" presStyleIdx="0" presStyleCnt="3"/>
      <dgm:spPr/>
      <dgm:t>
        <a:bodyPr/>
        <a:lstStyle/>
        <a:p>
          <a:endParaRPr lang="en-US"/>
        </a:p>
      </dgm:t>
    </dgm:pt>
    <dgm:pt modelId="{1407B2BB-C333-47B5-9DBA-65D027C1DB65}" type="pres">
      <dgm:prSet presAssocID="{856BA29A-A435-49C1-AE54-6C0A12A7D4EF}" presName="dummy1a" presStyleCnt="0"/>
      <dgm:spPr/>
    </dgm:pt>
    <dgm:pt modelId="{89555F50-F312-44BE-98CB-BF5AC9405795}" type="pres">
      <dgm:prSet presAssocID="{856BA29A-A435-49C1-AE54-6C0A12A7D4EF}" presName="dummy1b" presStyleCnt="0"/>
      <dgm:spPr/>
    </dgm:pt>
    <dgm:pt modelId="{0C01054A-EEE0-4D34-8A8E-759016FBADC5}" type="pres">
      <dgm:prSet presAssocID="{856BA29A-A435-49C1-AE54-6C0A12A7D4EF}" presName="wedge1Tx" presStyleLbl="node1" presStyleIdx="0" presStyleCnt="3">
        <dgm:presLayoutVars>
          <dgm:chMax val="0"/>
          <dgm:chPref val="0"/>
          <dgm:bulletEnabled val="1"/>
        </dgm:presLayoutVars>
      </dgm:prSet>
      <dgm:spPr/>
      <dgm:t>
        <a:bodyPr/>
        <a:lstStyle/>
        <a:p>
          <a:endParaRPr lang="en-US"/>
        </a:p>
      </dgm:t>
    </dgm:pt>
    <dgm:pt modelId="{CCBA0468-8801-4BDD-82D6-EEAFAF88DC3B}" type="pres">
      <dgm:prSet presAssocID="{856BA29A-A435-49C1-AE54-6C0A12A7D4EF}" presName="wedge2" presStyleLbl="node1" presStyleIdx="1" presStyleCnt="3"/>
      <dgm:spPr/>
      <dgm:t>
        <a:bodyPr/>
        <a:lstStyle/>
        <a:p>
          <a:endParaRPr lang="en-US"/>
        </a:p>
      </dgm:t>
    </dgm:pt>
    <dgm:pt modelId="{2FB61934-3D3A-476B-891F-AF93960403DD}" type="pres">
      <dgm:prSet presAssocID="{856BA29A-A435-49C1-AE54-6C0A12A7D4EF}" presName="dummy2a" presStyleCnt="0"/>
      <dgm:spPr/>
    </dgm:pt>
    <dgm:pt modelId="{28BD9018-B277-4032-A75F-A2919CE8A912}" type="pres">
      <dgm:prSet presAssocID="{856BA29A-A435-49C1-AE54-6C0A12A7D4EF}" presName="dummy2b" presStyleCnt="0"/>
      <dgm:spPr/>
    </dgm:pt>
    <dgm:pt modelId="{0472FCF5-FFF7-4D52-9DCB-AFBFFDA95A59}" type="pres">
      <dgm:prSet presAssocID="{856BA29A-A435-49C1-AE54-6C0A12A7D4EF}" presName="wedge2Tx" presStyleLbl="node1" presStyleIdx="1" presStyleCnt="3">
        <dgm:presLayoutVars>
          <dgm:chMax val="0"/>
          <dgm:chPref val="0"/>
          <dgm:bulletEnabled val="1"/>
        </dgm:presLayoutVars>
      </dgm:prSet>
      <dgm:spPr/>
      <dgm:t>
        <a:bodyPr/>
        <a:lstStyle/>
        <a:p>
          <a:endParaRPr lang="en-US"/>
        </a:p>
      </dgm:t>
    </dgm:pt>
    <dgm:pt modelId="{3E88C78A-4E55-48E0-9D9E-776AE5C211F0}" type="pres">
      <dgm:prSet presAssocID="{856BA29A-A435-49C1-AE54-6C0A12A7D4EF}" presName="wedge3" presStyleLbl="node1" presStyleIdx="2" presStyleCnt="3"/>
      <dgm:spPr/>
      <dgm:t>
        <a:bodyPr/>
        <a:lstStyle/>
        <a:p>
          <a:endParaRPr lang="en-US"/>
        </a:p>
      </dgm:t>
    </dgm:pt>
    <dgm:pt modelId="{58C26DC7-229A-4495-86A6-DD5302DD7EAF}" type="pres">
      <dgm:prSet presAssocID="{856BA29A-A435-49C1-AE54-6C0A12A7D4EF}" presName="dummy3a" presStyleCnt="0"/>
      <dgm:spPr/>
    </dgm:pt>
    <dgm:pt modelId="{A1817C72-CF1F-4BD6-8F4A-C65330361DD2}" type="pres">
      <dgm:prSet presAssocID="{856BA29A-A435-49C1-AE54-6C0A12A7D4EF}" presName="dummy3b" presStyleCnt="0"/>
      <dgm:spPr/>
    </dgm:pt>
    <dgm:pt modelId="{DDD6366A-B188-4873-A5D2-E8A578CFDED6}" type="pres">
      <dgm:prSet presAssocID="{856BA29A-A435-49C1-AE54-6C0A12A7D4EF}" presName="wedge3Tx" presStyleLbl="node1" presStyleIdx="2" presStyleCnt="3">
        <dgm:presLayoutVars>
          <dgm:chMax val="0"/>
          <dgm:chPref val="0"/>
          <dgm:bulletEnabled val="1"/>
        </dgm:presLayoutVars>
      </dgm:prSet>
      <dgm:spPr/>
      <dgm:t>
        <a:bodyPr/>
        <a:lstStyle/>
        <a:p>
          <a:endParaRPr lang="en-US"/>
        </a:p>
      </dgm:t>
    </dgm:pt>
    <dgm:pt modelId="{674066BC-9803-4734-A580-2D1C13EE07B8}" type="pres">
      <dgm:prSet presAssocID="{F84331CF-864D-4362-9FF3-6F17F4160830}" presName="arrowWedge1" presStyleLbl="fgSibTrans2D1" presStyleIdx="0" presStyleCnt="3"/>
      <dgm:spPr>
        <a:solidFill>
          <a:srgbClr val="013D0F"/>
        </a:solidFill>
        <a:ln>
          <a:solidFill>
            <a:schemeClr val="tx1"/>
          </a:solidFill>
        </a:ln>
        <a:scene3d>
          <a:camera prst="orthographicFront"/>
          <a:lightRig rig="threePt" dir="t"/>
        </a:scene3d>
        <a:sp3d>
          <a:bevelT/>
        </a:sp3d>
      </dgm:spPr>
    </dgm:pt>
    <dgm:pt modelId="{DA1247F9-5D87-4046-ABC9-601EC21A2559}" type="pres">
      <dgm:prSet presAssocID="{B2A5E56A-EBA2-4F86-BCCF-48F8D7502426}" presName="arrowWedge2" presStyleLbl="fgSibTrans2D1" presStyleIdx="1" presStyleCnt="3"/>
      <dgm:spPr>
        <a:solidFill>
          <a:srgbClr val="013D0F"/>
        </a:solidFill>
        <a:ln>
          <a:solidFill>
            <a:schemeClr val="tx1"/>
          </a:solidFill>
        </a:ln>
        <a:scene3d>
          <a:camera prst="orthographicFront"/>
          <a:lightRig rig="threePt" dir="t"/>
        </a:scene3d>
        <a:sp3d>
          <a:bevelT/>
        </a:sp3d>
      </dgm:spPr>
    </dgm:pt>
    <dgm:pt modelId="{77FA4C34-113B-47BE-B7ED-492B7B636BB4}" type="pres">
      <dgm:prSet presAssocID="{6489DDB0-B971-46A7-AA28-2E4AD25DCAD3}" presName="arrowWedge3" presStyleLbl="fgSibTrans2D1" presStyleIdx="2" presStyleCnt="3"/>
      <dgm:spPr>
        <a:solidFill>
          <a:srgbClr val="013D0F"/>
        </a:solidFill>
        <a:ln>
          <a:solidFill>
            <a:schemeClr val="tx1"/>
          </a:solidFill>
        </a:ln>
        <a:scene3d>
          <a:camera prst="orthographicFront"/>
          <a:lightRig rig="threePt" dir="t"/>
        </a:scene3d>
        <a:sp3d>
          <a:bevelT/>
        </a:sp3d>
      </dgm:spPr>
    </dgm:pt>
  </dgm:ptLst>
  <dgm:cxnLst>
    <dgm:cxn modelId="{776A6887-8DB3-48BA-93BA-F7488D6A94A1}" srcId="{856BA29A-A435-49C1-AE54-6C0A12A7D4EF}" destId="{A0F88D4A-80DD-4A85-B3F3-11AC40C08EC3}" srcOrd="1" destOrd="0" parTransId="{3EB498C6-4EE9-4A4A-B1A1-29B0F370BB33}" sibTransId="{B2A5E56A-EBA2-4F86-BCCF-48F8D7502426}"/>
    <dgm:cxn modelId="{F5A1AFD9-58D6-4908-9308-F203AE2C31FA}" type="presOf" srcId="{CCA228BA-67C0-4C48-BCCE-5E9CA106E71F}" destId="{0C01054A-EEE0-4D34-8A8E-759016FBADC5}" srcOrd="1" destOrd="0" presId="urn:microsoft.com/office/officeart/2005/8/layout/cycle8"/>
    <dgm:cxn modelId="{D9A1AEA3-BAD1-49C4-948F-D7DE4C438CC6}" type="presOf" srcId="{0F296B4C-D4BC-4FE9-88C3-88EF000F8056}" destId="{DDD6366A-B188-4873-A5D2-E8A578CFDED6}" srcOrd="1" destOrd="0" presId="urn:microsoft.com/office/officeart/2005/8/layout/cycle8"/>
    <dgm:cxn modelId="{1246053C-5043-42FB-B7DD-B9D80565D775}" srcId="{856BA29A-A435-49C1-AE54-6C0A12A7D4EF}" destId="{0F296B4C-D4BC-4FE9-88C3-88EF000F8056}" srcOrd="2" destOrd="0" parTransId="{CD3BE0CA-24FF-4679-A5CF-2A499574E3B4}" sibTransId="{6489DDB0-B971-46A7-AA28-2E4AD25DCAD3}"/>
    <dgm:cxn modelId="{D416E137-D76B-4775-AC01-415FC05EE945}" srcId="{856BA29A-A435-49C1-AE54-6C0A12A7D4EF}" destId="{CCA228BA-67C0-4C48-BCCE-5E9CA106E71F}" srcOrd="0" destOrd="0" parTransId="{630F9D84-C846-4231-917C-A8FF95CB25A3}" sibTransId="{F84331CF-864D-4362-9FF3-6F17F4160830}"/>
    <dgm:cxn modelId="{595E8B53-B468-4BE2-93F3-6C891A6C1B0B}" type="presOf" srcId="{0F296B4C-D4BC-4FE9-88C3-88EF000F8056}" destId="{3E88C78A-4E55-48E0-9D9E-776AE5C211F0}" srcOrd="0" destOrd="0" presId="urn:microsoft.com/office/officeart/2005/8/layout/cycle8"/>
    <dgm:cxn modelId="{6374DFD1-1D5E-425C-9450-E18303E552E6}" type="presOf" srcId="{A0F88D4A-80DD-4A85-B3F3-11AC40C08EC3}" destId="{0472FCF5-FFF7-4D52-9DCB-AFBFFDA95A59}" srcOrd="1" destOrd="0" presId="urn:microsoft.com/office/officeart/2005/8/layout/cycle8"/>
    <dgm:cxn modelId="{FEE30561-8CF6-40C0-A403-17EE14EE5E20}" type="presOf" srcId="{856BA29A-A435-49C1-AE54-6C0A12A7D4EF}" destId="{D9D83C11-08CB-4DE4-A2AC-D2A0AAA3D6AB}" srcOrd="0" destOrd="0" presId="urn:microsoft.com/office/officeart/2005/8/layout/cycle8"/>
    <dgm:cxn modelId="{C4F8A7DA-DD63-4B71-B634-F7E95495B231}" type="presOf" srcId="{A0F88D4A-80DD-4A85-B3F3-11AC40C08EC3}" destId="{CCBA0468-8801-4BDD-82D6-EEAFAF88DC3B}" srcOrd="0" destOrd="0" presId="urn:microsoft.com/office/officeart/2005/8/layout/cycle8"/>
    <dgm:cxn modelId="{200E8AD7-53B1-483B-8FAB-D6264276FF2E}" type="presOf" srcId="{CCA228BA-67C0-4C48-BCCE-5E9CA106E71F}" destId="{7F831FE1-7EC8-462D-8CE6-5D8FBEA8EAB2}" srcOrd="0" destOrd="0" presId="urn:microsoft.com/office/officeart/2005/8/layout/cycle8"/>
    <dgm:cxn modelId="{57FEE500-81C3-4B3E-8D44-9C5A3CFEA21F}" type="presParOf" srcId="{D9D83C11-08CB-4DE4-A2AC-D2A0AAA3D6AB}" destId="{7F831FE1-7EC8-462D-8CE6-5D8FBEA8EAB2}" srcOrd="0" destOrd="0" presId="urn:microsoft.com/office/officeart/2005/8/layout/cycle8"/>
    <dgm:cxn modelId="{8E5F0427-89E4-4178-AECF-EF346AE78EC8}" type="presParOf" srcId="{D9D83C11-08CB-4DE4-A2AC-D2A0AAA3D6AB}" destId="{1407B2BB-C333-47B5-9DBA-65D027C1DB65}" srcOrd="1" destOrd="0" presId="urn:microsoft.com/office/officeart/2005/8/layout/cycle8"/>
    <dgm:cxn modelId="{6C028ADB-896C-46E3-AD62-7608F20DD743}" type="presParOf" srcId="{D9D83C11-08CB-4DE4-A2AC-D2A0AAA3D6AB}" destId="{89555F50-F312-44BE-98CB-BF5AC9405795}" srcOrd="2" destOrd="0" presId="urn:microsoft.com/office/officeart/2005/8/layout/cycle8"/>
    <dgm:cxn modelId="{B3FBA75D-4AE0-4DD6-B63E-AA30C35E5C64}" type="presParOf" srcId="{D9D83C11-08CB-4DE4-A2AC-D2A0AAA3D6AB}" destId="{0C01054A-EEE0-4D34-8A8E-759016FBADC5}" srcOrd="3" destOrd="0" presId="urn:microsoft.com/office/officeart/2005/8/layout/cycle8"/>
    <dgm:cxn modelId="{241BEE5C-838F-47B9-8967-5BBDC6967FCE}" type="presParOf" srcId="{D9D83C11-08CB-4DE4-A2AC-D2A0AAA3D6AB}" destId="{CCBA0468-8801-4BDD-82D6-EEAFAF88DC3B}" srcOrd="4" destOrd="0" presId="urn:microsoft.com/office/officeart/2005/8/layout/cycle8"/>
    <dgm:cxn modelId="{45DF4335-7A2A-4E87-BF80-57566FDC5F56}" type="presParOf" srcId="{D9D83C11-08CB-4DE4-A2AC-D2A0AAA3D6AB}" destId="{2FB61934-3D3A-476B-891F-AF93960403DD}" srcOrd="5" destOrd="0" presId="urn:microsoft.com/office/officeart/2005/8/layout/cycle8"/>
    <dgm:cxn modelId="{E4B2B277-CA05-476E-A05C-FB465AB6882D}" type="presParOf" srcId="{D9D83C11-08CB-4DE4-A2AC-D2A0AAA3D6AB}" destId="{28BD9018-B277-4032-A75F-A2919CE8A912}" srcOrd="6" destOrd="0" presId="urn:microsoft.com/office/officeart/2005/8/layout/cycle8"/>
    <dgm:cxn modelId="{FBC68176-0CCA-4470-A616-6F932759022F}" type="presParOf" srcId="{D9D83C11-08CB-4DE4-A2AC-D2A0AAA3D6AB}" destId="{0472FCF5-FFF7-4D52-9DCB-AFBFFDA95A59}" srcOrd="7" destOrd="0" presId="urn:microsoft.com/office/officeart/2005/8/layout/cycle8"/>
    <dgm:cxn modelId="{B2925A10-0A50-4378-80E1-94F5680178D5}" type="presParOf" srcId="{D9D83C11-08CB-4DE4-A2AC-D2A0AAA3D6AB}" destId="{3E88C78A-4E55-48E0-9D9E-776AE5C211F0}" srcOrd="8" destOrd="0" presId="urn:microsoft.com/office/officeart/2005/8/layout/cycle8"/>
    <dgm:cxn modelId="{6BAEBB29-49AA-425A-9D9A-06AA41D96ABC}" type="presParOf" srcId="{D9D83C11-08CB-4DE4-A2AC-D2A0AAA3D6AB}" destId="{58C26DC7-229A-4495-86A6-DD5302DD7EAF}" srcOrd="9" destOrd="0" presId="urn:microsoft.com/office/officeart/2005/8/layout/cycle8"/>
    <dgm:cxn modelId="{FFE85975-683A-4277-8450-1B56D8D1B8D0}" type="presParOf" srcId="{D9D83C11-08CB-4DE4-A2AC-D2A0AAA3D6AB}" destId="{A1817C72-CF1F-4BD6-8F4A-C65330361DD2}" srcOrd="10" destOrd="0" presId="urn:microsoft.com/office/officeart/2005/8/layout/cycle8"/>
    <dgm:cxn modelId="{88A111BD-8023-4637-B8A4-B14F34BD5DBB}" type="presParOf" srcId="{D9D83C11-08CB-4DE4-A2AC-D2A0AAA3D6AB}" destId="{DDD6366A-B188-4873-A5D2-E8A578CFDED6}" srcOrd="11" destOrd="0" presId="urn:microsoft.com/office/officeart/2005/8/layout/cycle8"/>
    <dgm:cxn modelId="{67A5B6F1-45DE-41DC-8490-7E9089A47DB5}" type="presParOf" srcId="{D9D83C11-08CB-4DE4-A2AC-D2A0AAA3D6AB}" destId="{674066BC-9803-4734-A580-2D1C13EE07B8}" srcOrd="12" destOrd="0" presId="urn:microsoft.com/office/officeart/2005/8/layout/cycle8"/>
    <dgm:cxn modelId="{23502C1F-5150-4FDC-879C-C3AEEA45F5C7}" type="presParOf" srcId="{D9D83C11-08CB-4DE4-A2AC-D2A0AAA3D6AB}" destId="{DA1247F9-5D87-4046-ABC9-601EC21A2559}" srcOrd="13" destOrd="0" presId="urn:microsoft.com/office/officeart/2005/8/layout/cycle8"/>
    <dgm:cxn modelId="{2AC2B726-5286-4DA3-871B-16D0E496C274}" type="presParOf" srcId="{D9D83C11-08CB-4DE4-A2AC-D2A0AAA3D6AB}" destId="{77FA4C34-113B-47BE-B7ED-492B7B636BB4}" srcOrd="14" destOrd="0" presId="urn:microsoft.com/office/officeart/2005/8/layout/cycle8"/>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77939-FDA3-4068-9A3E-12443A6F304D}">
      <dsp:nvSpPr>
        <dsp:cNvPr id="0" name=""/>
        <dsp:cNvSpPr/>
      </dsp:nvSpPr>
      <dsp:spPr>
        <a:xfrm>
          <a:off x="784" y="291070"/>
          <a:ext cx="1022049" cy="1022049"/>
        </a:xfrm>
        <a:prstGeom prst="roundRect">
          <a:avLst>
            <a:gd name="adj" fmla="val 10000"/>
          </a:avLst>
        </a:prstGeom>
        <a:blipFill rotWithShape="1">
          <a:blip xmlns:r="http://schemas.openxmlformats.org/officeDocument/2006/relationships" r:embed="rId1"/>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BBF8A889-455E-408F-816E-A71E15610AED}">
      <dsp:nvSpPr>
        <dsp:cNvPr id="0" name=""/>
        <dsp:cNvSpPr/>
      </dsp:nvSpPr>
      <dsp:spPr>
        <a:xfrm>
          <a:off x="1671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ahoma" panose="020B0604030504040204" pitchFamily="34" charset="0"/>
              <a:ea typeface="Tahoma" panose="020B0604030504040204" pitchFamily="34" charset="0"/>
              <a:cs typeface="Tahoma" panose="020B0604030504040204" pitchFamily="34" charset="0"/>
            </a:rPr>
            <a:t>Data Collection</a:t>
          </a:r>
        </a:p>
      </dsp:txBody>
      <dsp:txXfrm>
        <a:off x="197100" y="934235"/>
        <a:ext cx="962179" cy="962179"/>
      </dsp:txXfrm>
    </dsp:sp>
    <dsp:sp modelId="{CF038D87-6860-47D7-B694-7ADFB88BD0C9}">
      <dsp:nvSpPr>
        <dsp:cNvPr id="0" name=""/>
        <dsp:cNvSpPr/>
      </dsp:nvSpPr>
      <dsp:spPr>
        <a:xfrm>
          <a:off x="1219703"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219703" y="728419"/>
        <a:ext cx="137808" cy="147350"/>
      </dsp:txXfrm>
    </dsp:sp>
    <dsp:sp modelId="{C4AF36FA-194B-44D5-8A82-8A0653595F6E}">
      <dsp:nvSpPr>
        <dsp:cNvPr id="0" name=""/>
        <dsp:cNvSpPr/>
      </dsp:nvSpPr>
      <dsp:spPr>
        <a:xfrm>
          <a:off x="1585318" y="291070"/>
          <a:ext cx="1022049" cy="1022049"/>
        </a:xfrm>
        <a:prstGeom prst="roundRect">
          <a:avLst>
            <a:gd name="adj" fmla="val 10000"/>
          </a:avLst>
        </a:prstGeom>
        <a:blipFill rotWithShape="1">
          <a:blip xmlns:r="http://schemas.openxmlformats.org/officeDocument/2006/relationships" r:embed="rId2"/>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1C581179-C521-4124-8F23-636DBBBA40B6}">
      <dsp:nvSpPr>
        <dsp:cNvPr id="0" name=""/>
        <dsp:cNvSpPr/>
      </dsp:nvSpPr>
      <dsp:spPr>
        <a:xfrm>
          <a:off x="1751698"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ahoma" panose="020B0604030504040204" pitchFamily="34" charset="0"/>
              <a:ea typeface="Tahoma" panose="020B0604030504040204" pitchFamily="34" charset="0"/>
              <a:cs typeface="Tahoma" panose="020B0604030504040204" pitchFamily="34" charset="0"/>
            </a:rPr>
            <a:t>Thematic Classification </a:t>
          </a:r>
        </a:p>
      </dsp:txBody>
      <dsp:txXfrm>
        <a:off x="1781633" y="934235"/>
        <a:ext cx="962179" cy="962179"/>
      </dsp:txXfrm>
    </dsp:sp>
    <dsp:sp modelId="{CD426B0A-C786-4F8A-BA3B-6A5305A9C0D3}">
      <dsp:nvSpPr>
        <dsp:cNvPr id="0" name=""/>
        <dsp:cNvSpPr/>
      </dsp:nvSpPr>
      <dsp:spPr>
        <a:xfrm>
          <a:off x="2804237"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804237" y="728419"/>
        <a:ext cx="137808" cy="147350"/>
      </dsp:txXfrm>
    </dsp:sp>
    <dsp:sp modelId="{4DE236BF-A438-4214-B18F-3F7106827A92}">
      <dsp:nvSpPr>
        <dsp:cNvPr id="0" name=""/>
        <dsp:cNvSpPr/>
      </dsp:nvSpPr>
      <dsp:spPr>
        <a:xfrm>
          <a:off x="3169851" y="291070"/>
          <a:ext cx="1022049" cy="1022049"/>
        </a:xfrm>
        <a:prstGeom prst="roundRect">
          <a:avLst>
            <a:gd name="adj" fmla="val 10000"/>
          </a:avLst>
        </a:prstGeom>
        <a:blipFill rotWithShape="1">
          <a:blip xmlns:r="http://schemas.openxmlformats.org/officeDocument/2006/relationships" r:embed="rId3"/>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4E70B12F-1CD7-457C-94BB-5886D83D57A9}">
      <dsp:nvSpPr>
        <dsp:cNvPr id="0" name=""/>
        <dsp:cNvSpPr/>
      </dsp:nvSpPr>
      <dsp:spPr>
        <a:xfrm>
          <a:off x="3336231"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ahoma" panose="020B0604030504040204" pitchFamily="34" charset="0"/>
              <a:ea typeface="Tahoma" panose="020B0604030504040204" pitchFamily="34" charset="0"/>
              <a:cs typeface="Tahoma" panose="020B0604030504040204" pitchFamily="34" charset="0"/>
            </a:rPr>
            <a:t>Case Study Evaluation</a:t>
          </a:r>
        </a:p>
      </dsp:txBody>
      <dsp:txXfrm>
        <a:off x="3366166" y="934235"/>
        <a:ext cx="962179" cy="962179"/>
      </dsp:txXfrm>
    </dsp:sp>
    <dsp:sp modelId="{4B6A9E79-F8E9-4C36-A2B1-93309ADC2503}">
      <dsp:nvSpPr>
        <dsp:cNvPr id="0" name=""/>
        <dsp:cNvSpPr/>
      </dsp:nvSpPr>
      <dsp:spPr>
        <a:xfrm>
          <a:off x="4388770" y="679302"/>
          <a:ext cx="196869" cy="2455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4388770" y="728419"/>
        <a:ext cx="137808" cy="147350"/>
      </dsp:txXfrm>
    </dsp:sp>
    <dsp:sp modelId="{BC27983E-75C8-4987-AFA8-C76D51E8E55F}">
      <dsp:nvSpPr>
        <dsp:cNvPr id="0" name=""/>
        <dsp:cNvSpPr/>
      </dsp:nvSpPr>
      <dsp:spPr>
        <a:xfrm>
          <a:off x="4754385" y="291070"/>
          <a:ext cx="1022049" cy="1022049"/>
        </a:xfrm>
        <a:prstGeom prst="roundRect">
          <a:avLst>
            <a:gd name="adj" fmla="val 10000"/>
          </a:avLst>
        </a:prstGeom>
        <a:blipFill rotWithShape="1">
          <a:blip xmlns:r="http://schemas.openxmlformats.org/officeDocument/2006/relationships" r:embed="rId4"/>
          <a:stretch>
            <a:fillRect/>
          </a:stretch>
        </a:blipFill>
        <a:ln w="28575" cap="flat" cmpd="sng" algn="ctr">
          <a:solidFill>
            <a:srgbClr val="C0000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20C1E9E2-15BA-42EA-83E9-75BCE45FD442}">
      <dsp:nvSpPr>
        <dsp:cNvPr id="0" name=""/>
        <dsp:cNvSpPr/>
      </dsp:nvSpPr>
      <dsp:spPr>
        <a:xfrm>
          <a:off x="4920765" y="904300"/>
          <a:ext cx="1022049" cy="1022049"/>
        </a:xfrm>
        <a:prstGeom prst="roundRect">
          <a:avLst>
            <a:gd name="adj" fmla="val 10000"/>
          </a:avLst>
        </a:prstGeom>
        <a:solidFill>
          <a:schemeClr val="accent5">
            <a:lumMod val="50000"/>
          </a:schemeClr>
        </a:solidFill>
        <a:ln w="19050">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ahoma" panose="020B0604030504040204" pitchFamily="34" charset="0"/>
              <a:ea typeface="Tahoma" panose="020B0604030504040204" pitchFamily="34" charset="0"/>
              <a:cs typeface="Tahoma" panose="020B0604030504040204" pitchFamily="34" charset="0"/>
            </a:rPr>
            <a:t>Multimodal Framework Design</a:t>
          </a:r>
        </a:p>
      </dsp:txBody>
      <dsp:txXfrm>
        <a:off x="4950700" y="934235"/>
        <a:ext cx="962179" cy="962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31FE1-7EC8-462D-8CE6-5D8FBEA8EAB2}">
      <dsp:nvSpPr>
        <dsp:cNvPr id="0" name=""/>
        <dsp:cNvSpPr/>
      </dsp:nvSpPr>
      <dsp:spPr>
        <a:xfrm>
          <a:off x="1454398" y="208025"/>
          <a:ext cx="2688336" cy="2688336"/>
        </a:xfrm>
        <a:prstGeom prst="pie">
          <a:avLst>
            <a:gd name="adj1" fmla="val 16200000"/>
            <a:gd name="adj2" fmla="val 1800000"/>
          </a:avLst>
        </a:prstGeom>
        <a:solidFill>
          <a:schemeClr val="accent6">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ln/>
              <a:latin typeface="Tahoma" panose="020B0604030504040204" pitchFamily="34" charset="0"/>
              <a:ea typeface="Tahoma" panose="020B0604030504040204" pitchFamily="34" charset="0"/>
              <a:cs typeface="Tahoma" panose="020B0604030504040204" pitchFamily="34" charset="0"/>
            </a:rPr>
            <a:t>Cultural Sensitivity</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871216" y="777697"/>
        <a:ext cx="960120" cy="800100"/>
      </dsp:txXfrm>
    </dsp:sp>
    <dsp:sp modelId="{CCBA0468-8801-4BDD-82D6-EEAFAF88DC3B}">
      <dsp:nvSpPr>
        <dsp:cNvPr id="0" name=""/>
        <dsp:cNvSpPr/>
      </dsp:nvSpPr>
      <dsp:spPr>
        <a:xfrm>
          <a:off x="1399032" y="304037"/>
          <a:ext cx="2688336" cy="2688336"/>
        </a:xfrm>
        <a:prstGeom prst="pie">
          <a:avLst>
            <a:gd name="adj1" fmla="val 1800000"/>
            <a:gd name="adj2" fmla="val 900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ln/>
              <a:latin typeface="Tahoma" panose="020B0604030504040204" pitchFamily="34" charset="0"/>
              <a:ea typeface="Tahoma" panose="020B0604030504040204" pitchFamily="34" charset="0"/>
              <a:cs typeface="Tahoma" panose="020B0604030504040204" pitchFamily="34" charset="0"/>
            </a:rPr>
            <a:t>Technological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2039112" y="2048256"/>
        <a:ext cx="1440180" cy="704088"/>
      </dsp:txXfrm>
    </dsp:sp>
    <dsp:sp modelId="{3E88C78A-4E55-48E0-9D9E-776AE5C211F0}">
      <dsp:nvSpPr>
        <dsp:cNvPr id="0" name=""/>
        <dsp:cNvSpPr/>
      </dsp:nvSpPr>
      <dsp:spPr>
        <a:xfrm>
          <a:off x="1343665" y="208025"/>
          <a:ext cx="2688336" cy="2688336"/>
        </a:xfrm>
        <a:prstGeom prst="pie">
          <a:avLst>
            <a:gd name="adj1" fmla="val 9000000"/>
            <a:gd name="adj2" fmla="val 16200000"/>
          </a:avLst>
        </a:prstGeom>
        <a:solidFill>
          <a:schemeClr val="accent5">
            <a:lumMod val="40000"/>
            <a:lumOff val="60000"/>
          </a:schemeClr>
        </a:solidFill>
        <a:ln>
          <a:solidFill>
            <a:schemeClr val="tx1"/>
          </a:solid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ln/>
              <a:latin typeface="Tahoma" panose="020B0604030504040204" pitchFamily="34" charset="0"/>
              <a:ea typeface="Tahoma" panose="020B0604030504040204" pitchFamily="34" charset="0"/>
              <a:cs typeface="Tahoma" panose="020B0604030504040204" pitchFamily="34" charset="0"/>
            </a:rPr>
            <a:t>Linguistic Barriers</a:t>
          </a:r>
          <a:endParaRPr lang="en-US" sz="1300" kern="1200">
            <a:ln/>
            <a:latin typeface="Tahoma" panose="020B0604030504040204" pitchFamily="34" charset="0"/>
            <a:ea typeface="Tahoma" panose="020B0604030504040204" pitchFamily="34" charset="0"/>
            <a:cs typeface="Tahoma" panose="020B0604030504040204" pitchFamily="34" charset="0"/>
          </a:endParaRPr>
        </a:p>
      </dsp:txBody>
      <dsp:txXfrm>
        <a:off x="1655064" y="777697"/>
        <a:ext cx="960120" cy="800100"/>
      </dsp:txXfrm>
    </dsp:sp>
    <dsp:sp modelId="{674066BC-9803-4734-A580-2D1C13EE07B8}">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DA1247F9-5D87-4046-ABC9-601EC21A2559}">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 modelId="{77FA4C34-113B-47BE-B7ED-492B7B636BB4}">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013D0F"/>
        </a:solidFill>
        <a:ln>
          <a:solidFill>
            <a:schemeClr val="tx1"/>
          </a:solidFill>
        </a:ln>
        <a:effectLst>
          <a:outerShdw blurRad="40000" dist="20000" dir="5400000" rotWithShape="0">
            <a:srgbClr val="000000">
              <a:alpha val="38000"/>
            </a:srgbClr>
          </a:outerShdw>
        </a:effectLst>
        <a:scene3d>
          <a:camera prst="orthographicFront"/>
          <a:lightRig rig="threePt" dir="t"/>
        </a:scene3d>
        <a:sp3d>
          <a:bevelT/>
        </a:sp3d>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69279-59EB-40C7-8203-5A15D0AE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22</Pages>
  <Words>5680</Words>
  <Characters>32379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8</cp:revision>
  <cp:lastPrinted>1999-07-06T11:00:00Z</cp:lastPrinted>
  <dcterms:created xsi:type="dcterms:W3CDTF">2025-10-26T21:19:00Z</dcterms:created>
  <dcterms:modified xsi:type="dcterms:W3CDTF">2025-10-27T12:46:00Z</dcterms:modified>
</cp:coreProperties>
</file>