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51" w:rsidRDefault="008E1F6A">
      <w:pPr>
        <w:pStyle w:val="ds-markdown-paragraph"/>
        <w:shd w:val="clear" w:color="auto" w:fill="FFFFFF"/>
        <w:spacing w:before="240" w:beforeAutospacing="0" w:after="240" w:afterAutospacing="0" w:line="360" w:lineRule="auto"/>
        <w:jc w:val="both"/>
        <w:rPr>
          <w:color w:val="0F1115"/>
          <w:sz w:val="36"/>
        </w:rPr>
      </w:pPr>
      <w:commentRangeStart w:id="0"/>
      <w:r>
        <w:rPr>
          <w:rStyle w:val="Strong"/>
          <w:color w:val="0F1115"/>
          <w:sz w:val="36"/>
        </w:rPr>
        <w:t xml:space="preserve">Contribution of Vegetable Gardens in Combating Acute Malnutrition among Children Aged 6-59 Months in Karusi Province, Case of </w:t>
      </w:r>
      <w:proofErr w:type="spellStart"/>
      <w:r>
        <w:rPr>
          <w:rStyle w:val="Strong"/>
          <w:color w:val="0F1115"/>
          <w:sz w:val="36"/>
        </w:rPr>
        <w:t>Nyabikere</w:t>
      </w:r>
      <w:proofErr w:type="spellEnd"/>
      <w:r>
        <w:rPr>
          <w:rStyle w:val="Strong"/>
          <w:color w:val="0F1115"/>
          <w:sz w:val="36"/>
        </w:rPr>
        <w:t xml:space="preserve"> Commune.</w:t>
      </w:r>
      <w:commentRangeEnd w:id="0"/>
      <w:r w:rsidR="00DD07DB">
        <w:rPr>
          <w:rStyle w:val="CommentReference"/>
          <w:rFonts w:ascii="Calibri" w:eastAsia="Calibri" w:hAnsi="Calibri" w:cs="SimSun"/>
          <w:lang w:val="fr-FR"/>
        </w:rPr>
        <w:commentReference w:id="0"/>
      </w:r>
    </w:p>
    <w:p w:rsidR="00D45751" w:rsidRDefault="00D45751">
      <w:pPr>
        <w:pStyle w:val="ds-markdown-paragraph"/>
        <w:shd w:val="clear" w:color="auto" w:fill="FFFFFF"/>
        <w:spacing w:before="240" w:beforeAutospacing="0" w:after="240" w:afterAutospacing="0" w:line="360" w:lineRule="auto"/>
        <w:jc w:val="both"/>
        <w:rPr>
          <w:rStyle w:val="Strong"/>
          <w:color w:val="0F1115"/>
        </w:rPr>
      </w:pPr>
    </w:p>
    <w:p w:rsidR="00D45751" w:rsidRDefault="008E1F6A">
      <w:pPr>
        <w:pStyle w:val="ds-markdown-paragraph"/>
        <w:shd w:val="clear" w:color="auto" w:fill="FFFFFF"/>
        <w:spacing w:before="240" w:beforeAutospacing="0" w:after="240" w:afterAutospacing="0" w:line="360" w:lineRule="auto"/>
        <w:jc w:val="both"/>
        <w:rPr>
          <w:color w:val="0F1115"/>
        </w:rPr>
      </w:pPr>
      <w:r>
        <w:rPr>
          <w:rStyle w:val="Strong"/>
          <w:color w:val="0F1115"/>
        </w:rPr>
        <w:t>ABSTRACT</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This study aimed to assess the contribution of vegetable gardens to combating acute malnutrition in children aged 6-59 months in Nyabikere commune, Karusi province, Burundi. A cross-sectional study with descriptive and analytical components</w:t>
      </w:r>
      <w:commentRangeStart w:id="1"/>
      <w:r>
        <w:rPr>
          <w:color w:val="0F1115"/>
        </w:rPr>
        <w:t>. The study</w:t>
      </w:r>
      <w:commentRangeEnd w:id="1"/>
      <w:r w:rsidR="00504807">
        <w:rPr>
          <w:rStyle w:val="CommentReference"/>
          <w:rFonts w:ascii="Calibri" w:eastAsia="Calibri" w:hAnsi="Calibri" w:cs="SimSun"/>
          <w:lang w:val="fr-FR"/>
        </w:rPr>
        <w:commentReference w:id="1"/>
      </w:r>
      <w:r>
        <w:rPr>
          <w:color w:val="0F1115"/>
        </w:rPr>
        <w:t xml:space="preserve"> was </w:t>
      </w:r>
      <w:r>
        <w:rPr>
          <w:color w:val="0F1115"/>
        </w:rPr>
        <w:t>conducted in Nyabikere commune, Karusi province, from July to September 2024. A sample of 372 children from 372 households with children under five years was selected using systematic random sampling, comprising 186 households with vegetable gardens and 18</w:t>
      </w:r>
      <w:r>
        <w:rPr>
          <w:color w:val="0F1115"/>
        </w:rPr>
        <w:t>6 without. Data were collected through household surveys, anthropometric measurements (weight, height, MUAC), and interviews with local stakeholders. Nutritional status was assessed using weight-for-age and weight-for-height Z-scores according to WHO stand</w:t>
      </w:r>
      <w:r>
        <w:rPr>
          <w:color w:val="0F1115"/>
        </w:rPr>
        <w:t xml:space="preserve">ards. Data were analyzed using descriptive statistics and comparative analysis. </w:t>
      </w:r>
      <w:commentRangeStart w:id="2"/>
      <w:r>
        <w:rPr>
          <w:color w:val="0F1115"/>
        </w:rPr>
        <w:t>The results revealed a significant difference in nutritional status between children from households with and without vegetable gardens.</w:t>
      </w:r>
      <w:commentRangeEnd w:id="2"/>
      <w:r w:rsidR="00504807">
        <w:rPr>
          <w:rStyle w:val="CommentReference"/>
          <w:rFonts w:ascii="Calibri" w:eastAsia="Calibri" w:hAnsi="Calibri" w:cs="SimSun"/>
          <w:lang w:val="fr-FR"/>
        </w:rPr>
        <w:commentReference w:id="2"/>
      </w:r>
      <w:r>
        <w:rPr>
          <w:color w:val="0F1115"/>
        </w:rPr>
        <w:t xml:space="preserve"> The prevalence of acute malnutrition wa</w:t>
      </w:r>
      <w:r>
        <w:rPr>
          <w:color w:val="0F1115"/>
        </w:rPr>
        <w:t>s 4% among children from gardening households compared to 5.37% in non-gardening households. Similarly, underweight prevalence was 32% versus 38.70% respectively. Households with access to other sources of fruits and vegetables showed a malnutrition rate o</w:t>
      </w:r>
      <w:r>
        <w:rPr>
          <w:color w:val="0F1115"/>
        </w:rPr>
        <w:t>f 3.38%, compared to 27.77% among those without access. Furthermore, 87.36% of households reported receiving information or training on gardening and nutrition. Vegetable gardens significantly contribute to reducing acute malnutrition among children in Nya</w:t>
      </w:r>
      <w:r>
        <w:rPr>
          <w:color w:val="0F1115"/>
        </w:rPr>
        <w:t>bikere commune by improving dietary diversity and food security. Promoting vegetable gardening, coupled with nutritional education, represents a sustainable strategy for combating child malnutrition in rural Burundi.</w:t>
      </w:r>
    </w:p>
    <w:p w:rsidR="00D45751" w:rsidRDefault="008E1F6A">
      <w:pPr>
        <w:pStyle w:val="ds-markdown-paragraph"/>
        <w:shd w:val="clear" w:color="auto" w:fill="FFFFFF"/>
        <w:spacing w:before="240" w:beforeAutospacing="0" w:after="240" w:afterAutospacing="0" w:line="360" w:lineRule="auto"/>
        <w:jc w:val="both"/>
        <w:rPr>
          <w:i/>
          <w:color w:val="0F1115"/>
        </w:rPr>
      </w:pPr>
      <w:r>
        <w:rPr>
          <w:rStyle w:val="Strong"/>
          <w:i/>
          <w:color w:val="0F1115"/>
        </w:rPr>
        <w:t>Keywords:</w:t>
      </w:r>
      <w:r>
        <w:rPr>
          <w:i/>
          <w:color w:val="0F1115"/>
        </w:rPr>
        <w:t> Nyabikere commune, acute maln</w:t>
      </w:r>
      <w:r>
        <w:rPr>
          <w:i/>
          <w:color w:val="0F1115"/>
        </w:rPr>
        <w:t>utrition, children under five, vegetable gardens, dietary diversity.</w:t>
      </w:r>
    </w:p>
    <w:p w:rsidR="00D45751" w:rsidRDefault="00D45751">
      <w:pPr>
        <w:spacing w:before="480" w:after="480" w:line="360" w:lineRule="auto"/>
        <w:jc w:val="both"/>
        <w:rPr>
          <w:rFonts w:ascii="Times New Roman" w:hAnsi="Times New Roman" w:cs="Times New Roman"/>
          <w:sz w:val="24"/>
          <w:szCs w:val="24"/>
        </w:rPr>
      </w:pPr>
    </w:p>
    <w:p w:rsidR="00D45751" w:rsidRDefault="008E1F6A">
      <w:pPr>
        <w:pStyle w:val="Heading3"/>
        <w:shd w:val="clear" w:color="auto" w:fill="FFFFFF"/>
        <w:spacing w:before="480" w:beforeAutospacing="0" w:after="240" w:afterAutospacing="0" w:line="360" w:lineRule="auto"/>
        <w:jc w:val="both"/>
        <w:rPr>
          <w:color w:val="0F1115"/>
          <w:sz w:val="24"/>
          <w:szCs w:val="24"/>
        </w:rPr>
      </w:pPr>
      <w:r>
        <w:rPr>
          <w:rStyle w:val="Strong"/>
          <w:b/>
          <w:bCs/>
          <w:color w:val="0F1115"/>
          <w:sz w:val="24"/>
          <w:szCs w:val="24"/>
        </w:rPr>
        <w:lastRenderedPageBreak/>
        <w:t>1. INTRODUCTION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Child malnutrition remains a major public health challenge in developing countries. According to the World Health Organization (2020), nearly 149 million children under f</w:t>
      </w:r>
      <w:r>
        <w:rPr>
          <w:color w:val="0F1115"/>
        </w:rPr>
        <w:t>ive worldwide suffer from stunting, and approximately 45 million children are affected by wasting. These conditions often result from inadequate nutrition and poverty, exacerbated by socio-economic and environmental factors [1].</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In Burundi, malnutrition si</w:t>
      </w:r>
      <w:r>
        <w:rPr>
          <w:color w:val="0F1115"/>
        </w:rPr>
        <w:t>gnificantly contributes to morbidity and mortality among children under five. The Demographic and Health Survey (EDSB-III, 2016-2017) estimates that more than half (56%) of children has a height too small for their age, indicating chronic malnutrition. Kar</w:t>
      </w:r>
      <w:r>
        <w:rPr>
          <w:color w:val="0F1115"/>
        </w:rPr>
        <w:t>usi province alone accounts for 62.8% of stunted children. Furthermore, 5% of children in this age group are wasted or too thin for their height, indicating acute malnutrition, with Karusi province at 8.1% [2].</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Vegetable gardens represent an innovative app</w:t>
      </w:r>
      <w:r>
        <w:rPr>
          <w:color w:val="0F1115"/>
        </w:rPr>
        <w:t>roach to improving food security and combating malnutrition. By enabling families to grow vegetables and fruits, these gardens help increase plant-based food and nutrient intake, which is crucial for the physiological and cognitive development of young chi</w:t>
      </w:r>
      <w:r>
        <w:rPr>
          <w:color w:val="0F1115"/>
        </w:rPr>
        <w:t>ldren. Gardening can strengthen family autonomy and promote healthy eating behaviors [3].</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In this context, vegetable gardens emerge as a promising strategy to combat malnutrition. By providing direct access to fresh, nutritious foods, vegetable gardens can</w:t>
      </w:r>
      <w:r>
        <w:rPr>
          <w:color w:val="0F1115"/>
        </w:rPr>
        <w:t xml:space="preserve"> improve children's diets while strengthening household livelihoods. Many studies have shown that growing vegetables and fruits at home can diversify children's diets, promote healthy eating habits, and strengthen community resilience to economic and clima</w:t>
      </w:r>
      <w:r>
        <w:rPr>
          <w:color w:val="0F1115"/>
        </w:rPr>
        <w:t>te fluctuations [4].</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 xml:space="preserve">Karusi province, the study area, is threatened by all forms of acute and chronic malnutrition </w:t>
      </w:r>
      <w:commentRangeStart w:id="3"/>
      <w:r>
        <w:rPr>
          <w:color w:val="0F1115"/>
        </w:rPr>
        <w:t>(8.1% for acute malnutrition and 62.8% for chronic malnutrition)</w:t>
      </w:r>
      <w:commentRangeEnd w:id="3"/>
      <w:r w:rsidR="00504807">
        <w:rPr>
          <w:rStyle w:val="CommentReference"/>
          <w:rFonts w:ascii="Calibri" w:eastAsia="Calibri" w:hAnsi="Calibri" w:cs="SimSun"/>
          <w:lang w:val="fr-FR"/>
        </w:rPr>
        <w:commentReference w:id="3"/>
      </w:r>
      <w:r>
        <w:rPr>
          <w:color w:val="0F1115"/>
        </w:rPr>
        <w:t>. The most affected age group is children under five years, suffering from un</w:t>
      </w:r>
      <w:r>
        <w:rPr>
          <w:color w:val="0F1115"/>
        </w:rPr>
        <w:t>derweight, stunting, and wasting when considering their weight, age, and height. This study on the contribution of vegetable gardens was initiated to find a sustainable solution to combat this malnutrition in Nyabikere commune where several cases have been</w:t>
      </w:r>
      <w:r>
        <w:rPr>
          <w:color w:val="0F1115"/>
        </w:rPr>
        <w:t xml:space="preserve"> reported [5].</w:t>
      </w:r>
    </w:p>
    <w:p w:rsidR="00D45751" w:rsidRDefault="008E1F6A">
      <w:pPr>
        <w:spacing w:line="360" w:lineRule="auto"/>
        <w:jc w:val="both"/>
        <w:rPr>
          <w:rStyle w:val="Strong"/>
          <w:rFonts w:ascii="Times New Roman" w:eastAsia="Times New Roman" w:hAnsi="Times New Roman" w:cs="Times New Roman"/>
          <w:color w:val="0F1115"/>
          <w:sz w:val="24"/>
          <w:szCs w:val="24"/>
          <w:lang w:val="en-US"/>
        </w:rPr>
      </w:pPr>
      <w:r>
        <w:rPr>
          <w:rStyle w:val="Strong"/>
          <w:rFonts w:ascii="Times New Roman" w:hAnsi="Times New Roman" w:cs="Times New Roman"/>
          <w:b w:val="0"/>
          <w:bCs w:val="0"/>
          <w:color w:val="0F1115"/>
          <w:sz w:val="24"/>
          <w:szCs w:val="24"/>
        </w:rPr>
        <w:br w:type="page"/>
      </w:r>
    </w:p>
    <w:p w:rsidR="00D45751" w:rsidRDefault="008E1F6A">
      <w:pPr>
        <w:pStyle w:val="Heading3"/>
        <w:shd w:val="clear" w:color="auto" w:fill="FFFFFF"/>
        <w:spacing w:before="480" w:beforeAutospacing="0" w:after="240" w:afterAutospacing="0" w:line="360" w:lineRule="auto"/>
        <w:jc w:val="both"/>
        <w:rPr>
          <w:color w:val="0F1115"/>
          <w:sz w:val="24"/>
          <w:szCs w:val="24"/>
        </w:rPr>
      </w:pPr>
      <w:r>
        <w:rPr>
          <w:rStyle w:val="Strong"/>
          <w:b/>
          <w:bCs/>
          <w:color w:val="0F1115"/>
          <w:sz w:val="24"/>
          <w:szCs w:val="24"/>
        </w:rPr>
        <w:lastRenderedPageBreak/>
        <w:t>2. MATERIAL AND METHODS</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2.1. Study Design and Location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A cross-sectional study was conducted in Nyabikere commune, Karusi province, Burundi, from July to September 2024. Nyabikere is a rural commune characterized by mountainous relief with</w:t>
      </w:r>
      <w:r>
        <w:rPr>
          <w:color w:val="0F1115"/>
        </w:rPr>
        <w:t xml:space="preserve"> altitudes ranging between 1,500 and 2,000 meters. It features typical green panoramic landscapes of the region. The climate is temperate, marked by rainy and dry periods, thus favoring agriculture, which is one of the main economic activities of its inhab</w:t>
      </w:r>
      <w:r>
        <w:rPr>
          <w:color w:val="0F1115"/>
        </w:rPr>
        <w:t>itants [6].</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2.2. Study Population and Sampling</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study population consisted of children aged 6-59 months residing in Nyabikere commune (13,078 children according to Karusi Provincial Health Office data from DHIS2).</w:t>
      </w:r>
    </w:p>
    <w:p w:rsidR="00D45751" w:rsidRDefault="008E1F6A">
      <w:pPr>
        <w:pStyle w:val="ds-markdown-paragraph"/>
        <w:shd w:val="clear" w:color="auto" w:fill="FFFFFF"/>
        <w:spacing w:before="240" w:beforeAutospacing="0" w:after="240" w:afterAutospacing="0" w:line="360" w:lineRule="auto"/>
        <w:jc w:val="both"/>
        <w:rPr>
          <w:color w:val="0F1115"/>
        </w:rPr>
      </w:pPr>
      <w:commentRangeStart w:id="4"/>
      <w:r>
        <w:rPr>
          <w:color w:val="0F1115"/>
        </w:rPr>
        <w:t xml:space="preserve">The sample size was calculated using </w:t>
      </w:r>
      <w:r>
        <w:rPr>
          <w:color w:val="0F1115"/>
        </w:rPr>
        <w:t>the standard formula for finite populations:</w:t>
      </w:r>
    </w:p>
    <w:p w:rsidR="00D45751" w:rsidRDefault="008E1F6A">
      <w:pPr>
        <w:widowControl w:val="0"/>
        <w:autoSpaceDE w:val="0"/>
        <w:autoSpaceDN w:val="0"/>
        <w:spacing w:after="0" w:line="360" w:lineRule="auto"/>
        <w:jc w:val="both"/>
        <w:rPr>
          <w:rFonts w:ascii="Times New Roman" w:eastAsia="Times New Roman" w:hAnsi="Times New Roman" w:cs="Times New Roman"/>
          <w:b/>
          <w:sz w:val="24"/>
          <w:szCs w:val="24"/>
          <w:lang w:val="en-US" w:eastAsia="fr-FR"/>
        </w:rPr>
      </w:pPr>
      <m:oMath>
        <m:r>
          <m:rPr>
            <m:sty m:val="bi"/>
          </m:rPr>
          <w:rPr>
            <w:rFonts w:ascii="Cambria Math" w:eastAsia="Times New Roman" w:hAnsi="Cambria Math" w:cs="Times New Roman"/>
            <w:sz w:val="24"/>
            <w:szCs w:val="24"/>
            <w:lang w:eastAsia="fr-FR"/>
          </w:rPr>
          <m:t>n</m:t>
        </m:r>
        <m:r>
          <m:rPr>
            <m:sty m:val="bi"/>
          </m:rPr>
          <w:rPr>
            <w:rFonts w:ascii="Cambria Math" w:eastAsia="Times New Roman" w:hAnsi="Cambria Math" w:cs="Times New Roman"/>
            <w:sz w:val="24"/>
            <w:szCs w:val="24"/>
            <w:lang w:val="en-US" w:eastAsia="fr-FR"/>
          </w:rPr>
          <m:t xml:space="preserve">= </m:t>
        </m:r>
        <m:f>
          <m:fPr>
            <m:ctrlPr>
              <w:rPr>
                <w:rFonts w:ascii="Cambria Math" w:eastAsia="Times New Roman" w:hAnsi="Cambria Math" w:cs="Times New Roman"/>
                <w:b/>
                <w:i/>
                <w:sz w:val="24"/>
                <w:szCs w:val="24"/>
              </w:rPr>
            </m:ctrlPr>
          </m:fPr>
          <m:num>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val="en-US" w:eastAsia="fr-FR"/>
              </w:rPr>
              <m:t xml:space="preserve">. </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 (</m:t>
            </m:r>
            <m:r>
              <m:rPr>
                <m:sty m:val="bi"/>
              </m:rPr>
              <w:rPr>
                <w:rFonts w:ascii="Cambria Math" w:eastAsia="Times New Roman" w:hAnsi="Cambria Math" w:cs="Times New Roman"/>
                <w:sz w:val="24"/>
                <w:szCs w:val="24"/>
                <w:lang w:eastAsia="fr-FR"/>
              </w:rPr>
              <m:t>1</m:t>
            </m:r>
            <m:r>
              <m:rPr>
                <m:sty m:val="bi"/>
              </m:rPr>
              <w:rPr>
                <w:rFonts w:ascii="Cambria Math" w:eastAsia="Times New Roman" w:hAnsi="Cambria Math" w:cs="Times New Roman"/>
                <w:sz w:val="24"/>
                <w:szCs w:val="24"/>
                <w:lang w:val="en-US" w:eastAsia="fr-FR"/>
              </w:rPr>
              <m:t>-</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m:t>
            </m:r>
          </m:num>
          <m:den>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e</m:t>
                </m:r>
              </m:e>
              <m:sup>
                <m:r>
                  <m:rPr>
                    <m:sty m:val="bi"/>
                  </m:rPr>
                  <w:rPr>
                    <w:rFonts w:ascii="Cambria Math" w:eastAsia="Times New Roman" w:hAnsi="Cambria Math" w:cs="Times New Roman"/>
                    <w:sz w:val="24"/>
                    <w:szCs w:val="24"/>
                    <w:lang w:eastAsia="fr-FR"/>
                  </w:rPr>
                  <m:t>2</m:t>
                </m:r>
              </m:sup>
            </m:sSup>
          </m:den>
        </m:f>
      </m:oMath>
      <w:r>
        <w:rPr>
          <w:rFonts w:ascii="Times New Roman" w:eastAsia="Times New Roman" w:hAnsi="Times New Roman" w:cs="Times New Roman"/>
          <w:b/>
          <w:sz w:val="24"/>
          <w:szCs w:val="24"/>
          <w:lang w:val="en-US" w:eastAsia="fr-FR"/>
        </w:rPr>
        <w:t xml:space="preserve"> </w:t>
      </w:r>
      <w:commentRangeEnd w:id="4"/>
      <w:r w:rsidR="0062577B">
        <w:rPr>
          <w:rStyle w:val="CommentReference"/>
        </w:rPr>
        <w:commentReference w:id="4"/>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Where: Z = 1.96 (95% confidence level), p = 0.5, e = 0.05 (margin of error)</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 xml:space="preserve">This yielded a sample size of 373 children. For practical purposes, a sample of 372 children from 372 </w:t>
      </w:r>
      <w:r>
        <w:rPr>
          <w:color w:val="0F1115"/>
        </w:rPr>
        <w:t>households with children under five was selected, comprising 186 households with vegetable gardens and 186 without. The study population was selected by systematic random sampling with a sampling step of three.</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2.3. Data Collection Tools and Techniques</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Dat</w:t>
      </w:r>
      <w:r>
        <w:rPr>
          <w:color w:val="0F1115"/>
        </w:rPr>
        <w:t>a were collected using a structured questionnaire that included:</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Socio-demographic characteristics</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Gardening practices and food consumption frequency</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Anthropometric measurements (weight, height, MUAC)</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Knowledge and practices related to nutrition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lastRenderedPageBreak/>
        <w:t>Anthropome</w:t>
      </w:r>
      <w:r>
        <w:rPr>
          <w:color w:val="0F1115"/>
        </w:rPr>
        <w:t>tric measurements were taken using standardized equipment: scales for weight, MUAC tape for mid-upper arm circumference, and height boards for height. Data collectors received prior training, and the questionnaire was pretested on 12 children.</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2.4. Data An</w:t>
      </w:r>
      <w:r>
        <w:rPr>
          <w:rStyle w:val="Strong"/>
          <w:b/>
          <w:bCs/>
          <w:color w:val="0F1115"/>
        </w:rPr>
        <w:t>alysis</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Data were analyzed using descriptive statistics (frequencies, percentages) and comparative analysis between households with and without vegetable gardens. Nutritional status was assessed using Z-scores for weight-for-age (underweight) and weight-for</w:t>
      </w:r>
      <w:r>
        <w:rPr>
          <w:color w:val="0F1115"/>
        </w:rPr>
        <w:t>-height (wasting) according to WHO standards.</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2.5. Ethical Considerations</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Authorization was obtained from local administrative and health authorities. Informed consent was obtained from parents or guardians before data collection. Confidentiality of partic</w:t>
      </w:r>
      <w:r>
        <w:rPr>
          <w:color w:val="0F1115"/>
        </w:rPr>
        <w:t>ipants' information was maintained throughout the research process.</w:t>
      </w: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lastRenderedPageBreak/>
        <w:t>3. RESULTS AND DISCUSSION</w:t>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t>3.1. Socio-Demographic Characteristics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1: Distribution of children aged 6-59 months by sex and age</w:t>
      </w:r>
    </w:p>
    <w:tbl>
      <w:tblPr>
        <w:tblStyle w:val="TableGrid"/>
        <w:tblW w:w="0" w:type="auto"/>
        <w:tblLook w:val="04A0" w:firstRow="1" w:lastRow="0" w:firstColumn="1" w:lastColumn="0" w:noHBand="0" w:noVBand="1"/>
      </w:tblPr>
      <w:tblGrid>
        <w:gridCol w:w="1543"/>
        <w:gridCol w:w="710"/>
        <w:gridCol w:w="756"/>
        <w:gridCol w:w="696"/>
        <w:gridCol w:w="756"/>
        <w:gridCol w:w="723"/>
        <w:gridCol w:w="1066"/>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5"/>
            <w:r>
              <w:rPr>
                <w:rFonts w:ascii="Times New Roman" w:eastAsia="Times New Roman" w:hAnsi="Times New Roman" w:cs="Times New Roman"/>
                <w:sz w:val="24"/>
                <w:szCs w:val="24"/>
                <w:lang w:val="en-US"/>
              </w:rPr>
              <w:t>Age (months)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Boys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Girls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59</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[12,24[</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44.68</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55.31</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[24,36[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47.72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52.27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109</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[36,59]</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45.71</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54.28</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166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44.62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206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55.37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5"/>
            <w:r w:rsidR="0062577B">
              <w:rPr>
                <w:rStyle w:val="CommentReference"/>
              </w:rPr>
              <w:commentReference w:id="5"/>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study included 372 children with a higher proportion of girls (55.37%) compared to boys</w:t>
      </w:r>
      <w:r>
        <w:rPr>
          <w:rFonts w:ascii="Times New Roman" w:eastAsia="Times New Roman" w:hAnsi="Times New Roman" w:cs="Times New Roman"/>
          <w:color w:val="0F1115"/>
          <w:sz w:val="24"/>
          <w:szCs w:val="24"/>
          <w:lang w:val="en-US"/>
        </w:rPr>
        <w:t xml:space="preserve"> (44.62%). The age group [12-24] months was the most represented (31.33%), which corresponds to the critical period for complementary feeding and high vulnerability to malnutrition. This demographic profile is consistent with national trends in Burundi, wh</w:t>
      </w:r>
      <w:r>
        <w:rPr>
          <w:rFonts w:ascii="Times New Roman" w:eastAsia="Times New Roman" w:hAnsi="Times New Roman" w:cs="Times New Roman"/>
          <w:color w:val="0F1115"/>
          <w:sz w:val="24"/>
          <w:szCs w:val="24"/>
          <w:lang w:val="en-US"/>
        </w:rPr>
        <w:t>ere slight female predominance is commonly observed in child populations</w:t>
      </w:r>
      <w:r>
        <w:rPr>
          <w:rFonts w:ascii="Times New Roman" w:hAnsi="Times New Roman" w:cs="Times New Roman"/>
          <w:color w:val="0F1115"/>
          <w:sz w:val="24"/>
          <w:szCs w:val="24"/>
          <w:lang w:val="en-US"/>
        </w:rPr>
        <w:t xml:space="preserve"> [7]</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2: Distribution according to mothers' education level</w:t>
      </w:r>
    </w:p>
    <w:tbl>
      <w:tblPr>
        <w:tblStyle w:val="TableGrid"/>
        <w:tblW w:w="0" w:type="auto"/>
        <w:tblLook w:val="04A0" w:firstRow="1" w:lastRow="0" w:firstColumn="1" w:lastColumn="0" w:noHBand="0" w:noVBand="1"/>
      </w:tblPr>
      <w:tblGrid>
        <w:gridCol w:w="2396"/>
        <w:gridCol w:w="1229"/>
        <w:gridCol w:w="1269"/>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6"/>
            <w:r>
              <w:rPr>
                <w:rFonts w:ascii="Times New Roman" w:eastAsia="Times New Roman" w:hAnsi="Times New Roman" w:cs="Times New Roman"/>
                <w:sz w:val="24"/>
                <w:szCs w:val="24"/>
                <w:lang w:val="en-US"/>
              </w:rPr>
              <w:t>Education Level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Frequency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Percentage</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Educated mothers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23.38</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Non-educated mothers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76.61</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6"/>
            <w:r w:rsidR="00DC1022">
              <w:rPr>
                <w:rStyle w:val="CommentReference"/>
              </w:rPr>
              <w:commentReference w:id="6"/>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A </w:t>
      </w:r>
      <w:r>
        <w:rPr>
          <w:rFonts w:ascii="Times New Roman" w:eastAsia="Times New Roman" w:hAnsi="Times New Roman" w:cs="Times New Roman"/>
          <w:color w:val="0F1115"/>
          <w:sz w:val="24"/>
          <w:szCs w:val="24"/>
          <w:lang w:val="en-US"/>
        </w:rPr>
        <w:t xml:space="preserve">striking 76.61% of mothers had no formal education, which significantly impacts child feeding practices and nutritional outcomes. This finding aligns with studies by Zoungrana (2015) and Hernandez et al. (2016), who demonstrated that maternal education is </w:t>
      </w:r>
      <w:r>
        <w:rPr>
          <w:rFonts w:ascii="Times New Roman" w:eastAsia="Times New Roman" w:hAnsi="Times New Roman" w:cs="Times New Roman"/>
          <w:color w:val="0F1115"/>
          <w:sz w:val="24"/>
          <w:szCs w:val="24"/>
          <w:lang w:val="en-US"/>
        </w:rPr>
        <w:t>a key determinant of child nutritional status, as educated mothers are better equipped to understand and implement appropriate feeding practices</w:t>
      </w:r>
      <w:r>
        <w:rPr>
          <w:rFonts w:ascii="Times New Roman" w:hAnsi="Times New Roman" w:cs="Times New Roman"/>
          <w:color w:val="0F1115"/>
          <w:sz w:val="24"/>
          <w:szCs w:val="24"/>
          <w:lang w:val="en-US"/>
        </w:rPr>
        <w:t xml:space="preserve"> [8,9]</w:t>
      </w:r>
      <w:r>
        <w:rPr>
          <w:rFonts w:ascii="Times New Roman" w:eastAsia="Times New Roman" w:hAnsi="Times New Roman" w:cs="Times New Roman"/>
          <w:color w:val="0F1115"/>
          <w:sz w:val="24"/>
          <w:szCs w:val="24"/>
          <w:lang w:val="en-US"/>
        </w:rPr>
        <w:t>.</w:t>
      </w: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lastRenderedPageBreak/>
        <w:t>3.2. Gardening Practices and Food Consumption</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 xml:space="preserve">Table 3: Distribution of households by type of plants </w:t>
      </w:r>
      <w:r>
        <w:rPr>
          <w:rFonts w:ascii="Times New Roman" w:eastAsia="Times New Roman" w:hAnsi="Times New Roman" w:cs="Times New Roman"/>
          <w:b/>
          <w:bCs/>
          <w:color w:val="0F1115"/>
          <w:sz w:val="24"/>
          <w:szCs w:val="24"/>
          <w:lang w:val="en-US"/>
        </w:rPr>
        <w:t>cultivated in vegetable gardens</w:t>
      </w:r>
    </w:p>
    <w:tbl>
      <w:tblPr>
        <w:tblStyle w:val="TableGrid"/>
        <w:tblW w:w="0" w:type="auto"/>
        <w:tblLook w:val="04A0" w:firstRow="1" w:lastRow="0" w:firstColumn="1" w:lastColumn="0" w:noHBand="0" w:noVBand="1"/>
      </w:tblPr>
      <w:tblGrid>
        <w:gridCol w:w="1810"/>
        <w:gridCol w:w="1229"/>
        <w:gridCol w:w="1269"/>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7"/>
            <w:r>
              <w:rPr>
                <w:rFonts w:ascii="Times New Roman" w:eastAsia="Times New Roman" w:hAnsi="Times New Roman" w:cs="Times New Roman"/>
                <w:sz w:val="24"/>
                <w:szCs w:val="24"/>
                <w:lang w:val="en-US"/>
              </w:rPr>
              <w:t>Plants cultivated</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Frequency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Percentage</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Fruits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Vegetables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Chili peppers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Bell peppers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commentRangeEnd w:id="7"/>
            <w:r w:rsidR="00190229">
              <w:rPr>
                <w:rStyle w:val="CommentReference"/>
              </w:rPr>
              <w:commentReference w:id="7"/>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commentRangeStart w:id="8"/>
      <w:r>
        <w:rPr>
          <w:rFonts w:ascii="Times New Roman" w:eastAsia="Times New Roman" w:hAnsi="Times New Roman" w:cs="Times New Roman"/>
          <w:color w:val="0F1115"/>
          <w:sz w:val="24"/>
          <w:szCs w:val="24"/>
          <w:lang w:val="en-US"/>
        </w:rPr>
        <w:t xml:space="preserve">All gardening households cultivated vegetables, </w:t>
      </w:r>
      <w:commentRangeEnd w:id="8"/>
      <w:r w:rsidR="00190229">
        <w:rPr>
          <w:rStyle w:val="CommentReference"/>
        </w:rPr>
        <w:commentReference w:id="8"/>
      </w:r>
      <w:r>
        <w:rPr>
          <w:rFonts w:ascii="Times New Roman" w:eastAsia="Times New Roman" w:hAnsi="Times New Roman" w:cs="Times New Roman"/>
          <w:color w:val="0F1115"/>
          <w:sz w:val="24"/>
          <w:szCs w:val="24"/>
          <w:lang w:val="en-US"/>
        </w:rPr>
        <w:t xml:space="preserve">but none reported fruit cultivation, indicating a significant gap </w:t>
      </w:r>
      <w:r>
        <w:rPr>
          <w:rFonts w:ascii="Times New Roman" w:eastAsia="Times New Roman" w:hAnsi="Times New Roman" w:cs="Times New Roman"/>
          <w:color w:val="0F1115"/>
          <w:sz w:val="24"/>
          <w:szCs w:val="24"/>
          <w:lang w:val="en-US"/>
        </w:rPr>
        <w:t>in dietary diversity. The exclusive focus on vegetables limits the variety of micronutrients available to children, particularly vitamins from fruits.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4: Consumption frequency of garden products for households with vegetable gardens</w:t>
      </w:r>
    </w:p>
    <w:tbl>
      <w:tblPr>
        <w:tblStyle w:val="TableGrid"/>
        <w:tblW w:w="0" w:type="auto"/>
        <w:tblLook w:val="04A0" w:firstRow="1" w:lastRow="0" w:firstColumn="1" w:lastColumn="0" w:noHBand="0" w:noVBand="1"/>
      </w:tblPr>
      <w:tblGrid>
        <w:gridCol w:w="2583"/>
        <w:gridCol w:w="1229"/>
        <w:gridCol w:w="1269"/>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9"/>
            <w:r>
              <w:rPr>
                <w:rFonts w:ascii="Times New Roman" w:eastAsia="Times New Roman" w:hAnsi="Times New Roman" w:cs="Times New Roman"/>
                <w:sz w:val="24"/>
                <w:szCs w:val="24"/>
                <w:lang w:val="en-US"/>
              </w:rPr>
              <w:t>Consumption Frequ</w:t>
            </w:r>
            <w:r>
              <w:rPr>
                <w:rFonts w:ascii="Times New Roman" w:eastAsia="Times New Roman" w:hAnsi="Times New Roman" w:cs="Times New Roman"/>
                <w:sz w:val="24"/>
                <w:szCs w:val="24"/>
                <w:lang w:val="en-US"/>
              </w:rPr>
              <w:t>ency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Frequency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Percentage</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Daily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9"/>
            <w:r w:rsidR="00190229">
              <w:rPr>
                <w:rStyle w:val="CommentReference"/>
              </w:rPr>
              <w:commentReference w:id="9"/>
            </w:r>
          </w:p>
        </w:tc>
      </w:tr>
    </w:tbl>
    <w:p w:rsidR="00D45751" w:rsidRDefault="00D45751">
      <w:pPr>
        <w:shd w:val="clear" w:color="auto" w:fill="FFFFFF"/>
        <w:spacing w:before="240" w:after="240" w:line="360" w:lineRule="auto"/>
        <w:jc w:val="both"/>
        <w:rPr>
          <w:rFonts w:ascii="Times New Roman" w:eastAsia="Times New Roman" w:hAnsi="Times New Roman" w:cs="Times New Roman"/>
          <w:b/>
          <w:bCs/>
          <w:color w:val="0F1115"/>
          <w:sz w:val="24"/>
          <w:szCs w:val="24"/>
          <w:lang w:val="en-US"/>
        </w:rPr>
      </w:pP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lastRenderedPageBreak/>
        <w:t xml:space="preserve">Table 5: Consumption frequency of garden products for </w:t>
      </w:r>
      <w:r>
        <w:rPr>
          <w:rFonts w:ascii="Times New Roman" w:eastAsia="Times New Roman" w:hAnsi="Times New Roman" w:cs="Times New Roman"/>
          <w:b/>
          <w:bCs/>
          <w:color w:val="0F1115"/>
          <w:sz w:val="24"/>
          <w:szCs w:val="24"/>
          <w:lang w:val="en-US"/>
        </w:rPr>
        <w:t>households without vegetable gardens</w:t>
      </w:r>
    </w:p>
    <w:tbl>
      <w:tblPr>
        <w:tblStyle w:val="TableGrid"/>
        <w:tblW w:w="0" w:type="auto"/>
        <w:tblLook w:val="04A0" w:firstRow="1" w:lastRow="0" w:firstColumn="1" w:lastColumn="0" w:noHBand="0" w:noVBand="1"/>
      </w:tblPr>
      <w:tblGrid>
        <w:gridCol w:w="2583"/>
        <w:gridCol w:w="1229"/>
        <w:gridCol w:w="1269"/>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0"/>
            <w:r>
              <w:rPr>
                <w:rFonts w:ascii="Times New Roman" w:eastAsia="Times New Roman" w:hAnsi="Times New Roman" w:cs="Times New Roman"/>
                <w:sz w:val="24"/>
                <w:szCs w:val="24"/>
                <w:lang w:val="en-US"/>
              </w:rPr>
              <w:t>Consumption Frequency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Frequency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Percentage</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Daily</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10.66</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33.33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54</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29.03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 times per week</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6.45</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10"/>
            <w:r w:rsidR="00403BD5">
              <w:rPr>
                <w:rStyle w:val="CommentReference"/>
              </w:rPr>
              <w:commentReference w:id="10"/>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The </w:t>
      </w:r>
      <w:r>
        <w:rPr>
          <w:rFonts w:ascii="Times New Roman" w:eastAsia="Times New Roman" w:hAnsi="Times New Roman" w:cs="Times New Roman"/>
          <w:color w:val="0F1115"/>
          <w:sz w:val="24"/>
          <w:szCs w:val="24"/>
          <w:lang w:val="en-US"/>
        </w:rPr>
        <w:t>dramatic difference in daily consumption of garden products between households with gardens (28%) and without (4%) highlights the direct impact of home production on food consumption patterns. This supports findings by Boucher (2011) and Kansiime et al. (2</w:t>
      </w:r>
      <w:r>
        <w:rPr>
          <w:rFonts w:ascii="Times New Roman" w:eastAsia="Times New Roman" w:hAnsi="Times New Roman" w:cs="Times New Roman"/>
          <w:color w:val="0F1115"/>
          <w:sz w:val="24"/>
          <w:szCs w:val="24"/>
          <w:lang w:val="en-US"/>
        </w:rPr>
        <w:t>014), who documented similar patterns in other African contexts</w:t>
      </w:r>
      <w:r>
        <w:rPr>
          <w:rFonts w:ascii="Times New Roman" w:hAnsi="Times New Roman" w:cs="Times New Roman"/>
          <w:color w:val="0F1115"/>
          <w:sz w:val="24"/>
          <w:szCs w:val="24"/>
        </w:rPr>
        <w:t xml:space="preserve"> [10,11]</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t>3.3. Nutritional Status Assessment</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6: Weight status of children: Weight-for-age (households with vegetable gardens)</w:t>
      </w:r>
    </w:p>
    <w:tbl>
      <w:tblPr>
        <w:tblStyle w:val="TableGrid"/>
        <w:tblW w:w="0" w:type="auto"/>
        <w:tblLook w:val="04A0" w:firstRow="1" w:lastRow="0" w:firstColumn="1" w:lastColumn="0" w:noHBand="0" w:noVBand="1"/>
      </w:tblPr>
      <w:tblGrid>
        <w:gridCol w:w="2984"/>
        <w:gridCol w:w="923"/>
        <w:gridCol w:w="1829"/>
        <w:gridCol w:w="1076"/>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1"/>
            <w:r>
              <w:rPr>
                <w:rFonts w:ascii="Times New Roman" w:eastAsia="Times New Roman" w:hAnsi="Times New Roman" w:cs="Times New Roman"/>
                <w:sz w:val="24"/>
                <w:szCs w:val="24"/>
                <w:lang w:val="en-US"/>
              </w:rPr>
              <w:t>Z-Score Value (W/A)</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Results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Number of cases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-1 </w:t>
            </w:r>
            <w:r>
              <w:rPr>
                <w:rFonts w:ascii="Times New Roman" w:eastAsia="Times New Roman" w:hAnsi="Times New Roman" w:cs="Times New Roman"/>
                <w:sz w:val="24"/>
                <w:szCs w:val="24"/>
                <w:lang w:val="en-US"/>
              </w:rPr>
              <w:t>(normal)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68</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underweight)</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underweight)</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11"/>
            <w:r w:rsidR="00403BD5">
              <w:rPr>
                <w:rStyle w:val="CommentReference"/>
              </w:rPr>
              <w:commentReference w:id="11"/>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bl>
    <w:p w:rsidR="00D45751" w:rsidRDefault="00D45751">
      <w:pPr>
        <w:shd w:val="clear" w:color="auto" w:fill="FFFFFF"/>
        <w:spacing w:before="240" w:after="240" w:line="360" w:lineRule="auto"/>
        <w:jc w:val="both"/>
        <w:rPr>
          <w:rFonts w:ascii="Times New Roman" w:eastAsia="Times New Roman" w:hAnsi="Times New Roman" w:cs="Times New Roman"/>
          <w:b/>
          <w:bCs/>
          <w:color w:val="0F1115"/>
          <w:sz w:val="24"/>
          <w:szCs w:val="24"/>
          <w:lang w:val="en-US"/>
        </w:rPr>
      </w:pP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lastRenderedPageBreak/>
        <w:t>Table 7: Weight status of children: Weight-for-age (households without vegetable gardens)</w:t>
      </w:r>
    </w:p>
    <w:tbl>
      <w:tblPr>
        <w:tblStyle w:val="TableGrid"/>
        <w:tblW w:w="0" w:type="auto"/>
        <w:tblLook w:val="04A0" w:firstRow="1" w:lastRow="0" w:firstColumn="1" w:lastColumn="0" w:noHBand="0" w:noVBand="1"/>
      </w:tblPr>
      <w:tblGrid>
        <w:gridCol w:w="2984"/>
        <w:gridCol w:w="923"/>
        <w:gridCol w:w="1829"/>
        <w:gridCol w:w="1076"/>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2"/>
            <w:r>
              <w:rPr>
                <w:rFonts w:ascii="Times New Roman" w:eastAsia="Times New Roman" w:hAnsi="Times New Roman" w:cs="Times New Roman"/>
                <w:sz w:val="24"/>
                <w:szCs w:val="24"/>
                <w:lang w:val="en-US"/>
              </w:rPr>
              <w:t>Z-Score Value (W/A)</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Results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Number of cases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-1 </w:t>
            </w:r>
            <w:r>
              <w:rPr>
                <w:rFonts w:ascii="Times New Roman" w:eastAsia="Times New Roman" w:hAnsi="Times New Roman" w:cs="Times New Roman"/>
                <w:sz w:val="24"/>
                <w:szCs w:val="24"/>
                <w:lang w:val="en-US"/>
              </w:rPr>
              <w:t>(normal)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114</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61.29</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underweight)</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33.33</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underweight)</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5.37</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12"/>
            <w:r w:rsidR="00403BD5">
              <w:rPr>
                <w:rStyle w:val="CommentReference"/>
              </w:rPr>
              <w:commentReference w:id="12"/>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commentRangeStart w:id="13"/>
      <w:r>
        <w:rPr>
          <w:rFonts w:ascii="Times New Roman" w:eastAsia="Times New Roman" w:hAnsi="Times New Roman" w:cs="Times New Roman"/>
          <w:color w:val="0F1115"/>
          <w:sz w:val="24"/>
          <w:szCs w:val="24"/>
          <w:lang w:val="en-US"/>
        </w:rPr>
        <w:t>The prevalence of underweight was significantly lower in gardening households (32%) compared to non-gardening households (38.70%).</w:t>
      </w:r>
      <w:commentRangeEnd w:id="13"/>
      <w:r w:rsidR="00514B12">
        <w:rPr>
          <w:rStyle w:val="CommentReference"/>
        </w:rPr>
        <w:commentReference w:id="13"/>
      </w:r>
      <w:r>
        <w:rPr>
          <w:rFonts w:ascii="Times New Roman" w:eastAsia="Times New Roman" w:hAnsi="Times New Roman" w:cs="Times New Roman"/>
          <w:color w:val="0F1115"/>
          <w:sz w:val="24"/>
          <w:szCs w:val="24"/>
          <w:lang w:val="en-US"/>
        </w:rPr>
        <w:t xml:space="preserve"> This 6.7 </w:t>
      </w:r>
      <w:r>
        <w:rPr>
          <w:rFonts w:ascii="Times New Roman" w:eastAsia="Times New Roman" w:hAnsi="Times New Roman" w:cs="Times New Roman"/>
          <w:color w:val="0F1115"/>
          <w:sz w:val="24"/>
          <w:szCs w:val="24"/>
          <w:lang w:val="en-US"/>
        </w:rPr>
        <w:t>percentage point difference represents a substantial protective effect, consistent with findings by Beaudry et al. (2016) who reported similar benefits of home gardening in other resource-poor settings</w:t>
      </w:r>
      <w:r>
        <w:rPr>
          <w:rFonts w:ascii="Times New Roman" w:hAnsi="Times New Roman" w:cs="Times New Roman"/>
          <w:color w:val="0F1115"/>
          <w:sz w:val="24"/>
          <w:szCs w:val="24"/>
          <w:lang w:val="en-US"/>
        </w:rPr>
        <w:t xml:space="preserve"> [12]</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 xml:space="preserve">Table 8: Wasting in children: Weight-for-height </w:t>
      </w:r>
      <w:r>
        <w:rPr>
          <w:rFonts w:ascii="Times New Roman" w:eastAsia="Times New Roman" w:hAnsi="Times New Roman" w:cs="Times New Roman"/>
          <w:b/>
          <w:bCs/>
          <w:color w:val="0F1115"/>
          <w:sz w:val="24"/>
          <w:szCs w:val="24"/>
          <w:lang w:val="en-US"/>
        </w:rPr>
        <w:t>(households with vegetable gardens)</w:t>
      </w:r>
    </w:p>
    <w:tbl>
      <w:tblPr>
        <w:tblStyle w:val="TableGrid"/>
        <w:tblW w:w="0" w:type="auto"/>
        <w:tblLook w:val="04A0" w:firstRow="1" w:lastRow="0" w:firstColumn="1" w:lastColumn="0" w:noHBand="0" w:noVBand="1"/>
      </w:tblPr>
      <w:tblGrid>
        <w:gridCol w:w="3537"/>
        <w:gridCol w:w="923"/>
        <w:gridCol w:w="1829"/>
        <w:gridCol w:w="1076"/>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4"/>
            <w:r>
              <w:rPr>
                <w:rFonts w:ascii="Times New Roman" w:eastAsia="Times New Roman" w:hAnsi="Times New Roman" w:cs="Times New Roman"/>
                <w:sz w:val="24"/>
                <w:szCs w:val="24"/>
                <w:lang w:val="en-US"/>
              </w:rPr>
              <w:t>Z-Score Value (W/H)</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Results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Number of cases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-1 (normal)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179</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96</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acute malnutrition)</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acute malnutrition)</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14"/>
            <w:r w:rsidR="00514B12">
              <w:rPr>
                <w:rStyle w:val="CommentReference"/>
              </w:rPr>
              <w:commentReference w:id="14"/>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9: Wasting in children: Weight-for-height</w:t>
      </w:r>
      <w:r>
        <w:rPr>
          <w:rFonts w:ascii="Times New Roman" w:eastAsia="Times New Roman" w:hAnsi="Times New Roman" w:cs="Times New Roman"/>
          <w:b/>
          <w:bCs/>
          <w:color w:val="0F1115"/>
          <w:sz w:val="24"/>
          <w:szCs w:val="24"/>
          <w:lang w:val="en-US"/>
        </w:rPr>
        <w:t xml:space="preserve"> (households without vegetable gardens)</w:t>
      </w:r>
    </w:p>
    <w:tbl>
      <w:tblPr>
        <w:tblStyle w:val="TableGrid"/>
        <w:tblW w:w="0" w:type="auto"/>
        <w:tblLook w:val="04A0" w:firstRow="1" w:lastRow="0" w:firstColumn="1" w:lastColumn="0" w:noHBand="0" w:noVBand="1"/>
      </w:tblPr>
      <w:tblGrid>
        <w:gridCol w:w="3537"/>
        <w:gridCol w:w="923"/>
        <w:gridCol w:w="1829"/>
        <w:gridCol w:w="1076"/>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5"/>
            <w:r>
              <w:rPr>
                <w:rFonts w:ascii="Times New Roman" w:eastAsia="Times New Roman" w:hAnsi="Times New Roman" w:cs="Times New Roman"/>
                <w:sz w:val="24"/>
                <w:szCs w:val="24"/>
                <w:lang w:val="en-US"/>
              </w:rPr>
              <w:t>Z-Score Value (W/H)</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Results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Number of cases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-1 (normal)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94.62</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acute malnutrition)</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4.30</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acute malnutrition)</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1.07</w:t>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commentRangeEnd w:id="15"/>
            <w:r w:rsidR="00514B12">
              <w:rPr>
                <w:rStyle w:val="CommentReference"/>
              </w:rPr>
              <w:commentReference w:id="15"/>
            </w:r>
          </w:p>
        </w:tc>
        <w:tc>
          <w:tcPr>
            <w:tcW w:w="0" w:type="auto"/>
            <w:hideMark/>
          </w:tcPr>
          <w:p w:rsidR="00D45751" w:rsidRDefault="00D45751">
            <w:pPr>
              <w:spacing w:line="360" w:lineRule="auto"/>
              <w:jc w:val="both"/>
              <w:rPr>
                <w:rFonts w:ascii="Times New Roman" w:eastAsia="Times New Roman" w:hAnsi="Times New Roman" w:cs="Times New Roman"/>
                <w:sz w:val="24"/>
                <w:szCs w:val="24"/>
                <w:lang w:val="en-US"/>
              </w:rPr>
            </w:pP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The absence of severe acute </w:t>
      </w:r>
      <w:r>
        <w:rPr>
          <w:rFonts w:ascii="Times New Roman" w:eastAsia="Times New Roman" w:hAnsi="Times New Roman" w:cs="Times New Roman"/>
          <w:color w:val="0F1115"/>
          <w:sz w:val="24"/>
          <w:szCs w:val="24"/>
          <w:lang w:val="en-US"/>
        </w:rPr>
        <w:t>malnutrition in gardening households (0%) compared to non-gardening households (1.07%) is particularly noteworthy. This finding suggests that vegetable gardens may provide a critical safety net against the most severe forms of malnutrition, as documented b</w:t>
      </w:r>
      <w:r>
        <w:rPr>
          <w:rFonts w:ascii="Times New Roman" w:eastAsia="Times New Roman" w:hAnsi="Times New Roman" w:cs="Times New Roman"/>
          <w:color w:val="0F1115"/>
          <w:sz w:val="24"/>
          <w:szCs w:val="24"/>
          <w:lang w:val="en-US"/>
        </w:rPr>
        <w:t>y Mugisha et al. (2022) in their study of gardening interventions in Burundi</w:t>
      </w:r>
      <w:r>
        <w:rPr>
          <w:rFonts w:ascii="Times New Roman" w:hAnsi="Times New Roman" w:cs="Times New Roman"/>
          <w:color w:val="0F1115"/>
          <w:sz w:val="24"/>
          <w:szCs w:val="24"/>
        </w:rPr>
        <w:t xml:space="preserve"> [13]</w:t>
      </w:r>
      <w:r>
        <w:rPr>
          <w:rFonts w:ascii="Times New Roman" w:eastAsia="Times New Roman" w:hAnsi="Times New Roman" w:cs="Times New Roman"/>
          <w:color w:val="0F1115"/>
          <w:sz w:val="24"/>
          <w:szCs w:val="24"/>
          <w:lang w:val="en-US"/>
        </w:rPr>
        <w:t>.</w:t>
      </w: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lastRenderedPageBreak/>
        <w:t>3.4. Key Determinants of Nutritional Status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10: Nutritional status of children according to households with access to other sources of fruits and vegetables</w:t>
      </w:r>
    </w:p>
    <w:tbl>
      <w:tblPr>
        <w:tblStyle w:val="TableGrid"/>
        <w:tblW w:w="0" w:type="auto"/>
        <w:tblLook w:val="04A0" w:firstRow="1" w:lastRow="0" w:firstColumn="1" w:lastColumn="0" w:noHBand="0" w:noVBand="1"/>
      </w:tblPr>
      <w:tblGrid>
        <w:gridCol w:w="2708"/>
        <w:gridCol w:w="1438"/>
        <w:gridCol w:w="1871"/>
        <w:gridCol w:w="1187"/>
        <w:gridCol w:w="2084"/>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6"/>
            <w:r>
              <w:rPr>
                <w:rFonts w:ascii="Times New Roman" w:eastAsia="Times New Roman" w:hAnsi="Times New Roman" w:cs="Times New Roman"/>
                <w:sz w:val="24"/>
                <w:szCs w:val="24"/>
                <w:lang w:val="en-US"/>
              </w:rPr>
              <w:t>Households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Normal (W/H)</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Moderate </w:t>
            </w:r>
            <w:commentRangeStart w:id="17"/>
            <w:r>
              <w:rPr>
                <w:rFonts w:ascii="Times New Roman" w:eastAsia="Times New Roman" w:hAnsi="Times New Roman" w:cs="Times New Roman"/>
                <w:sz w:val="24"/>
                <w:szCs w:val="24"/>
                <w:lang w:val="en-US"/>
              </w:rPr>
              <w:t>AM</w:t>
            </w:r>
            <w:commentRangeEnd w:id="17"/>
            <w:r w:rsidR="005600CC">
              <w:rPr>
                <w:rStyle w:val="CommentReference"/>
              </w:rPr>
              <w:commentReference w:id="17"/>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Severe AM</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Malnutrition Rate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 access to other sources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3.38</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Without access to other sources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27.77</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355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commentRangeEnd w:id="16"/>
            <w:r w:rsidR="005600CC">
              <w:rPr>
                <w:rStyle w:val="CommentReference"/>
              </w:rPr>
              <w:commentReference w:id="16"/>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Households with access to multiple sources of fruits and vegetables showed </w:t>
      </w:r>
      <w:r>
        <w:rPr>
          <w:rFonts w:ascii="Times New Roman" w:eastAsia="Times New Roman" w:hAnsi="Times New Roman" w:cs="Times New Roman"/>
          <w:color w:val="0F1115"/>
          <w:sz w:val="24"/>
          <w:szCs w:val="24"/>
          <w:lang w:val="en-US"/>
        </w:rPr>
        <w:t>dramatically lower malnutrition rates (3.38%) compared to those without such access (27.77%). This 24.39 percentage point difference underscores the critical importance of dietary diversity, supporting the findings of Hossain et al. (2018) on the role of f</w:t>
      </w:r>
      <w:r>
        <w:rPr>
          <w:rFonts w:ascii="Times New Roman" w:eastAsia="Times New Roman" w:hAnsi="Times New Roman" w:cs="Times New Roman"/>
          <w:color w:val="0F1115"/>
          <w:sz w:val="24"/>
          <w:szCs w:val="24"/>
          <w:lang w:val="en-US"/>
        </w:rPr>
        <w:t>ood variety in preventing malnutrition</w:t>
      </w:r>
      <w:r>
        <w:rPr>
          <w:rFonts w:ascii="Times New Roman" w:hAnsi="Times New Roman" w:cs="Times New Roman"/>
          <w:color w:val="0F1115"/>
          <w:sz w:val="24"/>
          <w:szCs w:val="24"/>
        </w:rPr>
        <w:t xml:space="preserve"> [14]</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b/>
          <w:bCs/>
          <w:color w:val="0F1115"/>
          <w:sz w:val="24"/>
          <w:szCs w:val="24"/>
          <w:lang w:val="en-US"/>
        </w:rPr>
        <w:t>Table 11: Nutritional status of children according to households with information or training on gardening and nutrition</w:t>
      </w:r>
    </w:p>
    <w:tbl>
      <w:tblPr>
        <w:tblStyle w:val="TableGrid"/>
        <w:tblW w:w="0" w:type="auto"/>
        <w:tblLook w:val="04A0" w:firstRow="1" w:lastRow="0" w:firstColumn="1" w:lastColumn="0" w:noHBand="0" w:noVBand="1"/>
      </w:tblPr>
      <w:tblGrid>
        <w:gridCol w:w="2856"/>
        <w:gridCol w:w="1512"/>
        <w:gridCol w:w="1502"/>
        <w:gridCol w:w="1235"/>
        <w:gridCol w:w="2183"/>
      </w:tblGrid>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commentRangeStart w:id="18"/>
            <w:r>
              <w:rPr>
                <w:rFonts w:ascii="Times New Roman" w:eastAsia="Times New Roman" w:hAnsi="Times New Roman" w:cs="Times New Roman"/>
                <w:sz w:val="24"/>
                <w:szCs w:val="24"/>
                <w:lang w:val="en-US"/>
              </w:rPr>
              <w:t>Households</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Normal (W/H)</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Moderate AM</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Severe AM</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Malnutrition Rate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With </w:t>
            </w:r>
            <w:r>
              <w:rPr>
                <w:rFonts w:ascii="Times New Roman" w:eastAsia="Times New Roman" w:hAnsi="Times New Roman" w:cs="Times New Roman"/>
                <w:sz w:val="24"/>
                <w:szCs w:val="24"/>
                <w:lang w:val="en-US"/>
              </w:rPr>
              <w:t>information/training</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318</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2.15</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Without information/training</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21.27</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355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17</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w:t>
            </w:r>
          </w:p>
        </w:tc>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commentRangeEnd w:id="18"/>
            <w:r w:rsidR="005600CC">
              <w:rPr>
                <w:rStyle w:val="CommentReference"/>
              </w:rPr>
              <w:commentReference w:id="18"/>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powerful impact of knowledge and training is evident in the 19.12 percentage point difference in malnutrition rates between informed (2.15%) and uninformed households (21.27%). This aligns with research by Munyaneza et al. (2020) and Niyonzima et al. (</w:t>
      </w:r>
      <w:r>
        <w:rPr>
          <w:rFonts w:ascii="Times New Roman" w:eastAsia="Times New Roman" w:hAnsi="Times New Roman" w:cs="Times New Roman"/>
          <w:color w:val="0F1115"/>
          <w:sz w:val="24"/>
          <w:szCs w:val="24"/>
          <w:lang w:val="en-US"/>
        </w:rPr>
        <w:t>2020), who emphasized the importance of combining agricultural support with nutrition education for maximum impact</w:t>
      </w:r>
      <w:r>
        <w:rPr>
          <w:rFonts w:ascii="Times New Roman" w:hAnsi="Times New Roman" w:cs="Times New Roman"/>
          <w:color w:val="0F1115"/>
          <w:sz w:val="24"/>
          <w:szCs w:val="24"/>
          <w:lang w:val="en-US"/>
        </w:rPr>
        <w:t xml:space="preserve"> [15,16]</w:t>
      </w:r>
      <w:r>
        <w:rPr>
          <w:rFonts w:ascii="Times New Roman" w:eastAsia="Times New Roman" w:hAnsi="Times New Roman" w:cs="Times New Roman"/>
          <w:color w:val="0F1115"/>
          <w:sz w:val="24"/>
          <w:szCs w:val="24"/>
          <w:lang w:val="en-US"/>
        </w:rPr>
        <w:t>.</w:t>
      </w: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367C9" w:rsidRDefault="00D367C9">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Style w:val="CommentReference"/>
        </w:rPr>
        <w:lastRenderedPageBreak/>
        <w:commentReference w:id="19"/>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This study provides compelling evidence for the protective effect of vegetable gardens against child malnutrition in rural Burundi</w:t>
      </w:r>
      <w:r>
        <w:rPr>
          <w:rFonts w:ascii="Times New Roman" w:eastAsia="Times New Roman" w:hAnsi="Times New Roman" w:cs="Times New Roman"/>
          <w:color w:val="0F1115"/>
          <w:sz w:val="24"/>
          <w:szCs w:val="24"/>
          <w:lang w:val="en-US"/>
        </w:rPr>
        <w:t>. The significantly better nutritional outcomes among children from gardening households demonstrate that home gardening represents a viable, sustainable strategy for addressing acute malnutrition in resource-poor settings.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findings reveal that vegetab</w:t>
      </w:r>
      <w:r>
        <w:rPr>
          <w:rFonts w:ascii="Times New Roman" w:eastAsia="Times New Roman" w:hAnsi="Times New Roman" w:cs="Times New Roman"/>
          <w:color w:val="0F1115"/>
          <w:sz w:val="24"/>
          <w:szCs w:val="24"/>
          <w:lang w:val="en-US"/>
        </w:rPr>
        <w:t>le gardens contribute to improved nutritional status through multiple pathways: increased frequency of vegetable consumption, enhanced dietary diversity, and potentially through income generation from the sale of surplus production. The 28% daily consumpti</w:t>
      </w:r>
      <w:r>
        <w:rPr>
          <w:rFonts w:ascii="Times New Roman" w:eastAsia="Times New Roman" w:hAnsi="Times New Roman" w:cs="Times New Roman"/>
          <w:color w:val="0F1115"/>
          <w:sz w:val="24"/>
          <w:szCs w:val="24"/>
          <w:lang w:val="en-US"/>
        </w:rPr>
        <w:t>on rate of garden products among gardening households, compared to only 4% in non-gardening households, represents a substantial improvement in regular access to fresh vegetables.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dramatic differences in malnutrition rates based on access to informatio</w:t>
      </w:r>
      <w:r>
        <w:rPr>
          <w:rFonts w:ascii="Times New Roman" w:eastAsia="Times New Roman" w:hAnsi="Times New Roman" w:cs="Times New Roman"/>
          <w:color w:val="0F1115"/>
          <w:sz w:val="24"/>
          <w:szCs w:val="24"/>
          <w:lang w:val="en-US"/>
        </w:rPr>
        <w:t>n and training (2.15% vs 21.27%) highlight the critical importance of knowledge in nutritional outcomes. This suggests that simply providing agricultural inputs without accompanying nutrition education may yield suboptimal results. The success of the NGO R</w:t>
      </w:r>
      <w:r>
        <w:rPr>
          <w:rFonts w:ascii="Times New Roman" w:eastAsia="Times New Roman" w:hAnsi="Times New Roman" w:cs="Times New Roman"/>
          <w:color w:val="0F1115"/>
          <w:sz w:val="24"/>
          <w:szCs w:val="24"/>
          <w:lang w:val="en-US"/>
        </w:rPr>
        <w:t>éseau Burundi 2000 Plus in supporting gardening initiatives in the study area since September 2021 demonstrates the potential for scaling up such integrated approaches</w:t>
      </w:r>
      <w:r>
        <w:rPr>
          <w:rFonts w:ascii="Times New Roman" w:hAnsi="Times New Roman" w:cs="Times New Roman"/>
          <w:color w:val="0F1115"/>
          <w:sz w:val="24"/>
          <w:szCs w:val="24"/>
          <w:lang w:val="en-US"/>
        </w:rPr>
        <w:t xml:space="preserve"> [17]</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commentRangeStart w:id="20"/>
      <w:r>
        <w:rPr>
          <w:rFonts w:ascii="Times New Roman" w:eastAsia="Times New Roman" w:hAnsi="Times New Roman" w:cs="Times New Roman"/>
          <w:color w:val="0F1115"/>
          <w:sz w:val="24"/>
          <w:szCs w:val="24"/>
          <w:lang w:val="en-US"/>
        </w:rPr>
        <w:t>However, the complete absence of fruit cultivation in home gardens represents a si</w:t>
      </w:r>
      <w:r>
        <w:rPr>
          <w:rFonts w:ascii="Times New Roman" w:eastAsia="Times New Roman" w:hAnsi="Times New Roman" w:cs="Times New Roman"/>
          <w:color w:val="0F1115"/>
          <w:sz w:val="24"/>
          <w:szCs w:val="24"/>
          <w:lang w:val="en-US"/>
        </w:rPr>
        <w:t>gnificant limitation in current gardening practices. Future interventions should promote the integration of fruit trees and vitamin A-rich vegetables to further enhance dietary diversity and micronutrient intake.</w:t>
      </w:r>
      <w:commentRangeEnd w:id="20"/>
      <w:r w:rsidR="00D367C9">
        <w:rPr>
          <w:rStyle w:val="CommentReference"/>
        </w:rPr>
        <w:commentReference w:id="20"/>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study's findings are consistent with th</w:t>
      </w:r>
      <w:r>
        <w:rPr>
          <w:rFonts w:ascii="Times New Roman" w:eastAsia="Times New Roman" w:hAnsi="Times New Roman" w:cs="Times New Roman"/>
          <w:color w:val="0F1115"/>
          <w:sz w:val="24"/>
          <w:szCs w:val="24"/>
          <w:lang w:val="en-US"/>
        </w:rPr>
        <w:t>e national nutrition situation described in the EDSB-III (2016-2017), while demonstrating that targeted interventions at the household level can yield better outcomes than provincial averages</w:t>
      </w:r>
      <w:r>
        <w:rPr>
          <w:rFonts w:ascii="Times New Roman" w:hAnsi="Times New Roman" w:cs="Times New Roman"/>
          <w:color w:val="0F1115"/>
          <w:sz w:val="24"/>
          <w:szCs w:val="24"/>
          <w:lang w:val="en-US"/>
        </w:rPr>
        <w:t xml:space="preserve"> [18]</w:t>
      </w:r>
      <w:r>
        <w:rPr>
          <w:rFonts w:ascii="Times New Roman" w:eastAsia="Times New Roman" w:hAnsi="Times New Roman" w:cs="Times New Roman"/>
          <w:color w:val="0F1115"/>
          <w:sz w:val="24"/>
          <w:szCs w:val="24"/>
          <w:lang w:val="en-US"/>
        </w:rPr>
        <w:t xml:space="preserve">. The acute malnutrition rate of 4% in gardening households </w:t>
      </w:r>
      <w:r>
        <w:rPr>
          <w:rFonts w:ascii="Times New Roman" w:eastAsia="Times New Roman" w:hAnsi="Times New Roman" w:cs="Times New Roman"/>
          <w:color w:val="0F1115"/>
          <w:sz w:val="24"/>
          <w:szCs w:val="24"/>
          <w:lang w:val="en-US"/>
        </w:rPr>
        <w:t>compares favorably with the provincial average of 8.1%, suggesting that widespread adoption of home gardening could significantly improve child nutrition in Karusi province.</w:t>
      </w:r>
    </w:p>
    <w:p w:rsidR="00D45751" w:rsidRDefault="008E1F6A">
      <w:pPr>
        <w:rPr>
          <w:rStyle w:val="Strong"/>
          <w:rFonts w:ascii="Times New Roman" w:eastAsia="Times New Roman" w:hAnsi="Times New Roman" w:cs="Times New Roman"/>
          <w:color w:val="0F1115"/>
          <w:sz w:val="24"/>
          <w:szCs w:val="24"/>
          <w:lang w:val="en-US"/>
        </w:rPr>
      </w:pPr>
      <w:r>
        <w:rPr>
          <w:rStyle w:val="Strong"/>
          <w:b w:val="0"/>
          <w:bCs w:val="0"/>
          <w:color w:val="0F1115"/>
          <w:sz w:val="24"/>
          <w:szCs w:val="24"/>
        </w:rPr>
        <w:br w:type="page"/>
      </w:r>
    </w:p>
    <w:p w:rsidR="00D45751" w:rsidRDefault="008E1F6A">
      <w:pPr>
        <w:pStyle w:val="Heading3"/>
        <w:shd w:val="clear" w:color="auto" w:fill="FFFFFF"/>
        <w:spacing w:before="480" w:beforeAutospacing="0" w:after="240" w:afterAutospacing="0" w:line="360" w:lineRule="auto"/>
        <w:jc w:val="both"/>
        <w:rPr>
          <w:color w:val="0F1115"/>
          <w:sz w:val="24"/>
          <w:szCs w:val="24"/>
        </w:rPr>
      </w:pPr>
      <w:r>
        <w:rPr>
          <w:rStyle w:val="Strong"/>
          <w:b/>
          <w:bCs/>
          <w:color w:val="0F1115"/>
          <w:sz w:val="24"/>
          <w:szCs w:val="24"/>
        </w:rPr>
        <w:lastRenderedPageBreak/>
        <w:t>4. CONCLUSION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This study concludes that vegetable gardens significantly contribute to reducing acute malnutrition among children aged 6-59 months in Nyabikere commune. Households with vegetable gardens demonstrated better nutritional outcomes, characterized by lower pre</w:t>
      </w:r>
      <w:r>
        <w:rPr>
          <w:color w:val="0F1115"/>
        </w:rPr>
        <w:t>valence of both underweight and wasting. The protective effect of vegetable gardens is mediated through improved dietary diversity, increased frequency of vegetable consumption, and enhanced household food security.</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findings underscore the importance o</w:t>
      </w:r>
      <w:r>
        <w:rPr>
          <w:color w:val="0F1115"/>
        </w:rPr>
        <w:t>f promoting home gardening as a sustainable strategy for combating child malnutrition in rural Burundi. Integrated interventions that combine agricultural support with nutrition education and women's empowerment offer the most promising approach to address</w:t>
      </w:r>
      <w:r>
        <w:rPr>
          <w:color w:val="0F1115"/>
        </w:rPr>
        <w:t>ing the multifaceted challenge of child malnutrition.</w:t>
      </w:r>
    </w:p>
    <w:p w:rsidR="00D45751" w:rsidRDefault="008E1F6A">
      <w:pPr>
        <w:pStyle w:val="ds-markdown-paragraph"/>
        <w:shd w:val="clear" w:color="auto" w:fill="FFFFFF"/>
        <w:spacing w:before="240" w:beforeAutospacing="0" w:after="240" w:afterAutospacing="0" w:line="360" w:lineRule="auto"/>
        <w:jc w:val="both"/>
        <w:rPr>
          <w:rStyle w:val="Strong"/>
          <w:color w:val="0F1115"/>
        </w:rPr>
      </w:pPr>
      <w:r>
        <w:rPr>
          <w:rStyle w:val="Strong"/>
          <w:color w:val="0F1115"/>
        </w:rPr>
        <w:t>CONSENT</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Written informed consent was obtained from all parents or guardians of participating children. The study purpose, procedures, and confidentiality measures were explained to all participants prio</w:t>
      </w:r>
      <w:r>
        <w:rPr>
          <w:color w:val="0F1115"/>
        </w:rPr>
        <w:t>r to data collection.</w:t>
      </w:r>
    </w:p>
    <w:p w:rsidR="00D45751" w:rsidRDefault="008E1F6A">
      <w:pPr>
        <w:pStyle w:val="ds-markdown-paragraph"/>
        <w:shd w:val="clear" w:color="auto" w:fill="FFFFFF"/>
        <w:spacing w:before="240" w:beforeAutospacing="0" w:after="240" w:afterAutospacing="0" w:line="360" w:lineRule="auto"/>
        <w:jc w:val="both"/>
        <w:rPr>
          <w:rStyle w:val="Strong"/>
          <w:color w:val="0F1115"/>
        </w:rPr>
      </w:pPr>
      <w:r>
        <w:rPr>
          <w:rStyle w:val="Strong"/>
          <w:color w:val="0F1115"/>
        </w:rPr>
        <w:t>ETHICAL APPROVAL</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study received approval from local administrative and health authorities in Nyabikere commune. The research was conducted in accordance with ethical principles for medical research involving human subjects.</w:t>
      </w:r>
    </w:p>
    <w:p w:rsidR="00D45751" w:rsidRDefault="008E1F6A">
      <w:pPr>
        <w:pStyle w:val="ds-markdown-paragraph"/>
        <w:shd w:val="clear" w:color="auto" w:fill="FFFFFF"/>
        <w:spacing w:before="240" w:beforeAutospacing="0" w:after="240" w:afterAutospacing="0" w:line="360" w:lineRule="auto"/>
        <w:jc w:val="both"/>
        <w:rPr>
          <w:rStyle w:val="Strong"/>
          <w:color w:val="0F1115"/>
        </w:rPr>
      </w:pPr>
      <w:r>
        <w:rPr>
          <w:rStyle w:val="Strong"/>
          <w:color w:val="0F1115"/>
        </w:rPr>
        <w:t>DISCLA</w:t>
      </w:r>
      <w:r>
        <w:rPr>
          <w:rStyle w:val="Strong"/>
          <w:color w:val="0F1115"/>
        </w:rPr>
        <w:t>IMER</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Author(s) hereby declare that NO generative AI technologies such as Large Language Models (ChatGPT, COPILOT, etc.) and text-to-image generators have been used during the writing or editing of this manuscript.</w:t>
      </w:r>
    </w:p>
    <w:p w:rsidR="00D45751" w:rsidRDefault="008E1F6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45751" w:rsidRDefault="008E1F6A">
      <w:pPr>
        <w:rPr>
          <w:rFonts w:ascii="Times New Roman" w:hAnsi="Times New Roman" w:cs="Times New Roman"/>
          <w:b/>
          <w:sz w:val="24"/>
        </w:rPr>
      </w:pPr>
      <w:r>
        <w:rPr>
          <w:rFonts w:ascii="Times New Roman" w:hAnsi="Times New Roman" w:cs="Times New Roman"/>
          <w:b/>
          <w:sz w:val="24"/>
        </w:rPr>
        <w:lastRenderedPageBreak/>
        <w:t>REFERENCES</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 World Health Organization.</w:t>
      </w:r>
      <w:r>
        <w:rPr>
          <w:rFonts w:ascii="Times New Roman" w:eastAsia="Times New Roman" w:hAnsi="Times New Roman" w:cs="Times New Roman"/>
          <w:color w:val="0F1115"/>
          <w:sz w:val="24"/>
          <w:szCs w:val="24"/>
          <w:lang w:val="en-US"/>
        </w:rPr>
        <w:t xml:space="preserve"> (2020). Levels and trends in child malnutrition: Key findings of the 2020 edition. UNICEF/WHO/World Bank Group Joint Child Malnutrition Estimates.</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2. Ministry of Public Health and the Fight against AIDS, Burundi. (2017). *Burundi Demographic and Health </w:t>
      </w:r>
      <w:r>
        <w:rPr>
          <w:rFonts w:ascii="Times New Roman" w:eastAsia="Times New Roman" w:hAnsi="Times New Roman" w:cs="Times New Roman"/>
          <w:color w:val="0F1115"/>
          <w:sz w:val="24"/>
          <w:szCs w:val="24"/>
          <w:lang w:val="en-US"/>
        </w:rPr>
        <w:t>Survey (EDSB-III) 2016-2017*. ISTEEBU.</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3. Ndayabahizi, P. (2022). Cultivating health: The impact of vegetable gardens on young children's nutrition. Studies and Perspectives Burundi, 45, 1-25.</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4. Léonars, A., &amp; Ndorimana, D. (2019). Evaluation of the impac</w:t>
      </w:r>
      <w:r>
        <w:rPr>
          <w:rFonts w:ascii="Times New Roman" w:eastAsia="Times New Roman" w:hAnsi="Times New Roman" w:cs="Times New Roman"/>
          <w:color w:val="0F1115"/>
          <w:sz w:val="24"/>
          <w:szCs w:val="24"/>
          <w:lang w:val="en-US"/>
        </w:rPr>
        <w:t>t of community gardens on food security in Burundi. Journal of Agricultural Sciences and Food Technology, 7(2), 78-89.</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5. Karusi Provincial Health Office. (2023). Report on the mass malnutrition screening conducted in October 2023.</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6. Ministry of Agricultu</w:t>
      </w:r>
      <w:r>
        <w:rPr>
          <w:rFonts w:ascii="Times New Roman" w:eastAsia="Times New Roman" w:hAnsi="Times New Roman" w:cs="Times New Roman"/>
          <w:color w:val="0F1115"/>
          <w:sz w:val="24"/>
          <w:szCs w:val="24"/>
          <w:lang w:val="en-US"/>
        </w:rPr>
        <w:t>re and Livestock of Burundi. (2019). Study on agricultural potential and rural development challenges in Karusi province. MAEB.</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7. Institute of Statistics and Economic Studies of Burundi. (2024). General Population and Housing Census of Burundi. ISTEEBU.</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8</w:t>
      </w:r>
      <w:r>
        <w:rPr>
          <w:rFonts w:ascii="Times New Roman" w:eastAsia="Times New Roman" w:hAnsi="Times New Roman" w:cs="Times New Roman"/>
          <w:color w:val="0F1115"/>
          <w:sz w:val="24"/>
          <w:szCs w:val="24"/>
          <w:lang w:val="en-US"/>
        </w:rPr>
        <w:t>. Zoungrana, S. (2015). Analysis of the impact of maternal education on the nutrition of children under five in a context of chronic malnutrition. French Journal of Public Health, 27(4), 445-452.</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9. Hernandez, K., &amp; Bénamouzig, R. (2016). Maternal Educatio</w:t>
      </w:r>
      <w:r>
        <w:rPr>
          <w:rFonts w:ascii="Times New Roman" w:eastAsia="Times New Roman" w:hAnsi="Times New Roman" w:cs="Times New Roman"/>
          <w:color w:val="0F1115"/>
          <w:sz w:val="24"/>
          <w:szCs w:val="24"/>
          <w:lang w:val="en-US"/>
        </w:rPr>
        <w:t>n and Prevention of Child Malnutrition: An Analysis of Social Determinants. Public Health, 28(2), 219-227.</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10. Boucher, J. (2011). Vegetable Gardens and Their Role in Food Security. Food Review, 45(2), 123-132.</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lastRenderedPageBreak/>
        <w:t>11. Kansiime, M. K., Kananura, R., &amp; Muwanga,</w:t>
      </w:r>
      <w:r>
        <w:rPr>
          <w:rFonts w:ascii="Times New Roman" w:eastAsia="Times New Roman" w:hAnsi="Times New Roman" w:cs="Times New Roman"/>
          <w:color w:val="0F1115"/>
          <w:sz w:val="24"/>
          <w:szCs w:val="24"/>
          <w:lang w:val="en-US"/>
        </w:rPr>
        <w:t xml:space="preserve"> A. (2014). The Economic Impact of Home Gardening on Household Food Security in Uganda. Journal of Agricultural Science, 6(3), 123-130.</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12. Beaudry, M., Groleau, D., &amp; Paul, J. (2016). The Impacts of Community Gardens on Food Security. Agriculture and Nutr</w:t>
      </w:r>
      <w:r>
        <w:rPr>
          <w:rFonts w:ascii="Times New Roman" w:eastAsia="Times New Roman" w:hAnsi="Times New Roman" w:cs="Times New Roman"/>
          <w:color w:val="0F1115"/>
          <w:sz w:val="24"/>
          <w:szCs w:val="24"/>
          <w:lang w:val="en-US"/>
        </w:rPr>
        <w:t>ition Review, 41(1), 20-25.</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13. Mugisha, J., Nkeshimana, F., &amp; Bizimana, J. (2022). The impact of home gardens on child malnutrition in Burundi. Journal of Tropical Nutrition, 45(2), 123-134.</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14. Hossain, M., Islam, M. T., &amp; Rahman, M. M. (2018). Impact of</w:t>
      </w:r>
      <w:r>
        <w:rPr>
          <w:rFonts w:ascii="Times New Roman" w:eastAsia="Times New Roman" w:hAnsi="Times New Roman" w:cs="Times New Roman"/>
          <w:color w:val="0F1115"/>
          <w:sz w:val="24"/>
          <w:szCs w:val="24"/>
          <w:lang w:val="en-US"/>
        </w:rPr>
        <w:t xml:space="preserve"> home gardening on child nutrition: A review of studies in Eastern Africa. Journal of Agricultural &amp; Food Systems Research, 8(2), 45-58.</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15. Munyaneza, A., Nshimiyimana, A., &amp; Niyonzima, D. (2020). Training and capacity building for home gardens: Challenge</w:t>
      </w:r>
      <w:r>
        <w:rPr>
          <w:rFonts w:ascii="Times New Roman" w:eastAsia="Times New Roman" w:hAnsi="Times New Roman" w:cs="Times New Roman"/>
          <w:color w:val="0F1115"/>
          <w:sz w:val="24"/>
          <w:szCs w:val="24"/>
          <w:lang w:val="en-US"/>
        </w:rPr>
        <w:t>s and opportunities. Annales des Sciences Agronomiques, 27(1), 45-59.</w:t>
      </w:r>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16. Niyonzima, E., &amp; Ndikumwami, J. (2020). Nutrition Education and Vegetable Gardens: A Strategy to Combat Child Malnutrition. Burundian Journal of Public Health, 9(2), 100-110.</w:t>
      </w:r>
      <w:bookmarkStart w:id="21" w:name="_GoBack"/>
      <w:bookmarkEnd w:id="21"/>
    </w:p>
    <w:p w:rsidR="00D45751" w:rsidRDefault="008E1F6A">
      <w:pPr>
        <w:shd w:val="clear" w:color="auto" w:fill="FFFFFF"/>
        <w:spacing w:before="100" w:beforeAutospacing="1" w:after="0" w:line="360" w:lineRule="auto"/>
        <w:ind w:left="720"/>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17. Bur</w:t>
      </w:r>
      <w:r>
        <w:rPr>
          <w:rFonts w:ascii="Times New Roman" w:eastAsia="Times New Roman" w:hAnsi="Times New Roman" w:cs="Times New Roman"/>
          <w:color w:val="0F1115"/>
          <w:sz w:val="24"/>
          <w:szCs w:val="24"/>
          <w:lang w:val="en-US"/>
        </w:rPr>
        <w:t>undi 2000 Plus Network. (2023). Annual Activity Report 2023: Food and Nutrition Security Program.</w:t>
      </w:r>
    </w:p>
    <w:p w:rsidR="00D45751" w:rsidRDefault="008E1F6A">
      <w:pPr>
        <w:shd w:val="clear" w:color="auto" w:fill="FFFFFF"/>
        <w:spacing w:before="100" w:beforeAutospacing="1" w:after="0" w:line="360" w:lineRule="auto"/>
        <w:ind w:left="720"/>
        <w:jc w:val="both"/>
        <w:rPr>
          <w:rFonts w:ascii="Times New Roman" w:hAnsi="Times New Roman" w:cs="Times New Roman"/>
          <w:sz w:val="24"/>
        </w:rPr>
      </w:pPr>
      <w:r>
        <w:rPr>
          <w:rFonts w:ascii="Times New Roman" w:eastAsia="Times New Roman" w:hAnsi="Times New Roman" w:cs="Times New Roman"/>
          <w:color w:val="0F1115"/>
          <w:sz w:val="24"/>
          <w:szCs w:val="24"/>
          <w:lang w:val="en-US"/>
        </w:rPr>
        <w:t>18. Ministry of Public Health and the Fight against AIDS [MSPLS], Institute of Statistics and Economic Studies of Burundi [ISTEEBU], &amp; ICF. (2017). *Burundi D</w:t>
      </w:r>
      <w:r>
        <w:rPr>
          <w:rFonts w:ascii="Times New Roman" w:eastAsia="Times New Roman" w:hAnsi="Times New Roman" w:cs="Times New Roman"/>
          <w:color w:val="0F1115"/>
          <w:sz w:val="24"/>
          <w:szCs w:val="24"/>
          <w:lang w:val="en-US"/>
        </w:rPr>
        <w:t>emographic and Health Survey 2016-2017*. ISTEEBU.</w:t>
      </w:r>
    </w:p>
    <w:sectPr w:rsidR="00D45751">
      <w:headerReference w:type="even" r:id="rId9"/>
      <w:headerReference w:type="default" r:id="rId10"/>
      <w:footerReference w:type="even" r:id="rId11"/>
      <w:footerReference w:type="default" r:id="rId12"/>
      <w:head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IETITIAN ZAITUN MAH" w:date="2025-10-23T21:46:00Z" w:initials="DZM">
    <w:p w:rsidR="00DD07DB" w:rsidRDefault="00DD07DB">
      <w:pPr>
        <w:pStyle w:val="CommentText"/>
      </w:pPr>
      <w:r>
        <w:rPr>
          <w:rStyle w:val="CommentReference"/>
        </w:rPr>
        <w:annotationRef/>
      </w:r>
      <w:proofErr w:type="spellStart"/>
      <w:r>
        <w:t>Author</w:t>
      </w:r>
      <w:proofErr w:type="spellEnd"/>
      <w:r>
        <w:t xml:space="preserve">(s) information </w:t>
      </w:r>
      <w:proofErr w:type="spellStart"/>
      <w:r>
        <w:t>including</w:t>
      </w:r>
      <w:proofErr w:type="spellEnd"/>
      <w:r>
        <w:t xml:space="preserve"> </w:t>
      </w:r>
      <w:proofErr w:type="spellStart"/>
      <w:r>
        <w:t>corresponding</w:t>
      </w:r>
      <w:proofErr w:type="spellEnd"/>
      <w:r>
        <w:t xml:space="preserve"> </w:t>
      </w:r>
      <w:proofErr w:type="spellStart"/>
      <w:r>
        <w:t>author’s</w:t>
      </w:r>
      <w:proofErr w:type="spellEnd"/>
      <w:r>
        <w:t xml:space="preserve"> </w:t>
      </w:r>
      <w:proofErr w:type="spellStart"/>
      <w:r>
        <w:t>address</w:t>
      </w:r>
      <w:proofErr w:type="spellEnd"/>
      <w:r>
        <w:t xml:space="preserve"> are </w:t>
      </w:r>
      <w:proofErr w:type="spellStart"/>
      <w:r>
        <w:t>missing</w:t>
      </w:r>
      <w:proofErr w:type="spellEnd"/>
    </w:p>
  </w:comment>
  <w:comment w:id="1" w:author="DIETITIAN ZAITUN MAH" w:date="2025-10-23T22:05:00Z" w:initials="DZM">
    <w:p w:rsidR="00504807" w:rsidRDefault="00504807">
      <w:pPr>
        <w:pStyle w:val="CommentText"/>
      </w:pPr>
      <w:r>
        <w:rPr>
          <w:rStyle w:val="CommentReference"/>
        </w:rPr>
        <w:annotationRef/>
      </w:r>
      <w:proofErr w:type="spellStart"/>
      <w:r>
        <w:t>Pls</w:t>
      </w:r>
      <w:proofErr w:type="spellEnd"/>
      <w:r>
        <w:t xml:space="preserve"> </w:t>
      </w:r>
      <w:proofErr w:type="spellStart"/>
      <w:r>
        <w:t>delete</w:t>
      </w:r>
      <w:proofErr w:type="spellEnd"/>
    </w:p>
  </w:comment>
  <w:comment w:id="2" w:author="DIETITIAN ZAITUN MAH" w:date="2025-10-23T22:08:00Z" w:initials="DZM">
    <w:p w:rsidR="00504807" w:rsidRDefault="00504807">
      <w:pPr>
        <w:pStyle w:val="CommentText"/>
      </w:pPr>
      <w:r>
        <w:rPr>
          <w:rStyle w:val="CommentReference"/>
        </w:rPr>
        <w:annotationRef/>
      </w:r>
      <w:r>
        <w:t xml:space="preserve">State the </w:t>
      </w:r>
      <w:proofErr w:type="spellStart"/>
      <w:r>
        <w:t>statistical</w:t>
      </w:r>
      <w:proofErr w:type="spellEnd"/>
      <w:r>
        <w:t xml:space="preserve"> </w:t>
      </w:r>
      <w:proofErr w:type="spellStart"/>
      <w:r>
        <w:t>inference</w:t>
      </w:r>
      <w:proofErr w:type="spellEnd"/>
      <w:r>
        <w:t xml:space="preserve"> </w:t>
      </w:r>
      <w:proofErr w:type="spellStart"/>
      <w:r>
        <w:t>you</w:t>
      </w:r>
      <w:proofErr w:type="spellEnd"/>
      <w:r>
        <w:t xml:space="preserve"> </w:t>
      </w:r>
      <w:proofErr w:type="spellStart"/>
      <w:r>
        <w:t>used</w:t>
      </w:r>
      <w:proofErr w:type="spellEnd"/>
      <w:r>
        <w:t xml:space="preserve"> and </w:t>
      </w:r>
      <w:proofErr w:type="spellStart"/>
      <w:r>
        <w:t>determined</w:t>
      </w:r>
      <w:proofErr w:type="spellEnd"/>
      <w:r>
        <w:t xml:space="preserve"> the </w:t>
      </w:r>
      <w:proofErr w:type="spellStart"/>
      <w:r>
        <w:t>significant</w:t>
      </w:r>
      <w:proofErr w:type="spellEnd"/>
      <w:r>
        <w:t xml:space="preserve"> </w:t>
      </w:r>
      <w:proofErr w:type="spellStart"/>
      <w:r>
        <w:t>difference</w:t>
      </w:r>
      <w:proofErr w:type="spellEnd"/>
      <w:r>
        <w:t xml:space="preserve">. </w:t>
      </w:r>
      <w:proofErr w:type="spellStart"/>
      <w:r>
        <w:t>Also</w:t>
      </w:r>
      <w:proofErr w:type="spellEnd"/>
      <w:r>
        <w:t xml:space="preserve">, mention the </w:t>
      </w:r>
      <w:proofErr w:type="spellStart"/>
      <w:r>
        <w:t>calculated</w:t>
      </w:r>
      <w:proofErr w:type="spellEnd"/>
      <w:r>
        <w:t xml:space="preserve"> value.</w:t>
      </w:r>
    </w:p>
  </w:comment>
  <w:comment w:id="3" w:author="DIETITIAN ZAITUN MAH" w:date="2025-10-23T22:13:00Z" w:initials="DZM">
    <w:p w:rsidR="00504807" w:rsidRDefault="00504807">
      <w:pPr>
        <w:pStyle w:val="CommentText"/>
      </w:pPr>
      <w:r>
        <w:rPr>
          <w:rStyle w:val="CommentReference"/>
        </w:rPr>
        <w:annotationRef/>
      </w:r>
      <w:proofErr w:type="spellStart"/>
      <w:r>
        <w:t>What</w:t>
      </w:r>
      <w:proofErr w:type="spellEnd"/>
      <w:r>
        <w:t xml:space="preserve"> </w:t>
      </w:r>
      <w:proofErr w:type="spellStart"/>
      <w:r>
        <w:t>is</w:t>
      </w:r>
      <w:proofErr w:type="spellEnd"/>
      <w:r>
        <w:t xml:space="preserve"> the source of </w:t>
      </w:r>
      <w:proofErr w:type="spellStart"/>
      <w:r>
        <w:t>this</w:t>
      </w:r>
      <w:proofErr w:type="spellEnd"/>
      <w:r>
        <w:t xml:space="preserve"> data ?</w:t>
      </w:r>
    </w:p>
  </w:comment>
  <w:comment w:id="4" w:author="DIETITIAN ZAITUN MAH" w:date="2025-10-23T22:27:00Z" w:initials="DZM">
    <w:p w:rsidR="0062577B" w:rsidRDefault="0062577B">
      <w:pPr>
        <w:pStyle w:val="CommentText"/>
      </w:pPr>
      <w:r>
        <w:rPr>
          <w:rStyle w:val="CommentReference"/>
        </w:rPr>
        <w:annotationRef/>
      </w:r>
      <w:proofErr w:type="spellStart"/>
      <w:r>
        <w:t>What</w:t>
      </w:r>
      <w:proofErr w:type="spellEnd"/>
      <w:r>
        <w:t xml:space="preserve"> </w:t>
      </w:r>
      <w:proofErr w:type="spellStart"/>
      <w:r>
        <w:t>is</w:t>
      </w:r>
      <w:proofErr w:type="spellEnd"/>
      <w:r>
        <w:t xml:space="preserve"> the </w:t>
      </w:r>
      <w:proofErr w:type="spellStart"/>
      <w:r>
        <w:t>reference</w:t>
      </w:r>
      <w:proofErr w:type="spellEnd"/>
      <w:r>
        <w:t xml:space="preserve"> to </w:t>
      </w:r>
      <w:proofErr w:type="spellStart"/>
      <w:r>
        <w:t>this</w:t>
      </w:r>
      <w:proofErr w:type="spellEnd"/>
      <w:r>
        <w:t xml:space="preserve"> formula ? </w:t>
      </w:r>
    </w:p>
  </w:comment>
  <w:comment w:id="5" w:author="DIETITIAN ZAITUN MAH" w:date="2025-10-24T16:06:00Z" w:initials="DZM">
    <w:p w:rsidR="0062577B" w:rsidRDefault="0062577B">
      <w:pPr>
        <w:pStyle w:val="CommentText"/>
      </w:pPr>
      <w:r>
        <w:rPr>
          <w:rStyle w:val="CommentReference"/>
        </w:rPr>
        <w:annotationRef/>
      </w:r>
      <w:proofErr w:type="spellStart"/>
      <w:r>
        <w:t>Pls</w:t>
      </w:r>
      <w:proofErr w:type="spellEnd"/>
      <w:r>
        <w:t xml:space="preserve"> use APA table format.</w:t>
      </w:r>
    </w:p>
    <w:p w:rsidR="00DC1022" w:rsidRDefault="0062577B">
      <w:pPr>
        <w:pStyle w:val="CommentText"/>
      </w:pPr>
      <w:r>
        <w:t xml:space="preserve">The </w:t>
      </w:r>
      <w:proofErr w:type="spellStart"/>
      <w:r>
        <w:t>categorization</w:t>
      </w:r>
      <w:proofErr w:type="spellEnd"/>
      <w:r>
        <w:t xml:space="preserve"> (</w:t>
      </w:r>
      <w:proofErr w:type="spellStart"/>
      <w:r>
        <w:t>interval</w:t>
      </w:r>
      <w:proofErr w:type="spellEnd"/>
      <w:r>
        <w:t xml:space="preserve">) </w:t>
      </w:r>
      <w:proofErr w:type="spellStart"/>
      <w:r>
        <w:t>used</w:t>
      </w:r>
      <w:proofErr w:type="spellEnd"/>
      <w:r>
        <w:t xml:space="preserve"> </w:t>
      </w:r>
      <w:proofErr w:type="spellStart"/>
      <w:r>
        <w:t>is</w:t>
      </w:r>
      <w:proofErr w:type="spellEnd"/>
      <w:r>
        <w:t xml:space="preserve"> </w:t>
      </w:r>
      <w:proofErr w:type="spellStart"/>
      <w:r w:rsidR="00190229">
        <w:t>mathematically</w:t>
      </w:r>
      <w:proofErr w:type="spellEnd"/>
      <w:r w:rsidR="00190229">
        <w:t xml:space="preserve"> </w:t>
      </w:r>
      <w:proofErr w:type="spellStart"/>
      <w:r>
        <w:t>wrong</w:t>
      </w:r>
      <w:proofErr w:type="spellEnd"/>
      <w:r>
        <w:t xml:space="preserve">. It </w:t>
      </w:r>
      <w:proofErr w:type="spellStart"/>
      <w:r>
        <w:t>should</w:t>
      </w:r>
      <w:proofErr w:type="spellEnd"/>
      <w:r>
        <w:t xml:space="preserve"> </w:t>
      </w:r>
      <w:proofErr w:type="spellStart"/>
      <w:r>
        <w:t>be</w:t>
      </w:r>
      <w:proofErr w:type="spellEnd"/>
      <w:r>
        <w:t xml:space="preserve"> 6-12, 13-23, 24-</w:t>
      </w:r>
      <w:r w:rsidR="00DC1022">
        <w:t>33, etc.</w:t>
      </w:r>
    </w:p>
    <w:p w:rsidR="00DC1022" w:rsidRDefault="00DC1022">
      <w:pPr>
        <w:pStyle w:val="CommentText"/>
      </w:pPr>
      <w:proofErr w:type="spellStart"/>
      <w:r>
        <w:t>Based</w:t>
      </w:r>
      <w:proofErr w:type="spellEnd"/>
      <w:r>
        <w:t xml:space="preserve"> on </w:t>
      </w:r>
      <w:proofErr w:type="spellStart"/>
      <w:r>
        <w:t>what</w:t>
      </w:r>
      <w:proofErr w:type="spellEnd"/>
      <w:r>
        <w:t xml:space="preserve"> </w:t>
      </w:r>
      <w:proofErr w:type="spellStart"/>
      <w:r>
        <w:t>you</w:t>
      </w:r>
      <w:proofErr w:type="spellEnd"/>
      <w:r>
        <w:t xml:space="preserve"> </w:t>
      </w:r>
      <w:proofErr w:type="spellStart"/>
      <w:r>
        <w:t>did</w:t>
      </w:r>
      <w:proofErr w:type="spellEnd"/>
      <w:r>
        <w:t xml:space="preserve">, </w:t>
      </w:r>
      <w:proofErr w:type="spellStart"/>
      <w:r>
        <w:t>some</w:t>
      </w:r>
      <w:proofErr w:type="spellEnd"/>
      <w:r>
        <w:t xml:space="preserve"> </w:t>
      </w:r>
      <w:proofErr w:type="spellStart"/>
      <w:r>
        <w:t>numbers</w:t>
      </w:r>
      <w:proofErr w:type="spellEnd"/>
      <w:r>
        <w:t xml:space="preserve"> </w:t>
      </w:r>
      <w:proofErr w:type="spellStart"/>
      <w:r>
        <w:t>will</w:t>
      </w:r>
      <w:proofErr w:type="spellEnd"/>
      <w:r>
        <w:t xml:space="preserve"> </w:t>
      </w:r>
      <w:proofErr w:type="spellStart"/>
      <w:r>
        <w:t>appear</w:t>
      </w:r>
      <w:proofErr w:type="spellEnd"/>
      <w:r>
        <w:t xml:space="preserve"> in more </w:t>
      </w:r>
      <w:proofErr w:type="spellStart"/>
      <w:r>
        <w:t>than</w:t>
      </w:r>
      <w:proofErr w:type="spellEnd"/>
      <w:r>
        <w:t xml:space="preserve"> one </w:t>
      </w:r>
      <w:proofErr w:type="spellStart"/>
      <w:r>
        <w:t>age</w:t>
      </w:r>
      <w:proofErr w:type="spellEnd"/>
      <w:r>
        <w:t xml:space="preserve"> </w:t>
      </w:r>
      <w:proofErr w:type="spellStart"/>
      <w:r>
        <w:t>interval</w:t>
      </w:r>
      <w:proofErr w:type="spellEnd"/>
      <w:r>
        <w:t xml:space="preserve">. </w:t>
      </w:r>
    </w:p>
    <w:p w:rsidR="0062577B" w:rsidRDefault="00DC1022">
      <w:pPr>
        <w:pStyle w:val="CommentText"/>
      </w:pPr>
      <w:proofErr w:type="spellStart"/>
      <w:r>
        <w:t>Also</w:t>
      </w:r>
      <w:proofErr w:type="spellEnd"/>
      <w:r>
        <w:t xml:space="preserve">, </w:t>
      </w:r>
      <w:proofErr w:type="spellStart"/>
      <w:r>
        <w:t>you</w:t>
      </w:r>
      <w:proofErr w:type="spellEnd"/>
      <w:r>
        <w:t xml:space="preserve"> </w:t>
      </w:r>
      <w:r w:rsidR="00190229">
        <w:t xml:space="preserve">are </w:t>
      </w:r>
      <w:r>
        <w:t xml:space="preserve">to use ‘-‘ </w:t>
      </w:r>
      <w:proofErr w:type="spellStart"/>
      <w:r>
        <w:t>instead</w:t>
      </w:r>
      <w:proofErr w:type="spellEnd"/>
      <w:r>
        <w:t xml:space="preserve"> of comma for the range. </w:t>
      </w:r>
    </w:p>
  </w:comment>
  <w:comment w:id="6" w:author="DIETITIAN ZAITUN MAH" w:date="2025-10-24T16:07:00Z" w:initials="DZM">
    <w:p w:rsidR="00DC1022" w:rsidRDefault="00DC1022">
      <w:pPr>
        <w:pStyle w:val="CommentText"/>
      </w:pPr>
      <w:r>
        <w:rPr>
          <w:rStyle w:val="CommentReference"/>
        </w:rPr>
        <w:annotationRef/>
      </w:r>
      <w:proofErr w:type="spellStart"/>
      <w:r>
        <w:t>Pls</w:t>
      </w:r>
      <w:proofErr w:type="spellEnd"/>
      <w:r>
        <w:t xml:space="preserve"> use APA table format</w:t>
      </w:r>
      <w:r w:rsidR="00190229">
        <w:t>.</w:t>
      </w:r>
    </w:p>
  </w:comment>
  <w:comment w:id="7" w:author="DIETITIAN ZAITUN MAH" w:date="2025-10-24T16:11:00Z" w:initials="DZM">
    <w:p w:rsidR="00190229" w:rsidRDefault="00190229">
      <w:pPr>
        <w:pStyle w:val="CommentText"/>
      </w:pPr>
      <w:r>
        <w:rPr>
          <w:rStyle w:val="CommentReference"/>
        </w:rPr>
        <w:annotationRef/>
      </w:r>
      <w:proofErr w:type="spellStart"/>
      <w:r>
        <w:t>Pls</w:t>
      </w:r>
      <w:proofErr w:type="spellEnd"/>
      <w:r>
        <w:t xml:space="preserve"> use APA table format.</w:t>
      </w:r>
    </w:p>
    <w:p w:rsidR="00190229" w:rsidRDefault="00190229">
      <w:pPr>
        <w:pStyle w:val="CommentText"/>
      </w:pPr>
      <w:proofErr w:type="spellStart"/>
      <w:r>
        <w:t>Also</w:t>
      </w:r>
      <w:proofErr w:type="spellEnd"/>
      <w:r>
        <w:t xml:space="preserve"> </w:t>
      </w:r>
      <w:proofErr w:type="spellStart"/>
      <w:r>
        <w:t>give</w:t>
      </w:r>
      <w:proofErr w:type="spellEnd"/>
      <w:r>
        <w:t xml:space="preserve"> the total </w:t>
      </w:r>
      <w:proofErr w:type="spellStart"/>
      <w:r>
        <w:t>frequency</w:t>
      </w:r>
      <w:proofErr w:type="spellEnd"/>
      <w:r>
        <w:t xml:space="preserve"> and </w:t>
      </w:r>
      <w:proofErr w:type="spellStart"/>
      <w:r>
        <w:t>percentage</w:t>
      </w:r>
      <w:proofErr w:type="spellEnd"/>
      <w:r>
        <w:t>.</w:t>
      </w:r>
    </w:p>
    <w:p w:rsidR="00190229" w:rsidRDefault="00190229">
      <w:pPr>
        <w:pStyle w:val="CommentText"/>
      </w:pPr>
      <w:r>
        <w:t xml:space="preserve">There </w:t>
      </w:r>
      <w:proofErr w:type="spellStart"/>
      <w:r>
        <w:t>is</w:t>
      </w:r>
      <w:proofErr w:type="spellEnd"/>
      <w:r>
        <w:t xml:space="preserve"> no </w:t>
      </w:r>
      <w:proofErr w:type="spellStart"/>
      <w:r>
        <w:t>need</w:t>
      </w:r>
      <w:proofErr w:type="spellEnd"/>
      <w:r>
        <w:t xml:space="preserve"> to </w:t>
      </w:r>
      <w:proofErr w:type="spellStart"/>
      <w:r>
        <w:t>include</w:t>
      </w:r>
      <w:proofErr w:type="spellEnd"/>
      <w:r>
        <w:t xml:space="preserve"> fruits in </w:t>
      </w:r>
      <w:proofErr w:type="spellStart"/>
      <w:r>
        <w:t>your</w:t>
      </w:r>
      <w:proofErr w:type="spellEnd"/>
      <w:r>
        <w:t xml:space="preserve"> table, </w:t>
      </w:r>
      <w:proofErr w:type="spellStart"/>
      <w:r>
        <w:t>because</w:t>
      </w:r>
      <w:proofErr w:type="spellEnd"/>
      <w:r>
        <w:t xml:space="preserve"> the </w:t>
      </w:r>
      <w:proofErr w:type="spellStart"/>
      <w:r>
        <w:t>whole</w:t>
      </w:r>
      <w:proofErr w:type="spellEnd"/>
      <w:r>
        <w:t xml:space="preserve"> </w:t>
      </w:r>
      <w:proofErr w:type="spellStart"/>
      <w:r>
        <w:t>research</w:t>
      </w:r>
      <w:proofErr w:type="spellEnd"/>
      <w:r>
        <w:t xml:space="preserve"> </w:t>
      </w:r>
      <w:proofErr w:type="spellStart"/>
      <w:r>
        <w:t>was</w:t>
      </w:r>
      <w:proofErr w:type="spellEnd"/>
      <w:r>
        <w:t xml:space="preserve"> on </w:t>
      </w:r>
      <w:proofErr w:type="spellStart"/>
      <w:r w:rsidRPr="00190229">
        <w:rPr>
          <w:b/>
          <w:i/>
        </w:rPr>
        <w:t>vegetable</w:t>
      </w:r>
      <w:proofErr w:type="spellEnd"/>
      <w:r w:rsidRPr="00190229">
        <w:rPr>
          <w:b/>
          <w:i/>
        </w:rPr>
        <w:t xml:space="preserve"> </w:t>
      </w:r>
      <w:proofErr w:type="spellStart"/>
      <w:r>
        <w:t>gardens</w:t>
      </w:r>
      <w:proofErr w:type="spellEnd"/>
      <w:r>
        <w:t xml:space="preserve"> </w:t>
      </w:r>
      <w:proofErr w:type="spellStart"/>
      <w:r>
        <w:t>only</w:t>
      </w:r>
      <w:proofErr w:type="spellEnd"/>
      <w:r>
        <w:t>.</w:t>
      </w:r>
    </w:p>
  </w:comment>
  <w:comment w:id="8" w:author="DIETITIAN ZAITUN MAH" w:date="2025-10-24T16:09:00Z" w:initials="DZM">
    <w:p w:rsidR="00190229" w:rsidRDefault="00190229">
      <w:pPr>
        <w:pStyle w:val="CommentText"/>
      </w:pPr>
      <w:r>
        <w:rPr>
          <w:rStyle w:val="CommentReference"/>
        </w:rPr>
        <w:annotationRef/>
      </w:r>
      <w:proofErr w:type="spellStart"/>
      <w:r>
        <w:t>What</w:t>
      </w:r>
      <w:proofErr w:type="spellEnd"/>
      <w:r>
        <w:t xml:space="preserve"> </w:t>
      </w:r>
      <w:proofErr w:type="spellStart"/>
      <w:r>
        <w:t>percentage</w:t>
      </w:r>
      <w:proofErr w:type="spellEnd"/>
      <w:r>
        <w:t> ?</w:t>
      </w:r>
    </w:p>
  </w:comment>
  <w:comment w:id="9" w:author="DIETITIAN ZAITUN MAH" w:date="2025-10-24T16:16:00Z" w:initials="DZM">
    <w:p w:rsidR="00190229" w:rsidRDefault="00190229">
      <w:pPr>
        <w:pStyle w:val="CommentText"/>
      </w:pPr>
      <w:r>
        <w:rPr>
          <w:rStyle w:val="CommentReference"/>
        </w:rPr>
        <w:annotationRef/>
      </w:r>
      <w:proofErr w:type="spellStart"/>
      <w:r>
        <w:t>Pls</w:t>
      </w:r>
      <w:proofErr w:type="spellEnd"/>
      <w:r>
        <w:t xml:space="preserve"> use APA table format.</w:t>
      </w:r>
    </w:p>
    <w:p w:rsidR="00190229" w:rsidRDefault="00190229">
      <w:pPr>
        <w:pStyle w:val="CommentText"/>
      </w:pPr>
      <w:proofErr w:type="spellStart"/>
      <w:r>
        <w:t>Also</w:t>
      </w:r>
      <w:proofErr w:type="spellEnd"/>
      <w:r>
        <w:t xml:space="preserve">, </w:t>
      </w:r>
      <w:proofErr w:type="spellStart"/>
      <w:r>
        <w:t>your</w:t>
      </w:r>
      <w:proofErr w:type="spellEnd"/>
      <w:r>
        <w:t xml:space="preserve"> </w:t>
      </w:r>
      <w:proofErr w:type="spellStart"/>
      <w:r>
        <w:t>interval</w:t>
      </w:r>
      <w:proofErr w:type="spellEnd"/>
      <w:r>
        <w:t xml:space="preserve"> </w:t>
      </w:r>
      <w:proofErr w:type="spellStart"/>
      <w:r>
        <w:t>is</w:t>
      </w:r>
      <w:proofErr w:type="spellEnd"/>
      <w:r>
        <w:t xml:space="preserve"> </w:t>
      </w:r>
      <w:proofErr w:type="spellStart"/>
      <w:r>
        <w:t>mathematically</w:t>
      </w:r>
      <w:proofErr w:type="spellEnd"/>
      <w:r>
        <w:t xml:space="preserve"> </w:t>
      </w:r>
      <w:proofErr w:type="spellStart"/>
      <w:r>
        <w:t>wrong</w:t>
      </w:r>
      <w:proofErr w:type="spellEnd"/>
      <w:r>
        <w:t xml:space="preserve">. It </w:t>
      </w:r>
      <w:proofErr w:type="spellStart"/>
      <w:r>
        <w:t>should</w:t>
      </w:r>
      <w:proofErr w:type="spellEnd"/>
      <w:r>
        <w:t xml:space="preserve"> </w:t>
      </w:r>
      <w:proofErr w:type="spellStart"/>
      <w:r>
        <w:t>be</w:t>
      </w:r>
      <w:proofErr w:type="spellEnd"/>
      <w:r>
        <w:t xml:space="preserve"> 1-2,3-4, 5-6.</w:t>
      </w:r>
    </w:p>
  </w:comment>
  <w:comment w:id="10" w:author="DIETITIAN ZAITUN MAH" w:date="2025-10-24T16:16:00Z" w:initials="DZM">
    <w:p w:rsidR="00403BD5" w:rsidRDefault="00403BD5" w:rsidP="00403BD5">
      <w:pPr>
        <w:pStyle w:val="CommentText"/>
      </w:pPr>
      <w:r>
        <w:rPr>
          <w:rStyle w:val="CommentReference"/>
        </w:rPr>
        <w:annotationRef/>
      </w:r>
      <w:proofErr w:type="spellStart"/>
      <w:r>
        <w:t>Pls</w:t>
      </w:r>
      <w:proofErr w:type="spellEnd"/>
      <w:r>
        <w:t xml:space="preserve"> use APA table format.</w:t>
      </w:r>
    </w:p>
    <w:p w:rsidR="00403BD5" w:rsidRDefault="00403BD5" w:rsidP="00403BD5">
      <w:pPr>
        <w:pStyle w:val="CommentText"/>
      </w:pPr>
      <w:proofErr w:type="spellStart"/>
      <w:r>
        <w:t>Also</w:t>
      </w:r>
      <w:proofErr w:type="spellEnd"/>
      <w:r>
        <w:t xml:space="preserve">, </w:t>
      </w:r>
      <w:proofErr w:type="spellStart"/>
      <w:r>
        <w:t>your</w:t>
      </w:r>
      <w:proofErr w:type="spellEnd"/>
      <w:r>
        <w:t xml:space="preserve"> </w:t>
      </w:r>
      <w:proofErr w:type="spellStart"/>
      <w:r>
        <w:t>interval</w:t>
      </w:r>
      <w:proofErr w:type="spellEnd"/>
      <w:r>
        <w:t xml:space="preserve"> </w:t>
      </w:r>
      <w:proofErr w:type="spellStart"/>
      <w:r>
        <w:t>is</w:t>
      </w:r>
      <w:proofErr w:type="spellEnd"/>
      <w:r>
        <w:t xml:space="preserve"> </w:t>
      </w:r>
      <w:proofErr w:type="spellStart"/>
      <w:r>
        <w:t>mathematically</w:t>
      </w:r>
      <w:proofErr w:type="spellEnd"/>
      <w:r>
        <w:t xml:space="preserve"> </w:t>
      </w:r>
      <w:proofErr w:type="spellStart"/>
      <w:r>
        <w:t>wrong</w:t>
      </w:r>
      <w:proofErr w:type="spellEnd"/>
      <w:r>
        <w:t xml:space="preserve">. It </w:t>
      </w:r>
      <w:proofErr w:type="spellStart"/>
      <w:r>
        <w:t>should</w:t>
      </w:r>
      <w:proofErr w:type="spellEnd"/>
      <w:r>
        <w:t xml:space="preserve"> </w:t>
      </w:r>
      <w:proofErr w:type="spellStart"/>
      <w:r>
        <w:t>be</w:t>
      </w:r>
      <w:proofErr w:type="spellEnd"/>
      <w:r>
        <w:t xml:space="preserve"> 1-2,3-4, 5-6.</w:t>
      </w:r>
    </w:p>
    <w:p w:rsidR="00403BD5" w:rsidRDefault="00403BD5">
      <w:pPr>
        <w:pStyle w:val="CommentText"/>
      </w:pPr>
    </w:p>
  </w:comment>
  <w:comment w:id="11" w:author="DIETITIAN ZAITUN MAH" w:date="2025-10-24T16:20:00Z" w:initials="DZM">
    <w:p w:rsidR="00403BD5" w:rsidRDefault="00403BD5">
      <w:pPr>
        <w:pStyle w:val="CommentText"/>
      </w:pPr>
      <w:r>
        <w:rPr>
          <w:rStyle w:val="CommentReference"/>
        </w:rPr>
        <w:annotationRef/>
      </w:r>
      <w:proofErr w:type="spellStart"/>
      <w:r>
        <w:t>Pls</w:t>
      </w:r>
      <w:proofErr w:type="spellEnd"/>
      <w:r>
        <w:t xml:space="preserve"> use APA table format.</w:t>
      </w:r>
    </w:p>
    <w:p w:rsidR="00403BD5" w:rsidRDefault="00403BD5">
      <w:pPr>
        <w:pStyle w:val="CommentText"/>
      </w:pPr>
      <w:r>
        <w:t xml:space="preserve">You </w:t>
      </w:r>
      <w:proofErr w:type="spellStart"/>
      <w:r>
        <w:t>need</w:t>
      </w:r>
      <w:proofErr w:type="spellEnd"/>
      <w:r>
        <w:t xml:space="preserve"> to state the classification </w:t>
      </w:r>
      <w:proofErr w:type="spellStart"/>
      <w:r>
        <w:t>you</w:t>
      </w:r>
      <w:proofErr w:type="spellEnd"/>
      <w:r>
        <w:t xml:space="preserve"> </w:t>
      </w:r>
      <w:proofErr w:type="spellStart"/>
      <w:r>
        <w:t>used</w:t>
      </w:r>
      <w:proofErr w:type="spellEnd"/>
      <w:r>
        <w:t xml:space="preserve">. It </w:t>
      </w:r>
      <w:proofErr w:type="spellStart"/>
      <w:r>
        <w:t>is</w:t>
      </w:r>
      <w:proofErr w:type="spellEnd"/>
      <w:r>
        <w:t xml:space="preserve"> WHO or </w:t>
      </w:r>
      <w:proofErr w:type="spellStart"/>
      <w:r>
        <w:t>which</w:t>
      </w:r>
      <w:proofErr w:type="spellEnd"/>
      <w:r>
        <w:t xml:space="preserve"> one ? </w:t>
      </w:r>
    </w:p>
  </w:comment>
  <w:comment w:id="12" w:author="DIETITIAN ZAITUN MAH" w:date="2025-10-24T16:21:00Z" w:initials="DZM">
    <w:p w:rsidR="00403BD5" w:rsidRDefault="00403BD5" w:rsidP="00403BD5">
      <w:pPr>
        <w:pStyle w:val="CommentText"/>
      </w:pPr>
      <w:r>
        <w:rPr>
          <w:rStyle w:val="CommentReference"/>
        </w:rPr>
        <w:annotationRef/>
      </w:r>
      <w:proofErr w:type="spellStart"/>
      <w:r>
        <w:t>Pls</w:t>
      </w:r>
      <w:proofErr w:type="spellEnd"/>
      <w:r>
        <w:t xml:space="preserve"> use APA table format.</w:t>
      </w:r>
    </w:p>
    <w:p w:rsidR="00403BD5" w:rsidRDefault="00403BD5">
      <w:pPr>
        <w:pStyle w:val="CommentText"/>
      </w:pPr>
      <w:r>
        <w:t xml:space="preserve">You </w:t>
      </w:r>
      <w:proofErr w:type="spellStart"/>
      <w:r>
        <w:t>need</w:t>
      </w:r>
      <w:proofErr w:type="spellEnd"/>
      <w:r>
        <w:t xml:space="preserve"> to state the classification </w:t>
      </w:r>
      <w:proofErr w:type="spellStart"/>
      <w:r>
        <w:t>you</w:t>
      </w:r>
      <w:proofErr w:type="spellEnd"/>
      <w:r>
        <w:t xml:space="preserve"> </w:t>
      </w:r>
      <w:proofErr w:type="spellStart"/>
      <w:r>
        <w:t>used</w:t>
      </w:r>
      <w:proofErr w:type="spellEnd"/>
      <w:r>
        <w:t xml:space="preserve">. It </w:t>
      </w:r>
      <w:proofErr w:type="spellStart"/>
      <w:r>
        <w:t>is</w:t>
      </w:r>
      <w:proofErr w:type="spellEnd"/>
      <w:r>
        <w:t xml:space="preserve"> WHO or </w:t>
      </w:r>
      <w:proofErr w:type="spellStart"/>
      <w:r>
        <w:t>which</w:t>
      </w:r>
      <w:proofErr w:type="spellEnd"/>
      <w:r>
        <w:t xml:space="preserve"> one ? </w:t>
      </w:r>
    </w:p>
  </w:comment>
  <w:comment w:id="13" w:author="DIETITIAN ZAITUN MAH" w:date="2025-10-24T16:23:00Z" w:initials="DZM">
    <w:p w:rsidR="00514B12" w:rsidRDefault="00514B12">
      <w:pPr>
        <w:pStyle w:val="CommentText"/>
      </w:pPr>
      <w:r>
        <w:rPr>
          <w:rStyle w:val="CommentReference"/>
        </w:rPr>
        <w:annotationRef/>
      </w:r>
      <w:r>
        <w:t xml:space="preserve">You </w:t>
      </w:r>
      <w:proofErr w:type="spellStart"/>
      <w:r>
        <w:t>need</w:t>
      </w:r>
      <w:proofErr w:type="spellEnd"/>
      <w:r>
        <w:t xml:space="preserve"> to state how </w:t>
      </w:r>
      <w:proofErr w:type="spellStart"/>
      <w:r>
        <w:t>you</w:t>
      </w:r>
      <w:proofErr w:type="spellEnd"/>
      <w:r>
        <w:t xml:space="preserve"> came about </w:t>
      </w:r>
      <w:proofErr w:type="spellStart"/>
      <w:r>
        <w:t>these</w:t>
      </w:r>
      <w:proofErr w:type="spellEnd"/>
      <w:r>
        <w:t xml:space="preserve"> </w:t>
      </w:r>
      <w:proofErr w:type="spellStart"/>
      <w:r>
        <w:t>two</w:t>
      </w:r>
      <w:proofErr w:type="spellEnd"/>
      <w:r>
        <w:t xml:space="preserve"> </w:t>
      </w:r>
      <w:proofErr w:type="spellStart"/>
      <w:r>
        <w:t>percentages</w:t>
      </w:r>
      <w:proofErr w:type="spellEnd"/>
      <w:r>
        <w:t xml:space="preserve"> </w:t>
      </w:r>
      <w:proofErr w:type="spellStart"/>
      <w:r>
        <w:t>because</w:t>
      </w:r>
      <w:proofErr w:type="spellEnd"/>
      <w:r>
        <w:t xml:space="preserve"> </w:t>
      </w:r>
      <w:proofErr w:type="spellStart"/>
      <w:r>
        <w:t>they</w:t>
      </w:r>
      <w:proofErr w:type="spellEnd"/>
      <w:r>
        <w:t xml:space="preserve"> are not in </w:t>
      </w:r>
      <w:proofErr w:type="spellStart"/>
      <w:r>
        <w:t>any</w:t>
      </w:r>
      <w:proofErr w:type="spellEnd"/>
      <w:r>
        <w:t xml:space="preserve"> of </w:t>
      </w:r>
      <w:proofErr w:type="spellStart"/>
      <w:r>
        <w:t>your</w:t>
      </w:r>
      <w:proofErr w:type="spellEnd"/>
      <w:r>
        <w:t xml:space="preserve"> tables </w:t>
      </w:r>
      <w:proofErr w:type="spellStart"/>
      <w:r>
        <w:t>above</w:t>
      </w:r>
      <w:proofErr w:type="spellEnd"/>
      <w:r>
        <w:t>.</w:t>
      </w:r>
    </w:p>
  </w:comment>
  <w:comment w:id="14" w:author="DIETITIAN ZAITUN MAH" w:date="2025-10-24T16:23:00Z" w:initials="DZM">
    <w:p w:rsidR="00514B12" w:rsidRDefault="00514B12" w:rsidP="00514B12">
      <w:pPr>
        <w:pStyle w:val="CommentText"/>
      </w:pPr>
      <w:r>
        <w:rPr>
          <w:rStyle w:val="CommentReference"/>
        </w:rPr>
        <w:annotationRef/>
      </w:r>
      <w:proofErr w:type="spellStart"/>
      <w:r>
        <w:t>Pls</w:t>
      </w:r>
      <w:proofErr w:type="spellEnd"/>
      <w:r>
        <w:t xml:space="preserve"> use APA table format.</w:t>
      </w:r>
    </w:p>
    <w:p w:rsidR="00514B12" w:rsidRDefault="00514B12">
      <w:pPr>
        <w:pStyle w:val="CommentText"/>
      </w:pPr>
      <w:r>
        <w:t xml:space="preserve">You </w:t>
      </w:r>
      <w:proofErr w:type="spellStart"/>
      <w:r>
        <w:t>need</w:t>
      </w:r>
      <w:proofErr w:type="spellEnd"/>
      <w:r>
        <w:t xml:space="preserve"> to state the classification </w:t>
      </w:r>
      <w:proofErr w:type="spellStart"/>
      <w:r>
        <w:t>you</w:t>
      </w:r>
      <w:proofErr w:type="spellEnd"/>
      <w:r>
        <w:t xml:space="preserve"> </w:t>
      </w:r>
      <w:proofErr w:type="spellStart"/>
      <w:r>
        <w:t>used</w:t>
      </w:r>
      <w:proofErr w:type="spellEnd"/>
      <w:r>
        <w:t xml:space="preserve">. It </w:t>
      </w:r>
      <w:proofErr w:type="spellStart"/>
      <w:r>
        <w:t>is</w:t>
      </w:r>
      <w:proofErr w:type="spellEnd"/>
      <w:r>
        <w:t xml:space="preserve"> WHO or </w:t>
      </w:r>
      <w:proofErr w:type="spellStart"/>
      <w:r>
        <w:t>which</w:t>
      </w:r>
      <w:proofErr w:type="spellEnd"/>
      <w:r>
        <w:t xml:space="preserve"> one ? </w:t>
      </w:r>
    </w:p>
  </w:comment>
  <w:comment w:id="15" w:author="DIETITIAN ZAITUN MAH" w:date="2025-10-24T16:24:00Z" w:initials="DZM">
    <w:p w:rsidR="00514B12" w:rsidRDefault="00514B12" w:rsidP="00514B12">
      <w:pPr>
        <w:pStyle w:val="CommentText"/>
      </w:pPr>
      <w:r>
        <w:rPr>
          <w:rStyle w:val="CommentReference"/>
        </w:rPr>
        <w:annotationRef/>
      </w:r>
      <w:proofErr w:type="spellStart"/>
      <w:r>
        <w:t>Pls</w:t>
      </w:r>
      <w:proofErr w:type="spellEnd"/>
      <w:r>
        <w:t xml:space="preserve"> use APA table format.</w:t>
      </w:r>
    </w:p>
    <w:p w:rsidR="00514B12" w:rsidRDefault="00514B12">
      <w:pPr>
        <w:pStyle w:val="CommentText"/>
      </w:pPr>
      <w:r>
        <w:t xml:space="preserve">You </w:t>
      </w:r>
      <w:proofErr w:type="spellStart"/>
      <w:r>
        <w:t>need</w:t>
      </w:r>
      <w:proofErr w:type="spellEnd"/>
      <w:r>
        <w:t xml:space="preserve"> to state the classification </w:t>
      </w:r>
      <w:proofErr w:type="spellStart"/>
      <w:r>
        <w:t>you</w:t>
      </w:r>
      <w:proofErr w:type="spellEnd"/>
      <w:r>
        <w:t xml:space="preserve"> </w:t>
      </w:r>
      <w:proofErr w:type="spellStart"/>
      <w:r>
        <w:t>used</w:t>
      </w:r>
      <w:proofErr w:type="spellEnd"/>
      <w:r>
        <w:t xml:space="preserve">. It </w:t>
      </w:r>
      <w:proofErr w:type="spellStart"/>
      <w:r>
        <w:t>is</w:t>
      </w:r>
      <w:proofErr w:type="spellEnd"/>
      <w:r>
        <w:t xml:space="preserve"> WHO or </w:t>
      </w:r>
      <w:proofErr w:type="spellStart"/>
      <w:r>
        <w:t>which</w:t>
      </w:r>
      <w:proofErr w:type="spellEnd"/>
      <w:r>
        <w:t xml:space="preserve"> one ? </w:t>
      </w:r>
    </w:p>
  </w:comment>
  <w:comment w:id="17" w:author="DIETITIAN ZAITUN MAH" w:date="2025-10-24T16:45:00Z" w:initials="DZM">
    <w:p w:rsidR="005600CC" w:rsidRDefault="005600CC">
      <w:pPr>
        <w:pStyle w:val="CommentText"/>
      </w:pPr>
      <w:r>
        <w:rPr>
          <w:rStyle w:val="CommentReference"/>
        </w:rPr>
        <w:annotationRef/>
      </w:r>
      <w:proofErr w:type="spellStart"/>
      <w:r>
        <w:t>What</w:t>
      </w:r>
      <w:proofErr w:type="spellEnd"/>
      <w:r>
        <w:t xml:space="preserve"> </w:t>
      </w:r>
      <w:proofErr w:type="spellStart"/>
      <w:r>
        <w:t>is</w:t>
      </w:r>
      <w:proofErr w:type="spellEnd"/>
      <w:r>
        <w:t xml:space="preserve"> the </w:t>
      </w:r>
      <w:proofErr w:type="spellStart"/>
      <w:r>
        <w:t>meaning</w:t>
      </w:r>
      <w:proofErr w:type="spellEnd"/>
      <w:r>
        <w:t xml:space="preserve"> of AM ?</w:t>
      </w:r>
    </w:p>
  </w:comment>
  <w:comment w:id="16" w:author="DIETITIAN ZAITUN MAH" w:date="2025-10-24T16:43:00Z" w:initials="DZM">
    <w:p w:rsidR="005600CC" w:rsidRDefault="005600CC" w:rsidP="005600CC">
      <w:pPr>
        <w:pStyle w:val="CommentText"/>
      </w:pPr>
      <w:r>
        <w:rPr>
          <w:rStyle w:val="CommentReference"/>
        </w:rPr>
        <w:annotationRef/>
      </w:r>
      <w:proofErr w:type="spellStart"/>
      <w:r>
        <w:t>Pls</w:t>
      </w:r>
      <w:proofErr w:type="spellEnd"/>
      <w:r>
        <w:t xml:space="preserve"> use APA table format.</w:t>
      </w:r>
    </w:p>
    <w:p w:rsidR="005600CC" w:rsidRDefault="005600CC">
      <w:pPr>
        <w:pStyle w:val="CommentText"/>
      </w:pPr>
      <w:r>
        <w:t xml:space="preserve">You </w:t>
      </w:r>
      <w:proofErr w:type="spellStart"/>
      <w:r>
        <w:t>need</w:t>
      </w:r>
      <w:proofErr w:type="spellEnd"/>
      <w:r>
        <w:t xml:space="preserve"> to state the classification </w:t>
      </w:r>
      <w:proofErr w:type="spellStart"/>
      <w:r>
        <w:t>you</w:t>
      </w:r>
      <w:proofErr w:type="spellEnd"/>
      <w:r>
        <w:t xml:space="preserve"> </w:t>
      </w:r>
      <w:proofErr w:type="spellStart"/>
      <w:r>
        <w:t>used</w:t>
      </w:r>
      <w:proofErr w:type="spellEnd"/>
      <w:r>
        <w:t xml:space="preserve">. It </w:t>
      </w:r>
      <w:proofErr w:type="spellStart"/>
      <w:r>
        <w:t>is</w:t>
      </w:r>
      <w:proofErr w:type="spellEnd"/>
      <w:r>
        <w:t xml:space="preserve"> WHO or </w:t>
      </w:r>
      <w:proofErr w:type="spellStart"/>
      <w:r>
        <w:t>which</w:t>
      </w:r>
      <w:proofErr w:type="spellEnd"/>
      <w:r>
        <w:t xml:space="preserve"> one ? </w:t>
      </w:r>
    </w:p>
  </w:comment>
  <w:comment w:id="18" w:author="DIETITIAN ZAITUN MAH" w:date="2025-10-24T16:47:00Z" w:initials="DZM">
    <w:p w:rsidR="005600CC" w:rsidRDefault="005600CC">
      <w:pPr>
        <w:pStyle w:val="CommentText"/>
      </w:pPr>
      <w:r>
        <w:rPr>
          <w:rStyle w:val="CommentReference"/>
        </w:rPr>
        <w:annotationRef/>
      </w:r>
      <w:proofErr w:type="spellStart"/>
      <w:r>
        <w:t>Pls</w:t>
      </w:r>
      <w:proofErr w:type="spellEnd"/>
      <w:r>
        <w:t xml:space="preserve"> use APA table format.</w:t>
      </w:r>
    </w:p>
  </w:comment>
  <w:comment w:id="19" w:author="DIETITIAN ZAITUN MAH" w:date="2025-10-24T16:54:00Z" w:initials="DZM">
    <w:p w:rsidR="00D367C9" w:rsidRDefault="00D367C9">
      <w:pPr>
        <w:pStyle w:val="CommentText"/>
      </w:pPr>
      <w:r>
        <w:rPr>
          <w:rStyle w:val="CommentReference"/>
        </w:rPr>
        <w:annotationRef/>
      </w:r>
      <w:r>
        <w:t xml:space="preserve">There </w:t>
      </w:r>
      <w:proofErr w:type="spellStart"/>
      <w:r>
        <w:t>should</w:t>
      </w:r>
      <w:proofErr w:type="spellEnd"/>
      <w:r>
        <w:t xml:space="preserve"> </w:t>
      </w:r>
      <w:proofErr w:type="spellStart"/>
      <w:r>
        <w:t>be</w:t>
      </w:r>
      <w:proofErr w:type="spellEnd"/>
      <w:r>
        <w:t xml:space="preserve"> a </w:t>
      </w:r>
      <w:proofErr w:type="spellStart"/>
      <w:r>
        <w:t>heading</w:t>
      </w:r>
      <w:proofErr w:type="spellEnd"/>
      <w:r>
        <w:t xml:space="preserve"> </w:t>
      </w:r>
      <w:proofErr w:type="spellStart"/>
      <w:r>
        <w:t>here</w:t>
      </w:r>
      <w:proofErr w:type="spellEnd"/>
      <w:r>
        <w:t xml:space="preserve">, </w:t>
      </w:r>
      <w:proofErr w:type="spellStart"/>
      <w:r>
        <w:t>like</w:t>
      </w:r>
      <w:proofErr w:type="spellEnd"/>
      <w:r>
        <w:t xml:space="preserve"> DISCUSSION</w:t>
      </w:r>
    </w:p>
  </w:comment>
  <w:comment w:id="20" w:author="DIETITIAN ZAITUN MAH" w:date="2025-10-24T16:55:00Z" w:initials="DZM">
    <w:p w:rsidR="00D367C9" w:rsidRDefault="00D367C9">
      <w:pPr>
        <w:pStyle w:val="CommentText"/>
      </w:pPr>
      <w:r>
        <w:rPr>
          <w:rStyle w:val="CommentReference"/>
        </w:rPr>
        <w:annotationRef/>
      </w:r>
      <w:r>
        <w:t xml:space="preserve">This </w:t>
      </w:r>
      <w:proofErr w:type="spellStart"/>
      <w:r>
        <w:t>should</w:t>
      </w:r>
      <w:proofErr w:type="spellEnd"/>
      <w:r>
        <w:t xml:space="preserve"> </w:t>
      </w:r>
      <w:proofErr w:type="spellStart"/>
      <w:r>
        <w:t>be</w:t>
      </w:r>
      <w:proofErr w:type="spellEnd"/>
      <w:r>
        <w:t xml:space="preserve"> </w:t>
      </w:r>
      <w:proofErr w:type="spellStart"/>
      <w:r>
        <w:t>under</w:t>
      </w:r>
      <w:proofErr w:type="spellEnd"/>
      <w:r>
        <w:t xml:space="preserve"> </w:t>
      </w:r>
      <w:proofErr w:type="spellStart"/>
      <w:r>
        <w:t>recommendation</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1F6A">
      <w:pPr>
        <w:spacing w:after="0" w:line="240" w:lineRule="auto"/>
      </w:pPr>
      <w:r>
        <w:separator/>
      </w:r>
    </w:p>
  </w:endnote>
  <w:endnote w:type="continuationSeparator" w:id="0">
    <w:p w:rsidR="00000000" w:rsidRDefault="008E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51" w:rsidRDefault="00D45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51" w:rsidRDefault="00D45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1F6A">
      <w:pPr>
        <w:spacing w:after="0" w:line="240" w:lineRule="auto"/>
      </w:pPr>
      <w:r>
        <w:separator/>
      </w:r>
    </w:p>
  </w:footnote>
  <w:footnote w:type="continuationSeparator" w:id="0">
    <w:p w:rsidR="00000000" w:rsidRDefault="008E1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51" w:rsidRDefault="008E1F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38.55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51" w:rsidRDefault="008E1F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38.55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751" w:rsidRDefault="008E1F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38.55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3AD6AF0C"/>
    <w:lvl w:ilvl="0">
      <w:start w:val="1"/>
      <w:numFmt w:val="decimal"/>
      <w:lvlText w:val="%1."/>
      <w:lvlJc w:val="left"/>
      <w:pPr>
        <w:tabs>
          <w:tab w:val="left" w:pos="720"/>
        </w:tabs>
        <w:ind w:left="720" w:hanging="360"/>
      </w:pPr>
      <w:rPr>
        <w:b w:val="0"/>
        <w:sz w:val="24"/>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C310C5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hybridMultilevel"/>
    <w:tmpl w:val="C180D93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51"/>
    <w:rsid w:val="00190229"/>
    <w:rsid w:val="00403BD5"/>
    <w:rsid w:val="00504807"/>
    <w:rsid w:val="00514B12"/>
    <w:rsid w:val="005600CC"/>
    <w:rsid w:val="0062577B"/>
    <w:rsid w:val="008E1F6A"/>
    <w:rsid w:val="00D367C9"/>
    <w:rsid w:val="00D45751"/>
    <w:rsid w:val="00DC1022"/>
    <w:rsid w:val="00DD0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styleId="Strong">
    <w:name w:val="Strong"/>
    <w:basedOn w:val="DefaultParagraphFont"/>
    <w:uiPriority w:val="22"/>
    <w:qFormat/>
    <w:rPr>
      <w:b/>
      <w:bCs/>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gi">
    <w:name w:val="gi"/>
    <w:basedOn w:val="DefaultParagraphFont"/>
  </w:style>
  <w:style w:type="paragraph" w:styleId="ListParagraph">
    <w:name w:val="List Paragraph"/>
    <w:basedOn w:val="Normal"/>
    <w:uiPriority w:val="34"/>
    <w:qFormat/>
    <w:pPr>
      <w:ind w:left="720"/>
      <w:contextualSpacing/>
    </w:pPr>
    <w:rPr>
      <w:lang w:val="en-US"/>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DD07DB"/>
    <w:rPr>
      <w:sz w:val="16"/>
      <w:szCs w:val="16"/>
    </w:rPr>
  </w:style>
  <w:style w:type="paragraph" w:styleId="CommentText">
    <w:name w:val="annotation text"/>
    <w:basedOn w:val="Normal"/>
    <w:link w:val="CommentTextChar"/>
    <w:uiPriority w:val="99"/>
    <w:unhideWhenUsed/>
    <w:rsid w:val="00DD07DB"/>
    <w:pPr>
      <w:spacing w:line="240" w:lineRule="auto"/>
    </w:pPr>
    <w:rPr>
      <w:sz w:val="20"/>
      <w:szCs w:val="20"/>
    </w:rPr>
  </w:style>
  <w:style w:type="character" w:customStyle="1" w:styleId="CommentTextChar">
    <w:name w:val="Comment Text Char"/>
    <w:basedOn w:val="DefaultParagraphFont"/>
    <w:link w:val="CommentText"/>
    <w:uiPriority w:val="99"/>
    <w:rsid w:val="00DD07DB"/>
    <w:rPr>
      <w:sz w:val="20"/>
      <w:szCs w:val="20"/>
    </w:rPr>
  </w:style>
  <w:style w:type="paragraph" w:styleId="CommentSubject">
    <w:name w:val="annotation subject"/>
    <w:basedOn w:val="CommentText"/>
    <w:next w:val="CommentText"/>
    <w:link w:val="CommentSubjectChar"/>
    <w:uiPriority w:val="99"/>
    <w:semiHidden/>
    <w:unhideWhenUsed/>
    <w:rsid w:val="00DD07DB"/>
    <w:rPr>
      <w:b/>
      <w:bCs/>
    </w:rPr>
  </w:style>
  <w:style w:type="character" w:customStyle="1" w:styleId="CommentSubjectChar">
    <w:name w:val="Comment Subject Char"/>
    <w:basedOn w:val="CommentTextChar"/>
    <w:link w:val="CommentSubject"/>
    <w:uiPriority w:val="99"/>
    <w:semiHidden/>
    <w:rsid w:val="00DD07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styleId="Strong">
    <w:name w:val="Strong"/>
    <w:basedOn w:val="DefaultParagraphFont"/>
    <w:uiPriority w:val="22"/>
    <w:qFormat/>
    <w:rPr>
      <w:b/>
      <w:bCs/>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gi">
    <w:name w:val="gi"/>
    <w:basedOn w:val="DefaultParagraphFont"/>
  </w:style>
  <w:style w:type="paragraph" w:styleId="ListParagraph">
    <w:name w:val="List Paragraph"/>
    <w:basedOn w:val="Normal"/>
    <w:uiPriority w:val="34"/>
    <w:qFormat/>
    <w:pPr>
      <w:ind w:left="720"/>
      <w:contextualSpacing/>
    </w:pPr>
    <w:rPr>
      <w:lang w:val="en-US"/>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DD07DB"/>
    <w:rPr>
      <w:sz w:val="16"/>
      <w:szCs w:val="16"/>
    </w:rPr>
  </w:style>
  <w:style w:type="paragraph" w:styleId="CommentText">
    <w:name w:val="annotation text"/>
    <w:basedOn w:val="Normal"/>
    <w:link w:val="CommentTextChar"/>
    <w:uiPriority w:val="99"/>
    <w:unhideWhenUsed/>
    <w:rsid w:val="00DD07DB"/>
    <w:pPr>
      <w:spacing w:line="240" w:lineRule="auto"/>
    </w:pPr>
    <w:rPr>
      <w:sz w:val="20"/>
      <w:szCs w:val="20"/>
    </w:rPr>
  </w:style>
  <w:style w:type="character" w:customStyle="1" w:styleId="CommentTextChar">
    <w:name w:val="Comment Text Char"/>
    <w:basedOn w:val="DefaultParagraphFont"/>
    <w:link w:val="CommentText"/>
    <w:uiPriority w:val="99"/>
    <w:rsid w:val="00DD07DB"/>
    <w:rPr>
      <w:sz w:val="20"/>
      <w:szCs w:val="20"/>
    </w:rPr>
  </w:style>
  <w:style w:type="paragraph" w:styleId="CommentSubject">
    <w:name w:val="annotation subject"/>
    <w:basedOn w:val="CommentText"/>
    <w:next w:val="CommentText"/>
    <w:link w:val="CommentSubjectChar"/>
    <w:uiPriority w:val="99"/>
    <w:semiHidden/>
    <w:unhideWhenUsed/>
    <w:rsid w:val="00DD07DB"/>
    <w:rPr>
      <w:b/>
      <w:bCs/>
    </w:rPr>
  </w:style>
  <w:style w:type="character" w:customStyle="1" w:styleId="CommentSubjectChar">
    <w:name w:val="Comment Subject Char"/>
    <w:basedOn w:val="CommentTextChar"/>
    <w:link w:val="CommentSubject"/>
    <w:uiPriority w:val="99"/>
    <w:semiHidden/>
    <w:rsid w:val="00DD0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DIETITIAN ZAITUN MAH</cp:lastModifiedBy>
  <cp:revision>2</cp:revision>
  <dcterms:created xsi:type="dcterms:W3CDTF">2025-10-25T00:04:00Z</dcterms:created>
  <dcterms:modified xsi:type="dcterms:W3CDTF">2025-10-25T00:04:00Z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dda5995e8b8a4c37b355da898123a6ba</vt:lpwstr>
  </property>
</Properties>
</file>