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A22" w:rsidRPr="00BC5262" w:rsidRDefault="00414A22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14A22" w:rsidRPr="00BC5262">
        <w:trPr>
          <w:trHeight w:val="290"/>
        </w:trPr>
        <w:tc>
          <w:tcPr>
            <w:tcW w:w="5168" w:type="dxa"/>
          </w:tcPr>
          <w:p w:rsidR="00414A22" w:rsidRPr="00BC5262" w:rsidRDefault="004D48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C5262">
              <w:rPr>
                <w:rFonts w:ascii="Arial" w:hAnsi="Arial" w:cs="Arial"/>
                <w:sz w:val="20"/>
                <w:szCs w:val="20"/>
              </w:rPr>
              <w:t>Journal</w:t>
            </w:r>
            <w:r w:rsidRPr="00BC526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414A22" w:rsidRPr="00BC5262" w:rsidRDefault="004D48B9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BC526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BC526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BC526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BC526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BC526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BC526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BC526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Probability</w:t>
              </w:r>
              <w:r w:rsidRPr="00BC526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BC526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BC526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C526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Statistics</w:t>
              </w:r>
            </w:hyperlink>
          </w:p>
        </w:tc>
      </w:tr>
      <w:tr w:rsidR="00414A22" w:rsidRPr="00BC5262">
        <w:trPr>
          <w:trHeight w:val="290"/>
        </w:trPr>
        <w:tc>
          <w:tcPr>
            <w:tcW w:w="5168" w:type="dxa"/>
          </w:tcPr>
          <w:p w:rsidR="00414A22" w:rsidRPr="00BC5262" w:rsidRDefault="004D48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C5262">
              <w:rPr>
                <w:rFonts w:ascii="Arial" w:hAnsi="Arial" w:cs="Arial"/>
                <w:sz w:val="20"/>
                <w:szCs w:val="20"/>
              </w:rPr>
              <w:t>Manuscript</w:t>
            </w:r>
            <w:r w:rsidRPr="00BC526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414A22" w:rsidRPr="00BC5262" w:rsidRDefault="004D48B9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Ms_AJPAS_146766</w:t>
            </w:r>
          </w:p>
        </w:tc>
      </w:tr>
      <w:tr w:rsidR="00414A22" w:rsidRPr="00BC5262">
        <w:trPr>
          <w:trHeight w:val="650"/>
        </w:trPr>
        <w:tc>
          <w:tcPr>
            <w:tcW w:w="5168" w:type="dxa"/>
          </w:tcPr>
          <w:p w:rsidR="00414A22" w:rsidRPr="00BC5262" w:rsidRDefault="004D48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C5262">
              <w:rPr>
                <w:rFonts w:ascii="Arial" w:hAnsi="Arial" w:cs="Arial"/>
                <w:sz w:val="20"/>
                <w:szCs w:val="20"/>
              </w:rPr>
              <w:t>Title</w:t>
            </w:r>
            <w:r w:rsidRPr="00BC526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of</w:t>
            </w:r>
            <w:r w:rsidRPr="00BC52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414A22" w:rsidRPr="00BC5262" w:rsidRDefault="004D48B9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BC526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Series</w:t>
            </w:r>
            <w:r w:rsidRPr="00BC526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Monthly</w:t>
            </w:r>
            <w:r w:rsidRPr="00BC526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Demand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Deposits</w:t>
            </w:r>
          </w:p>
        </w:tc>
      </w:tr>
      <w:tr w:rsidR="00414A22" w:rsidRPr="00BC5262">
        <w:trPr>
          <w:trHeight w:val="333"/>
        </w:trPr>
        <w:tc>
          <w:tcPr>
            <w:tcW w:w="5168" w:type="dxa"/>
          </w:tcPr>
          <w:p w:rsidR="00414A22" w:rsidRPr="00BC5262" w:rsidRDefault="004D48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C5262">
              <w:rPr>
                <w:rFonts w:ascii="Arial" w:hAnsi="Arial" w:cs="Arial"/>
                <w:sz w:val="20"/>
                <w:szCs w:val="20"/>
              </w:rPr>
              <w:t>Type</w:t>
            </w:r>
            <w:r w:rsidRPr="00BC52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of</w:t>
            </w:r>
            <w:r w:rsidRPr="00BC526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A22" w:rsidRPr="00BC5262" w:rsidRDefault="00414A22">
      <w:pPr>
        <w:pStyle w:val="BodyText"/>
        <w:rPr>
          <w:rFonts w:ascii="Arial" w:hAnsi="Arial" w:cs="Arial"/>
          <w:b w:val="0"/>
        </w:rPr>
      </w:pPr>
    </w:p>
    <w:p w:rsidR="00414A22" w:rsidRPr="00BC5262" w:rsidRDefault="00414A22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14A22" w:rsidRPr="00BC5262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14A22" w:rsidRPr="00BC5262" w:rsidRDefault="004D48B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C526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14A22" w:rsidRPr="00BC5262">
        <w:trPr>
          <w:trHeight w:val="964"/>
        </w:trPr>
        <w:tc>
          <w:tcPr>
            <w:tcW w:w="5352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414A22" w:rsidRPr="00BC5262" w:rsidRDefault="004D48B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C526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14A22" w:rsidRPr="00BC5262" w:rsidRDefault="004D48B9">
            <w:pPr>
              <w:pStyle w:val="TableParagraph"/>
              <w:ind w:left="108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C526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C526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C526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C526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C526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C526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C526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C526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C526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C526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C526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C526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14A22" w:rsidRPr="00BC5262" w:rsidRDefault="004D48B9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(It</w:t>
            </w:r>
            <w:r w:rsidRPr="00BC526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mandatory</w:t>
            </w:r>
            <w:r w:rsidRPr="00BC52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that</w:t>
            </w:r>
            <w:r w:rsidRPr="00BC526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authors</w:t>
            </w:r>
            <w:r w:rsidRPr="00BC526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should</w:t>
            </w:r>
            <w:r w:rsidRPr="00BC52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write</w:t>
            </w:r>
            <w:r w:rsidRPr="00BC526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14A22" w:rsidRPr="00BC5262">
        <w:trPr>
          <w:trHeight w:val="1610"/>
        </w:trPr>
        <w:tc>
          <w:tcPr>
            <w:tcW w:w="5352" w:type="dxa"/>
          </w:tcPr>
          <w:p w:rsidR="00414A22" w:rsidRPr="00BC5262" w:rsidRDefault="004D48B9">
            <w:pPr>
              <w:pStyle w:val="TableParagraph"/>
              <w:ind w:left="467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414A22" w:rsidRPr="00BC5262" w:rsidRDefault="004D48B9">
            <w:pPr>
              <w:pStyle w:val="TableParagraph"/>
              <w:ind w:left="108" w:right="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This paper contributes meaningfully to the literature on monetary economics and time-series modelling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by </w:t>
            </w:r>
            <w:proofErr w:type="spellStart"/>
            <w:r w:rsidRPr="00BC5262">
              <w:rPr>
                <w:rFonts w:ascii="Arial" w:hAnsi="Arial" w:cs="Arial"/>
                <w:b/>
                <w:sz w:val="20"/>
                <w:szCs w:val="20"/>
              </w:rPr>
              <w:t>analysing</w:t>
            </w:r>
            <w:proofErr w:type="spellEnd"/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 the dynamic </w:t>
            </w:r>
            <w:proofErr w:type="spellStart"/>
            <w:r w:rsidRPr="00BC5262"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proofErr w:type="spellEnd"/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 of demand deposits in Nigeria using ARIMA and GARCH models. It provides valuable insight into the unpredictability of financial aggregates in the presence of structural and policy shocks, a topic highly relevant for econo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mists, policymakers, and central banks in developing economies.</w:t>
            </w:r>
            <w:r w:rsidRPr="00BC5262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study’s</w:t>
            </w:r>
            <w:r w:rsidRPr="00BC526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C526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emphasize</w:t>
            </w:r>
            <w:r w:rsidRPr="00BC5262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limits</w:t>
            </w:r>
            <w:r w:rsidRPr="00BC526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5262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BC526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forecasting</w:t>
            </w:r>
            <w:r w:rsidRPr="00BC5262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526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unstable</w:t>
            </w:r>
            <w:r w:rsidRPr="00BC5262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macroeconomic</w:t>
            </w:r>
          </w:p>
          <w:p w:rsidR="00414A22" w:rsidRPr="00BC5262" w:rsidRDefault="004D48B9">
            <w:pPr>
              <w:pStyle w:val="TableParagraph"/>
              <w:spacing w:line="228" w:lineRule="exact"/>
              <w:ind w:left="108"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environments and highlight</w:t>
            </w:r>
            <w:r w:rsidRPr="00BC52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 need for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structural models in monetary policy</w:t>
            </w:r>
            <w:r w:rsidRPr="00BC52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analysis. Overall, i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C52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enriches the empirical discussion on liquidity management and macroeconomic forecasting in emerging markets.</w:t>
            </w:r>
          </w:p>
        </w:tc>
        <w:tc>
          <w:tcPr>
            <w:tcW w:w="6445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22" w:rsidRPr="00BC5262">
        <w:trPr>
          <w:trHeight w:val="1261"/>
        </w:trPr>
        <w:tc>
          <w:tcPr>
            <w:tcW w:w="5352" w:type="dxa"/>
          </w:tcPr>
          <w:p w:rsidR="00414A22" w:rsidRPr="00BC5262" w:rsidRDefault="004D48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14A22" w:rsidRPr="00BC5262" w:rsidRDefault="004D48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414A22" w:rsidRPr="00BC5262" w:rsidRDefault="004D48B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22" w:rsidRPr="00BC5262">
        <w:trPr>
          <w:trHeight w:val="1840"/>
        </w:trPr>
        <w:tc>
          <w:tcPr>
            <w:tcW w:w="5352" w:type="dxa"/>
          </w:tcPr>
          <w:p w:rsidR="00414A22" w:rsidRPr="00BC5262" w:rsidRDefault="004D48B9">
            <w:pPr>
              <w:pStyle w:val="TableParagraph"/>
              <w:ind w:left="467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Is the abstract of the article comprehensive? Do you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14A22" w:rsidRPr="00BC5262" w:rsidRDefault="004D48B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informative,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summarizing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dataset,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objectives,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(ARIMA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and GARCH), and key results.</w:t>
            </w:r>
          </w:p>
          <w:p w:rsidR="00414A22" w:rsidRPr="00BC5262" w:rsidRDefault="004D48B9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>by:</w:t>
            </w:r>
          </w:p>
          <w:p w:rsidR="00414A22" w:rsidRPr="00BC5262" w:rsidRDefault="004D48B9">
            <w:pPr>
              <w:pStyle w:val="TableParagraph"/>
              <w:ind w:left="108" w:right="142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Clarifying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numerically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parameters,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AIC/SIC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values). Avoiding overly long sentences — splitting them would enhance readability.</w:t>
            </w:r>
          </w:p>
          <w:p w:rsidR="00414A22" w:rsidRPr="00BC5262" w:rsidRDefault="004D48B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implications,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affect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monetary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forecasti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liquidity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planning.</w:t>
            </w:r>
          </w:p>
          <w:p w:rsidR="00414A22" w:rsidRPr="00BC5262" w:rsidRDefault="004D48B9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fair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benefit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concise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clarity.</w:t>
            </w:r>
          </w:p>
        </w:tc>
        <w:tc>
          <w:tcPr>
            <w:tcW w:w="6445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22" w:rsidRPr="00BC5262">
        <w:trPr>
          <w:trHeight w:val="1840"/>
        </w:trPr>
        <w:tc>
          <w:tcPr>
            <w:tcW w:w="5352" w:type="dxa"/>
          </w:tcPr>
          <w:p w:rsidR="00414A22" w:rsidRPr="00BC5262" w:rsidRDefault="004D48B9">
            <w:pPr>
              <w:pStyle w:val="TableParagraph"/>
              <w:ind w:left="467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C526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414A22" w:rsidRPr="00BC5262" w:rsidRDefault="004D48B9">
            <w:pPr>
              <w:pStyle w:val="TableParagraph"/>
              <w:ind w:left="108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follows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established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econometric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 procedures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time-series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analysis.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use of both ARIMA and GARCH models is appropriate for modeling non-stationary and volatile financial series. However, a few issues should be addressed:</w:t>
            </w:r>
          </w:p>
          <w:p w:rsidR="00414A22" w:rsidRPr="00BC5262" w:rsidRDefault="004D48B9">
            <w:pPr>
              <w:pStyle w:val="TableParagraph"/>
              <w:spacing w:before="2"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expressions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(equations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3.1–3.5)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incomple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te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improperly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formatted.</w:t>
            </w:r>
          </w:p>
          <w:p w:rsidR="00414A22" w:rsidRPr="00BC5262" w:rsidRDefault="004D48B9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diagnostic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tests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expanded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p-values,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C5262">
              <w:rPr>
                <w:rFonts w:ascii="Arial" w:hAnsi="Arial" w:cs="Arial"/>
                <w:b/>
                <w:sz w:val="20"/>
                <w:szCs w:val="20"/>
              </w:rPr>
              <w:t>Ljung</w:t>
            </w:r>
            <w:proofErr w:type="spellEnd"/>
            <w:r w:rsidRPr="00BC5262">
              <w:rPr>
                <w:rFonts w:ascii="Arial" w:hAnsi="Arial" w:cs="Arial"/>
                <w:b/>
                <w:sz w:val="20"/>
                <w:szCs w:val="20"/>
              </w:rPr>
              <w:t>–Box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test,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ARCH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LM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results).</w:t>
            </w:r>
          </w:p>
          <w:p w:rsidR="00414A22" w:rsidRPr="00BC5262" w:rsidRDefault="004D48B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“the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purely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random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(white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noise)”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evidence and not only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visual inspection.</w:t>
            </w:r>
          </w:p>
          <w:p w:rsidR="00414A22" w:rsidRPr="00BC5262" w:rsidRDefault="004D48B9">
            <w:pPr>
              <w:pStyle w:val="TableParagraph"/>
              <w:spacing w:before="1"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general,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technically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valid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rigor.</w:t>
            </w:r>
          </w:p>
        </w:tc>
        <w:tc>
          <w:tcPr>
            <w:tcW w:w="6445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22" w:rsidRPr="00BC5262">
        <w:trPr>
          <w:trHeight w:val="1841"/>
        </w:trPr>
        <w:tc>
          <w:tcPr>
            <w:tcW w:w="5352" w:type="dxa"/>
          </w:tcPr>
          <w:p w:rsidR="00414A22" w:rsidRPr="00BC5262" w:rsidRDefault="004D48B9">
            <w:pPr>
              <w:pStyle w:val="TableParagraph"/>
              <w:ind w:left="467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414A22" w:rsidRPr="00BC5262" w:rsidRDefault="004D48B9">
            <w:pPr>
              <w:pStyle w:val="TableParagraph"/>
              <w:ind w:left="108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references are relevant and demonstrate engagement with Nigerian monetary literature. However, while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works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(2023–2025)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cited,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repetitive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streamlined. It would strengthen the paper to add:</w:t>
            </w:r>
          </w:p>
          <w:p w:rsidR="00414A22" w:rsidRPr="00BC5262" w:rsidRDefault="004D48B9">
            <w:pPr>
              <w:pStyle w:val="TableParagraph"/>
              <w:spacing w:before="22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International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mparisons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similar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efforts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emerging</w:t>
            </w:r>
            <w:r w:rsidRPr="00BC526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markets.</w:t>
            </w:r>
          </w:p>
          <w:p w:rsidR="00414A22" w:rsidRPr="00BC5262" w:rsidRDefault="004D48B9">
            <w:pPr>
              <w:pStyle w:val="TableParagraph"/>
              <w:spacing w:before="212" w:line="230" w:lineRule="atLeast"/>
              <w:ind w:left="108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least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methodological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(post-2022)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hybrid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ARIMA–GARCH</w:t>
            </w:r>
            <w:r w:rsidRPr="00BC52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structural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modeling.</w:t>
            </w:r>
          </w:p>
        </w:tc>
        <w:tc>
          <w:tcPr>
            <w:tcW w:w="6445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22" w:rsidRPr="00BC5262">
        <w:trPr>
          <w:trHeight w:val="688"/>
        </w:trPr>
        <w:tc>
          <w:tcPr>
            <w:tcW w:w="5352" w:type="dxa"/>
          </w:tcPr>
          <w:p w:rsidR="00414A22" w:rsidRPr="00BC5262" w:rsidRDefault="004D48B9">
            <w:pPr>
              <w:pStyle w:val="TableParagraph"/>
              <w:ind w:left="107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526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for scholarly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9356" w:type="dxa"/>
          </w:tcPr>
          <w:p w:rsidR="00414A22" w:rsidRPr="00BC5262" w:rsidRDefault="004D48B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C52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good.</w:t>
            </w:r>
          </w:p>
        </w:tc>
        <w:tc>
          <w:tcPr>
            <w:tcW w:w="6445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22" w:rsidRPr="00BC5262">
        <w:trPr>
          <w:trHeight w:val="1178"/>
        </w:trPr>
        <w:tc>
          <w:tcPr>
            <w:tcW w:w="5352" w:type="dxa"/>
          </w:tcPr>
          <w:p w:rsidR="00414A22" w:rsidRPr="00BC5262" w:rsidRDefault="004D48B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BC526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A22" w:rsidRPr="00BC5262" w:rsidRDefault="00414A22">
      <w:pPr>
        <w:pStyle w:val="TableParagraph"/>
        <w:rPr>
          <w:rFonts w:ascii="Arial" w:hAnsi="Arial" w:cs="Arial"/>
          <w:sz w:val="20"/>
          <w:szCs w:val="20"/>
        </w:rPr>
        <w:sectPr w:rsidR="00414A22" w:rsidRPr="00BC5262">
          <w:headerReference w:type="default" r:id="rId8"/>
          <w:footerReference w:type="default" r:id="rId9"/>
          <w:pgSz w:w="23820" w:h="16840" w:orient="landscape"/>
          <w:pgMar w:top="2000" w:right="0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414A22" w:rsidRPr="00BC5262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414A22" w:rsidRPr="00BC5262" w:rsidRDefault="004D48B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BC5262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414A22" w:rsidRPr="00BC5262">
        <w:trPr>
          <w:trHeight w:val="933"/>
        </w:trPr>
        <w:tc>
          <w:tcPr>
            <w:tcW w:w="6831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414A22" w:rsidRPr="00BC5262" w:rsidRDefault="004D48B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C526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:rsidR="00414A22" w:rsidRPr="00BC5262" w:rsidRDefault="004D48B9">
            <w:pPr>
              <w:pStyle w:val="TableParagraph"/>
              <w:spacing w:line="252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52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(It</w:t>
            </w:r>
            <w:r w:rsidRPr="00BC526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is</w:t>
            </w:r>
            <w:r w:rsidRPr="00BC526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mandatory</w:t>
            </w:r>
            <w:r w:rsidRPr="00BC52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that</w:t>
            </w:r>
            <w:r w:rsidRPr="00BC526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authors</w:t>
            </w:r>
            <w:r w:rsidRPr="00BC526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should</w:t>
            </w:r>
            <w:r w:rsidRPr="00BC52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write</w:t>
            </w:r>
            <w:r w:rsidRPr="00BC526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14A22" w:rsidRPr="00BC5262">
        <w:trPr>
          <w:trHeight w:val="921"/>
        </w:trPr>
        <w:tc>
          <w:tcPr>
            <w:tcW w:w="6831" w:type="dxa"/>
          </w:tcPr>
          <w:p w:rsidR="00414A22" w:rsidRPr="00BC5262" w:rsidRDefault="00414A2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414A22" w:rsidRPr="00BC5262" w:rsidRDefault="004D48B9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526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C52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C52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526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414A22" w:rsidRPr="00BC5262" w:rsidRDefault="004D48B9">
            <w:pPr>
              <w:pStyle w:val="TableParagraph"/>
              <w:spacing w:before="116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BC526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BC526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BC526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BC526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BC526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BC526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BC526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BC526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BC526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BC526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BC5262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BC5262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9" w:type="dxa"/>
          </w:tcPr>
          <w:p w:rsidR="00414A22" w:rsidRPr="00BC5262" w:rsidRDefault="00414A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A22" w:rsidRPr="00BC5262" w:rsidRDefault="00414A22">
      <w:pPr>
        <w:rPr>
          <w:rFonts w:ascii="Arial" w:hAnsi="Arial" w:cs="Arial"/>
          <w:sz w:val="20"/>
          <w:szCs w:val="20"/>
        </w:rPr>
      </w:pPr>
    </w:p>
    <w:p w:rsidR="00BC5262" w:rsidRPr="00BC5262" w:rsidRDefault="00BC5262">
      <w:pPr>
        <w:rPr>
          <w:rFonts w:ascii="Arial" w:hAnsi="Arial" w:cs="Arial"/>
          <w:sz w:val="20"/>
          <w:szCs w:val="20"/>
        </w:rPr>
      </w:pPr>
    </w:p>
    <w:p w:rsidR="00BC5262" w:rsidRPr="00BC5262" w:rsidRDefault="00BC5262">
      <w:pPr>
        <w:rPr>
          <w:rFonts w:ascii="Arial" w:hAnsi="Arial" w:cs="Arial"/>
          <w:sz w:val="20"/>
          <w:szCs w:val="20"/>
        </w:rPr>
      </w:pPr>
    </w:p>
    <w:p w:rsidR="00BC5262" w:rsidRPr="00BC5262" w:rsidRDefault="00BC5262" w:rsidP="00BC52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5262">
        <w:rPr>
          <w:rFonts w:ascii="Arial" w:hAnsi="Arial" w:cs="Arial"/>
          <w:b/>
          <w:u w:val="single"/>
        </w:rPr>
        <w:t>Reviewer details:</w:t>
      </w:r>
    </w:p>
    <w:p w:rsidR="00BC5262" w:rsidRPr="00BC5262" w:rsidRDefault="00BC5262">
      <w:pPr>
        <w:rPr>
          <w:rFonts w:ascii="Arial" w:hAnsi="Arial" w:cs="Arial"/>
          <w:sz w:val="20"/>
          <w:szCs w:val="20"/>
        </w:rPr>
      </w:pPr>
    </w:p>
    <w:p w:rsidR="00BC5262" w:rsidRPr="00BC5262" w:rsidRDefault="00BC5262" w:rsidP="00BC5262">
      <w:pPr>
        <w:rPr>
          <w:rFonts w:ascii="Arial" w:hAnsi="Arial" w:cs="Arial"/>
          <w:b/>
          <w:sz w:val="20"/>
          <w:szCs w:val="20"/>
        </w:rPr>
      </w:pPr>
      <w:bookmarkStart w:id="0" w:name="_Hlk212895948"/>
      <w:r w:rsidRPr="00BC5262">
        <w:rPr>
          <w:rFonts w:ascii="Arial" w:hAnsi="Arial" w:cs="Arial"/>
          <w:b/>
          <w:sz w:val="20"/>
          <w:szCs w:val="20"/>
        </w:rPr>
        <w:t>George Albert Toma</w:t>
      </w:r>
      <w:r w:rsidRPr="00BC5262">
        <w:rPr>
          <w:rFonts w:ascii="Arial" w:hAnsi="Arial" w:cs="Arial"/>
          <w:b/>
          <w:sz w:val="20"/>
          <w:szCs w:val="20"/>
        </w:rPr>
        <w:t xml:space="preserve">, </w:t>
      </w:r>
      <w:r w:rsidRPr="00BC5262">
        <w:rPr>
          <w:rFonts w:ascii="Arial" w:hAnsi="Arial" w:cs="Arial"/>
          <w:b/>
          <w:sz w:val="20"/>
          <w:szCs w:val="20"/>
        </w:rPr>
        <w:t>Higher Institute for Applied Sciences and Technology</w:t>
      </w:r>
      <w:r w:rsidRPr="00BC5262">
        <w:rPr>
          <w:rFonts w:ascii="Arial" w:hAnsi="Arial" w:cs="Arial"/>
          <w:b/>
          <w:sz w:val="20"/>
          <w:szCs w:val="20"/>
        </w:rPr>
        <w:t xml:space="preserve">, </w:t>
      </w:r>
      <w:r w:rsidRPr="00BC5262">
        <w:rPr>
          <w:rFonts w:ascii="Arial" w:hAnsi="Arial" w:cs="Arial"/>
          <w:b/>
          <w:sz w:val="20"/>
          <w:szCs w:val="20"/>
        </w:rPr>
        <w:t>Syrian Arab Republic</w:t>
      </w:r>
      <w:bookmarkStart w:id="1" w:name="_GoBack"/>
      <w:bookmarkEnd w:id="0"/>
      <w:bookmarkEnd w:id="1"/>
    </w:p>
    <w:sectPr w:rsidR="00BC5262" w:rsidRPr="00BC5262">
      <w:pgSz w:w="23820" w:h="16840" w:orient="landscape"/>
      <w:pgMar w:top="200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8B9" w:rsidRDefault="004D48B9">
      <w:r>
        <w:separator/>
      </w:r>
    </w:p>
  </w:endnote>
  <w:endnote w:type="continuationSeparator" w:id="0">
    <w:p w:rsidR="004D48B9" w:rsidRDefault="004D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A22" w:rsidRDefault="004D48B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A22" w:rsidRDefault="004D48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414A22" w:rsidRDefault="004D48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A22" w:rsidRDefault="004D48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414A22" w:rsidRDefault="004D48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A22" w:rsidRDefault="004D48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414A22" w:rsidRDefault="004D48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A22" w:rsidRDefault="004D48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414A22" w:rsidRDefault="004D48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8B9" w:rsidRDefault="004D48B9">
      <w:r>
        <w:separator/>
      </w:r>
    </w:p>
  </w:footnote>
  <w:footnote w:type="continuationSeparator" w:id="0">
    <w:p w:rsidR="004D48B9" w:rsidRDefault="004D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A22" w:rsidRDefault="004D48B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A22" w:rsidRDefault="004D48B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414A22" w:rsidRDefault="004D48B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93D42"/>
    <w:multiLevelType w:val="hybridMultilevel"/>
    <w:tmpl w:val="B9BA8824"/>
    <w:lvl w:ilvl="0" w:tplc="2CCAB484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82BB0">
      <w:numFmt w:val="bullet"/>
      <w:lvlText w:val="•"/>
      <w:lvlJc w:val="left"/>
      <w:pPr>
        <w:ind w:left="1489" w:hanging="240"/>
      </w:pPr>
      <w:rPr>
        <w:rFonts w:hint="default"/>
        <w:lang w:val="en-US" w:eastAsia="en-US" w:bidi="ar-SA"/>
      </w:rPr>
    </w:lvl>
    <w:lvl w:ilvl="2" w:tplc="6CC2B92A">
      <w:numFmt w:val="bullet"/>
      <w:lvlText w:val="•"/>
      <w:lvlJc w:val="left"/>
      <w:pPr>
        <w:ind w:left="2638" w:hanging="240"/>
      </w:pPr>
      <w:rPr>
        <w:rFonts w:hint="default"/>
        <w:lang w:val="en-US" w:eastAsia="en-US" w:bidi="ar-SA"/>
      </w:rPr>
    </w:lvl>
    <w:lvl w:ilvl="3" w:tplc="038ECA86">
      <w:numFmt w:val="bullet"/>
      <w:lvlText w:val="•"/>
      <w:lvlJc w:val="left"/>
      <w:pPr>
        <w:ind w:left="3787" w:hanging="240"/>
      </w:pPr>
      <w:rPr>
        <w:rFonts w:hint="default"/>
        <w:lang w:val="en-US" w:eastAsia="en-US" w:bidi="ar-SA"/>
      </w:rPr>
    </w:lvl>
    <w:lvl w:ilvl="4" w:tplc="F6F6D9D4">
      <w:numFmt w:val="bullet"/>
      <w:lvlText w:val="•"/>
      <w:lvlJc w:val="left"/>
      <w:pPr>
        <w:ind w:left="4936" w:hanging="240"/>
      </w:pPr>
      <w:rPr>
        <w:rFonts w:hint="default"/>
        <w:lang w:val="en-US" w:eastAsia="en-US" w:bidi="ar-SA"/>
      </w:rPr>
    </w:lvl>
    <w:lvl w:ilvl="5" w:tplc="15829226">
      <w:numFmt w:val="bullet"/>
      <w:lvlText w:val="•"/>
      <w:lvlJc w:val="left"/>
      <w:pPr>
        <w:ind w:left="6085" w:hanging="240"/>
      </w:pPr>
      <w:rPr>
        <w:rFonts w:hint="default"/>
        <w:lang w:val="en-US" w:eastAsia="en-US" w:bidi="ar-SA"/>
      </w:rPr>
    </w:lvl>
    <w:lvl w:ilvl="6" w:tplc="5C50CA62">
      <w:numFmt w:val="bullet"/>
      <w:lvlText w:val="•"/>
      <w:lvlJc w:val="left"/>
      <w:pPr>
        <w:ind w:left="7234" w:hanging="240"/>
      </w:pPr>
      <w:rPr>
        <w:rFonts w:hint="default"/>
        <w:lang w:val="en-US" w:eastAsia="en-US" w:bidi="ar-SA"/>
      </w:rPr>
    </w:lvl>
    <w:lvl w:ilvl="7" w:tplc="A47A647C">
      <w:numFmt w:val="bullet"/>
      <w:lvlText w:val="•"/>
      <w:lvlJc w:val="left"/>
      <w:pPr>
        <w:ind w:left="8383" w:hanging="240"/>
      </w:pPr>
      <w:rPr>
        <w:rFonts w:hint="default"/>
        <w:lang w:val="en-US" w:eastAsia="en-US" w:bidi="ar-SA"/>
      </w:rPr>
    </w:lvl>
    <w:lvl w:ilvl="8" w:tplc="67D495EA">
      <w:numFmt w:val="bullet"/>
      <w:lvlText w:val="•"/>
      <w:lvlJc w:val="left"/>
      <w:pPr>
        <w:ind w:left="9532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A22"/>
    <w:rsid w:val="00414A22"/>
    <w:rsid w:val="004D48B9"/>
    <w:rsid w:val="00BC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50FE"/>
  <w15:docId w15:val="{CD6A7E8B-676D-4DFD-B7CF-BA8864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BC526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as.com/index.php/AJP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2025-10-27T06:35:00Z</dcterms:created>
  <dcterms:modified xsi:type="dcterms:W3CDTF">2025-11-01T07:55:00Z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LTSC</vt:lpwstr>
  </property>
</Properties>
</file>