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FD" w:rsidRPr="00E24C46" w:rsidRDefault="00D07E25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r w:rsidRPr="00E24C46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20938" w:type="dxa"/>
        <w:tblInd w:w="0" w:type="dxa"/>
        <w:tblCellMar>
          <w:top w:w="12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5168"/>
        <w:gridCol w:w="15770"/>
      </w:tblGrid>
      <w:tr w:rsidR="007C0AFD" w:rsidRPr="00E24C46">
        <w:trPr>
          <w:trHeight w:val="30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Arial" w:hAnsi="Arial" w:cs="Arial"/>
                <w:sz w:val="20"/>
                <w:szCs w:val="20"/>
              </w:rPr>
              <w:t xml:space="preserve">Journal Name: 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297789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hyperlink r:id="rId6">
              <w:r w:rsidR="00D07E25" w:rsidRPr="00E24C46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 Journal of Probability and Statistics</w:t>
              </w:r>
            </w:hyperlink>
            <w:hyperlink r:id="rId7">
              <w:r w:rsidR="00D07E25" w:rsidRPr="00E24C46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</w:rPr>
                <w:t xml:space="preserve"> </w:t>
              </w:r>
            </w:hyperlink>
            <w:r w:rsidR="00D07E25" w:rsidRPr="00E24C46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7C0AFD" w:rsidRPr="00E24C46">
        <w:trPr>
          <w:trHeight w:val="30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Arial" w:hAnsi="Arial" w:cs="Arial"/>
                <w:sz w:val="20"/>
                <w:szCs w:val="20"/>
              </w:rPr>
              <w:t xml:space="preserve">Manuscript Number: 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Arial" w:hAnsi="Arial" w:cs="Arial"/>
                <w:b/>
                <w:sz w:val="20"/>
                <w:szCs w:val="20"/>
              </w:rPr>
              <w:t xml:space="preserve">Ms_AJPAS_131009 </w:t>
            </w:r>
          </w:p>
        </w:tc>
      </w:tr>
      <w:tr w:rsidR="007C0AFD" w:rsidRPr="00E24C46" w:rsidTr="00E24C46">
        <w:trPr>
          <w:trHeight w:val="73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Arial" w:hAnsi="Arial" w:cs="Arial"/>
                <w:sz w:val="20"/>
                <w:szCs w:val="20"/>
              </w:rPr>
              <w:t xml:space="preserve">Title of the Manuscript:  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AFD" w:rsidRPr="00E24C46" w:rsidRDefault="00D07E25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Arial" w:hAnsi="Arial" w:cs="Arial"/>
                <w:b/>
                <w:sz w:val="20"/>
                <w:szCs w:val="20"/>
              </w:rPr>
              <w:t>Applying Banach Algebra for Generalized</w:t>
            </w:r>
            <w:r w:rsidR="002D52B1" w:rsidRPr="00E24C4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24C46">
              <w:rPr>
                <w:rFonts w:ascii="Arial" w:eastAsia="Arial" w:hAnsi="Arial" w:cs="Arial"/>
                <w:b/>
                <w:sz w:val="20"/>
                <w:szCs w:val="20"/>
              </w:rPr>
              <w:t xml:space="preserve">(α − Ψ)-Contractive Type Maps in Cone Metric Spaces </w:t>
            </w:r>
          </w:p>
        </w:tc>
      </w:tr>
      <w:tr w:rsidR="007C0AFD" w:rsidRPr="00E24C46">
        <w:trPr>
          <w:trHeight w:val="343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Arial" w:hAnsi="Arial" w:cs="Arial"/>
                <w:sz w:val="20"/>
                <w:szCs w:val="20"/>
              </w:rPr>
              <w:t xml:space="preserve">Type of the Article 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Arial" w:hAnsi="Arial" w:cs="Arial"/>
                <w:b/>
                <w:sz w:val="20"/>
                <w:szCs w:val="20"/>
              </w:rPr>
              <w:t xml:space="preserve">Original Research Article </w:t>
            </w:r>
          </w:p>
        </w:tc>
      </w:tr>
    </w:tbl>
    <w:p w:rsidR="007C0AFD" w:rsidRPr="00E24C46" w:rsidRDefault="007C0AFD" w:rsidP="00E24C46">
      <w:pPr>
        <w:spacing w:after="0"/>
        <w:rPr>
          <w:rFonts w:ascii="Arial" w:hAnsi="Arial" w:cs="Arial"/>
          <w:sz w:val="20"/>
          <w:szCs w:val="20"/>
        </w:rPr>
      </w:pPr>
    </w:p>
    <w:p w:rsidR="007C0AFD" w:rsidRPr="00E24C46" w:rsidRDefault="00D07E25">
      <w:pPr>
        <w:spacing w:after="0"/>
        <w:ind w:left="-5" w:hanging="10"/>
        <w:rPr>
          <w:rFonts w:ascii="Arial" w:hAnsi="Arial" w:cs="Arial"/>
          <w:sz w:val="20"/>
          <w:szCs w:val="20"/>
        </w:rPr>
      </w:pPr>
      <w:proofErr w:type="gramStart"/>
      <w:r w:rsidRPr="00E24C46">
        <w:rPr>
          <w:rFonts w:ascii="Arial" w:eastAsia="Times New Roman" w:hAnsi="Arial" w:cs="Arial"/>
          <w:b/>
          <w:sz w:val="20"/>
          <w:szCs w:val="20"/>
          <w:shd w:val="clear" w:color="auto" w:fill="FFFF00"/>
        </w:rPr>
        <w:t>PART  1</w:t>
      </w:r>
      <w:proofErr w:type="gramEnd"/>
      <w:r w:rsidRPr="00E24C46">
        <w:rPr>
          <w:rFonts w:ascii="Arial" w:eastAsia="Times New Roman" w:hAnsi="Arial" w:cs="Arial"/>
          <w:b/>
          <w:sz w:val="20"/>
          <w:szCs w:val="20"/>
          <w:shd w:val="clear" w:color="auto" w:fill="FFFF00"/>
        </w:rPr>
        <w:t>:</w:t>
      </w:r>
      <w:r w:rsidRPr="00E24C46">
        <w:rPr>
          <w:rFonts w:ascii="Arial" w:eastAsia="Times New Roman" w:hAnsi="Arial" w:cs="Arial"/>
          <w:b/>
          <w:sz w:val="20"/>
          <w:szCs w:val="20"/>
        </w:rPr>
        <w:t xml:space="preserve"> Comments </w:t>
      </w:r>
    </w:p>
    <w:p w:rsidR="007C0AFD" w:rsidRPr="00E24C46" w:rsidRDefault="00D07E25">
      <w:pPr>
        <w:spacing w:after="0"/>
        <w:rPr>
          <w:rFonts w:ascii="Arial" w:hAnsi="Arial" w:cs="Arial"/>
          <w:sz w:val="20"/>
          <w:szCs w:val="20"/>
        </w:rPr>
      </w:pPr>
      <w:r w:rsidRPr="00E24C46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leGrid"/>
        <w:tblW w:w="21154" w:type="dxa"/>
        <w:tblInd w:w="-108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83"/>
        <w:gridCol w:w="9026"/>
        <w:gridCol w:w="6445"/>
      </w:tblGrid>
      <w:tr w:rsidR="007C0AFD" w:rsidRPr="00E24C46" w:rsidTr="00E24C46">
        <w:trPr>
          <w:trHeight w:val="78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Reviewer’s comment </w:t>
            </w:r>
          </w:p>
          <w:tbl>
            <w:tblPr>
              <w:tblStyle w:val="TableGrid"/>
              <w:tblW w:w="8574" w:type="dxa"/>
              <w:tblInd w:w="0" w:type="dxa"/>
              <w:tblCellMar>
                <w:top w:w="7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7895"/>
            </w:tblGrid>
            <w:tr w:rsidR="007C0AFD" w:rsidRPr="00E24C46">
              <w:trPr>
                <w:trHeight w:val="230"/>
              </w:trPr>
              <w:tc>
                <w:tcPr>
                  <w:tcW w:w="85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7C0AFD" w:rsidRPr="00E24C46" w:rsidRDefault="00D07E2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4C46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Artificial Intelligence (AI) generated or assisted review comments are strictly prohibited during peer </w:t>
                  </w:r>
                </w:p>
              </w:tc>
            </w:tr>
            <w:tr w:rsidR="007C0AFD" w:rsidRPr="00E24C46">
              <w:trPr>
                <w:trHeight w:val="228"/>
              </w:trPr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7C0AFD" w:rsidRPr="00E24C46" w:rsidRDefault="00D07E25">
                  <w:pPr>
                    <w:ind w:right="-1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E24C46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review</w:t>
                  </w:r>
                  <w:proofErr w:type="gramEnd"/>
                  <w:r w:rsidRPr="00E24C46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0AFD" w:rsidRPr="00E24C46" w:rsidRDefault="00D07E2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24C46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7C0AFD" w:rsidRPr="00E24C46" w:rsidRDefault="007C0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>Author’s Feedback</w:t>
            </w: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24C46">
              <w:rPr>
                <w:rFonts w:ascii="Arial" w:eastAsia="Times New Roman" w:hAnsi="Arial" w:cs="Arial"/>
                <w:i/>
                <w:sz w:val="20"/>
                <w:szCs w:val="20"/>
              </w:rPr>
              <w:t>(Please correct the manuscript and highlight that part in the manuscript. It is mandatory that authors should write his/her feedback here)</w:t>
            </w: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C0AFD" w:rsidRPr="00E24C46" w:rsidTr="00E24C46">
        <w:trPr>
          <w:trHeight w:val="1274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spacing w:after="1" w:line="239" w:lineRule="auto"/>
              <w:ind w:left="360" w:right="14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Please write a few sentences regarding the importance of this manuscript for the scientific community. A minimum of 3-4 sentences may be required for this part. </w:t>
            </w:r>
          </w:p>
          <w:p w:rsidR="007C0AFD" w:rsidRPr="00E24C46" w:rsidRDefault="00D07E2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 this paper the authors have introduced a novel concept of generalized (α − Ψ)-contractive mappings within cone metric spaces associated with Banach algebras. Also they have established fixed point theorems for these mappings in the context of cone metric spaces. </w:t>
            </w:r>
            <w:proofErr w:type="gramStart"/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>Obviously  this</w:t>
            </w:r>
            <w:proofErr w:type="gramEnd"/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concepts will help the researcher to search some new ideas in the field of fixed point theories.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C0AFD" w:rsidRPr="00E24C46" w:rsidTr="00E24C46">
        <w:trPr>
          <w:trHeight w:val="78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title of the article suitable? </w:t>
            </w:r>
          </w:p>
          <w:p w:rsidR="007C0AFD" w:rsidRPr="00E24C46" w:rsidRDefault="00D07E2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(If not please suggest an alternative title) </w:t>
            </w:r>
          </w:p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C0AFD" w:rsidRPr="00E24C46" w:rsidTr="00E24C46">
        <w:trPr>
          <w:trHeight w:val="78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abstract of the article comprehensive? Do you suggest the addition (or deletion) of some points in this section? Please write your suggestions here. </w:t>
            </w:r>
          </w:p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ind w:left="361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proofErr w:type="gramStart"/>
            <w:r w:rsidRPr="00E24C46">
              <w:rPr>
                <w:rFonts w:ascii="Arial" w:eastAsia="Times New Roman" w:hAnsi="Arial" w:cs="Arial"/>
                <w:sz w:val="20"/>
                <w:szCs w:val="20"/>
              </w:rPr>
              <w:t>,  the</w:t>
            </w:r>
            <w:proofErr w:type="gramEnd"/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abstract of the article is comprehensive.</w:t>
            </w: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C0AFD" w:rsidRPr="00E24C46" w:rsidTr="00E24C46">
        <w:trPr>
          <w:trHeight w:val="78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>Is the manuscript scientifically, correct? Please write here.</w:t>
            </w:r>
            <w:r w:rsidRPr="00E24C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>Yes the manuscript is scientifically correct.</w:t>
            </w: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C0AFD" w:rsidRPr="00E24C46" w:rsidTr="00E24C46">
        <w:trPr>
          <w:trHeight w:val="713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Are the references sufficient and recent? If you have suggestions of additional references, please mention them in the review form.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The reference list is more or less sufficient and updated.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C0AFD" w:rsidRPr="00E24C46" w:rsidTr="00E24C46">
        <w:trPr>
          <w:trHeight w:val="699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ind w:left="360" w:right="36"/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Is the language/English quality of the article suitable for scholarly communications? </w:t>
            </w:r>
          </w:p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proofErr w:type="gramStart"/>
            <w:r w:rsidRPr="00E24C46">
              <w:rPr>
                <w:rFonts w:ascii="Arial" w:eastAsia="Times New Roman" w:hAnsi="Arial" w:cs="Arial"/>
                <w:sz w:val="20"/>
                <w:szCs w:val="20"/>
              </w:rPr>
              <w:t>,  the</w:t>
            </w:r>
            <w:proofErr w:type="gramEnd"/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language is suitable for </w:t>
            </w: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>scholarly communications.</w:t>
            </w: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C0AFD" w:rsidRPr="00E24C46" w:rsidTr="00E24C46">
        <w:trPr>
          <w:trHeight w:val="78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  <w:u w:val="single" w:color="000000"/>
              </w:rPr>
              <w:t>Optional/General</w:t>
            </w: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comments </w:t>
            </w:r>
          </w:p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FD" w:rsidRPr="00E24C46" w:rsidRDefault="00D07E25">
            <w:pPr>
              <w:rPr>
                <w:rFonts w:ascii="Arial" w:hAnsi="Arial" w:cs="Arial"/>
                <w:sz w:val="20"/>
                <w:szCs w:val="20"/>
              </w:rPr>
            </w:pPr>
            <w:r w:rsidRPr="00E24C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7C0AFD" w:rsidRPr="00E24C46" w:rsidRDefault="007C0AFD" w:rsidP="008C33E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7018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8717"/>
        <w:gridCol w:w="7740"/>
      </w:tblGrid>
      <w:tr w:rsidR="008C33E7" w:rsidRPr="00E24C46" w:rsidTr="00E24C4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E7" w:rsidRPr="00E24C46" w:rsidRDefault="008C33E7">
            <w:pPr>
              <w:spacing w:line="276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</w:pPr>
            <w:bookmarkStart w:id="1" w:name="_Hlk165652409"/>
            <w:r w:rsidRPr="00E24C4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24C4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</w:tc>
      </w:tr>
      <w:tr w:rsidR="008C33E7" w:rsidRPr="00E24C46" w:rsidTr="00E24C46">
        <w:trPr>
          <w:trHeight w:val="109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E7" w:rsidRPr="00E24C46" w:rsidRDefault="008C33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3E7" w:rsidRPr="00E24C46" w:rsidRDefault="008C33E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4C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3E7" w:rsidRPr="00E24C46" w:rsidRDefault="008C33E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4C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24C4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24C4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C33E7" w:rsidRPr="00E24C46" w:rsidTr="00E24C46">
        <w:trPr>
          <w:trHeight w:val="307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E7" w:rsidRPr="00E24C46" w:rsidRDefault="008C33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24C4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C33E7" w:rsidRPr="00E24C46" w:rsidRDefault="008C33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E7" w:rsidRPr="00E24C46" w:rsidRDefault="008C33E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24C4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E7" w:rsidRPr="00E24C46" w:rsidRDefault="008C33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8C33E7" w:rsidRPr="00E24C46" w:rsidRDefault="008C33E7" w:rsidP="008C33E7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2115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17010"/>
      </w:tblGrid>
      <w:tr w:rsidR="008C33E7" w:rsidRPr="00E24C46" w:rsidTr="00E24C46">
        <w:tc>
          <w:tcPr>
            <w:tcW w:w="21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E7" w:rsidRPr="00E24C46" w:rsidRDefault="008C33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24C4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</w:tc>
      </w:tr>
      <w:tr w:rsidR="008C33E7" w:rsidRPr="00E24C46" w:rsidTr="00E24C46">
        <w:trPr>
          <w:trHeight w:val="23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3E7" w:rsidRPr="00E24C46" w:rsidRDefault="008C33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4C46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E7" w:rsidRPr="00E24C46" w:rsidRDefault="00E24C4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C46">
              <w:rPr>
                <w:rFonts w:ascii="Arial" w:hAnsi="Arial" w:cs="Arial"/>
                <w:b/>
                <w:bCs/>
                <w:sz w:val="20"/>
                <w:szCs w:val="20"/>
              </w:rPr>
              <w:t>Rakesh Sarkar</w:t>
            </w:r>
          </w:p>
        </w:tc>
      </w:tr>
      <w:tr w:rsidR="008C33E7" w:rsidRPr="00E24C46" w:rsidTr="00E24C46">
        <w:trPr>
          <w:trHeight w:val="7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3E7" w:rsidRPr="00E24C46" w:rsidRDefault="008C33E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4C46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1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3E7" w:rsidRPr="00E24C46" w:rsidRDefault="00E24C46" w:rsidP="00E24C4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24C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Gour</w:t>
            </w:r>
            <w:proofErr w:type="spellEnd"/>
            <w:r w:rsidRPr="00E24C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24C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Mahavidyalaya</w:t>
            </w:r>
            <w:proofErr w:type="spellEnd"/>
            <w:r w:rsidRPr="00E24C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E24C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  <w:bookmarkEnd w:id="1"/>
      <w:bookmarkEnd w:id="0"/>
    </w:tbl>
    <w:p w:rsidR="008C33E7" w:rsidRPr="00E24C46" w:rsidRDefault="008C33E7" w:rsidP="008C33E7">
      <w:pPr>
        <w:spacing w:after="0"/>
        <w:rPr>
          <w:rFonts w:ascii="Arial" w:hAnsi="Arial" w:cs="Arial"/>
          <w:sz w:val="20"/>
          <w:szCs w:val="20"/>
        </w:rPr>
      </w:pPr>
    </w:p>
    <w:sectPr w:rsidR="008C33E7" w:rsidRPr="00E24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3" w:h="16838" w:orient="landscape"/>
      <w:pgMar w:top="1834" w:right="7306" w:bottom="1796" w:left="1440" w:header="724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789" w:rsidRDefault="00297789">
      <w:pPr>
        <w:spacing w:after="0" w:line="240" w:lineRule="auto"/>
      </w:pPr>
      <w:r>
        <w:separator/>
      </w:r>
    </w:p>
  </w:endnote>
  <w:endnote w:type="continuationSeparator" w:id="0">
    <w:p w:rsidR="00297789" w:rsidRDefault="0029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FD" w:rsidRDefault="00D07E25">
    <w:pPr>
      <w:tabs>
        <w:tab w:val="center" w:pos="4514"/>
        <w:tab w:val="center" w:pos="9027"/>
        <w:tab w:val="center" w:pos="10145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FD" w:rsidRDefault="00D07E25">
    <w:pPr>
      <w:tabs>
        <w:tab w:val="center" w:pos="4514"/>
        <w:tab w:val="center" w:pos="9027"/>
        <w:tab w:val="center" w:pos="10145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FD" w:rsidRDefault="00D07E25">
    <w:pPr>
      <w:tabs>
        <w:tab w:val="center" w:pos="4514"/>
        <w:tab w:val="center" w:pos="9027"/>
        <w:tab w:val="center" w:pos="10145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Created by: DR </w:t>
    </w:r>
    <w:r>
      <w:rPr>
        <w:rFonts w:ascii="Times New Roman" w:eastAsia="Times New Roman" w:hAnsi="Times New Roman" w:cs="Times New Roman"/>
        <w:sz w:val="16"/>
      </w:rPr>
      <w:tab/>
      <w:t xml:space="preserve">              Checked by: PM                                           Approved by: MBM </w:t>
    </w:r>
    <w:r>
      <w:rPr>
        <w:rFonts w:ascii="Times New Roman" w:eastAsia="Times New Roman" w:hAnsi="Times New Roman" w:cs="Times New Roman"/>
        <w:sz w:val="16"/>
      </w:rPr>
      <w:tab/>
      <w:t xml:space="preserve">    </w:t>
    </w:r>
    <w:r>
      <w:rPr>
        <w:rFonts w:ascii="Times New Roman" w:eastAsia="Times New Roman" w:hAnsi="Times New Roman" w:cs="Times New Roman"/>
        <w:sz w:val="16"/>
      </w:rPr>
      <w:tab/>
      <w:t xml:space="preserve">Version: 3 (07-07-2024)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789" w:rsidRDefault="00297789">
      <w:pPr>
        <w:spacing w:after="0" w:line="240" w:lineRule="auto"/>
      </w:pPr>
      <w:r>
        <w:separator/>
      </w:r>
    </w:p>
  </w:footnote>
  <w:footnote w:type="continuationSeparator" w:id="0">
    <w:p w:rsidR="00297789" w:rsidRDefault="0029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FD" w:rsidRDefault="00D07E25">
    <w:pPr>
      <w:spacing w:after="259"/>
      <w:ind w:left="5935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:rsidR="007C0AFD" w:rsidRDefault="00D07E25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FD" w:rsidRDefault="00D07E25">
    <w:pPr>
      <w:spacing w:after="259"/>
      <w:ind w:left="5935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:rsidR="007C0AFD" w:rsidRDefault="00D07E25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AFD" w:rsidRDefault="00D07E25">
    <w:pPr>
      <w:spacing w:after="259"/>
      <w:ind w:left="5935"/>
      <w:jc w:val="center"/>
    </w:pPr>
    <w:r>
      <w:rPr>
        <w:rFonts w:ascii="Arial" w:eastAsia="Arial" w:hAnsi="Arial" w:cs="Arial"/>
        <w:b/>
        <w:color w:val="003399"/>
        <w:sz w:val="24"/>
      </w:rPr>
      <w:t xml:space="preserve"> </w:t>
    </w:r>
  </w:p>
  <w:p w:rsidR="007C0AFD" w:rsidRDefault="00D07E25">
    <w:pPr>
      <w:spacing w:after="0"/>
    </w:pPr>
    <w:r>
      <w:rPr>
        <w:rFonts w:ascii="Arial" w:eastAsia="Arial" w:hAnsi="Arial" w:cs="Arial"/>
        <w:b/>
        <w:color w:val="003399"/>
        <w:sz w:val="24"/>
        <w:u w:val="single" w:color="003399"/>
      </w:rPr>
      <w:t>Review Form 3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FD"/>
    <w:rsid w:val="00297789"/>
    <w:rsid w:val="002D52B1"/>
    <w:rsid w:val="00720A57"/>
    <w:rsid w:val="007C0AFD"/>
    <w:rsid w:val="007C1242"/>
    <w:rsid w:val="008C33E7"/>
    <w:rsid w:val="00C244E6"/>
    <w:rsid w:val="00CF4055"/>
    <w:rsid w:val="00D07E25"/>
    <w:rsid w:val="00DE2BF9"/>
    <w:rsid w:val="00E22885"/>
    <w:rsid w:val="00E24C46"/>
    <w:rsid w:val="00F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4694"/>
  <w15:docId w15:val="{FAB47233-C016-4118-8E1E-D7AAB24F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24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journalajpas.com/index.php/AJPA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pas.com/index.php/AJPA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cp:lastModifiedBy>SDI CPU 1039</cp:lastModifiedBy>
  <cp:revision>9</cp:revision>
  <dcterms:created xsi:type="dcterms:W3CDTF">2025-02-03T08:41:00Z</dcterms:created>
  <dcterms:modified xsi:type="dcterms:W3CDTF">2025-11-13T04:35:00Z</dcterms:modified>
</cp:coreProperties>
</file>