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9A443" w14:textId="77777777" w:rsidR="00117BBB" w:rsidRPr="00CE4C43" w:rsidRDefault="00117BBB" w:rsidP="00AA46A2">
      <w:pPr>
        <w:spacing w:before="100" w:beforeAutospacing="1" w:after="100" w:afterAutospacing="1" w:line="240" w:lineRule="auto"/>
        <w:jc w:val="center"/>
        <w:outlineLvl w:val="2"/>
        <w:rPr>
          <w:rFonts w:ascii="Times New Roman" w:hAnsi="Times New Roman" w:cs="Times New Roman"/>
          <w:b/>
          <w:bCs/>
          <w:sz w:val="32"/>
          <w:szCs w:val="32"/>
        </w:rPr>
      </w:pPr>
      <w:proofErr w:type="gramStart"/>
      <w:r w:rsidRPr="00CE4C43">
        <w:rPr>
          <w:rFonts w:ascii="Times New Roman" w:hAnsi="Times New Roman" w:cs="Times New Roman"/>
          <w:b/>
          <w:bCs/>
          <w:sz w:val="32"/>
          <w:szCs w:val="32"/>
        </w:rPr>
        <w:t xml:space="preserve">Marine Sediment Chemistry and Heavy Metal Partitioning in Qua </w:t>
      </w:r>
      <w:proofErr w:type="spellStart"/>
      <w:r w:rsidRPr="00CE4C43">
        <w:rPr>
          <w:rFonts w:ascii="Times New Roman" w:hAnsi="Times New Roman" w:cs="Times New Roman"/>
          <w:b/>
          <w:bCs/>
          <w:sz w:val="32"/>
          <w:szCs w:val="32"/>
        </w:rPr>
        <w:t>Iboe</w:t>
      </w:r>
      <w:proofErr w:type="spellEnd"/>
      <w:r w:rsidRPr="00CE4C43">
        <w:rPr>
          <w:rFonts w:ascii="Times New Roman" w:hAnsi="Times New Roman" w:cs="Times New Roman"/>
          <w:b/>
          <w:bCs/>
          <w:sz w:val="32"/>
          <w:szCs w:val="32"/>
        </w:rPr>
        <w:t xml:space="preserve"> River Estuary, </w:t>
      </w:r>
      <w:proofErr w:type="spellStart"/>
      <w:r w:rsidRPr="00CE4C43">
        <w:rPr>
          <w:rFonts w:ascii="Times New Roman" w:hAnsi="Times New Roman" w:cs="Times New Roman"/>
          <w:b/>
          <w:bCs/>
          <w:sz w:val="32"/>
          <w:szCs w:val="32"/>
        </w:rPr>
        <w:t>Akwa</w:t>
      </w:r>
      <w:proofErr w:type="spellEnd"/>
      <w:r w:rsidRPr="00CE4C43">
        <w:rPr>
          <w:rFonts w:ascii="Times New Roman" w:hAnsi="Times New Roman" w:cs="Times New Roman"/>
          <w:b/>
          <w:bCs/>
          <w:sz w:val="32"/>
          <w:szCs w:val="32"/>
        </w:rPr>
        <w:t xml:space="preserve"> Ibom State, Nigeria.</w:t>
      </w:r>
      <w:proofErr w:type="gramEnd"/>
    </w:p>
    <w:p w14:paraId="3958CC86" w14:textId="77777777" w:rsidR="00134CB2" w:rsidRPr="006F2CD0" w:rsidRDefault="00134CB2" w:rsidP="00117BBB">
      <w:pPr>
        <w:pStyle w:val="Heading3"/>
        <w:spacing w:before="120" w:beforeAutospacing="0" w:after="120" w:afterAutospacing="0"/>
        <w:jc w:val="both"/>
        <w:rPr>
          <w:sz w:val="24"/>
          <w:szCs w:val="24"/>
        </w:rPr>
      </w:pPr>
    </w:p>
    <w:p w14:paraId="41A02E14" w14:textId="234C189C" w:rsidR="00117BBB" w:rsidRPr="006F2CD0" w:rsidRDefault="00117BBB" w:rsidP="00117BBB">
      <w:pPr>
        <w:pStyle w:val="Heading3"/>
        <w:spacing w:before="120" w:beforeAutospacing="0" w:after="120" w:afterAutospacing="0"/>
        <w:jc w:val="both"/>
        <w:rPr>
          <w:sz w:val="24"/>
          <w:szCs w:val="24"/>
        </w:rPr>
      </w:pPr>
      <w:r w:rsidRPr="006F2CD0">
        <w:rPr>
          <w:sz w:val="24"/>
          <w:szCs w:val="24"/>
        </w:rPr>
        <w:t>Abstract</w:t>
      </w:r>
      <w:bookmarkStart w:id="0" w:name="_GoBack"/>
      <w:bookmarkEnd w:id="0"/>
    </w:p>
    <w:p w14:paraId="39148C09" w14:textId="77777777" w:rsidR="00117BBB" w:rsidRPr="006F2CD0" w:rsidRDefault="00117BBB" w:rsidP="00117BBB">
      <w:pPr>
        <w:jc w:val="both"/>
        <w:rPr>
          <w:rFonts w:ascii="Times New Roman" w:hAnsi="Times New Roman" w:cs="Times New Roman"/>
          <w:spacing w:val="5"/>
          <w:sz w:val="24"/>
          <w:szCs w:val="24"/>
        </w:rPr>
      </w:pPr>
      <w:bookmarkStart w:id="1" w:name="_Hlk212097770"/>
      <w:r w:rsidRPr="006F2CD0">
        <w:rPr>
          <w:rFonts w:ascii="Times New Roman" w:hAnsi="Times New Roman" w:cs="Times New Roman"/>
          <w:spacing w:val="5"/>
          <w:sz w:val="24"/>
          <w:szCs w:val="24"/>
        </w:rPr>
        <w:t xml:space="preserve">This study investigated the chemical properties of marine sediments and the distribution of heavy metals in a river estuary in Akwa Ibom State. Sediments were collected from 10 geo-referenced points using a standard steel grab sampler. Physical parameters were analysed with standard laboratory instruments, while hydrometer methods determined grain size, </w:t>
      </w:r>
      <w:r w:rsidRPr="006F2CD0">
        <w:rPr>
          <w:rFonts w:ascii="Times New Roman" w:eastAsia="Calibri" w:hAnsi="Times New Roman" w:cs="Times New Roman"/>
          <w:sz w:val="24"/>
          <w:szCs w:val="24"/>
        </w:rPr>
        <w:t xml:space="preserve">metal analysis was performed using </w:t>
      </w:r>
      <w:r w:rsidRPr="006F2CD0">
        <w:rPr>
          <w:rFonts w:ascii="Times New Roman" w:eastAsia="Times New Roman" w:hAnsi="Times New Roman" w:cs="Times New Roman"/>
          <w:sz w:val="24"/>
          <w:szCs w:val="24"/>
          <w:lang w:eastAsia="en-GB"/>
        </w:rPr>
        <w:t xml:space="preserve">were determined using an Inductive Coupled Plasma-Mass Spectrometry </w:t>
      </w:r>
      <w:r w:rsidRPr="006F2CD0">
        <w:rPr>
          <w:rFonts w:ascii="Times New Roman" w:hAnsi="Times New Roman" w:cs="Times New Roman"/>
          <w:spacing w:val="5"/>
          <w:sz w:val="24"/>
          <w:szCs w:val="24"/>
        </w:rPr>
        <w:t>and pollution levels were assessed. The sediment pH ranged from 6.32 to 7.88, with a moderate level of organic carbon (1.45 - 3.62%), and fine particles such as salt (42.7%) and clay (20.7%), which favour metal retention. The concentration of heavy metals (mg/kg) followed the order of Fe &gt; Mn &gt; Zn &gt; Cu &gt; Cr &gt; Pb &gt; Ni &gt; Cd. Pollution indices identified Cd and Pb as the major contaminants, with Cd exhibiting a high ecological risk (Er=143). The estuary displays a moderate level of contamination influenced by petroleum activities and domestic discharge. </w:t>
      </w:r>
    </w:p>
    <w:bookmarkEnd w:id="1"/>
    <w:p w14:paraId="644CF5C8" w14:textId="4C6ACC54" w:rsidR="00117BBB" w:rsidRPr="006F2CD0" w:rsidRDefault="00117BBB" w:rsidP="00117BBB">
      <w:pPr>
        <w:jc w:val="both"/>
        <w:rPr>
          <w:rFonts w:ascii="Times New Roman" w:hAnsi="Times New Roman" w:cs="Times New Roman"/>
          <w:sz w:val="24"/>
          <w:szCs w:val="24"/>
        </w:rPr>
      </w:pPr>
      <w:r w:rsidRPr="006F2CD0">
        <w:rPr>
          <w:rFonts w:ascii="Times New Roman" w:hAnsi="Times New Roman" w:cs="Times New Roman"/>
          <w:b/>
          <w:bCs/>
          <w:i/>
          <w:iCs/>
          <w:sz w:val="24"/>
          <w:szCs w:val="24"/>
        </w:rPr>
        <w:t>Keywords:</w:t>
      </w:r>
      <w:r w:rsidRPr="006F2CD0">
        <w:rPr>
          <w:rFonts w:ascii="Times New Roman" w:hAnsi="Times New Roman" w:cs="Times New Roman"/>
          <w:sz w:val="24"/>
          <w:szCs w:val="24"/>
        </w:rPr>
        <w:t xml:space="preserve"> Heavy metals, Sediment chemistry, Qua Iboe River Estuary, </w:t>
      </w:r>
      <w:proofErr w:type="spellStart"/>
      <w:r w:rsidRPr="006F2CD0">
        <w:rPr>
          <w:rFonts w:ascii="Times New Roman" w:hAnsi="Times New Roman" w:cs="Times New Roman"/>
          <w:sz w:val="24"/>
          <w:szCs w:val="24"/>
        </w:rPr>
        <w:t>Akwa</w:t>
      </w:r>
      <w:proofErr w:type="spellEnd"/>
      <w:r w:rsidRPr="006F2CD0">
        <w:rPr>
          <w:rFonts w:ascii="Times New Roman" w:hAnsi="Times New Roman" w:cs="Times New Roman"/>
          <w:sz w:val="24"/>
          <w:szCs w:val="24"/>
        </w:rPr>
        <w:t xml:space="preserve"> </w:t>
      </w:r>
      <w:proofErr w:type="spellStart"/>
      <w:r w:rsidRPr="006F2CD0">
        <w:rPr>
          <w:rFonts w:ascii="Times New Roman" w:hAnsi="Times New Roman" w:cs="Times New Roman"/>
          <w:sz w:val="24"/>
          <w:szCs w:val="24"/>
        </w:rPr>
        <w:t>Ibom</w:t>
      </w:r>
      <w:proofErr w:type="spellEnd"/>
      <w:r w:rsidRPr="006F2CD0">
        <w:rPr>
          <w:rFonts w:ascii="Times New Roman" w:hAnsi="Times New Roman" w:cs="Times New Roman"/>
          <w:sz w:val="24"/>
          <w:szCs w:val="24"/>
        </w:rPr>
        <w:t xml:space="preserve"> State</w:t>
      </w:r>
      <w:r w:rsidR="0038339E" w:rsidRPr="006F2CD0">
        <w:rPr>
          <w:rFonts w:ascii="Times New Roman" w:hAnsi="Times New Roman" w:cs="Times New Roman"/>
          <w:sz w:val="24"/>
          <w:szCs w:val="24"/>
        </w:rPr>
        <w:t>.</w:t>
      </w:r>
    </w:p>
    <w:p w14:paraId="7BAD8F99" w14:textId="4086DA20" w:rsidR="0038339E" w:rsidRPr="006F2CD0" w:rsidRDefault="0038339E" w:rsidP="0038339E">
      <w:pPr>
        <w:pStyle w:val="ListParagraph"/>
        <w:numPr>
          <w:ilvl w:val="0"/>
          <w:numId w:val="1"/>
        </w:numPr>
        <w:jc w:val="both"/>
        <w:rPr>
          <w:rFonts w:ascii="Times New Roman" w:hAnsi="Times New Roman" w:cs="Times New Roman"/>
          <w:color w:val="FF0000"/>
          <w:sz w:val="24"/>
          <w:szCs w:val="24"/>
        </w:rPr>
      </w:pPr>
      <w:r w:rsidRPr="006F2CD0">
        <w:rPr>
          <w:rFonts w:ascii="Times New Roman" w:hAnsi="Times New Roman" w:cs="Times New Roman"/>
          <w:color w:val="FF0000"/>
          <w:sz w:val="24"/>
          <w:szCs w:val="24"/>
        </w:rPr>
        <w:t>Correct minor typographical errors: replace “were determined using were determined” with “were determined using.”</w:t>
      </w:r>
    </w:p>
    <w:p w14:paraId="777DE28E" w14:textId="77777777" w:rsidR="00117BBB" w:rsidRPr="006F2CD0" w:rsidRDefault="00117BBB" w:rsidP="00117BBB">
      <w:pPr>
        <w:pStyle w:val="NormalWeb"/>
        <w:jc w:val="both"/>
      </w:pPr>
      <w:r w:rsidRPr="006F2CD0">
        <w:rPr>
          <w:rStyle w:val="Strong"/>
        </w:rPr>
        <w:t>1.0 Introduction</w:t>
      </w:r>
    </w:p>
    <w:p w14:paraId="336946D1"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Sediments serve as both sinks and secondary sources of contaminants in aquatic systems. They influence the fate, mobility, and bioavailability of pollutants, including heavy metals and petroleum hydrocarbons, through geochemical processes such as adsorption, redox transformation, and organic complexation. In estuarine and coastal environments, sediment composition records long-term contaminant inputs and indicates cumulative anthropogenic pressures (</w:t>
      </w:r>
      <w:proofErr w:type="spellStart"/>
      <w:r w:rsidRPr="006F2CD0">
        <w:rPr>
          <w:rFonts w:ascii="Times New Roman" w:eastAsia="Times New Roman" w:hAnsi="Times New Roman" w:cs="Times New Roman"/>
          <w:sz w:val="24"/>
          <w:szCs w:val="24"/>
          <w:lang w:eastAsia="en-GB"/>
        </w:rPr>
        <w:t>Aigberua</w:t>
      </w:r>
      <w:proofErr w:type="spellEnd"/>
      <w:r w:rsidRPr="006F2CD0">
        <w:rPr>
          <w:rFonts w:ascii="Times New Roman" w:eastAsia="Times New Roman" w:hAnsi="Times New Roman" w:cs="Times New Roman"/>
          <w:sz w:val="24"/>
          <w:szCs w:val="24"/>
          <w:lang w:eastAsia="en-GB"/>
        </w:rPr>
        <w:t xml:space="preserve">, 2020; </w:t>
      </w:r>
      <w:proofErr w:type="spellStart"/>
      <w:r w:rsidRPr="006F2CD0">
        <w:rPr>
          <w:rFonts w:ascii="Times New Roman" w:eastAsia="Times New Roman" w:hAnsi="Times New Roman" w:cs="Times New Roman"/>
          <w:sz w:val="24"/>
          <w:szCs w:val="24"/>
          <w:lang w:eastAsia="en-GB"/>
        </w:rPr>
        <w:t>Akpan</w:t>
      </w:r>
      <w:proofErr w:type="spellEnd"/>
      <w:r w:rsidRPr="006F2CD0">
        <w:rPr>
          <w:rFonts w:ascii="Times New Roman" w:eastAsia="Times New Roman" w:hAnsi="Times New Roman" w:cs="Times New Roman"/>
          <w:sz w:val="24"/>
          <w:szCs w:val="24"/>
          <w:lang w:eastAsia="en-GB"/>
        </w:rPr>
        <w:t xml:space="preserve"> et al., 2022). In the Niger Delta of Nigeria, over six decades of petroleum exploration and production have resulted in persistent contamination of surface and groundwater by hydrocarbons and associated metals (Ite et al., 2018; Adeniran et al., 2023). The region's extensive network of rivers, estuaries, and mangrove wetlands receives pollutants from oil spills, gas flaring, artisanal refining, and industrial effluents (</w:t>
      </w:r>
      <w:proofErr w:type="spellStart"/>
      <w:r w:rsidRPr="006F2CD0">
        <w:rPr>
          <w:rFonts w:ascii="Times New Roman" w:eastAsia="Times New Roman" w:hAnsi="Times New Roman" w:cs="Times New Roman"/>
          <w:sz w:val="24"/>
          <w:szCs w:val="24"/>
          <w:lang w:eastAsia="en-GB"/>
        </w:rPr>
        <w:t>Ajeh</w:t>
      </w:r>
      <w:proofErr w:type="spellEnd"/>
      <w:r w:rsidRPr="006F2CD0">
        <w:rPr>
          <w:rFonts w:ascii="Times New Roman" w:eastAsia="Times New Roman" w:hAnsi="Times New Roman" w:cs="Times New Roman"/>
          <w:sz w:val="24"/>
          <w:szCs w:val="24"/>
          <w:lang w:eastAsia="en-GB"/>
        </w:rPr>
        <w:t xml:space="preserve"> et al., 2022; </w:t>
      </w:r>
      <w:proofErr w:type="spellStart"/>
      <w:r w:rsidRPr="006F2CD0">
        <w:rPr>
          <w:rFonts w:ascii="Times New Roman" w:eastAsia="Times New Roman" w:hAnsi="Times New Roman" w:cs="Times New Roman"/>
          <w:sz w:val="24"/>
          <w:szCs w:val="24"/>
          <w:lang w:eastAsia="en-GB"/>
        </w:rPr>
        <w:t>Abugu</w:t>
      </w:r>
      <w:proofErr w:type="spellEnd"/>
      <w:r w:rsidRPr="006F2CD0">
        <w:rPr>
          <w:rFonts w:ascii="Times New Roman" w:eastAsia="Times New Roman" w:hAnsi="Times New Roman" w:cs="Times New Roman"/>
          <w:sz w:val="24"/>
          <w:szCs w:val="24"/>
          <w:lang w:eastAsia="en-GB"/>
        </w:rPr>
        <w:t xml:space="preserve"> et al., 2023). The Hydrocarbon Pollution Remediation Project (HYPREP, 2023) has documented that prolonged hydrocarbon contamination in </w:t>
      </w:r>
      <w:proofErr w:type="spellStart"/>
      <w:r w:rsidRPr="006F2CD0">
        <w:rPr>
          <w:rFonts w:ascii="Times New Roman" w:eastAsia="Times New Roman" w:hAnsi="Times New Roman" w:cs="Times New Roman"/>
          <w:sz w:val="24"/>
          <w:szCs w:val="24"/>
          <w:lang w:eastAsia="en-GB"/>
        </w:rPr>
        <w:t>Ogoniland</w:t>
      </w:r>
      <w:proofErr w:type="spellEnd"/>
      <w:r w:rsidRPr="006F2CD0">
        <w:rPr>
          <w:rFonts w:ascii="Times New Roman" w:eastAsia="Times New Roman" w:hAnsi="Times New Roman" w:cs="Times New Roman"/>
          <w:sz w:val="24"/>
          <w:szCs w:val="24"/>
          <w:lang w:eastAsia="en-GB"/>
        </w:rPr>
        <w:t xml:space="preserve"> has caused elevated concentrations of Pb, Cd, and Zn in sediments and soils, resulting in significant ecological and public health risks. Comparable contamination patterns have been observed in Akwa Ibom and Bayelsa States, where petroleum activities and unregulated coastal practices have modified sediment geochemistry and water quality (</w:t>
      </w:r>
      <w:proofErr w:type="spellStart"/>
      <w:r w:rsidRPr="006F2CD0">
        <w:rPr>
          <w:rFonts w:ascii="Times New Roman" w:eastAsia="Times New Roman" w:hAnsi="Times New Roman" w:cs="Times New Roman"/>
          <w:sz w:val="24"/>
          <w:szCs w:val="24"/>
          <w:lang w:eastAsia="en-GB"/>
        </w:rPr>
        <w:t>Aigberua</w:t>
      </w:r>
      <w:proofErr w:type="spellEnd"/>
      <w:r w:rsidRPr="006F2CD0">
        <w:rPr>
          <w:rFonts w:ascii="Times New Roman" w:eastAsia="Times New Roman" w:hAnsi="Times New Roman" w:cs="Times New Roman"/>
          <w:sz w:val="24"/>
          <w:szCs w:val="24"/>
          <w:lang w:eastAsia="en-GB"/>
        </w:rPr>
        <w:t xml:space="preserve">, 2020; </w:t>
      </w:r>
      <w:proofErr w:type="spellStart"/>
      <w:r w:rsidRPr="006F2CD0">
        <w:rPr>
          <w:rFonts w:ascii="Times New Roman" w:eastAsia="Times New Roman" w:hAnsi="Times New Roman" w:cs="Times New Roman"/>
          <w:sz w:val="24"/>
          <w:szCs w:val="24"/>
          <w:lang w:eastAsia="en-GB"/>
        </w:rPr>
        <w:t>Akpan</w:t>
      </w:r>
      <w:proofErr w:type="spellEnd"/>
      <w:r w:rsidRPr="006F2CD0">
        <w:rPr>
          <w:rFonts w:ascii="Times New Roman" w:eastAsia="Times New Roman" w:hAnsi="Times New Roman" w:cs="Times New Roman"/>
          <w:sz w:val="24"/>
          <w:szCs w:val="24"/>
          <w:lang w:eastAsia="en-GB"/>
        </w:rPr>
        <w:t xml:space="preserve"> et al., 2022).</w:t>
      </w:r>
    </w:p>
    <w:p w14:paraId="68CE82AF"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in Akwa Ibom State illustrates the region's pollution challenges. This estuary supports artisanal fishing, navigation, and petroleum production, yet faces increasing threats from effluent discharge, oil spills, and dredging. Investigations in adjacent areas such as </w:t>
      </w:r>
      <w:proofErr w:type="spellStart"/>
      <w:r w:rsidRPr="006F2CD0">
        <w:rPr>
          <w:rFonts w:ascii="Times New Roman" w:eastAsia="Times New Roman" w:hAnsi="Times New Roman" w:cs="Times New Roman"/>
          <w:sz w:val="24"/>
          <w:szCs w:val="24"/>
          <w:lang w:eastAsia="en-GB"/>
        </w:rPr>
        <w:t>Eket</w:t>
      </w:r>
      <w:proofErr w:type="spellEnd"/>
      <w:r w:rsidRPr="006F2CD0">
        <w:rPr>
          <w:rFonts w:ascii="Times New Roman" w:eastAsia="Times New Roman" w:hAnsi="Times New Roman" w:cs="Times New Roman"/>
          <w:sz w:val="24"/>
          <w:szCs w:val="24"/>
          <w:lang w:eastAsia="en-GB"/>
        </w:rPr>
        <w:t xml:space="preserve">, Bonny, and </w:t>
      </w:r>
      <w:proofErr w:type="spellStart"/>
      <w:r w:rsidRPr="006F2CD0">
        <w:rPr>
          <w:rFonts w:ascii="Times New Roman" w:eastAsia="Times New Roman" w:hAnsi="Times New Roman" w:cs="Times New Roman"/>
          <w:sz w:val="24"/>
          <w:szCs w:val="24"/>
          <w:lang w:eastAsia="en-GB"/>
        </w:rPr>
        <w:t>Imiringi</w:t>
      </w:r>
      <w:proofErr w:type="spellEnd"/>
      <w:r w:rsidRPr="006F2CD0">
        <w:rPr>
          <w:rFonts w:ascii="Times New Roman" w:eastAsia="Times New Roman" w:hAnsi="Times New Roman" w:cs="Times New Roman"/>
          <w:sz w:val="24"/>
          <w:szCs w:val="24"/>
          <w:lang w:eastAsia="en-GB"/>
        </w:rPr>
        <w:t xml:space="preserve"> have identified significant enrichment of lead (Pb), cadmium (Cd), and zinc (Zn), primarily linked to petroleum activities and combustion processes (</w:t>
      </w:r>
      <w:proofErr w:type="spellStart"/>
      <w:r w:rsidRPr="006F2CD0">
        <w:rPr>
          <w:rFonts w:ascii="Times New Roman" w:eastAsia="Times New Roman" w:hAnsi="Times New Roman" w:cs="Times New Roman"/>
          <w:sz w:val="24"/>
          <w:szCs w:val="24"/>
          <w:lang w:eastAsia="en-GB"/>
        </w:rPr>
        <w:t>Aigberua</w:t>
      </w:r>
      <w:proofErr w:type="spellEnd"/>
      <w:r w:rsidRPr="006F2CD0">
        <w:rPr>
          <w:rFonts w:ascii="Times New Roman" w:eastAsia="Times New Roman" w:hAnsi="Times New Roman" w:cs="Times New Roman"/>
          <w:sz w:val="24"/>
          <w:szCs w:val="24"/>
          <w:lang w:eastAsia="en-GB"/>
        </w:rPr>
        <w:t xml:space="preserve">, 2020; </w:t>
      </w:r>
      <w:proofErr w:type="spellStart"/>
      <w:r w:rsidRPr="006F2CD0">
        <w:rPr>
          <w:rFonts w:ascii="Times New Roman" w:eastAsia="Times New Roman" w:hAnsi="Times New Roman" w:cs="Times New Roman"/>
          <w:sz w:val="24"/>
          <w:szCs w:val="24"/>
          <w:lang w:eastAsia="en-GB"/>
        </w:rPr>
        <w:t>Akpan</w:t>
      </w:r>
      <w:proofErr w:type="spellEnd"/>
      <w:r w:rsidRPr="006F2CD0">
        <w:rPr>
          <w:rFonts w:ascii="Times New Roman" w:eastAsia="Times New Roman" w:hAnsi="Times New Roman" w:cs="Times New Roman"/>
          <w:sz w:val="24"/>
          <w:szCs w:val="24"/>
          <w:lang w:eastAsia="en-GB"/>
        </w:rPr>
        <w:t xml:space="preserve"> et al., 2022; </w:t>
      </w:r>
      <w:proofErr w:type="spellStart"/>
      <w:r w:rsidRPr="006F2CD0">
        <w:rPr>
          <w:rFonts w:ascii="Times New Roman" w:eastAsia="Times New Roman" w:hAnsi="Times New Roman" w:cs="Times New Roman"/>
          <w:sz w:val="24"/>
          <w:szCs w:val="24"/>
          <w:lang w:eastAsia="en-GB"/>
        </w:rPr>
        <w:t>Okpoji</w:t>
      </w:r>
      <w:proofErr w:type="spellEnd"/>
      <w:r w:rsidRPr="006F2CD0">
        <w:rPr>
          <w:rFonts w:ascii="Times New Roman" w:eastAsia="Times New Roman" w:hAnsi="Times New Roman" w:cs="Times New Roman"/>
          <w:sz w:val="24"/>
          <w:szCs w:val="24"/>
          <w:lang w:eastAsia="en-GB"/>
        </w:rPr>
        <w:t xml:space="preserve"> et al., 2025). These metals present </w:t>
      </w:r>
      <w:r w:rsidRPr="006F2CD0">
        <w:rPr>
          <w:rFonts w:ascii="Times New Roman" w:eastAsia="Times New Roman" w:hAnsi="Times New Roman" w:cs="Times New Roman"/>
          <w:sz w:val="24"/>
          <w:szCs w:val="24"/>
          <w:lang w:eastAsia="en-GB"/>
        </w:rPr>
        <w:lastRenderedPageBreak/>
        <w:t xml:space="preserve">chronic ecological risks due to their persistence, resistance to degradation, and bioaccumulation in aquatic organisms (Onoja et al., 2025; John et al., 2025). </w:t>
      </w:r>
    </w:p>
    <w:p w14:paraId="55786DB5" w14:textId="798EF831" w:rsidR="00117BBB" w:rsidRPr="006F2CD0" w:rsidRDefault="00117BBB" w:rsidP="00117BBB">
      <w:pPr>
        <w:spacing w:after="120" w:line="240" w:lineRule="auto"/>
        <w:jc w:val="both"/>
        <w:rPr>
          <w:rFonts w:ascii="Times New Roman" w:hAnsi="Times New Roman" w:cs="Times New Roman"/>
          <w:sz w:val="24"/>
          <w:szCs w:val="24"/>
        </w:rPr>
      </w:pPr>
      <w:r w:rsidRPr="006F2CD0">
        <w:rPr>
          <w:rFonts w:ascii="Times New Roman" w:eastAsia="Times New Roman" w:hAnsi="Times New Roman" w:cs="Times New Roman"/>
          <w:sz w:val="24"/>
          <w:szCs w:val="24"/>
          <w:lang w:eastAsia="en-GB"/>
        </w:rPr>
        <w:t xml:space="preserve">Despite the ecological and economic significance of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limited research has addressed the partitioning of heavy metals in its sediments. Most studies in the Niger Delta have focused on hydrocarbon concentrations, water chemistry, or total metal content (Ite et al., 2018; Akpan et al., 2022; </w:t>
      </w:r>
      <w:proofErr w:type="spellStart"/>
      <w:r w:rsidRPr="006F2CD0">
        <w:rPr>
          <w:rFonts w:ascii="Times New Roman" w:eastAsia="Times New Roman" w:hAnsi="Times New Roman" w:cs="Times New Roman"/>
          <w:sz w:val="24"/>
          <w:szCs w:val="24"/>
          <w:lang w:eastAsia="en-GB"/>
        </w:rPr>
        <w:t>Ajeh</w:t>
      </w:r>
      <w:proofErr w:type="spellEnd"/>
      <w:r w:rsidRPr="006F2CD0">
        <w:rPr>
          <w:rFonts w:ascii="Times New Roman" w:eastAsia="Times New Roman" w:hAnsi="Times New Roman" w:cs="Times New Roman"/>
          <w:sz w:val="24"/>
          <w:szCs w:val="24"/>
          <w:lang w:eastAsia="en-GB"/>
        </w:rPr>
        <w:t xml:space="preserve"> et al., 2022), with a limited emphasis on geochemical fractionation and ecological risk. The speciation of metals is critical, as it determines their mobility and toxicity. For example, cadmium and lead are often present in more labile fractions, increasing their bioavailability to benthic organisms (</w:t>
      </w:r>
      <w:proofErr w:type="spellStart"/>
      <w:r w:rsidRPr="006F2CD0">
        <w:rPr>
          <w:rFonts w:ascii="Times New Roman" w:eastAsia="Times New Roman" w:hAnsi="Times New Roman" w:cs="Times New Roman"/>
          <w:sz w:val="24"/>
          <w:szCs w:val="24"/>
          <w:lang w:eastAsia="en-GB"/>
        </w:rPr>
        <w:t>Ajeh</w:t>
      </w:r>
      <w:proofErr w:type="spellEnd"/>
      <w:r w:rsidRPr="006F2CD0">
        <w:rPr>
          <w:rFonts w:ascii="Times New Roman" w:eastAsia="Times New Roman" w:hAnsi="Times New Roman" w:cs="Times New Roman"/>
          <w:sz w:val="24"/>
          <w:szCs w:val="24"/>
          <w:lang w:eastAsia="en-GB"/>
        </w:rPr>
        <w:t xml:space="preserve"> et al., 2022; </w:t>
      </w:r>
      <w:proofErr w:type="spellStart"/>
      <w:r w:rsidRPr="006F2CD0">
        <w:rPr>
          <w:rFonts w:ascii="Times New Roman" w:eastAsia="Times New Roman" w:hAnsi="Times New Roman" w:cs="Times New Roman"/>
          <w:sz w:val="24"/>
          <w:szCs w:val="24"/>
          <w:lang w:eastAsia="en-GB"/>
        </w:rPr>
        <w:t>Okpoji</w:t>
      </w:r>
      <w:proofErr w:type="spellEnd"/>
      <w:r w:rsidRPr="006F2CD0">
        <w:rPr>
          <w:rFonts w:ascii="Times New Roman" w:eastAsia="Times New Roman" w:hAnsi="Times New Roman" w:cs="Times New Roman"/>
          <w:sz w:val="24"/>
          <w:szCs w:val="24"/>
          <w:lang w:eastAsia="en-GB"/>
        </w:rPr>
        <w:t xml:space="preserve"> et al., 2025). This study aims to evaluate the chemistry of marine sediments and the partitioning of heavy metals 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w:t>
      </w:r>
      <w:proofErr w:type="spellStart"/>
      <w:r w:rsidRPr="006F2CD0">
        <w:rPr>
          <w:rFonts w:ascii="Times New Roman" w:eastAsia="Times New Roman" w:hAnsi="Times New Roman" w:cs="Times New Roman"/>
          <w:sz w:val="24"/>
          <w:szCs w:val="24"/>
          <w:lang w:eastAsia="en-GB"/>
        </w:rPr>
        <w:t>Akwa</w:t>
      </w:r>
      <w:proofErr w:type="spellEnd"/>
      <w:r w:rsidRPr="006F2CD0">
        <w:rPr>
          <w:rFonts w:ascii="Times New Roman" w:eastAsia="Times New Roman" w:hAnsi="Times New Roman" w:cs="Times New Roman"/>
          <w:sz w:val="24"/>
          <w:szCs w:val="24"/>
          <w:lang w:eastAsia="en-GB"/>
        </w:rPr>
        <w:t xml:space="preserve"> Ibom State, Nigeria. The objectives are to determine the physicochemical properties and total concentrations of selected heavy metals, analyse their geochemical speciation and phase distribution, and assess contamination levels and potential ecological risks.</w:t>
      </w:r>
      <w:r w:rsidR="00543CBB" w:rsidRPr="006F2CD0">
        <w:rPr>
          <w:rFonts w:ascii="Times New Roman" w:hAnsi="Times New Roman" w:cs="Times New Roman"/>
          <w:sz w:val="24"/>
          <w:szCs w:val="24"/>
        </w:rPr>
        <w:t xml:space="preserve"> Heavy metals such as lead (</w:t>
      </w:r>
      <w:proofErr w:type="spellStart"/>
      <w:r w:rsidR="00543CBB" w:rsidRPr="006F2CD0">
        <w:rPr>
          <w:rFonts w:ascii="Times New Roman" w:hAnsi="Times New Roman" w:cs="Times New Roman"/>
          <w:sz w:val="24"/>
          <w:szCs w:val="24"/>
        </w:rPr>
        <w:t>Pb</w:t>
      </w:r>
      <w:proofErr w:type="spellEnd"/>
      <w:r w:rsidR="00543CBB" w:rsidRPr="006F2CD0">
        <w:rPr>
          <w:rFonts w:ascii="Times New Roman" w:hAnsi="Times New Roman" w:cs="Times New Roman"/>
          <w:sz w:val="24"/>
          <w:szCs w:val="24"/>
        </w:rPr>
        <w:t xml:space="preserve">), mercury (Hg), cadmium (Cd), and arsenic (As) are among the most persistent and </w:t>
      </w:r>
      <w:proofErr w:type="spellStart"/>
      <w:r w:rsidR="00543CBB" w:rsidRPr="006F2CD0">
        <w:rPr>
          <w:rFonts w:ascii="Times New Roman" w:hAnsi="Times New Roman" w:cs="Times New Roman"/>
          <w:sz w:val="24"/>
          <w:szCs w:val="24"/>
        </w:rPr>
        <w:t>bioaccumulative</w:t>
      </w:r>
      <w:proofErr w:type="spellEnd"/>
      <w:r w:rsidR="00543CBB" w:rsidRPr="006F2CD0">
        <w:rPr>
          <w:rFonts w:ascii="Times New Roman" w:hAnsi="Times New Roman" w:cs="Times New Roman"/>
          <w:sz w:val="24"/>
          <w:szCs w:val="24"/>
        </w:rPr>
        <w:t xml:space="preserve"> environmental pollutants, posing significant risks to aquatic biota and human health. They enter aquatic ecosystems primarily through industrial effluents, agricultural runoff, and domestic discharges, leading to bioaccumulation and </w:t>
      </w:r>
      <w:proofErr w:type="spellStart"/>
      <w:r w:rsidR="00543CBB" w:rsidRPr="006F2CD0">
        <w:rPr>
          <w:rFonts w:ascii="Times New Roman" w:hAnsi="Times New Roman" w:cs="Times New Roman"/>
          <w:sz w:val="24"/>
          <w:szCs w:val="24"/>
        </w:rPr>
        <w:t>biomagnification</w:t>
      </w:r>
      <w:proofErr w:type="spellEnd"/>
      <w:r w:rsidR="00543CBB" w:rsidRPr="006F2CD0">
        <w:rPr>
          <w:rFonts w:ascii="Times New Roman" w:hAnsi="Times New Roman" w:cs="Times New Roman"/>
          <w:sz w:val="24"/>
          <w:szCs w:val="24"/>
        </w:rPr>
        <w:t xml:space="preserve"> across trophic levels. According to </w:t>
      </w:r>
      <w:proofErr w:type="spellStart"/>
      <w:r w:rsidR="00543CBB" w:rsidRPr="006F2CD0">
        <w:rPr>
          <w:rFonts w:ascii="Times New Roman" w:hAnsi="Times New Roman" w:cs="Times New Roman"/>
          <w:sz w:val="24"/>
          <w:szCs w:val="24"/>
        </w:rPr>
        <w:t>Pandey</w:t>
      </w:r>
      <w:proofErr w:type="spellEnd"/>
      <w:r w:rsidR="00543CBB" w:rsidRPr="006F2CD0">
        <w:rPr>
          <w:rFonts w:ascii="Times New Roman" w:hAnsi="Times New Roman" w:cs="Times New Roman"/>
          <w:sz w:val="24"/>
          <w:szCs w:val="24"/>
        </w:rPr>
        <w:t xml:space="preserve"> et al. (2024), exposure to these metals can impair physiological and biochemical processes in fish, causing oxidative stress, metabolic disruption, and reproductive failure.</w:t>
      </w:r>
    </w:p>
    <w:p w14:paraId="6E95D86F" w14:textId="04F1450C" w:rsidR="008435BA" w:rsidRPr="006F2CD0" w:rsidRDefault="008435BA" w:rsidP="008435BA">
      <w:pPr>
        <w:pStyle w:val="ListParagraph"/>
        <w:numPr>
          <w:ilvl w:val="0"/>
          <w:numId w:val="1"/>
        </w:numPr>
        <w:spacing w:before="100" w:beforeAutospacing="1" w:after="100" w:afterAutospacing="1" w:line="240" w:lineRule="auto"/>
        <w:rPr>
          <w:rFonts w:ascii="Times New Roman" w:eastAsia="Times New Roman" w:hAnsi="Times New Roman" w:cs="Times New Roman"/>
          <w:color w:val="FF0000"/>
          <w:sz w:val="24"/>
          <w:szCs w:val="24"/>
          <w:lang w:eastAsia="en-GB" w:bidi="hi-IN"/>
        </w:rPr>
      </w:pPr>
      <w:r w:rsidRPr="006F2CD0">
        <w:rPr>
          <w:rFonts w:ascii="Times New Roman" w:eastAsia="Times New Roman" w:hAnsi="Times New Roman" w:cs="Times New Roman"/>
          <w:color w:val="FF0000"/>
          <w:sz w:val="24"/>
          <w:szCs w:val="24"/>
          <w:lang w:eastAsia="en-GB" w:bidi="hi-IN"/>
        </w:rPr>
        <w:t xml:space="preserve">Clearly define the </w:t>
      </w:r>
      <w:r w:rsidRPr="006F2CD0">
        <w:rPr>
          <w:rFonts w:ascii="Times New Roman" w:eastAsia="Times New Roman" w:hAnsi="Times New Roman" w:cs="Times New Roman"/>
          <w:b/>
          <w:bCs/>
          <w:color w:val="FF0000"/>
          <w:sz w:val="24"/>
          <w:szCs w:val="24"/>
          <w:lang w:eastAsia="en-GB" w:bidi="hi-IN"/>
        </w:rPr>
        <w:t>research gap</w:t>
      </w:r>
      <w:r w:rsidRPr="006F2CD0">
        <w:rPr>
          <w:rFonts w:ascii="Times New Roman" w:eastAsia="Times New Roman" w:hAnsi="Times New Roman" w:cs="Times New Roman"/>
          <w:color w:val="FF0000"/>
          <w:sz w:val="24"/>
          <w:szCs w:val="24"/>
          <w:lang w:eastAsia="en-GB" w:bidi="hi-IN"/>
        </w:rPr>
        <w:t xml:space="preserve">: mention explicitly why previous studies on the Niger Delta are </w:t>
      </w:r>
      <w:proofErr w:type="spellStart"/>
      <w:r w:rsidRPr="006F2CD0">
        <w:rPr>
          <w:rFonts w:ascii="Times New Roman" w:eastAsia="Times New Roman" w:hAnsi="Times New Roman" w:cs="Times New Roman"/>
          <w:color w:val="FF0000"/>
          <w:sz w:val="24"/>
          <w:szCs w:val="24"/>
          <w:lang w:eastAsia="en-GB" w:bidi="hi-IN"/>
        </w:rPr>
        <w:t>insufficient.Avoid</w:t>
      </w:r>
      <w:proofErr w:type="spellEnd"/>
      <w:r w:rsidRPr="006F2CD0">
        <w:rPr>
          <w:rFonts w:ascii="Times New Roman" w:eastAsia="Times New Roman" w:hAnsi="Times New Roman" w:cs="Times New Roman"/>
          <w:color w:val="FF0000"/>
          <w:sz w:val="24"/>
          <w:szCs w:val="24"/>
          <w:lang w:eastAsia="en-GB" w:bidi="hi-IN"/>
        </w:rPr>
        <w:t xml:space="preserve"> repetition; the section could be shortened by merging similar sentences on petroleum pollution.</w:t>
      </w:r>
    </w:p>
    <w:p w14:paraId="63100AB7" w14:textId="77777777" w:rsidR="008435BA" w:rsidRPr="006F2CD0" w:rsidRDefault="008435BA" w:rsidP="00117BBB">
      <w:pPr>
        <w:spacing w:after="120" w:line="240" w:lineRule="auto"/>
        <w:jc w:val="both"/>
        <w:rPr>
          <w:rFonts w:ascii="Times New Roman" w:eastAsia="Times New Roman" w:hAnsi="Times New Roman" w:cs="Times New Roman"/>
          <w:sz w:val="24"/>
          <w:szCs w:val="24"/>
          <w:lang w:eastAsia="en-GB"/>
        </w:rPr>
      </w:pPr>
    </w:p>
    <w:p w14:paraId="08159572"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2.0 Materials and Methods</w:t>
      </w:r>
    </w:p>
    <w:p w14:paraId="3F12DDFA"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2.1 Study Area</w:t>
      </w:r>
    </w:p>
    <w:p w14:paraId="51DA9610"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lies along the Atlantic coast of Akwa Ibom State, Nigeria, between latitudes 4°30′ and 4°45′ North and longitudes 7°45′ and 8°05′ </w:t>
      </w:r>
      <w:proofErr w:type="gramStart"/>
      <w:r w:rsidRPr="006F2CD0">
        <w:rPr>
          <w:rFonts w:ascii="Times New Roman" w:eastAsia="Times New Roman" w:hAnsi="Times New Roman" w:cs="Times New Roman"/>
          <w:sz w:val="24"/>
          <w:szCs w:val="24"/>
          <w:lang w:eastAsia="en-GB"/>
        </w:rPr>
        <w:t>East</w:t>
      </w:r>
      <w:proofErr w:type="gramEnd"/>
      <w:r w:rsidRPr="006F2CD0">
        <w:rPr>
          <w:rFonts w:ascii="Times New Roman" w:eastAsia="Times New Roman" w:hAnsi="Times New Roman" w:cs="Times New Roman"/>
          <w:sz w:val="24"/>
          <w:szCs w:val="24"/>
          <w:lang w:eastAsia="en-GB"/>
        </w:rPr>
        <w:t>. It is a tidally influenced system that receives inflows from both marine and freshwater sources. The estuary supports a wide range of socio-economic activities, including fishing, dredging, navigation, and oil and gas exploration. The climate of the area is humid tropical, with mean annual rainfall of about 3,000 mm, relative humidity above 80%, and temperatures ranging from 26 to 32 °C. These climatic conditions, coupled with tidal currents, encourage sediment deposition and the accumulation of heavy metals within the estuarine basin.</w:t>
      </w:r>
    </w:p>
    <w:p w14:paraId="49BBC04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2.2 Sample Collection and Preparation</w:t>
      </w:r>
    </w:p>
    <w:p w14:paraId="42CC1CD0" w14:textId="77777777" w:rsidR="00117BBB" w:rsidRPr="006F2CD0" w:rsidRDefault="00117BBB" w:rsidP="00117BBB">
      <w:pPr>
        <w:jc w:val="both"/>
        <w:rPr>
          <w:rFonts w:ascii="Times New Roman" w:hAnsi="Times New Roman" w:cs="Times New Roman"/>
          <w:sz w:val="24"/>
          <w:szCs w:val="24"/>
        </w:rPr>
      </w:pPr>
      <w:r w:rsidRPr="006F2CD0">
        <w:rPr>
          <w:rFonts w:ascii="Times New Roman" w:hAnsi="Times New Roman" w:cs="Times New Roman"/>
          <w:color w:val="1F1F1F"/>
          <w:sz w:val="24"/>
          <w:szCs w:val="24"/>
        </w:rPr>
        <w:t xml:space="preserve">Sampling locations were geographically identified using a Global Positioning System (GPS) device (Germin, USA). The sediment samples were collected in February 2025 using a wooden </w:t>
      </w:r>
      <w:proofErr w:type="spellStart"/>
      <w:r w:rsidRPr="006F2CD0">
        <w:rPr>
          <w:rFonts w:ascii="Times New Roman" w:hAnsi="Times New Roman" w:cs="Times New Roman"/>
          <w:color w:val="1F1F1F"/>
          <w:sz w:val="24"/>
          <w:szCs w:val="24"/>
        </w:rPr>
        <w:t>slub</w:t>
      </w:r>
      <w:proofErr w:type="spellEnd"/>
      <w:r w:rsidRPr="006F2CD0">
        <w:rPr>
          <w:rFonts w:ascii="Times New Roman" w:hAnsi="Times New Roman" w:cs="Times New Roman"/>
          <w:color w:val="1F1F1F"/>
          <w:sz w:val="24"/>
          <w:szCs w:val="24"/>
        </w:rPr>
        <w:t xml:space="preserve">, and after each sample collection — to represent upstream, midstream, and downstream — the </w:t>
      </w:r>
      <w:proofErr w:type="spellStart"/>
      <w:r w:rsidRPr="006F2CD0">
        <w:rPr>
          <w:rFonts w:ascii="Times New Roman" w:hAnsi="Times New Roman" w:cs="Times New Roman"/>
          <w:color w:val="1F1F1F"/>
          <w:sz w:val="24"/>
          <w:szCs w:val="24"/>
        </w:rPr>
        <w:t>slub</w:t>
      </w:r>
      <w:proofErr w:type="spellEnd"/>
      <w:r w:rsidRPr="006F2CD0">
        <w:rPr>
          <w:rFonts w:ascii="Times New Roman" w:hAnsi="Times New Roman" w:cs="Times New Roman"/>
          <w:color w:val="1F1F1F"/>
          <w:sz w:val="24"/>
          <w:szCs w:val="24"/>
        </w:rPr>
        <w:t xml:space="preserve"> was thoroughly cleaned several times with deionised water to avoid cross-contamination and interference. A total of 10 sediment samples were collected from ten different stations, and the samples were stored in pre-labelled plastic Ziploc bags before being transported to </w:t>
      </w:r>
      <w:r w:rsidRPr="006F2CD0">
        <w:rPr>
          <w:rFonts w:ascii="Times New Roman" w:eastAsia="Times New Roman" w:hAnsi="Times New Roman" w:cs="Times New Roman"/>
          <w:sz w:val="24"/>
          <w:szCs w:val="24"/>
          <w:lang w:eastAsia="en-GB"/>
        </w:rPr>
        <w:t xml:space="preserve">the laboratory for analysis. </w:t>
      </w:r>
      <w:r w:rsidRPr="006F2CD0">
        <w:rPr>
          <w:rFonts w:ascii="Times New Roman" w:hAnsi="Times New Roman" w:cs="Times New Roman"/>
          <w:color w:val="1F1F1F"/>
          <w:sz w:val="24"/>
          <w:szCs w:val="24"/>
        </w:rPr>
        <w:t>The sediment samples were air-dried for ten days, after which vegetables and debris materials were removed from them. The air-dried sediment samples were ground using a mortar and pestle to obtain powder form, and sieving was performed to obtain a homogeneous mass</w:t>
      </w:r>
      <w:r w:rsidRPr="006F2CD0">
        <w:rPr>
          <w:rFonts w:ascii="Times New Roman" w:eastAsia="Times New Roman" w:hAnsi="Times New Roman" w:cs="Times New Roman"/>
          <w:sz w:val="24"/>
          <w:szCs w:val="24"/>
          <w:lang w:eastAsia="en-GB"/>
        </w:rPr>
        <w:t>. The prepared samples were stored in clean polyethene bags until analysis.</w:t>
      </w:r>
    </w:p>
    <w:p w14:paraId="2B7A3A2B"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2.3 Physicochemical Analysis of Sediments</w:t>
      </w:r>
    </w:p>
    <w:p w14:paraId="0B165EF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Sediment pH and electrical conductivity (EC) were determined in a 1:2.5 sediment-to-water suspension using a calibrated pH meter and a conductivity meter, respectively. Total organic carbon (TOC) was determined by the Walkley–Black wet oxidation method, while particle-size distribution (sand, silt, and clay) was analysed using the hydrometer method in accordance with ASTM D422 (2016). These parameters were used to interpret their influence on metal binding and retention in the sediment matrix.</w:t>
      </w:r>
    </w:p>
    <w:p w14:paraId="7445C6F3"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2.4 Determination of Metal Concentrations</w:t>
      </w:r>
    </w:p>
    <w:p w14:paraId="33EE525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 g of each air-dried and homogenised sediment sample was digested with a mixture of concentrated hydrochloric acid (HCl) and nitric acid (HNO₃) in a 3:1 ratio (aqua regia) on a hot plate at 95 °C until near dryness, following the standard method of the American Public Health Association (APHA, 2017). The digest was cooled, filtered through Whatman No. 42 filter paper, and diluted to 50 mL with deionised water. Concentrations of Fe, Mn, Zn, Cu, Cr, Pb, Ni, and Cd were determined using an Inductive Coupled Plasma-Mass Spectrometry.  Calibration was performed using certified multi-element standard solutions, and reagent blanks were processed alongside the samples to correct for background contamination. All concentrations were expressed on a dry-weight basis.</w:t>
      </w:r>
    </w:p>
    <w:p w14:paraId="58D98309"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2.5 Sequential Extraction and Metal Speciation</w:t>
      </w:r>
    </w:p>
    <w:p w14:paraId="242B5C10" w14:textId="77777777" w:rsidR="00117BBB" w:rsidRPr="006F2CD0" w:rsidRDefault="00117BBB" w:rsidP="00117BBB">
      <w:pPr>
        <w:jc w:val="both"/>
        <w:rPr>
          <w:rFonts w:ascii="Times New Roman" w:hAnsi="Times New Roman" w:cs="Times New Roman"/>
          <w:sz w:val="24"/>
          <w:szCs w:val="24"/>
        </w:rPr>
      </w:pPr>
      <w:r w:rsidRPr="006F2CD0">
        <w:rPr>
          <w:rFonts w:ascii="Times New Roman" w:hAnsi="Times New Roman" w:cs="Times New Roman"/>
          <w:color w:val="222222"/>
          <w:sz w:val="24"/>
          <w:szCs w:val="24"/>
          <w:shd w:val="clear" w:color="auto" w:fill="FFFFFF"/>
        </w:rPr>
        <w:t xml:space="preserve">Speciation was performed according to the Tessier sequential extraction procedure. The low presence of clay in the tailings of the study area reduces the adsorption and mobilisation of metals. Pyrite was the dominant sulphide mineral present in the study area. Metal speciation shows that a greater portion of metals is bound to Fe–Mn oxide, and decreases progressively to inert fraction, organic fraction, carbonate and exchangeable forms. </w:t>
      </w:r>
      <w:proofErr w:type="gramStart"/>
      <w:r w:rsidRPr="006F2CD0">
        <w:rPr>
          <w:rFonts w:ascii="Times New Roman" w:hAnsi="Times New Roman" w:cs="Times New Roman"/>
          <w:color w:val="222222"/>
          <w:sz w:val="24"/>
          <w:szCs w:val="24"/>
          <w:shd w:val="clear" w:color="auto" w:fill="FFFFFF"/>
        </w:rPr>
        <w:t>Relatively high mobility factors</w:t>
      </w:r>
      <w:r w:rsidRPr="006F2CD0">
        <w:rPr>
          <w:rFonts w:ascii="Times New Roman" w:eastAsia="Times New Roman" w:hAnsi="Times New Roman" w:cs="Times New Roman"/>
          <w:sz w:val="24"/>
          <w:szCs w:val="24"/>
          <w:lang w:eastAsia="en-GB"/>
        </w:rPr>
        <w:t>.</w:t>
      </w:r>
      <w:proofErr w:type="gramEnd"/>
      <w:r w:rsidRPr="006F2CD0">
        <w:rPr>
          <w:rFonts w:ascii="Times New Roman" w:eastAsia="Times New Roman" w:hAnsi="Times New Roman" w:cs="Times New Roman"/>
          <w:sz w:val="24"/>
          <w:szCs w:val="24"/>
          <w:lang w:eastAsia="en-GB"/>
        </w:rPr>
        <w:t xml:space="preserve"> Each extraction step employed a specific reagent under controlled time and agitation conditions, followed by centrifugation and filtration, a</w:t>
      </w:r>
      <w:r w:rsidRPr="006F2CD0">
        <w:rPr>
          <w:rFonts w:ascii="Times New Roman" w:eastAsia="Calibri" w:hAnsi="Times New Roman" w:cs="Times New Roman"/>
          <w:sz w:val="24"/>
          <w:szCs w:val="24"/>
        </w:rPr>
        <w:t xml:space="preserve">nd metal analysis was performed using </w:t>
      </w:r>
      <w:r w:rsidRPr="006F2CD0">
        <w:rPr>
          <w:rFonts w:ascii="Times New Roman" w:eastAsia="Times New Roman" w:hAnsi="Times New Roman" w:cs="Times New Roman"/>
          <w:sz w:val="24"/>
          <w:szCs w:val="24"/>
          <w:lang w:eastAsia="en-GB"/>
        </w:rPr>
        <w:t>Inductive Coupled Plasma-Mass Spectrometry. The distribution of metals among the fractions provided insight into their mobility, stability, and potential bioavailability.</w:t>
      </w:r>
    </w:p>
    <w:p w14:paraId="2E779BEB"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2.6 Pollution and Risk Assessment Indices</w:t>
      </w:r>
    </w:p>
    <w:p w14:paraId="3DA55280" w14:textId="77777777" w:rsidR="00117BBB" w:rsidRPr="006F2CD0" w:rsidRDefault="00117BBB" w:rsidP="00117BBB">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The </w:t>
      </w:r>
      <w:hyperlink r:id="rId8" w:tooltip="Learn more about pollution indices from ScienceDirect's AI-generated Topic Pages" w:history="1">
        <w:r w:rsidRPr="006F2CD0">
          <w:rPr>
            <w:rFonts w:ascii="Times New Roman" w:eastAsia="Times New Roman" w:hAnsi="Times New Roman" w:cs="Times New Roman"/>
            <w:color w:val="1F1F1F"/>
            <w:sz w:val="24"/>
            <w:szCs w:val="24"/>
            <w:lang w:eastAsia="en-GB"/>
          </w:rPr>
          <w:t>pollution indices</w:t>
        </w:r>
      </w:hyperlink>
      <w:r w:rsidRPr="006F2CD0">
        <w:rPr>
          <w:rFonts w:ascii="Times New Roman" w:eastAsia="Times New Roman" w:hAnsi="Times New Roman" w:cs="Times New Roman"/>
          <w:sz w:val="24"/>
          <w:szCs w:val="24"/>
          <w:lang w:eastAsia="en-GB"/>
        </w:rPr>
        <w:t> play a potential role in the comprehensive assessment of soil pollution. Therefore, three (3) major indices: </w:t>
      </w:r>
      <w:proofErr w:type="spellStart"/>
      <w:r w:rsidRPr="006F2CD0">
        <w:rPr>
          <w:rFonts w:ascii="Times New Roman" w:hAnsi="Times New Roman" w:cs="Times New Roman"/>
          <w:sz w:val="24"/>
          <w:szCs w:val="24"/>
        </w:rPr>
        <w:fldChar w:fldCharType="begin"/>
      </w:r>
      <w:r w:rsidRPr="006F2CD0">
        <w:rPr>
          <w:rFonts w:ascii="Times New Roman" w:hAnsi="Times New Roman" w:cs="Times New Roman"/>
          <w:sz w:val="24"/>
          <w:szCs w:val="24"/>
        </w:rPr>
        <w:instrText>HYPERLINK "https://www.sciencedirect.com/topics/earth-and-planetary-sciences/geoaccumulation-index" \o "Learn more about geoaccumulation index from ScienceDirect's AI-generated Topic Pages"</w:instrText>
      </w:r>
      <w:r w:rsidRPr="006F2CD0">
        <w:rPr>
          <w:rFonts w:ascii="Times New Roman" w:hAnsi="Times New Roman" w:cs="Times New Roman"/>
          <w:sz w:val="24"/>
          <w:szCs w:val="24"/>
        </w:rPr>
        <w:fldChar w:fldCharType="separate"/>
      </w:r>
      <w:r w:rsidRPr="006F2CD0">
        <w:rPr>
          <w:rFonts w:ascii="Times New Roman" w:eastAsia="Times New Roman" w:hAnsi="Times New Roman" w:cs="Times New Roman"/>
          <w:color w:val="1F1F1F"/>
          <w:sz w:val="24"/>
          <w:szCs w:val="24"/>
          <w:lang w:eastAsia="en-GB"/>
        </w:rPr>
        <w:t>geoaccumulation</w:t>
      </w:r>
      <w:proofErr w:type="spellEnd"/>
      <w:r w:rsidRPr="006F2CD0">
        <w:rPr>
          <w:rFonts w:ascii="Times New Roman" w:eastAsia="Times New Roman" w:hAnsi="Times New Roman" w:cs="Times New Roman"/>
          <w:color w:val="1F1F1F"/>
          <w:sz w:val="24"/>
          <w:szCs w:val="24"/>
          <w:lang w:eastAsia="en-GB"/>
        </w:rPr>
        <w:t xml:space="preserve"> index</w:t>
      </w:r>
      <w:r w:rsidRPr="006F2CD0">
        <w:rPr>
          <w:rFonts w:ascii="Times New Roman" w:hAnsi="Times New Roman" w:cs="Times New Roman"/>
          <w:sz w:val="24"/>
          <w:szCs w:val="24"/>
        </w:rPr>
        <w:fldChar w:fldCharType="end"/>
      </w:r>
      <w:r w:rsidRPr="006F2CD0">
        <w:rPr>
          <w:rFonts w:ascii="Times New Roman" w:eastAsia="Times New Roman" w:hAnsi="Times New Roman" w:cs="Times New Roman"/>
          <w:sz w:val="24"/>
          <w:szCs w:val="24"/>
          <w:lang w:eastAsia="en-GB"/>
        </w:rPr>
        <w:t>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contamination factor (</w:t>
      </w:r>
      <w:proofErr w:type="spellStart"/>
      <w:r w:rsidRPr="006F2CD0">
        <w:rPr>
          <w:rFonts w:ascii="Times New Roman" w:eastAsia="Times New Roman" w:hAnsi="Times New Roman" w:cs="Times New Roman"/>
          <w:i/>
          <w:iCs/>
          <w:sz w:val="24"/>
          <w:szCs w:val="24"/>
          <w:lang w:eastAsia="en-GB"/>
        </w:rPr>
        <w:t>C</w:t>
      </w:r>
      <w:r w:rsidRPr="006F2CD0">
        <w:rPr>
          <w:rFonts w:ascii="Times New Roman" w:eastAsia="Times New Roman" w:hAnsi="Times New Roman" w:cs="Times New Roman"/>
          <w:i/>
          <w:iCs/>
          <w:sz w:val="24"/>
          <w:szCs w:val="24"/>
          <w:vertAlign w:val="subscript"/>
          <w:lang w:eastAsia="en-GB"/>
        </w:rPr>
        <w:t>f</w:t>
      </w:r>
      <w:r w:rsidRPr="006F2CD0">
        <w:rPr>
          <w:rFonts w:ascii="Times New Roman" w:eastAsia="Times New Roman" w:hAnsi="Times New Roman" w:cs="Times New Roman"/>
          <w:i/>
          <w:iCs/>
          <w:sz w:val="24"/>
          <w:szCs w:val="24"/>
          <w:vertAlign w:val="superscript"/>
          <w:lang w:eastAsia="en-GB"/>
        </w:rPr>
        <w:t>i</w:t>
      </w:r>
      <w:proofErr w:type="spellEnd"/>
      <w:r w:rsidRPr="006F2CD0">
        <w:rPr>
          <w:rFonts w:ascii="Times New Roman" w:eastAsia="Times New Roman" w:hAnsi="Times New Roman" w:cs="Times New Roman"/>
          <w:sz w:val="24"/>
          <w:szCs w:val="24"/>
          <w:lang w:eastAsia="en-GB"/>
        </w:rPr>
        <w:t>) and degree of contamination (</w:t>
      </w:r>
      <w:r w:rsidRPr="006F2CD0">
        <w:rPr>
          <w:rFonts w:ascii="Times New Roman" w:eastAsia="Times New Roman" w:hAnsi="Times New Roman" w:cs="Times New Roman"/>
          <w:i/>
          <w:iCs/>
          <w:sz w:val="24"/>
          <w:szCs w:val="24"/>
          <w:lang w:eastAsia="en-GB"/>
        </w:rPr>
        <w:t>C</w:t>
      </w:r>
      <w:r w:rsidRPr="006F2CD0">
        <w:rPr>
          <w:rFonts w:ascii="Times New Roman" w:eastAsia="Times New Roman" w:hAnsi="Times New Roman" w:cs="Times New Roman"/>
          <w:i/>
          <w:iCs/>
          <w:sz w:val="24"/>
          <w:szCs w:val="24"/>
          <w:vertAlign w:val="subscript"/>
          <w:lang w:eastAsia="en-GB"/>
        </w:rPr>
        <w:t>d</w:t>
      </w:r>
      <w:r w:rsidRPr="006F2CD0">
        <w:rPr>
          <w:rFonts w:ascii="Times New Roman" w:eastAsia="Times New Roman" w:hAnsi="Times New Roman" w:cs="Times New Roman"/>
          <w:sz w:val="24"/>
          <w:szCs w:val="24"/>
          <w:lang w:eastAsia="en-GB"/>
        </w:rPr>
        <w:t>), potential ecological risk index (</w:t>
      </w:r>
      <w:r w:rsidRPr="006F2CD0">
        <w:rPr>
          <w:rFonts w:ascii="Times New Roman" w:eastAsia="Times New Roman" w:hAnsi="Times New Roman" w:cs="Times New Roman"/>
          <w:i/>
          <w:iCs/>
          <w:sz w:val="24"/>
          <w:szCs w:val="24"/>
          <w:lang w:eastAsia="en-GB"/>
        </w:rPr>
        <w:t>PERI),</w:t>
      </w:r>
      <w:r w:rsidRPr="006F2CD0">
        <w:rPr>
          <w:rFonts w:ascii="Times New Roman" w:eastAsia="Times New Roman" w:hAnsi="Times New Roman" w:cs="Times New Roman"/>
          <w:sz w:val="24"/>
          <w:szCs w:val="24"/>
          <w:lang w:eastAsia="en-GB"/>
        </w:rPr>
        <w:t> were applied for this study to assess the pollution based on toxic metal concentration in sediment samples.</w:t>
      </w:r>
    </w:p>
    <w:p w14:paraId="0A5AC0F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2.6.1 Contamination Factor (CF)</w:t>
      </w:r>
    </w:p>
    <w:p w14:paraId="56A94348"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contamination factor is obtained from a ratio between the measured </w:t>
      </w:r>
      <w:proofErr w:type="gramStart"/>
      <w:r w:rsidRPr="006F2CD0">
        <w:rPr>
          <w:rFonts w:ascii="Times New Roman" w:eastAsia="Times New Roman" w:hAnsi="Times New Roman" w:cs="Times New Roman"/>
          <w:sz w:val="24"/>
          <w:szCs w:val="24"/>
          <w:lang w:eastAsia="en-GB"/>
        </w:rPr>
        <w:t>concentration</w:t>
      </w:r>
      <w:proofErr w:type="gramEnd"/>
      <w:r w:rsidRPr="006F2CD0">
        <w:rPr>
          <w:rFonts w:ascii="Times New Roman" w:eastAsia="Times New Roman" w:hAnsi="Times New Roman" w:cs="Times New Roman"/>
          <w:sz w:val="24"/>
          <w:szCs w:val="24"/>
          <w:lang w:eastAsia="en-GB"/>
        </w:rPr>
        <w:t xml:space="preserve">. Of the heavy metals in the sediment of the water </w:t>
      </w:r>
      <w:proofErr w:type="gramStart"/>
      <w:r w:rsidRPr="006F2CD0">
        <w:rPr>
          <w:rFonts w:ascii="Times New Roman" w:eastAsia="Times New Roman" w:hAnsi="Times New Roman" w:cs="Times New Roman"/>
          <w:sz w:val="24"/>
          <w:szCs w:val="24"/>
          <w:lang w:eastAsia="en-GB"/>
        </w:rPr>
        <w:t>body,</w:t>
      </w:r>
      <w:proofErr w:type="gramEnd"/>
      <w:r w:rsidRPr="006F2CD0">
        <w:rPr>
          <w:rFonts w:ascii="Times New Roman" w:eastAsia="Times New Roman" w:hAnsi="Times New Roman" w:cs="Times New Roman"/>
          <w:sz w:val="24"/>
          <w:szCs w:val="24"/>
          <w:lang w:eastAsia="en-GB"/>
        </w:rPr>
        <w:t xml:space="preserve"> and the pre-industrial reference value for the same metal. The degree of contamination is defined as the sum of all contamination factors. The computing equation for contamination factor (</w:t>
      </w:r>
      <w:r w:rsidRPr="006F2CD0">
        <w:rPr>
          <w:rFonts w:ascii="Times New Roman" w:eastAsia="Times New Roman" w:hAnsi="Times New Roman" w:cs="Times New Roman"/>
          <w:i/>
          <w:iCs/>
          <w:sz w:val="24"/>
          <w:szCs w:val="24"/>
          <w:lang w:eastAsia="en-GB"/>
        </w:rPr>
        <w:t>C</w:t>
      </w:r>
      <w:r w:rsidRPr="006F2CD0">
        <w:rPr>
          <w:rFonts w:ascii="Times New Roman" w:eastAsia="Times New Roman" w:hAnsi="Times New Roman" w:cs="Times New Roman"/>
          <w:i/>
          <w:iCs/>
          <w:sz w:val="24"/>
          <w:szCs w:val="24"/>
          <w:vertAlign w:val="subscript"/>
          <w:lang w:eastAsia="en-GB"/>
        </w:rPr>
        <w:t>f</w:t>
      </w:r>
      <w:r w:rsidRPr="006F2CD0">
        <w:rPr>
          <w:rFonts w:ascii="Times New Roman" w:eastAsia="Times New Roman" w:hAnsi="Times New Roman" w:cs="Times New Roman"/>
          <w:i/>
          <w:iCs/>
          <w:sz w:val="24"/>
          <w:szCs w:val="24"/>
          <w:vertAlign w:val="superscript"/>
          <w:lang w:eastAsia="en-GB"/>
        </w:rPr>
        <w:t>i</w:t>
      </w:r>
      <w:r w:rsidRPr="006F2CD0">
        <w:rPr>
          <w:rFonts w:ascii="Times New Roman" w:eastAsia="Times New Roman" w:hAnsi="Times New Roman" w:cs="Times New Roman"/>
          <w:sz w:val="24"/>
          <w:szCs w:val="24"/>
          <w:lang w:eastAsia="en-GB"/>
        </w:rPr>
        <w:t>) is as follows:(2) where </w:t>
      </w:r>
      <w:r w:rsidRPr="006F2CD0">
        <w:rPr>
          <w:rFonts w:ascii="Times New Roman" w:eastAsia="Times New Roman" w:hAnsi="Times New Roman" w:cs="Times New Roman"/>
          <w:i/>
          <w:iCs/>
          <w:sz w:val="24"/>
          <w:szCs w:val="24"/>
          <w:lang w:eastAsia="en-GB"/>
        </w:rPr>
        <w:t>C</w:t>
      </w:r>
      <w:r w:rsidRPr="006F2CD0">
        <w:rPr>
          <w:rFonts w:ascii="Times New Roman" w:eastAsia="Times New Roman" w:hAnsi="Times New Roman" w:cs="Times New Roman"/>
          <w:i/>
          <w:iCs/>
          <w:sz w:val="24"/>
          <w:szCs w:val="24"/>
          <w:vertAlign w:val="subscript"/>
          <w:lang w:eastAsia="en-GB"/>
        </w:rPr>
        <w:t>f</w:t>
      </w:r>
      <w:r w:rsidRPr="006F2CD0">
        <w:rPr>
          <w:rFonts w:ascii="Times New Roman" w:eastAsia="Times New Roman" w:hAnsi="Times New Roman" w:cs="Times New Roman"/>
          <w:i/>
          <w:iCs/>
          <w:sz w:val="24"/>
          <w:szCs w:val="24"/>
          <w:vertAlign w:val="superscript"/>
          <w:lang w:eastAsia="en-GB"/>
        </w:rPr>
        <w:t>i</w:t>
      </w:r>
      <w:r w:rsidRPr="006F2CD0">
        <w:rPr>
          <w:rFonts w:ascii="Times New Roman" w:eastAsia="Times New Roman" w:hAnsi="Times New Roman" w:cs="Times New Roman"/>
          <w:sz w:val="24"/>
          <w:szCs w:val="24"/>
          <w:lang w:eastAsia="en-GB"/>
        </w:rPr>
        <w:t> is the measured concentration of the heavy metals in sediment and </w:t>
      </w:r>
      <w:proofErr w:type="spellStart"/>
      <w:r w:rsidRPr="006F2CD0">
        <w:rPr>
          <w:rFonts w:ascii="Times New Roman" w:eastAsia="Times New Roman" w:hAnsi="Times New Roman" w:cs="Times New Roman"/>
          <w:i/>
          <w:iCs/>
          <w:sz w:val="24"/>
          <w:szCs w:val="24"/>
          <w:lang w:eastAsia="en-GB"/>
        </w:rPr>
        <w:t>C</w:t>
      </w:r>
      <w:r w:rsidRPr="006F2CD0">
        <w:rPr>
          <w:rFonts w:ascii="Times New Roman" w:eastAsia="Times New Roman" w:hAnsi="Times New Roman" w:cs="Times New Roman"/>
          <w:i/>
          <w:iCs/>
          <w:sz w:val="24"/>
          <w:szCs w:val="24"/>
          <w:vertAlign w:val="subscript"/>
          <w:lang w:eastAsia="en-GB"/>
        </w:rPr>
        <w:t>n</w:t>
      </w:r>
      <w:r w:rsidRPr="006F2CD0">
        <w:rPr>
          <w:rFonts w:ascii="Times New Roman" w:eastAsia="Times New Roman" w:hAnsi="Times New Roman" w:cs="Times New Roman"/>
          <w:i/>
          <w:iCs/>
          <w:sz w:val="24"/>
          <w:szCs w:val="24"/>
          <w:vertAlign w:val="superscript"/>
          <w:lang w:eastAsia="en-GB"/>
        </w:rPr>
        <w:t>i</w:t>
      </w:r>
      <w:proofErr w:type="spellEnd"/>
      <w:r w:rsidRPr="006F2CD0">
        <w:rPr>
          <w:rFonts w:ascii="Times New Roman" w:eastAsia="Times New Roman" w:hAnsi="Times New Roman" w:cs="Times New Roman"/>
          <w:sz w:val="24"/>
          <w:szCs w:val="24"/>
          <w:lang w:eastAsia="en-GB"/>
        </w:rPr>
        <w:t xml:space="preserve"> is the standard pre-industrial reference level (in mg/kg): 70 for Pb, 1.0 for Cd, 90 for Cr, 50 for Cu, 175 for Zn, and 68 for Ni. </w:t>
      </w:r>
    </w:p>
    <w:p w14:paraId="3686F78D"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 xml:space="preserve">2.6.2 </w:t>
      </w:r>
      <w:proofErr w:type="spellStart"/>
      <w:r w:rsidRPr="006F2CD0">
        <w:rPr>
          <w:rFonts w:ascii="Times New Roman" w:eastAsia="Times New Roman" w:hAnsi="Times New Roman" w:cs="Times New Roman"/>
          <w:b/>
          <w:bCs/>
          <w:sz w:val="24"/>
          <w:szCs w:val="24"/>
          <w:lang w:eastAsia="en-GB"/>
        </w:rPr>
        <w:t>Geoaccumulation</w:t>
      </w:r>
      <w:proofErr w:type="spellEnd"/>
      <w:r w:rsidRPr="006F2CD0">
        <w:rPr>
          <w:rFonts w:ascii="Times New Roman" w:eastAsia="Times New Roman" w:hAnsi="Times New Roman" w:cs="Times New Roman"/>
          <w:b/>
          <w:bCs/>
          <w:sz w:val="24"/>
          <w:szCs w:val="24"/>
          <w:lang w:eastAsia="en-GB"/>
        </w:rPr>
        <w:t xml:space="preserve"> Index (</w:t>
      </w:r>
      <w:proofErr w:type="spellStart"/>
      <w:r w:rsidRPr="006F2CD0">
        <w:rPr>
          <w:rFonts w:ascii="Times New Roman" w:eastAsia="Times New Roman" w:hAnsi="Times New Roman" w:cs="Times New Roman"/>
          <w:b/>
          <w:bCs/>
          <w:sz w:val="24"/>
          <w:szCs w:val="24"/>
          <w:lang w:eastAsia="en-GB"/>
        </w:rPr>
        <w:t>Igeo</w:t>
      </w:r>
      <w:proofErr w:type="spellEnd"/>
      <w:r w:rsidRPr="006F2CD0">
        <w:rPr>
          <w:rFonts w:ascii="Times New Roman" w:eastAsia="Times New Roman" w:hAnsi="Times New Roman" w:cs="Times New Roman"/>
          <w:b/>
          <w:bCs/>
          <w:sz w:val="24"/>
          <w:szCs w:val="24"/>
          <w:lang w:eastAsia="en-GB"/>
        </w:rPr>
        <w:t>)</w:t>
      </w:r>
    </w:p>
    <w:p w14:paraId="72D3A04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The geo-accumulation index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xml:space="preserve">) was presented </w:t>
      </w:r>
      <w:proofErr w:type="gramStart"/>
      <w:r w:rsidRPr="006F2CD0">
        <w:rPr>
          <w:rFonts w:ascii="Times New Roman" w:eastAsia="Times New Roman" w:hAnsi="Times New Roman" w:cs="Times New Roman"/>
          <w:sz w:val="24"/>
          <w:szCs w:val="24"/>
          <w:lang w:eastAsia="en-GB"/>
        </w:rPr>
        <w:t xml:space="preserve">by  </w:t>
      </w:r>
      <w:proofErr w:type="spellStart"/>
      <w:r w:rsidRPr="006F2CD0">
        <w:rPr>
          <w:rFonts w:ascii="Times New Roman" w:eastAsia="Times New Roman" w:hAnsi="Times New Roman" w:cs="Times New Roman"/>
          <w:sz w:val="24"/>
          <w:szCs w:val="24"/>
          <w:lang w:eastAsia="en-GB"/>
        </w:rPr>
        <w:t>Igeo</w:t>
      </w:r>
      <w:proofErr w:type="spellEnd"/>
      <w:proofErr w:type="gramEnd"/>
      <w:r w:rsidRPr="006F2CD0">
        <w:rPr>
          <w:rFonts w:ascii="Times New Roman" w:eastAsia="Times New Roman" w:hAnsi="Times New Roman" w:cs="Times New Roman"/>
          <w:sz w:val="24"/>
          <w:szCs w:val="24"/>
          <w:lang w:eastAsia="en-GB"/>
        </w:rPr>
        <w:t>=log</w:t>
      </w:r>
      <w:r w:rsidRPr="006F2CD0">
        <w:rPr>
          <w:rFonts w:ascii="Times New Roman" w:eastAsia="Times New Roman" w:hAnsi="Times New Roman" w:cs="Times New Roman"/>
          <w:sz w:val="24"/>
          <w:szCs w:val="24"/>
          <w:vertAlign w:val="subscript"/>
          <w:lang w:eastAsia="en-GB"/>
        </w:rPr>
        <w:t>2</w:t>
      </w:r>
      <w:r w:rsidRPr="006F2CD0">
        <w:rPr>
          <w:rFonts w:ascii="Times New Roman" w:eastAsia="Times New Roman" w:hAnsi="Times New Roman" w:cs="Times New Roman"/>
          <w:sz w:val="24"/>
          <w:szCs w:val="24"/>
          <w:lang w:eastAsia="en-GB"/>
        </w:rPr>
        <w:t>(​</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Cm</m:t>
            </m:r>
          </m:num>
          <m:den>
            <m:r>
              <m:rPr>
                <m:sty m:val="p"/>
              </m:rPr>
              <w:rPr>
                <w:rFonts w:ascii="Cambria Math" w:eastAsia="Times New Roman" w:hAnsi="Cambria Math" w:cs="Times New Roman"/>
                <w:sz w:val="24"/>
                <w:szCs w:val="24"/>
                <w:lang w:eastAsia="en-GB"/>
              </w:rPr>
              <m:t>1.5×Cb​</m:t>
            </m:r>
          </m:den>
        </m:f>
        <m:r>
          <w:rPr>
            <w:rFonts w:ascii="Cambria Math" w:eastAsia="Times New Roman" w:hAnsi="Cambria Math" w:cs="Times New Roman"/>
            <w:sz w:val="24"/>
            <w:szCs w:val="24"/>
            <w:lang w:eastAsia="en-GB"/>
          </w:rPr>
          <m:t>)</m:t>
        </m:r>
      </m:oMath>
      <w:r w:rsidRPr="006F2CD0">
        <w:rPr>
          <w:rFonts w:ascii="Times New Roman" w:eastAsia="Times New Roman" w:hAnsi="Times New Roman" w:cs="Times New Roman"/>
          <w:sz w:val="24"/>
          <w:szCs w:val="24"/>
          <w:lang w:eastAsia="en-GB"/>
        </w:rPr>
        <w:t>.</w:t>
      </w:r>
      <w:bookmarkStart w:id="2" w:name="bbb0120"/>
      <w:r w:rsidRPr="006F2CD0">
        <w:rPr>
          <w:rFonts w:ascii="Times New Roman" w:eastAsia="Times New Roman" w:hAnsi="Times New Roman" w:cs="Times New Roman"/>
          <w:sz w:val="24"/>
          <w:szCs w:val="24"/>
          <w:lang w:eastAsia="en-GB"/>
        </w:rPr>
        <w:t xml:space="preserve"> This index is applied to quantify the metal pollution in the soils and aquatic sediments. The geo-accumulation index (</w:t>
      </w:r>
      <w:proofErr w:type="spellStart"/>
      <w:r w:rsidRPr="006F2CD0">
        <w:rPr>
          <w:rFonts w:ascii="Times New Roman" w:eastAsia="Times New Roman" w:hAnsi="Times New Roman" w:cs="Times New Roman"/>
          <w:i/>
          <w:iCs/>
          <w:sz w:val="24"/>
          <w:szCs w:val="24"/>
          <w:lang w:eastAsia="en-GB"/>
        </w:rPr>
        <w:t>Igeo</w:t>
      </w:r>
      <w:proofErr w:type="spellEnd"/>
      <w:r w:rsidRPr="006F2CD0">
        <w:rPr>
          <w:rFonts w:ascii="Times New Roman" w:eastAsia="Times New Roman" w:hAnsi="Times New Roman" w:cs="Times New Roman"/>
          <w:sz w:val="24"/>
          <w:szCs w:val="24"/>
          <w:lang w:eastAsia="en-GB"/>
        </w:rPr>
        <w:t>) for sediment samples was calculated using the following equation:(1) where C</w:t>
      </w:r>
      <w:r w:rsidRPr="006F2CD0">
        <w:rPr>
          <w:rFonts w:ascii="Times New Roman" w:eastAsia="Times New Roman" w:hAnsi="Times New Roman" w:cs="Times New Roman"/>
          <w:sz w:val="24"/>
          <w:szCs w:val="24"/>
          <w:vertAlign w:val="subscript"/>
          <w:lang w:eastAsia="en-GB"/>
        </w:rPr>
        <w:t>n</w:t>
      </w:r>
      <w:r w:rsidRPr="006F2CD0">
        <w:rPr>
          <w:rFonts w:ascii="Times New Roman" w:eastAsia="Times New Roman" w:hAnsi="Times New Roman" w:cs="Times New Roman"/>
          <w:sz w:val="24"/>
          <w:szCs w:val="24"/>
          <w:lang w:eastAsia="en-GB"/>
        </w:rPr>
        <w:t> is the concentration of metal measured in sediment samples in the study area, B</w:t>
      </w:r>
      <w:r w:rsidRPr="006F2CD0">
        <w:rPr>
          <w:rFonts w:ascii="Times New Roman" w:eastAsia="Times New Roman" w:hAnsi="Times New Roman" w:cs="Times New Roman"/>
          <w:sz w:val="24"/>
          <w:szCs w:val="24"/>
          <w:vertAlign w:val="subscript"/>
          <w:lang w:eastAsia="en-GB"/>
        </w:rPr>
        <w:t>n</w:t>
      </w:r>
      <w:r w:rsidRPr="006F2CD0">
        <w:rPr>
          <w:rFonts w:ascii="Times New Roman" w:eastAsia="Times New Roman" w:hAnsi="Times New Roman" w:cs="Times New Roman"/>
          <w:sz w:val="24"/>
          <w:szCs w:val="24"/>
          <w:lang w:eastAsia="en-GB"/>
        </w:rPr>
        <w:t xml:space="preserve"> background value of the corresponding metal, and 1.5 is the background matrix correction due to lithological effects. </w:t>
      </w:r>
      <w:bookmarkEnd w:id="2"/>
      <w:r w:rsidRPr="006F2CD0">
        <w:rPr>
          <w:rFonts w:ascii="Times New Roman" w:eastAsia="Times New Roman" w:hAnsi="Times New Roman" w:cs="Times New Roman"/>
          <w:sz w:val="24"/>
          <w:szCs w:val="24"/>
          <w:lang w:eastAsia="en-GB"/>
        </w:rPr>
        <w:t>Proposed the geo-accumulation index following seven grades or classes: i)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&gt; 5 = extremely polluted, (ii)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 4–5 = strongly to extremely polluted, (iii)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xml:space="preserve"> = 3–4 = strongly polluted, </w:t>
      </w:r>
      <w:proofErr w:type="gramStart"/>
      <w:r w:rsidRPr="006F2CD0">
        <w:rPr>
          <w:rFonts w:ascii="Times New Roman" w:eastAsia="Times New Roman" w:hAnsi="Times New Roman" w:cs="Times New Roman"/>
          <w:sz w:val="24"/>
          <w:szCs w:val="24"/>
          <w:lang w:eastAsia="en-GB"/>
        </w:rPr>
        <w:t>(iv)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w:t>
      </w:r>
      <w:proofErr w:type="gramEnd"/>
      <w:r w:rsidRPr="006F2CD0">
        <w:rPr>
          <w:rFonts w:ascii="Times New Roman" w:eastAsia="Times New Roman" w:hAnsi="Times New Roman" w:cs="Times New Roman"/>
          <w:sz w:val="24"/>
          <w:szCs w:val="24"/>
          <w:lang w:eastAsia="en-GB"/>
        </w:rPr>
        <w:t>= 2–3 = moderately to strongly polluted, (v)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 1–2 = moderately polluted, (vi)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 0–1 = unpolluted to moderately polluted, and (vii) </w:t>
      </w:r>
      <w:proofErr w:type="spellStart"/>
      <w:r w:rsidRPr="006F2CD0">
        <w:rPr>
          <w:rFonts w:ascii="Times New Roman" w:eastAsia="Times New Roman" w:hAnsi="Times New Roman" w:cs="Times New Roman"/>
          <w:i/>
          <w:iCs/>
          <w:sz w:val="24"/>
          <w:szCs w:val="24"/>
          <w:lang w:eastAsia="en-GB"/>
        </w:rPr>
        <w:t>I</w:t>
      </w:r>
      <w:r w:rsidRPr="006F2CD0">
        <w:rPr>
          <w:rFonts w:ascii="Times New Roman" w:eastAsia="Times New Roman" w:hAnsi="Times New Roman" w:cs="Times New Roman"/>
          <w:i/>
          <w:iCs/>
          <w:sz w:val="24"/>
          <w:szCs w:val="24"/>
          <w:vertAlign w:val="subscript"/>
          <w:lang w:eastAsia="en-GB"/>
        </w:rPr>
        <w:t>geo</w:t>
      </w:r>
      <w:proofErr w:type="spellEnd"/>
      <w:r w:rsidRPr="006F2CD0">
        <w:rPr>
          <w:rFonts w:ascii="Times New Roman" w:eastAsia="Times New Roman" w:hAnsi="Times New Roman" w:cs="Times New Roman"/>
          <w:sz w:val="24"/>
          <w:szCs w:val="24"/>
          <w:lang w:eastAsia="en-GB"/>
        </w:rPr>
        <w:t> &lt; 0 = practically unpolluted.</w:t>
      </w:r>
    </w:p>
    <w:p w14:paraId="3BB7DB1E"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2.6.3 Potential Ecological Risk Index (PERI)</w:t>
      </w:r>
    </w:p>
    <w:p w14:paraId="175DF155"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The assessment of the potential ecological risk of heavy metals contamination was proposed as a diagnostic tool for </w:t>
      </w:r>
      <w:hyperlink r:id="rId9" w:tooltip="Learn more about water pollution from ScienceDirect's AI-generated Topic Pages" w:history="1">
        <w:r w:rsidRPr="006F2CD0">
          <w:rPr>
            <w:rFonts w:ascii="Times New Roman" w:eastAsia="Times New Roman" w:hAnsi="Times New Roman" w:cs="Times New Roman"/>
            <w:color w:val="1F1F1F"/>
            <w:sz w:val="24"/>
            <w:szCs w:val="24"/>
            <w:lang w:eastAsia="en-GB"/>
          </w:rPr>
          <w:t>water pollution</w:t>
        </w:r>
      </w:hyperlink>
      <w:r w:rsidRPr="006F2CD0">
        <w:rPr>
          <w:rFonts w:ascii="Times New Roman" w:eastAsia="Times New Roman" w:hAnsi="Times New Roman" w:cs="Times New Roman"/>
          <w:sz w:val="24"/>
          <w:szCs w:val="24"/>
          <w:lang w:eastAsia="en-GB"/>
        </w:rPr>
        <w:t> control purposes as a result of the increasing content of heavy metals in sediments and their subsequent release into the water, which could threaten ecological health. Hakanson developed a method to assess the potential ecological risk index for aquatic </w:t>
      </w:r>
      <w:hyperlink r:id="rId10" w:tooltip="Learn more about pollution control from ScienceDirect's AI-generated Topic Pages" w:history="1">
        <w:r w:rsidRPr="006F2CD0">
          <w:rPr>
            <w:rFonts w:ascii="Times New Roman" w:eastAsia="Times New Roman" w:hAnsi="Times New Roman" w:cs="Times New Roman"/>
            <w:color w:val="1F1F1F"/>
            <w:sz w:val="24"/>
            <w:szCs w:val="24"/>
            <w:lang w:eastAsia="en-GB"/>
          </w:rPr>
          <w:t>pollution control</w:t>
        </w:r>
      </w:hyperlink>
      <w:r w:rsidRPr="006F2CD0">
        <w:rPr>
          <w:rFonts w:ascii="Times New Roman" w:eastAsia="Times New Roman" w:hAnsi="Times New Roman" w:cs="Times New Roman"/>
          <w:sz w:val="24"/>
          <w:szCs w:val="24"/>
          <w:lang w:eastAsia="en-GB"/>
        </w:rPr>
        <w:t> purposes, </w:t>
      </w:r>
      <w:r w:rsidRPr="006F2CD0">
        <w:rPr>
          <w:rFonts w:ascii="Times New Roman" w:eastAsia="Times New Roman" w:hAnsi="Times New Roman" w:cs="Times New Roman"/>
          <w:i/>
          <w:iCs/>
          <w:sz w:val="24"/>
          <w:szCs w:val="24"/>
          <w:lang w:eastAsia="en-GB"/>
        </w:rPr>
        <w:t>i.e.</w:t>
      </w:r>
      <w:r w:rsidRPr="006F2CD0">
        <w:rPr>
          <w:rFonts w:ascii="Times New Roman" w:eastAsia="Times New Roman" w:hAnsi="Times New Roman" w:cs="Times New Roman"/>
          <w:sz w:val="24"/>
          <w:szCs w:val="24"/>
          <w:lang w:eastAsia="en-GB"/>
        </w:rPr>
        <w:t> to sort out which lakes or rivers and substances should be given special attention. According to this method, the potential ecological risk factor (</w:t>
      </w:r>
      <w:r w:rsidRPr="006F2CD0">
        <w:rPr>
          <w:rFonts w:ascii="Times New Roman" w:eastAsia="Times New Roman" w:hAnsi="Times New Roman" w:cs="Times New Roman"/>
          <w:i/>
          <w:iCs/>
          <w:sz w:val="24"/>
          <w:szCs w:val="24"/>
          <w:lang w:eastAsia="en-GB"/>
        </w:rPr>
        <w:t>E</w:t>
      </w:r>
      <w:r w:rsidRPr="006F2CD0">
        <w:rPr>
          <w:rFonts w:ascii="Times New Roman" w:eastAsia="Times New Roman" w:hAnsi="Times New Roman" w:cs="Times New Roman"/>
          <w:i/>
          <w:iCs/>
          <w:sz w:val="24"/>
          <w:szCs w:val="24"/>
          <w:vertAlign w:val="subscript"/>
          <w:lang w:eastAsia="en-GB"/>
        </w:rPr>
        <w:t>r</w:t>
      </w:r>
      <w:r w:rsidRPr="006F2CD0">
        <w:rPr>
          <w:rFonts w:ascii="Times New Roman" w:eastAsia="Times New Roman" w:hAnsi="Times New Roman" w:cs="Times New Roman"/>
          <w:i/>
          <w:iCs/>
          <w:sz w:val="24"/>
          <w:szCs w:val="24"/>
          <w:vertAlign w:val="superscript"/>
          <w:lang w:eastAsia="en-GB"/>
        </w:rPr>
        <w:t>i</w:t>
      </w:r>
      <w:r w:rsidRPr="006F2CD0">
        <w:rPr>
          <w:rFonts w:ascii="Times New Roman" w:eastAsia="Times New Roman" w:hAnsi="Times New Roman" w:cs="Times New Roman"/>
          <w:sz w:val="24"/>
          <w:szCs w:val="24"/>
          <w:lang w:eastAsia="en-GB"/>
        </w:rPr>
        <w:t>) of a single element and the potential ecological risk index (PE</w:t>
      </w:r>
      <w:r w:rsidRPr="006F2CD0">
        <w:rPr>
          <w:rFonts w:ascii="Times New Roman" w:eastAsia="Times New Roman" w:hAnsi="Times New Roman" w:cs="Times New Roman"/>
          <w:i/>
          <w:iCs/>
          <w:sz w:val="24"/>
          <w:szCs w:val="24"/>
          <w:lang w:eastAsia="en-GB"/>
        </w:rPr>
        <w:t>RI</w:t>
      </w:r>
      <w:r w:rsidRPr="006F2CD0">
        <w:rPr>
          <w:rFonts w:ascii="Times New Roman" w:eastAsia="Times New Roman" w:hAnsi="Times New Roman" w:cs="Times New Roman"/>
          <w:sz w:val="24"/>
          <w:szCs w:val="24"/>
          <w:lang w:eastAsia="en-GB"/>
        </w:rPr>
        <w:t xml:space="preserve">) of multiple elements can be computed by the following equations: </w:t>
      </w:r>
      <w:proofErr w:type="spellStart"/>
      <w:r w:rsidRPr="006F2CD0">
        <w:rPr>
          <w:rFonts w:ascii="Times New Roman" w:eastAsia="Times New Roman" w:hAnsi="Times New Roman" w:cs="Times New Roman"/>
          <w:b/>
          <w:bCs/>
          <w:sz w:val="24"/>
          <w:szCs w:val="24"/>
          <w:lang w:eastAsia="en-GB"/>
        </w:rPr>
        <w:t>Er</w:t>
      </w:r>
      <w:proofErr w:type="spellEnd"/>
      <w:r w:rsidRPr="006F2CD0">
        <w:rPr>
          <w:rFonts w:ascii="Times New Roman" w:eastAsia="Times New Roman" w:hAnsi="Times New Roman" w:cs="Times New Roman"/>
          <w:b/>
          <w:bCs/>
          <w:sz w:val="24"/>
          <w:szCs w:val="24"/>
          <w:lang w:eastAsia="en-GB"/>
        </w:rPr>
        <w:t xml:space="preserve">ᶦ = </w:t>
      </w:r>
      <w:proofErr w:type="spellStart"/>
      <w:r w:rsidRPr="006F2CD0">
        <w:rPr>
          <w:rFonts w:ascii="Times New Roman" w:eastAsia="Times New Roman" w:hAnsi="Times New Roman" w:cs="Times New Roman"/>
          <w:b/>
          <w:bCs/>
          <w:sz w:val="24"/>
          <w:szCs w:val="24"/>
          <w:lang w:eastAsia="en-GB"/>
        </w:rPr>
        <w:t>Tr</w:t>
      </w:r>
      <w:proofErr w:type="spellEnd"/>
      <w:r w:rsidRPr="006F2CD0">
        <w:rPr>
          <w:rFonts w:ascii="Times New Roman" w:eastAsia="Times New Roman" w:hAnsi="Times New Roman" w:cs="Times New Roman"/>
          <w:b/>
          <w:bCs/>
          <w:sz w:val="24"/>
          <w:szCs w:val="24"/>
          <w:lang w:eastAsia="en-GB"/>
        </w:rPr>
        <w:t xml:space="preserve">ᶦ × </w:t>
      </w:r>
      <w:proofErr w:type="spellStart"/>
      <w:r w:rsidRPr="006F2CD0">
        <w:rPr>
          <w:rFonts w:ascii="Times New Roman" w:eastAsia="Times New Roman" w:hAnsi="Times New Roman" w:cs="Times New Roman"/>
          <w:b/>
          <w:bCs/>
          <w:sz w:val="24"/>
          <w:szCs w:val="24"/>
          <w:lang w:eastAsia="en-GB"/>
        </w:rPr>
        <w:t>CFi</w:t>
      </w:r>
      <w:proofErr w:type="spellEnd"/>
      <w:r w:rsidRPr="006F2CD0">
        <w:rPr>
          <w:rFonts w:ascii="Times New Roman" w:eastAsia="Times New Roman" w:hAnsi="Times New Roman" w:cs="Times New Roman"/>
          <w:b/>
          <w:bCs/>
          <w:sz w:val="24"/>
          <w:szCs w:val="24"/>
          <w:lang w:eastAsia="en-GB"/>
        </w:rPr>
        <w:t>.</w:t>
      </w:r>
    </w:p>
    <w:p w14:paraId="09FFFEC8"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Where:</w:t>
      </w:r>
    </w:p>
    <w:p w14:paraId="3CDDFB46" w14:textId="77777777" w:rsidR="00117BBB" w:rsidRPr="006F2CD0"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i/>
          <w:iCs/>
          <w:sz w:val="24"/>
          <w:szCs w:val="24"/>
          <w:lang w:eastAsia="en-GB"/>
        </w:rPr>
        <w:t>Erᶦ</w:t>
      </w:r>
      <w:r w:rsidRPr="006F2CD0">
        <w:rPr>
          <w:rFonts w:ascii="Times New Roman" w:eastAsia="Times New Roman" w:hAnsi="Times New Roman" w:cs="Times New Roman"/>
          <w:sz w:val="24"/>
          <w:szCs w:val="24"/>
          <w:lang w:eastAsia="en-GB"/>
        </w:rPr>
        <w:t xml:space="preserve"> = potential ecological risk factor for a specific metal</w:t>
      </w:r>
    </w:p>
    <w:p w14:paraId="2AFD843F" w14:textId="77777777" w:rsidR="00117BBB" w:rsidRPr="006F2CD0"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i/>
          <w:iCs/>
          <w:sz w:val="24"/>
          <w:szCs w:val="24"/>
          <w:lang w:eastAsia="en-GB"/>
        </w:rPr>
        <w:t>Trᶦ</w:t>
      </w:r>
      <w:r w:rsidRPr="006F2CD0">
        <w:rPr>
          <w:rFonts w:ascii="Times New Roman" w:eastAsia="Times New Roman" w:hAnsi="Times New Roman" w:cs="Times New Roman"/>
          <w:sz w:val="24"/>
          <w:szCs w:val="24"/>
          <w:lang w:eastAsia="en-GB"/>
        </w:rPr>
        <w:t xml:space="preserve"> = toxic response factor for the metal (Cd = 30, Pb = 5, Cu = 5, Cr = 2, Ni = 5, Zn = 1)</w:t>
      </w:r>
    </w:p>
    <w:p w14:paraId="5AC73A3B" w14:textId="77777777" w:rsidR="00117BBB" w:rsidRPr="006F2CD0" w:rsidRDefault="00117BBB" w:rsidP="00117BBB">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6F2CD0">
        <w:rPr>
          <w:rFonts w:ascii="Times New Roman" w:eastAsia="Times New Roman" w:hAnsi="Times New Roman" w:cs="Times New Roman"/>
          <w:i/>
          <w:iCs/>
          <w:sz w:val="24"/>
          <w:szCs w:val="24"/>
          <w:lang w:eastAsia="en-GB"/>
        </w:rPr>
        <w:t>CFi</w:t>
      </w:r>
      <w:proofErr w:type="spellEnd"/>
      <w:r w:rsidRPr="006F2CD0">
        <w:rPr>
          <w:rFonts w:ascii="Times New Roman" w:eastAsia="Times New Roman" w:hAnsi="Times New Roman" w:cs="Times New Roman"/>
          <w:sz w:val="24"/>
          <w:szCs w:val="24"/>
          <w:lang w:eastAsia="en-GB"/>
        </w:rPr>
        <w:t xml:space="preserve"> = contamination factor of the metal</w:t>
      </w:r>
    </w:p>
    <w:p w14:paraId="2811BF0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The overall potential ecological risk index (RI) for the combined metals was determined as:</w:t>
      </w:r>
    </w:p>
    <w:p w14:paraId="4BD94D79"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 xml:space="preserve">RI = </w:t>
      </w:r>
      <w:proofErr w:type="spellStart"/>
      <w:r w:rsidRPr="006F2CD0">
        <w:rPr>
          <w:rFonts w:ascii="Times New Roman" w:eastAsia="Times New Roman" w:hAnsi="Times New Roman" w:cs="Times New Roman"/>
          <w:b/>
          <w:bCs/>
          <w:sz w:val="24"/>
          <w:szCs w:val="24"/>
          <w:lang w:eastAsia="en-GB"/>
        </w:rPr>
        <w:t>ΣEr</w:t>
      </w:r>
      <w:proofErr w:type="spellEnd"/>
      <w:r w:rsidRPr="006F2CD0">
        <w:rPr>
          <w:rFonts w:ascii="Times New Roman" w:eastAsia="Times New Roman" w:hAnsi="Times New Roman" w:cs="Times New Roman"/>
          <w:b/>
          <w:bCs/>
          <w:sz w:val="24"/>
          <w:szCs w:val="24"/>
          <w:lang w:eastAsia="en-GB"/>
        </w:rPr>
        <w:t>ᶦ</w:t>
      </w:r>
    </w:p>
    <w:p w14:paraId="6A7DF91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Interpretation of ecological risk: Erᶦ &lt; 40 = low risk, 40–80 = moderate risk, 80–160 = considerable risk, 160–320 = high risk, 320 = very high risk</w:t>
      </w:r>
    </w:p>
    <w:p w14:paraId="7DC8E068"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2.7 Quality Assurance and Quality Control (QA/QC)</w:t>
      </w:r>
    </w:p>
    <w:p w14:paraId="1E55F0D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All glassware and containers were soaked in 10% nitric acid for 24 hours and rinsed with deionised water before use. Analytical blanks, duplicates, and certified reference materials (BCR-701) were processed concurrently to ensure accuracy and reproducibility. Metal recoveries ranged between 87% and 104%, and detection limits were within internationally acceptable analytical standards. All results were expressed on a dry-weight basis.</w:t>
      </w:r>
    </w:p>
    <w:p w14:paraId="62043F4A"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2.8 Statistical Analysis</w:t>
      </w:r>
    </w:p>
    <w:p w14:paraId="57FCF105" w14:textId="77777777" w:rsidR="00117BBB" w:rsidRPr="006F2CD0" w:rsidRDefault="00117BBB" w:rsidP="00117BBB">
      <w:pPr>
        <w:spacing w:before="100" w:beforeAutospacing="1" w:after="100" w:afterAutospacing="1" w:line="240" w:lineRule="auto"/>
        <w:jc w:val="both"/>
        <w:rPr>
          <w:rFonts w:ascii="Times New Roman" w:hAnsi="Times New Roman" w:cs="Times New Roman"/>
          <w:color w:val="1F1F1F"/>
          <w:sz w:val="24"/>
          <w:szCs w:val="24"/>
        </w:rPr>
      </w:pPr>
      <w:r w:rsidRPr="006F2CD0">
        <w:rPr>
          <w:rFonts w:ascii="Times New Roman" w:hAnsi="Times New Roman" w:cs="Times New Roman"/>
          <w:color w:val="1F1F1F"/>
          <w:sz w:val="24"/>
          <w:szCs w:val="24"/>
        </w:rPr>
        <w:t>All the samples were taken in duplicate, and the repeatability was checked by a paired Student's </w:t>
      </w:r>
      <w:r w:rsidRPr="006F2CD0">
        <w:rPr>
          <w:rStyle w:val="Emphasis"/>
          <w:rFonts w:ascii="Times New Roman" w:hAnsi="Times New Roman" w:cs="Times New Roman"/>
          <w:color w:val="1F1F1F"/>
          <w:sz w:val="24"/>
          <w:szCs w:val="24"/>
        </w:rPr>
        <w:t>t</w:t>
      </w:r>
      <w:r w:rsidRPr="006F2CD0">
        <w:rPr>
          <w:rFonts w:ascii="Times New Roman" w:hAnsi="Times New Roman" w:cs="Times New Roman"/>
          <w:color w:val="1F1F1F"/>
          <w:sz w:val="24"/>
          <w:szCs w:val="24"/>
        </w:rPr>
        <w:t>-test at a 95% confidence level. The data were summarised using descriptive analysis using SPSS 25 Software (IBM SPSS Inc., USA).</w:t>
      </w:r>
    </w:p>
    <w:p w14:paraId="125A262B" w14:textId="41A91F6B" w:rsidR="006A5643" w:rsidRPr="006F2CD0" w:rsidRDefault="006A5643" w:rsidP="006A564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color w:val="FF0000"/>
          <w:sz w:val="24"/>
          <w:szCs w:val="24"/>
          <w:lang w:eastAsia="en-GB"/>
        </w:rPr>
      </w:pPr>
      <w:r w:rsidRPr="006F2CD0">
        <w:rPr>
          <w:rFonts w:ascii="Times New Roman" w:hAnsi="Times New Roman" w:cs="Times New Roman"/>
          <w:color w:val="FF0000"/>
          <w:sz w:val="24"/>
          <w:szCs w:val="24"/>
        </w:rPr>
        <w:t xml:space="preserve">Clarify the </w:t>
      </w:r>
      <w:r w:rsidRPr="006F2CD0">
        <w:rPr>
          <w:rStyle w:val="Strong"/>
          <w:rFonts w:ascii="Times New Roman" w:hAnsi="Times New Roman" w:cs="Times New Roman"/>
          <w:color w:val="FF0000"/>
          <w:sz w:val="24"/>
          <w:szCs w:val="24"/>
        </w:rPr>
        <w:t>statistical methods</w:t>
      </w:r>
      <w:r w:rsidRPr="006F2CD0">
        <w:rPr>
          <w:rFonts w:ascii="Times New Roman" w:hAnsi="Times New Roman" w:cs="Times New Roman"/>
          <w:color w:val="FF0000"/>
          <w:sz w:val="24"/>
          <w:szCs w:val="24"/>
        </w:rPr>
        <w:t xml:space="preserve"> beyond descriptive analysis—multivariate analyses such as PCA or correlation clustering could enhance interpretation.</w:t>
      </w:r>
    </w:p>
    <w:p w14:paraId="1DB71F5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 xml:space="preserve">3.0 Results and Discussion </w:t>
      </w:r>
    </w:p>
    <w:p w14:paraId="1539196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 Results</w:t>
      </w:r>
    </w:p>
    <w:p w14:paraId="4A8F657F"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3.1.1 Physicochemical Characteristics of Sediments</w:t>
      </w:r>
    </w:p>
    <w:p w14:paraId="7A358902"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physicochemical properties of surface sediments from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are summarised in Table 1. The sediment pH values ranged from 6.32 to 7.88 (mean = 7.01 ± 0.38), indicating slightly acidic to near-neutral conditions, which favour metal adsorption and stability. Electrical conductivity (EC) of sediments ranged from 211 to 496 µS cm</w:t>
      </w:r>
      <w:r w:rsidRPr="006F2CD0">
        <w:rPr>
          <w:rFonts w:ascii="Times New Roman" w:eastAsia="Times New Roman" w:hAnsi="Times New Roman" w:cs="Times New Roman"/>
          <w:sz w:val="24"/>
          <w:szCs w:val="24"/>
          <w:vertAlign w:val="superscript"/>
          <w:lang w:eastAsia="en-GB"/>
        </w:rPr>
        <w:t>-1</w:t>
      </w:r>
      <w:r w:rsidRPr="006F2CD0">
        <w:rPr>
          <w:rFonts w:ascii="Times New Roman" w:eastAsia="Times New Roman" w:hAnsi="Times New Roman" w:cs="Times New Roman"/>
          <w:sz w:val="24"/>
          <w:szCs w:val="24"/>
          <w:lang w:eastAsia="en-GB"/>
        </w:rPr>
        <w:t xml:space="preserve"> (mean = 312 ± 71 µS cm-1), indicative of moderate to high ionic strength due to tidal mixing and the presence of dissolved salts. Total organic carbon (TOC) content varied from 1.45 to 3.62% (mean = 2.54 ± 0.56%), indicating moderate organic enrichment, which can enhance the complexation and retention of metals in the sediment phase. Particle-size distribution showed that sediments were composed principally of fine fractions, with silts (34.8–51.6%, mean = 42.7 ± 4.5%) and clays (14.2–28.6%, mean = 20.7 ± 3.9%) together exceeding 60% of the bulk deposition. The predominance of fine fractions indicates a correspondingly high cation-exchange capacity and adsorption capacity for trace metals, consistent with estuarine hydrodynamics, characterised by low-energy depositional environments.</w:t>
      </w:r>
    </w:p>
    <w:p w14:paraId="72D603B1"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proofErr w:type="gramStart"/>
      <w:r w:rsidRPr="006F2CD0">
        <w:rPr>
          <w:rFonts w:ascii="Times New Roman" w:eastAsia="Times New Roman" w:hAnsi="Times New Roman" w:cs="Times New Roman"/>
          <w:b/>
          <w:bCs/>
          <w:sz w:val="24"/>
          <w:szCs w:val="24"/>
          <w:lang w:eastAsia="en-GB"/>
        </w:rPr>
        <w:t>Table 1.</w:t>
      </w:r>
      <w:proofErr w:type="gramEnd"/>
      <w:r w:rsidRPr="006F2CD0">
        <w:rPr>
          <w:rFonts w:ascii="Times New Roman" w:eastAsia="Times New Roman" w:hAnsi="Times New Roman" w:cs="Times New Roman"/>
          <w:b/>
          <w:bCs/>
          <w:sz w:val="24"/>
          <w:szCs w:val="24"/>
          <w:lang w:eastAsia="en-GB"/>
        </w:rPr>
        <w:t xml:space="preserve"> Physicochemical characteristics of surface sediments from Qua </w:t>
      </w:r>
      <w:proofErr w:type="spellStart"/>
      <w:r w:rsidRPr="006F2CD0">
        <w:rPr>
          <w:rFonts w:ascii="Times New Roman" w:eastAsia="Times New Roman" w:hAnsi="Times New Roman" w:cs="Times New Roman"/>
          <w:b/>
          <w:bCs/>
          <w:sz w:val="24"/>
          <w:szCs w:val="24"/>
          <w:lang w:eastAsia="en-GB"/>
        </w:rPr>
        <w:t>Iboe</w:t>
      </w:r>
      <w:proofErr w:type="spellEnd"/>
      <w:r w:rsidRPr="006F2CD0">
        <w:rPr>
          <w:rFonts w:ascii="Times New Roman" w:eastAsia="Times New Roman" w:hAnsi="Times New Roman" w:cs="Times New Roman"/>
          <w:b/>
          <w:bCs/>
          <w:sz w:val="24"/>
          <w:szCs w:val="24"/>
          <w:lang w:eastAsia="en-GB"/>
        </w:rPr>
        <w:t xml:space="preserve"> River Estuary</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3253"/>
        <w:gridCol w:w="1425"/>
        <w:gridCol w:w="1559"/>
        <w:gridCol w:w="3261"/>
      </w:tblGrid>
      <w:tr w:rsidR="00117BBB" w:rsidRPr="006F2CD0" w14:paraId="4E80D5B0" w14:textId="77777777" w:rsidTr="0010061F">
        <w:trPr>
          <w:tblHeader/>
          <w:tblCellSpacing w:w="15" w:type="dxa"/>
        </w:trPr>
        <w:tc>
          <w:tcPr>
            <w:tcW w:w="0" w:type="auto"/>
            <w:vAlign w:val="center"/>
            <w:hideMark/>
          </w:tcPr>
          <w:p w14:paraId="175881C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Parameter</w:t>
            </w:r>
          </w:p>
        </w:tc>
        <w:tc>
          <w:tcPr>
            <w:tcW w:w="1395" w:type="dxa"/>
            <w:vAlign w:val="center"/>
            <w:hideMark/>
          </w:tcPr>
          <w:p w14:paraId="39779F76"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Range</w:t>
            </w:r>
          </w:p>
        </w:tc>
        <w:tc>
          <w:tcPr>
            <w:tcW w:w="1529" w:type="dxa"/>
            <w:vAlign w:val="center"/>
            <w:hideMark/>
          </w:tcPr>
          <w:p w14:paraId="3D2D487C"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Mean ± SD</w:t>
            </w:r>
          </w:p>
        </w:tc>
        <w:tc>
          <w:tcPr>
            <w:tcW w:w="3216" w:type="dxa"/>
            <w:vAlign w:val="center"/>
            <w:hideMark/>
          </w:tcPr>
          <w:p w14:paraId="0D4295FD"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Remarks</w:t>
            </w:r>
          </w:p>
        </w:tc>
      </w:tr>
      <w:tr w:rsidR="00117BBB" w:rsidRPr="006F2CD0" w14:paraId="14E5126F" w14:textId="77777777" w:rsidTr="0010061F">
        <w:trPr>
          <w:tblCellSpacing w:w="15" w:type="dxa"/>
        </w:trPr>
        <w:tc>
          <w:tcPr>
            <w:tcW w:w="0" w:type="auto"/>
            <w:vAlign w:val="center"/>
            <w:hideMark/>
          </w:tcPr>
          <w:p w14:paraId="3F92A56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pH</w:t>
            </w:r>
          </w:p>
        </w:tc>
        <w:tc>
          <w:tcPr>
            <w:tcW w:w="1395" w:type="dxa"/>
            <w:vAlign w:val="center"/>
            <w:hideMark/>
          </w:tcPr>
          <w:p w14:paraId="77E0C39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6.32–7.88</w:t>
            </w:r>
          </w:p>
        </w:tc>
        <w:tc>
          <w:tcPr>
            <w:tcW w:w="1529" w:type="dxa"/>
            <w:vAlign w:val="center"/>
            <w:hideMark/>
          </w:tcPr>
          <w:p w14:paraId="04BCBA9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7.01 ± 0.38</w:t>
            </w:r>
          </w:p>
        </w:tc>
        <w:tc>
          <w:tcPr>
            <w:tcW w:w="3216" w:type="dxa"/>
            <w:vAlign w:val="center"/>
            <w:hideMark/>
          </w:tcPr>
          <w:p w14:paraId="574F365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Slightly acidic to neutral</w:t>
            </w:r>
          </w:p>
        </w:tc>
      </w:tr>
      <w:tr w:rsidR="00117BBB" w:rsidRPr="006F2CD0" w14:paraId="2E673B82" w14:textId="77777777" w:rsidTr="0010061F">
        <w:trPr>
          <w:tblCellSpacing w:w="15" w:type="dxa"/>
        </w:trPr>
        <w:tc>
          <w:tcPr>
            <w:tcW w:w="0" w:type="auto"/>
            <w:vAlign w:val="center"/>
            <w:hideMark/>
          </w:tcPr>
          <w:p w14:paraId="3300E9D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Electrical conductivity (µS cm⁻¹)</w:t>
            </w:r>
          </w:p>
        </w:tc>
        <w:tc>
          <w:tcPr>
            <w:tcW w:w="1395" w:type="dxa"/>
            <w:vAlign w:val="center"/>
            <w:hideMark/>
          </w:tcPr>
          <w:p w14:paraId="4517BBD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211–496</w:t>
            </w:r>
          </w:p>
        </w:tc>
        <w:tc>
          <w:tcPr>
            <w:tcW w:w="1529" w:type="dxa"/>
            <w:vAlign w:val="center"/>
            <w:hideMark/>
          </w:tcPr>
          <w:p w14:paraId="3A8D0B2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312 ± 71</w:t>
            </w:r>
          </w:p>
        </w:tc>
        <w:tc>
          <w:tcPr>
            <w:tcW w:w="3216" w:type="dxa"/>
            <w:vAlign w:val="center"/>
            <w:hideMark/>
          </w:tcPr>
          <w:p w14:paraId="4FF2BDC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Moderate ionic strength</w:t>
            </w:r>
          </w:p>
        </w:tc>
      </w:tr>
      <w:tr w:rsidR="00117BBB" w:rsidRPr="006F2CD0" w14:paraId="7C0F1B37" w14:textId="77777777" w:rsidTr="0010061F">
        <w:trPr>
          <w:tblCellSpacing w:w="15" w:type="dxa"/>
        </w:trPr>
        <w:tc>
          <w:tcPr>
            <w:tcW w:w="0" w:type="auto"/>
            <w:vAlign w:val="center"/>
            <w:hideMark/>
          </w:tcPr>
          <w:p w14:paraId="4962B74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Total organic carbon (%)</w:t>
            </w:r>
          </w:p>
        </w:tc>
        <w:tc>
          <w:tcPr>
            <w:tcW w:w="1395" w:type="dxa"/>
            <w:vAlign w:val="center"/>
            <w:hideMark/>
          </w:tcPr>
          <w:p w14:paraId="6B1D07F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1.45–3.62</w:t>
            </w:r>
          </w:p>
        </w:tc>
        <w:tc>
          <w:tcPr>
            <w:tcW w:w="1529" w:type="dxa"/>
            <w:vAlign w:val="center"/>
            <w:hideMark/>
          </w:tcPr>
          <w:p w14:paraId="53C74FE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2.54 ± 0.56</w:t>
            </w:r>
          </w:p>
        </w:tc>
        <w:tc>
          <w:tcPr>
            <w:tcW w:w="3216" w:type="dxa"/>
            <w:vAlign w:val="center"/>
            <w:hideMark/>
          </w:tcPr>
          <w:p w14:paraId="2051C56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Enhances metal complexation</w:t>
            </w:r>
          </w:p>
        </w:tc>
      </w:tr>
      <w:tr w:rsidR="00117BBB" w:rsidRPr="006F2CD0" w14:paraId="6FE16431" w14:textId="77777777" w:rsidTr="0010061F">
        <w:trPr>
          <w:tblCellSpacing w:w="15" w:type="dxa"/>
        </w:trPr>
        <w:tc>
          <w:tcPr>
            <w:tcW w:w="0" w:type="auto"/>
            <w:vAlign w:val="center"/>
            <w:hideMark/>
          </w:tcPr>
          <w:p w14:paraId="6A94178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Clay (%)</w:t>
            </w:r>
          </w:p>
        </w:tc>
        <w:tc>
          <w:tcPr>
            <w:tcW w:w="1395" w:type="dxa"/>
            <w:vAlign w:val="center"/>
            <w:hideMark/>
          </w:tcPr>
          <w:p w14:paraId="4E5743F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14.2–28.6</w:t>
            </w:r>
          </w:p>
        </w:tc>
        <w:tc>
          <w:tcPr>
            <w:tcW w:w="1529" w:type="dxa"/>
            <w:vAlign w:val="center"/>
            <w:hideMark/>
          </w:tcPr>
          <w:p w14:paraId="04D78E9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20.7 ± 3.9</w:t>
            </w:r>
          </w:p>
        </w:tc>
        <w:tc>
          <w:tcPr>
            <w:tcW w:w="3216" w:type="dxa"/>
            <w:vAlign w:val="center"/>
            <w:hideMark/>
          </w:tcPr>
          <w:p w14:paraId="5C84DB6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Increases cation-exchange capacity</w:t>
            </w:r>
          </w:p>
        </w:tc>
      </w:tr>
      <w:tr w:rsidR="00117BBB" w:rsidRPr="006F2CD0" w14:paraId="7BA71C3B" w14:textId="77777777" w:rsidTr="0010061F">
        <w:trPr>
          <w:tblCellSpacing w:w="15" w:type="dxa"/>
        </w:trPr>
        <w:tc>
          <w:tcPr>
            <w:tcW w:w="0" w:type="auto"/>
            <w:vAlign w:val="center"/>
            <w:hideMark/>
          </w:tcPr>
          <w:p w14:paraId="34CD95F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Silt (%)</w:t>
            </w:r>
          </w:p>
        </w:tc>
        <w:tc>
          <w:tcPr>
            <w:tcW w:w="1395" w:type="dxa"/>
            <w:vAlign w:val="center"/>
            <w:hideMark/>
          </w:tcPr>
          <w:p w14:paraId="4DFF5A2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34.8–51.6</w:t>
            </w:r>
          </w:p>
        </w:tc>
        <w:tc>
          <w:tcPr>
            <w:tcW w:w="1529" w:type="dxa"/>
            <w:vAlign w:val="center"/>
            <w:hideMark/>
          </w:tcPr>
          <w:p w14:paraId="58319AA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42.7 ± 4.5</w:t>
            </w:r>
          </w:p>
        </w:tc>
        <w:tc>
          <w:tcPr>
            <w:tcW w:w="3216" w:type="dxa"/>
            <w:vAlign w:val="center"/>
            <w:hideMark/>
          </w:tcPr>
          <w:p w14:paraId="0207ADE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Dominant fine fraction</w:t>
            </w:r>
          </w:p>
        </w:tc>
      </w:tr>
      <w:tr w:rsidR="00117BBB" w:rsidRPr="006F2CD0" w14:paraId="10EB2972" w14:textId="77777777" w:rsidTr="0010061F">
        <w:trPr>
          <w:tblCellSpacing w:w="15" w:type="dxa"/>
        </w:trPr>
        <w:tc>
          <w:tcPr>
            <w:tcW w:w="0" w:type="auto"/>
            <w:vAlign w:val="center"/>
            <w:hideMark/>
          </w:tcPr>
          <w:p w14:paraId="54F2EEC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Sand (%)</w:t>
            </w:r>
          </w:p>
        </w:tc>
        <w:tc>
          <w:tcPr>
            <w:tcW w:w="1395" w:type="dxa"/>
            <w:vAlign w:val="center"/>
            <w:hideMark/>
          </w:tcPr>
          <w:p w14:paraId="06C050D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25.3–48.7</w:t>
            </w:r>
          </w:p>
        </w:tc>
        <w:tc>
          <w:tcPr>
            <w:tcW w:w="1529" w:type="dxa"/>
            <w:vAlign w:val="center"/>
            <w:hideMark/>
          </w:tcPr>
          <w:p w14:paraId="1AEA398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36.6 ± 5.7</w:t>
            </w:r>
          </w:p>
        </w:tc>
        <w:tc>
          <w:tcPr>
            <w:tcW w:w="3216" w:type="dxa"/>
            <w:vAlign w:val="center"/>
            <w:hideMark/>
          </w:tcPr>
          <w:p w14:paraId="26AE89D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Reflects hydrodynamic sorting</w:t>
            </w:r>
          </w:p>
        </w:tc>
      </w:tr>
    </w:tbl>
    <w:p w14:paraId="28A1A533"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3.1.2 Total Concentrations of Heavy Metals</w:t>
      </w:r>
    </w:p>
    <w:p w14:paraId="5C4B6480"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Table 2 shows the concentrations of heavy metals in surface sediment from the 10 sampling stations. The mean concentrations of metals (mg kg⁻¹ dry weight) decreased in the sequence Fe (41 285) &gt; Mn (648) &gt; Zn (152) &gt; Cu (88) &gt; Cr (66) &gt; Pb (44) &gt; Ni (22) &gt; Cd (1.6). The metals were most concentrated in iron and manganese, reflecting their lithogenic nature of origin and their association with Fe–Mn oxides and clay minerals. Moderate concentrations of zinc, copper, and chromium suggest a natural and anthropogenic mixed origin, probably due to boat maintenance, combustion of oil-</w:t>
      </w:r>
      <w:proofErr w:type="spellStart"/>
      <w:r w:rsidRPr="006F2CD0">
        <w:rPr>
          <w:rFonts w:ascii="Times New Roman" w:eastAsia="Times New Roman" w:hAnsi="Times New Roman" w:cs="Times New Roman"/>
          <w:sz w:val="24"/>
          <w:szCs w:val="24"/>
          <w:lang w:eastAsia="en-GB"/>
        </w:rPr>
        <w:t>fueled</w:t>
      </w:r>
      <w:proofErr w:type="spellEnd"/>
      <w:r w:rsidRPr="006F2CD0">
        <w:rPr>
          <w:rFonts w:ascii="Times New Roman" w:eastAsia="Times New Roman" w:hAnsi="Times New Roman" w:cs="Times New Roman"/>
          <w:sz w:val="24"/>
          <w:szCs w:val="24"/>
          <w:lang w:eastAsia="en-GB"/>
        </w:rPr>
        <w:t xml:space="preserve"> engines, and industrial effluents. The environmental concentrations of lead and cadmium showed an increased concentration at the downstream stations (S4–S6) and are indicative of enrichment due to petroleum operations, fishing activity or domestic waste discharges. The concentration of cadmium of 1.6 mg kg⁻¹ exceeded the average shale background (0.3 mg kg⁻¹) and indicates some possible contamination, while concentrations of lead are at concentrations near the threshold effect concentration of 35 mg kg⁻¹ NOAA [2023].</w:t>
      </w:r>
    </w:p>
    <w:p w14:paraId="535B6D92"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proofErr w:type="gramStart"/>
      <w:r w:rsidRPr="006F2CD0">
        <w:rPr>
          <w:rFonts w:ascii="Times New Roman" w:eastAsia="Times New Roman" w:hAnsi="Times New Roman" w:cs="Times New Roman"/>
          <w:b/>
          <w:bCs/>
          <w:sz w:val="24"/>
          <w:szCs w:val="24"/>
          <w:lang w:eastAsia="en-GB"/>
        </w:rPr>
        <w:t>Table 2.</w:t>
      </w:r>
      <w:proofErr w:type="gramEnd"/>
      <w:r w:rsidRPr="006F2CD0">
        <w:rPr>
          <w:rFonts w:ascii="Times New Roman" w:eastAsia="Times New Roman" w:hAnsi="Times New Roman" w:cs="Times New Roman"/>
          <w:b/>
          <w:bCs/>
          <w:sz w:val="24"/>
          <w:szCs w:val="24"/>
          <w:lang w:eastAsia="en-GB"/>
        </w:rPr>
        <w:t xml:space="preserve"> Total concentrations of heavy metals (mg kg⁻¹ dry weight) in surface sediments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512"/>
        <w:gridCol w:w="912"/>
        <w:gridCol w:w="972"/>
        <w:gridCol w:w="852"/>
        <w:gridCol w:w="852"/>
        <w:gridCol w:w="852"/>
        <w:gridCol w:w="852"/>
        <w:gridCol w:w="927"/>
      </w:tblGrid>
      <w:tr w:rsidR="00117BBB" w:rsidRPr="006F2CD0" w14:paraId="5347F3F7" w14:textId="77777777" w:rsidTr="0010061F">
        <w:trPr>
          <w:tblHeader/>
          <w:tblCellSpacing w:w="15" w:type="dxa"/>
        </w:trPr>
        <w:tc>
          <w:tcPr>
            <w:tcW w:w="0" w:type="auto"/>
            <w:vAlign w:val="center"/>
            <w:hideMark/>
          </w:tcPr>
          <w:p w14:paraId="7587698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Station</w:t>
            </w:r>
          </w:p>
        </w:tc>
        <w:tc>
          <w:tcPr>
            <w:tcW w:w="0" w:type="auto"/>
            <w:vAlign w:val="center"/>
            <w:hideMark/>
          </w:tcPr>
          <w:p w14:paraId="66E86B0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Fe</w:t>
            </w:r>
          </w:p>
        </w:tc>
        <w:tc>
          <w:tcPr>
            <w:tcW w:w="0" w:type="auto"/>
            <w:vAlign w:val="center"/>
            <w:hideMark/>
          </w:tcPr>
          <w:p w14:paraId="7D5F1002"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Mn</w:t>
            </w:r>
          </w:p>
        </w:tc>
        <w:tc>
          <w:tcPr>
            <w:tcW w:w="0" w:type="auto"/>
            <w:vAlign w:val="center"/>
            <w:hideMark/>
          </w:tcPr>
          <w:p w14:paraId="42F61177"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Zn</w:t>
            </w:r>
          </w:p>
        </w:tc>
        <w:tc>
          <w:tcPr>
            <w:tcW w:w="0" w:type="auto"/>
            <w:vAlign w:val="center"/>
            <w:hideMark/>
          </w:tcPr>
          <w:p w14:paraId="7508DC11"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Cu</w:t>
            </w:r>
          </w:p>
        </w:tc>
        <w:tc>
          <w:tcPr>
            <w:tcW w:w="0" w:type="auto"/>
            <w:vAlign w:val="center"/>
            <w:hideMark/>
          </w:tcPr>
          <w:p w14:paraId="6FEF703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Cr</w:t>
            </w:r>
          </w:p>
        </w:tc>
        <w:tc>
          <w:tcPr>
            <w:tcW w:w="0" w:type="auto"/>
            <w:vAlign w:val="center"/>
            <w:hideMark/>
          </w:tcPr>
          <w:p w14:paraId="4FB0A12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Pb</w:t>
            </w:r>
          </w:p>
        </w:tc>
        <w:tc>
          <w:tcPr>
            <w:tcW w:w="0" w:type="auto"/>
            <w:vAlign w:val="center"/>
            <w:hideMark/>
          </w:tcPr>
          <w:p w14:paraId="462357C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Ni</w:t>
            </w:r>
          </w:p>
        </w:tc>
        <w:tc>
          <w:tcPr>
            <w:tcW w:w="0" w:type="auto"/>
            <w:vAlign w:val="center"/>
            <w:hideMark/>
          </w:tcPr>
          <w:p w14:paraId="54EAEB0B"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Cd</w:t>
            </w:r>
          </w:p>
        </w:tc>
      </w:tr>
      <w:tr w:rsidR="00117BBB" w:rsidRPr="006F2CD0" w14:paraId="7DA9213F" w14:textId="77777777" w:rsidTr="0010061F">
        <w:trPr>
          <w:tblCellSpacing w:w="15" w:type="dxa"/>
        </w:trPr>
        <w:tc>
          <w:tcPr>
            <w:tcW w:w="0" w:type="auto"/>
            <w:vAlign w:val="center"/>
            <w:hideMark/>
          </w:tcPr>
          <w:p w14:paraId="0A6724F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S1</w:t>
            </w:r>
          </w:p>
        </w:tc>
        <w:tc>
          <w:tcPr>
            <w:tcW w:w="0" w:type="auto"/>
            <w:vAlign w:val="center"/>
            <w:hideMark/>
          </w:tcPr>
          <w:p w14:paraId="3201261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41 240</w:t>
            </w:r>
          </w:p>
        </w:tc>
        <w:tc>
          <w:tcPr>
            <w:tcW w:w="0" w:type="auto"/>
            <w:vAlign w:val="center"/>
            <w:hideMark/>
          </w:tcPr>
          <w:p w14:paraId="711E1EF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578</w:t>
            </w:r>
          </w:p>
        </w:tc>
        <w:tc>
          <w:tcPr>
            <w:tcW w:w="0" w:type="auto"/>
            <w:vAlign w:val="center"/>
            <w:hideMark/>
          </w:tcPr>
          <w:p w14:paraId="2B96937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143</w:t>
            </w:r>
          </w:p>
        </w:tc>
        <w:tc>
          <w:tcPr>
            <w:tcW w:w="0" w:type="auto"/>
            <w:vAlign w:val="center"/>
            <w:hideMark/>
          </w:tcPr>
          <w:p w14:paraId="4AA41CD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77</w:t>
            </w:r>
          </w:p>
        </w:tc>
        <w:tc>
          <w:tcPr>
            <w:tcW w:w="0" w:type="auto"/>
            <w:vAlign w:val="center"/>
            <w:hideMark/>
          </w:tcPr>
          <w:p w14:paraId="14F2369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61</w:t>
            </w:r>
          </w:p>
        </w:tc>
        <w:tc>
          <w:tcPr>
            <w:tcW w:w="0" w:type="auto"/>
            <w:vAlign w:val="center"/>
            <w:hideMark/>
          </w:tcPr>
          <w:p w14:paraId="2B24652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40</w:t>
            </w:r>
          </w:p>
        </w:tc>
        <w:tc>
          <w:tcPr>
            <w:tcW w:w="0" w:type="auto"/>
            <w:vAlign w:val="center"/>
            <w:hideMark/>
          </w:tcPr>
          <w:p w14:paraId="2E49EC3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19</w:t>
            </w:r>
          </w:p>
        </w:tc>
        <w:tc>
          <w:tcPr>
            <w:tcW w:w="0" w:type="auto"/>
            <w:vAlign w:val="center"/>
            <w:hideMark/>
          </w:tcPr>
          <w:p w14:paraId="64F7489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1.2</w:t>
            </w:r>
          </w:p>
        </w:tc>
      </w:tr>
      <w:tr w:rsidR="00117BBB" w:rsidRPr="006F2CD0" w14:paraId="0E5C6D39" w14:textId="77777777" w:rsidTr="0010061F">
        <w:trPr>
          <w:tblCellSpacing w:w="15" w:type="dxa"/>
        </w:trPr>
        <w:tc>
          <w:tcPr>
            <w:tcW w:w="0" w:type="auto"/>
            <w:vAlign w:val="center"/>
            <w:hideMark/>
          </w:tcPr>
          <w:p w14:paraId="5C6D5DE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S2</w:t>
            </w:r>
          </w:p>
        </w:tc>
        <w:tc>
          <w:tcPr>
            <w:tcW w:w="0" w:type="auto"/>
            <w:vAlign w:val="center"/>
            <w:hideMark/>
          </w:tcPr>
          <w:p w14:paraId="6AB8560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42 180</w:t>
            </w:r>
          </w:p>
        </w:tc>
        <w:tc>
          <w:tcPr>
            <w:tcW w:w="0" w:type="auto"/>
            <w:vAlign w:val="center"/>
            <w:hideMark/>
          </w:tcPr>
          <w:p w14:paraId="3CC97F6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621</w:t>
            </w:r>
          </w:p>
        </w:tc>
        <w:tc>
          <w:tcPr>
            <w:tcW w:w="0" w:type="auto"/>
            <w:vAlign w:val="center"/>
            <w:hideMark/>
          </w:tcPr>
          <w:p w14:paraId="192A182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152</w:t>
            </w:r>
          </w:p>
        </w:tc>
        <w:tc>
          <w:tcPr>
            <w:tcW w:w="0" w:type="auto"/>
            <w:vAlign w:val="center"/>
            <w:hideMark/>
          </w:tcPr>
          <w:p w14:paraId="7EED08F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89</w:t>
            </w:r>
          </w:p>
        </w:tc>
        <w:tc>
          <w:tcPr>
            <w:tcW w:w="0" w:type="auto"/>
            <w:vAlign w:val="center"/>
            <w:hideMark/>
          </w:tcPr>
          <w:p w14:paraId="667E27E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64</w:t>
            </w:r>
          </w:p>
        </w:tc>
        <w:tc>
          <w:tcPr>
            <w:tcW w:w="0" w:type="auto"/>
            <w:vAlign w:val="center"/>
            <w:hideMark/>
          </w:tcPr>
          <w:p w14:paraId="10CC9A1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43</w:t>
            </w:r>
          </w:p>
        </w:tc>
        <w:tc>
          <w:tcPr>
            <w:tcW w:w="0" w:type="auto"/>
            <w:vAlign w:val="center"/>
            <w:hideMark/>
          </w:tcPr>
          <w:p w14:paraId="144106E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w:t>
            </w:r>
          </w:p>
        </w:tc>
        <w:tc>
          <w:tcPr>
            <w:tcW w:w="0" w:type="auto"/>
            <w:vAlign w:val="center"/>
            <w:hideMark/>
          </w:tcPr>
          <w:p w14:paraId="1DB39B6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w:t>
            </w:r>
          </w:p>
        </w:tc>
      </w:tr>
      <w:tr w:rsidR="00117BBB" w:rsidRPr="006F2CD0" w14:paraId="78E72683" w14:textId="77777777" w:rsidTr="0010061F">
        <w:trPr>
          <w:tblCellSpacing w:w="15" w:type="dxa"/>
        </w:trPr>
        <w:tc>
          <w:tcPr>
            <w:tcW w:w="0" w:type="auto"/>
            <w:vAlign w:val="center"/>
            <w:hideMark/>
          </w:tcPr>
          <w:p w14:paraId="0AD6D1C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S3</w:t>
            </w:r>
          </w:p>
        </w:tc>
        <w:tc>
          <w:tcPr>
            <w:tcW w:w="0" w:type="auto"/>
            <w:vAlign w:val="center"/>
            <w:hideMark/>
          </w:tcPr>
          <w:p w14:paraId="6E3B010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39 830</w:t>
            </w:r>
          </w:p>
        </w:tc>
        <w:tc>
          <w:tcPr>
            <w:tcW w:w="0" w:type="auto"/>
            <w:vAlign w:val="center"/>
            <w:hideMark/>
          </w:tcPr>
          <w:p w14:paraId="68A46BA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614</w:t>
            </w:r>
          </w:p>
        </w:tc>
        <w:tc>
          <w:tcPr>
            <w:tcW w:w="0" w:type="auto"/>
            <w:vAlign w:val="center"/>
            <w:hideMark/>
          </w:tcPr>
          <w:p w14:paraId="06C298F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149</w:t>
            </w:r>
          </w:p>
        </w:tc>
        <w:tc>
          <w:tcPr>
            <w:tcW w:w="0" w:type="auto"/>
            <w:vAlign w:val="center"/>
            <w:hideMark/>
          </w:tcPr>
          <w:p w14:paraId="7274325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84</w:t>
            </w:r>
          </w:p>
        </w:tc>
        <w:tc>
          <w:tcPr>
            <w:tcW w:w="0" w:type="auto"/>
            <w:vAlign w:val="center"/>
            <w:hideMark/>
          </w:tcPr>
          <w:p w14:paraId="6EBD482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66</w:t>
            </w:r>
          </w:p>
        </w:tc>
        <w:tc>
          <w:tcPr>
            <w:tcW w:w="0" w:type="auto"/>
            <w:vAlign w:val="center"/>
            <w:hideMark/>
          </w:tcPr>
          <w:p w14:paraId="6E8580F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41</w:t>
            </w:r>
          </w:p>
        </w:tc>
        <w:tc>
          <w:tcPr>
            <w:tcW w:w="0" w:type="auto"/>
            <w:vAlign w:val="center"/>
            <w:hideMark/>
          </w:tcPr>
          <w:p w14:paraId="12B26A1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18</w:t>
            </w:r>
          </w:p>
        </w:tc>
        <w:tc>
          <w:tcPr>
            <w:tcW w:w="0" w:type="auto"/>
            <w:vAlign w:val="center"/>
            <w:hideMark/>
          </w:tcPr>
          <w:p w14:paraId="619DAC4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1.6</w:t>
            </w:r>
          </w:p>
        </w:tc>
      </w:tr>
      <w:tr w:rsidR="00117BBB" w:rsidRPr="006F2CD0" w14:paraId="0A069CC3" w14:textId="77777777" w:rsidTr="0010061F">
        <w:trPr>
          <w:tblCellSpacing w:w="15" w:type="dxa"/>
        </w:trPr>
        <w:tc>
          <w:tcPr>
            <w:tcW w:w="0" w:type="auto"/>
            <w:vAlign w:val="center"/>
            <w:hideMark/>
          </w:tcPr>
          <w:p w14:paraId="56BD600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S4</w:t>
            </w:r>
          </w:p>
        </w:tc>
        <w:tc>
          <w:tcPr>
            <w:tcW w:w="0" w:type="auto"/>
            <w:vAlign w:val="center"/>
            <w:hideMark/>
          </w:tcPr>
          <w:p w14:paraId="3A1AEBA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41 960</w:t>
            </w:r>
          </w:p>
        </w:tc>
        <w:tc>
          <w:tcPr>
            <w:tcW w:w="0" w:type="auto"/>
            <w:vAlign w:val="center"/>
            <w:hideMark/>
          </w:tcPr>
          <w:p w14:paraId="35CF351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658</w:t>
            </w:r>
          </w:p>
        </w:tc>
        <w:tc>
          <w:tcPr>
            <w:tcW w:w="0" w:type="auto"/>
            <w:vAlign w:val="center"/>
            <w:hideMark/>
          </w:tcPr>
          <w:p w14:paraId="6934A1D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159</w:t>
            </w:r>
          </w:p>
        </w:tc>
        <w:tc>
          <w:tcPr>
            <w:tcW w:w="0" w:type="auto"/>
            <w:vAlign w:val="center"/>
            <w:hideMark/>
          </w:tcPr>
          <w:p w14:paraId="2332E52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91</w:t>
            </w:r>
          </w:p>
        </w:tc>
        <w:tc>
          <w:tcPr>
            <w:tcW w:w="0" w:type="auto"/>
            <w:vAlign w:val="center"/>
            <w:hideMark/>
          </w:tcPr>
          <w:p w14:paraId="728D7CF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69</w:t>
            </w:r>
          </w:p>
        </w:tc>
        <w:tc>
          <w:tcPr>
            <w:tcW w:w="0" w:type="auto"/>
            <w:vAlign w:val="center"/>
            <w:hideMark/>
          </w:tcPr>
          <w:p w14:paraId="38FF858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47</w:t>
            </w:r>
          </w:p>
        </w:tc>
        <w:tc>
          <w:tcPr>
            <w:tcW w:w="0" w:type="auto"/>
            <w:vAlign w:val="center"/>
            <w:hideMark/>
          </w:tcPr>
          <w:p w14:paraId="3DB2E45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21</w:t>
            </w:r>
          </w:p>
        </w:tc>
        <w:tc>
          <w:tcPr>
            <w:tcW w:w="0" w:type="auto"/>
            <w:vAlign w:val="center"/>
            <w:hideMark/>
          </w:tcPr>
          <w:p w14:paraId="12EF867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1.8</w:t>
            </w:r>
          </w:p>
        </w:tc>
      </w:tr>
      <w:tr w:rsidR="00117BBB" w:rsidRPr="006F2CD0" w14:paraId="3FA75AB9" w14:textId="77777777" w:rsidTr="0010061F">
        <w:trPr>
          <w:tblCellSpacing w:w="15" w:type="dxa"/>
        </w:trPr>
        <w:tc>
          <w:tcPr>
            <w:tcW w:w="0" w:type="auto"/>
            <w:vAlign w:val="center"/>
            <w:hideMark/>
          </w:tcPr>
          <w:p w14:paraId="3AB89F4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S5</w:t>
            </w:r>
          </w:p>
        </w:tc>
        <w:tc>
          <w:tcPr>
            <w:tcW w:w="0" w:type="auto"/>
            <w:vAlign w:val="center"/>
            <w:hideMark/>
          </w:tcPr>
          <w:p w14:paraId="57C3811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42 310</w:t>
            </w:r>
          </w:p>
        </w:tc>
        <w:tc>
          <w:tcPr>
            <w:tcW w:w="0" w:type="auto"/>
            <w:vAlign w:val="center"/>
            <w:hideMark/>
          </w:tcPr>
          <w:p w14:paraId="023B694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687</w:t>
            </w:r>
          </w:p>
        </w:tc>
        <w:tc>
          <w:tcPr>
            <w:tcW w:w="0" w:type="auto"/>
            <w:vAlign w:val="center"/>
            <w:hideMark/>
          </w:tcPr>
          <w:p w14:paraId="3C43A00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168</w:t>
            </w:r>
          </w:p>
        </w:tc>
        <w:tc>
          <w:tcPr>
            <w:tcW w:w="0" w:type="auto"/>
            <w:vAlign w:val="center"/>
            <w:hideMark/>
          </w:tcPr>
          <w:p w14:paraId="095F7D2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96</w:t>
            </w:r>
          </w:p>
        </w:tc>
        <w:tc>
          <w:tcPr>
            <w:tcW w:w="0" w:type="auto"/>
            <w:vAlign w:val="center"/>
            <w:hideMark/>
          </w:tcPr>
          <w:p w14:paraId="2F50D94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71</w:t>
            </w:r>
          </w:p>
        </w:tc>
        <w:tc>
          <w:tcPr>
            <w:tcW w:w="0" w:type="auto"/>
            <w:vAlign w:val="center"/>
            <w:hideMark/>
          </w:tcPr>
          <w:p w14:paraId="4BACFED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50</w:t>
            </w:r>
          </w:p>
        </w:tc>
        <w:tc>
          <w:tcPr>
            <w:tcW w:w="0" w:type="auto"/>
            <w:vAlign w:val="center"/>
            <w:hideMark/>
          </w:tcPr>
          <w:p w14:paraId="46B8795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23</w:t>
            </w:r>
          </w:p>
        </w:tc>
        <w:tc>
          <w:tcPr>
            <w:tcW w:w="0" w:type="auto"/>
            <w:vAlign w:val="center"/>
            <w:hideMark/>
          </w:tcPr>
          <w:p w14:paraId="2E1390D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w:t>
            </w:r>
          </w:p>
        </w:tc>
      </w:tr>
      <w:tr w:rsidR="00117BBB" w:rsidRPr="006F2CD0" w14:paraId="096756A2" w14:textId="77777777" w:rsidTr="0010061F">
        <w:trPr>
          <w:tblCellSpacing w:w="15" w:type="dxa"/>
        </w:trPr>
        <w:tc>
          <w:tcPr>
            <w:tcW w:w="0" w:type="auto"/>
            <w:vAlign w:val="center"/>
            <w:hideMark/>
          </w:tcPr>
          <w:p w14:paraId="125038E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S6</w:t>
            </w:r>
          </w:p>
        </w:tc>
        <w:tc>
          <w:tcPr>
            <w:tcW w:w="0" w:type="auto"/>
            <w:vAlign w:val="center"/>
            <w:hideMark/>
          </w:tcPr>
          <w:p w14:paraId="2AA403F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40 280</w:t>
            </w:r>
          </w:p>
        </w:tc>
        <w:tc>
          <w:tcPr>
            <w:tcW w:w="0" w:type="auto"/>
            <w:vAlign w:val="center"/>
            <w:hideMark/>
          </w:tcPr>
          <w:p w14:paraId="71399D0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632</w:t>
            </w:r>
          </w:p>
        </w:tc>
        <w:tc>
          <w:tcPr>
            <w:tcW w:w="0" w:type="auto"/>
            <w:vAlign w:val="center"/>
            <w:hideMark/>
          </w:tcPr>
          <w:p w14:paraId="4A4933F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151</w:t>
            </w:r>
          </w:p>
        </w:tc>
        <w:tc>
          <w:tcPr>
            <w:tcW w:w="0" w:type="auto"/>
            <w:vAlign w:val="center"/>
            <w:hideMark/>
          </w:tcPr>
          <w:p w14:paraId="755C37D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85</w:t>
            </w:r>
          </w:p>
        </w:tc>
        <w:tc>
          <w:tcPr>
            <w:tcW w:w="0" w:type="auto"/>
            <w:vAlign w:val="center"/>
            <w:hideMark/>
          </w:tcPr>
          <w:p w14:paraId="6DD81A0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63</w:t>
            </w:r>
          </w:p>
        </w:tc>
        <w:tc>
          <w:tcPr>
            <w:tcW w:w="0" w:type="auto"/>
            <w:vAlign w:val="center"/>
            <w:hideMark/>
          </w:tcPr>
          <w:p w14:paraId="166AC15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44</w:t>
            </w:r>
          </w:p>
        </w:tc>
        <w:tc>
          <w:tcPr>
            <w:tcW w:w="0" w:type="auto"/>
            <w:vAlign w:val="center"/>
            <w:hideMark/>
          </w:tcPr>
          <w:p w14:paraId="18877E1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19</w:t>
            </w:r>
          </w:p>
        </w:tc>
        <w:tc>
          <w:tcPr>
            <w:tcW w:w="0" w:type="auto"/>
            <w:vAlign w:val="center"/>
            <w:hideMark/>
          </w:tcPr>
          <w:p w14:paraId="20FC481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w:t>
            </w:r>
          </w:p>
        </w:tc>
      </w:tr>
      <w:tr w:rsidR="00117BBB" w:rsidRPr="006F2CD0" w14:paraId="5058CD8E" w14:textId="77777777" w:rsidTr="0010061F">
        <w:trPr>
          <w:tblCellSpacing w:w="15" w:type="dxa"/>
        </w:trPr>
        <w:tc>
          <w:tcPr>
            <w:tcW w:w="0" w:type="auto"/>
            <w:vAlign w:val="center"/>
            <w:hideMark/>
          </w:tcPr>
          <w:p w14:paraId="5C732D0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S7</w:t>
            </w:r>
          </w:p>
        </w:tc>
        <w:tc>
          <w:tcPr>
            <w:tcW w:w="0" w:type="auto"/>
            <w:vAlign w:val="center"/>
            <w:hideMark/>
          </w:tcPr>
          <w:p w14:paraId="4992B3B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43 120</w:t>
            </w:r>
          </w:p>
        </w:tc>
        <w:tc>
          <w:tcPr>
            <w:tcW w:w="0" w:type="auto"/>
            <w:vAlign w:val="center"/>
            <w:hideMark/>
          </w:tcPr>
          <w:p w14:paraId="1C05555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648</w:t>
            </w:r>
          </w:p>
        </w:tc>
        <w:tc>
          <w:tcPr>
            <w:tcW w:w="0" w:type="auto"/>
            <w:vAlign w:val="center"/>
            <w:hideMark/>
          </w:tcPr>
          <w:p w14:paraId="13A7A6A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156</w:t>
            </w:r>
          </w:p>
        </w:tc>
        <w:tc>
          <w:tcPr>
            <w:tcW w:w="0" w:type="auto"/>
            <w:vAlign w:val="center"/>
            <w:hideMark/>
          </w:tcPr>
          <w:p w14:paraId="21B00E8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92</w:t>
            </w:r>
          </w:p>
        </w:tc>
        <w:tc>
          <w:tcPr>
            <w:tcW w:w="0" w:type="auto"/>
            <w:vAlign w:val="center"/>
            <w:hideMark/>
          </w:tcPr>
          <w:p w14:paraId="7A2B53E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68</w:t>
            </w:r>
          </w:p>
        </w:tc>
        <w:tc>
          <w:tcPr>
            <w:tcW w:w="0" w:type="auto"/>
            <w:vAlign w:val="center"/>
            <w:hideMark/>
          </w:tcPr>
          <w:p w14:paraId="6B3E712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46</w:t>
            </w:r>
          </w:p>
        </w:tc>
        <w:tc>
          <w:tcPr>
            <w:tcW w:w="0" w:type="auto"/>
            <w:vAlign w:val="center"/>
            <w:hideMark/>
          </w:tcPr>
          <w:p w14:paraId="5586B90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w:t>
            </w:r>
          </w:p>
        </w:tc>
        <w:tc>
          <w:tcPr>
            <w:tcW w:w="0" w:type="auto"/>
            <w:vAlign w:val="center"/>
            <w:hideMark/>
          </w:tcPr>
          <w:p w14:paraId="2C76459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1.7</w:t>
            </w:r>
          </w:p>
        </w:tc>
      </w:tr>
      <w:tr w:rsidR="00117BBB" w:rsidRPr="006F2CD0" w14:paraId="64FE25AD" w14:textId="77777777" w:rsidTr="0010061F">
        <w:trPr>
          <w:tblCellSpacing w:w="15" w:type="dxa"/>
        </w:trPr>
        <w:tc>
          <w:tcPr>
            <w:tcW w:w="0" w:type="auto"/>
            <w:vAlign w:val="center"/>
            <w:hideMark/>
          </w:tcPr>
          <w:p w14:paraId="79D2ABA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S8</w:t>
            </w:r>
          </w:p>
        </w:tc>
        <w:tc>
          <w:tcPr>
            <w:tcW w:w="0" w:type="auto"/>
            <w:vAlign w:val="center"/>
            <w:hideMark/>
          </w:tcPr>
          <w:p w14:paraId="22103B8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41 570</w:t>
            </w:r>
          </w:p>
        </w:tc>
        <w:tc>
          <w:tcPr>
            <w:tcW w:w="0" w:type="auto"/>
            <w:vAlign w:val="center"/>
            <w:hideMark/>
          </w:tcPr>
          <w:p w14:paraId="63C8684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661</w:t>
            </w:r>
          </w:p>
        </w:tc>
        <w:tc>
          <w:tcPr>
            <w:tcW w:w="0" w:type="auto"/>
            <w:vAlign w:val="center"/>
            <w:hideMark/>
          </w:tcPr>
          <w:p w14:paraId="1A56765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149</w:t>
            </w:r>
          </w:p>
        </w:tc>
        <w:tc>
          <w:tcPr>
            <w:tcW w:w="0" w:type="auto"/>
            <w:vAlign w:val="center"/>
            <w:hideMark/>
          </w:tcPr>
          <w:p w14:paraId="0207BB8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87</w:t>
            </w:r>
          </w:p>
        </w:tc>
        <w:tc>
          <w:tcPr>
            <w:tcW w:w="0" w:type="auto"/>
            <w:vAlign w:val="center"/>
            <w:hideMark/>
          </w:tcPr>
          <w:p w14:paraId="7DB3146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65</w:t>
            </w:r>
          </w:p>
        </w:tc>
        <w:tc>
          <w:tcPr>
            <w:tcW w:w="0" w:type="auto"/>
            <w:vAlign w:val="center"/>
            <w:hideMark/>
          </w:tcPr>
          <w:p w14:paraId="5A22506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45</w:t>
            </w:r>
          </w:p>
        </w:tc>
        <w:tc>
          <w:tcPr>
            <w:tcW w:w="0" w:type="auto"/>
            <w:vAlign w:val="center"/>
            <w:hideMark/>
          </w:tcPr>
          <w:p w14:paraId="7173EEA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21</w:t>
            </w:r>
          </w:p>
        </w:tc>
        <w:tc>
          <w:tcPr>
            <w:tcW w:w="0" w:type="auto"/>
            <w:vAlign w:val="center"/>
            <w:hideMark/>
          </w:tcPr>
          <w:p w14:paraId="0797C8C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1.6</w:t>
            </w:r>
          </w:p>
        </w:tc>
      </w:tr>
      <w:tr w:rsidR="00117BBB" w:rsidRPr="006F2CD0" w14:paraId="4D0AC5E1" w14:textId="77777777" w:rsidTr="0010061F">
        <w:trPr>
          <w:tblCellSpacing w:w="15" w:type="dxa"/>
        </w:trPr>
        <w:tc>
          <w:tcPr>
            <w:tcW w:w="0" w:type="auto"/>
            <w:vAlign w:val="center"/>
            <w:hideMark/>
          </w:tcPr>
          <w:p w14:paraId="04F83E3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S9</w:t>
            </w:r>
          </w:p>
        </w:tc>
        <w:tc>
          <w:tcPr>
            <w:tcW w:w="0" w:type="auto"/>
            <w:vAlign w:val="center"/>
            <w:hideMark/>
          </w:tcPr>
          <w:p w14:paraId="4277415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40 880</w:t>
            </w:r>
          </w:p>
        </w:tc>
        <w:tc>
          <w:tcPr>
            <w:tcW w:w="0" w:type="auto"/>
            <w:vAlign w:val="center"/>
            <w:hideMark/>
          </w:tcPr>
          <w:p w14:paraId="7413328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635</w:t>
            </w:r>
          </w:p>
        </w:tc>
        <w:tc>
          <w:tcPr>
            <w:tcW w:w="0" w:type="auto"/>
            <w:vAlign w:val="center"/>
            <w:hideMark/>
          </w:tcPr>
          <w:p w14:paraId="1F8713A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145</w:t>
            </w:r>
          </w:p>
        </w:tc>
        <w:tc>
          <w:tcPr>
            <w:tcW w:w="0" w:type="auto"/>
            <w:vAlign w:val="center"/>
            <w:hideMark/>
          </w:tcPr>
          <w:p w14:paraId="1C0AC69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80</w:t>
            </w:r>
          </w:p>
        </w:tc>
        <w:tc>
          <w:tcPr>
            <w:tcW w:w="0" w:type="auto"/>
            <w:vAlign w:val="center"/>
            <w:hideMark/>
          </w:tcPr>
          <w:p w14:paraId="64705FA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60</w:t>
            </w:r>
          </w:p>
        </w:tc>
        <w:tc>
          <w:tcPr>
            <w:tcW w:w="0" w:type="auto"/>
            <w:vAlign w:val="center"/>
            <w:hideMark/>
          </w:tcPr>
          <w:p w14:paraId="46132FC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42</w:t>
            </w:r>
          </w:p>
        </w:tc>
        <w:tc>
          <w:tcPr>
            <w:tcW w:w="0" w:type="auto"/>
            <w:vAlign w:val="center"/>
            <w:hideMark/>
          </w:tcPr>
          <w:p w14:paraId="691C235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18</w:t>
            </w:r>
          </w:p>
        </w:tc>
        <w:tc>
          <w:tcPr>
            <w:tcW w:w="0" w:type="auto"/>
            <w:vAlign w:val="center"/>
            <w:hideMark/>
          </w:tcPr>
          <w:p w14:paraId="778539E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1.3</w:t>
            </w:r>
          </w:p>
        </w:tc>
      </w:tr>
      <w:tr w:rsidR="00117BBB" w:rsidRPr="006F2CD0" w14:paraId="5C3807EC" w14:textId="77777777" w:rsidTr="0010061F">
        <w:trPr>
          <w:tblCellSpacing w:w="15" w:type="dxa"/>
        </w:trPr>
        <w:tc>
          <w:tcPr>
            <w:tcW w:w="0" w:type="auto"/>
            <w:vAlign w:val="center"/>
            <w:hideMark/>
          </w:tcPr>
          <w:p w14:paraId="315631D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S10</w:t>
            </w:r>
          </w:p>
        </w:tc>
        <w:tc>
          <w:tcPr>
            <w:tcW w:w="0" w:type="auto"/>
            <w:vAlign w:val="center"/>
            <w:hideMark/>
          </w:tcPr>
          <w:p w14:paraId="52C3BF0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41 950</w:t>
            </w:r>
          </w:p>
        </w:tc>
        <w:tc>
          <w:tcPr>
            <w:tcW w:w="0" w:type="auto"/>
            <w:vAlign w:val="center"/>
            <w:hideMark/>
          </w:tcPr>
          <w:p w14:paraId="3A8558C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648</w:t>
            </w:r>
          </w:p>
        </w:tc>
        <w:tc>
          <w:tcPr>
            <w:tcW w:w="0" w:type="auto"/>
            <w:vAlign w:val="center"/>
            <w:hideMark/>
          </w:tcPr>
          <w:p w14:paraId="28AB71D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153</w:t>
            </w:r>
          </w:p>
        </w:tc>
        <w:tc>
          <w:tcPr>
            <w:tcW w:w="0" w:type="auto"/>
            <w:vAlign w:val="center"/>
            <w:hideMark/>
          </w:tcPr>
          <w:p w14:paraId="543BB4C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88</w:t>
            </w:r>
          </w:p>
        </w:tc>
        <w:tc>
          <w:tcPr>
            <w:tcW w:w="0" w:type="auto"/>
            <w:vAlign w:val="center"/>
            <w:hideMark/>
          </w:tcPr>
          <w:p w14:paraId="1193F8F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67</w:t>
            </w:r>
          </w:p>
        </w:tc>
        <w:tc>
          <w:tcPr>
            <w:tcW w:w="0" w:type="auto"/>
            <w:vAlign w:val="center"/>
            <w:hideMark/>
          </w:tcPr>
          <w:p w14:paraId="74C1C83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44</w:t>
            </w:r>
          </w:p>
        </w:tc>
        <w:tc>
          <w:tcPr>
            <w:tcW w:w="0" w:type="auto"/>
            <w:vAlign w:val="center"/>
            <w:hideMark/>
          </w:tcPr>
          <w:p w14:paraId="492A7BD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w:t>
            </w:r>
          </w:p>
        </w:tc>
        <w:tc>
          <w:tcPr>
            <w:tcW w:w="0" w:type="auto"/>
            <w:vAlign w:val="center"/>
            <w:hideMark/>
          </w:tcPr>
          <w:p w14:paraId="7DDE824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w:t>
            </w:r>
          </w:p>
        </w:tc>
      </w:tr>
      <w:tr w:rsidR="00117BBB" w:rsidRPr="006F2CD0" w14:paraId="164751C0" w14:textId="77777777" w:rsidTr="0010061F">
        <w:trPr>
          <w:tblCellSpacing w:w="15" w:type="dxa"/>
        </w:trPr>
        <w:tc>
          <w:tcPr>
            <w:tcW w:w="0" w:type="auto"/>
            <w:vAlign w:val="center"/>
            <w:hideMark/>
          </w:tcPr>
          <w:p w14:paraId="6C94E2F1"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Mean ± SD</w:t>
            </w:r>
          </w:p>
        </w:tc>
        <w:tc>
          <w:tcPr>
            <w:tcW w:w="0" w:type="auto"/>
            <w:vAlign w:val="center"/>
            <w:hideMark/>
          </w:tcPr>
          <w:p w14:paraId="26D31B3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41 285 ± 1 106</w:t>
            </w:r>
          </w:p>
        </w:tc>
        <w:tc>
          <w:tcPr>
            <w:tcW w:w="0" w:type="auto"/>
            <w:vAlign w:val="center"/>
            <w:hideMark/>
          </w:tcPr>
          <w:p w14:paraId="0BC78A36"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648 ± 32</w:t>
            </w:r>
          </w:p>
        </w:tc>
        <w:tc>
          <w:tcPr>
            <w:tcW w:w="0" w:type="auto"/>
            <w:vAlign w:val="center"/>
            <w:hideMark/>
          </w:tcPr>
          <w:p w14:paraId="010DF7D0"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152 ± 7.8</w:t>
            </w:r>
          </w:p>
        </w:tc>
        <w:tc>
          <w:tcPr>
            <w:tcW w:w="0" w:type="auto"/>
            <w:vAlign w:val="center"/>
            <w:hideMark/>
          </w:tcPr>
          <w:p w14:paraId="0FE890E6"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88 ± 6.3</w:t>
            </w:r>
          </w:p>
        </w:tc>
        <w:tc>
          <w:tcPr>
            <w:tcW w:w="0" w:type="auto"/>
            <w:vAlign w:val="center"/>
            <w:hideMark/>
          </w:tcPr>
          <w:p w14:paraId="680B931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66 ± 4.0</w:t>
            </w:r>
          </w:p>
        </w:tc>
        <w:tc>
          <w:tcPr>
            <w:tcW w:w="0" w:type="auto"/>
            <w:vAlign w:val="center"/>
            <w:hideMark/>
          </w:tcPr>
          <w:p w14:paraId="1F167591"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44 ± 3.0</w:t>
            </w:r>
          </w:p>
        </w:tc>
        <w:tc>
          <w:tcPr>
            <w:tcW w:w="0" w:type="auto"/>
            <w:vAlign w:val="center"/>
            <w:hideMark/>
          </w:tcPr>
          <w:p w14:paraId="3BA9113F"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22 ± 1.8</w:t>
            </w:r>
          </w:p>
        </w:tc>
        <w:tc>
          <w:tcPr>
            <w:tcW w:w="0" w:type="auto"/>
            <w:vAlign w:val="center"/>
            <w:hideMark/>
          </w:tcPr>
          <w:p w14:paraId="600761FF"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1.6 ± 0.3</w:t>
            </w:r>
          </w:p>
        </w:tc>
      </w:tr>
    </w:tbl>
    <w:p w14:paraId="4917EB9F"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3.1.3 Fractional Distribution of Heavy Metals</w:t>
      </w:r>
    </w:p>
    <w:p w14:paraId="35B7076F"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3" w:name="_Hlk212160250"/>
      <w:r w:rsidRPr="006F2CD0">
        <w:rPr>
          <w:rFonts w:ascii="Times New Roman" w:eastAsia="Times New Roman" w:hAnsi="Times New Roman" w:cs="Times New Roman"/>
          <w:sz w:val="24"/>
          <w:szCs w:val="24"/>
          <w:lang w:eastAsia="en-GB"/>
        </w:rPr>
        <w:t>The partitioning of metals across geochemical phases is shown in Table 3. Most metals occurred predominantly in the residual and Fe–Mn oxide fractions, indicating strong mineral association and low bioavailability. Iron (54.6%) and chromium (59.6%) were largely confined to the residual phase, confirming their lithogenic control. Conversely, cadmium, lead, and zinc showed higher proportions in the exchangeable and carbonate-bound fractions (Cd = 18.3–22.9%, Pb = 15.4–20.8%, Zn = 13.6–17.2%), indicating greater potential mobility and bioavailability. Copper and nickel were moderately bound to the organic and Fe–Mn oxide phases, reflecting possible release under reducing conditions.</w:t>
      </w:r>
    </w:p>
    <w:bookmarkEnd w:id="3"/>
    <w:p w14:paraId="49A4EA8A"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proofErr w:type="gramStart"/>
      <w:r w:rsidRPr="006F2CD0">
        <w:rPr>
          <w:rFonts w:ascii="Times New Roman" w:eastAsia="Times New Roman" w:hAnsi="Times New Roman" w:cs="Times New Roman"/>
          <w:b/>
          <w:bCs/>
          <w:sz w:val="24"/>
          <w:szCs w:val="24"/>
          <w:lang w:eastAsia="en-GB"/>
        </w:rPr>
        <w:t>Table 3.</w:t>
      </w:r>
      <w:proofErr w:type="gramEnd"/>
      <w:r w:rsidRPr="006F2CD0">
        <w:rPr>
          <w:rFonts w:ascii="Times New Roman" w:eastAsia="Times New Roman" w:hAnsi="Times New Roman" w:cs="Times New Roman"/>
          <w:b/>
          <w:bCs/>
          <w:sz w:val="24"/>
          <w:szCs w:val="24"/>
          <w:lang w:eastAsia="en-GB"/>
        </w:rPr>
        <w:t xml:space="preserve"> Fractional distribution (%) of heavy metals in sediment phases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487"/>
        <w:gridCol w:w="1154"/>
        <w:gridCol w:w="1400"/>
        <w:gridCol w:w="900"/>
        <w:gridCol w:w="954"/>
        <w:gridCol w:w="2241"/>
      </w:tblGrid>
      <w:tr w:rsidR="00117BBB" w:rsidRPr="006F2CD0" w14:paraId="35DACF38" w14:textId="77777777" w:rsidTr="0010061F">
        <w:trPr>
          <w:tblHeader/>
          <w:tblCellSpacing w:w="15" w:type="dxa"/>
        </w:trPr>
        <w:tc>
          <w:tcPr>
            <w:tcW w:w="0" w:type="auto"/>
            <w:vAlign w:val="center"/>
            <w:hideMark/>
          </w:tcPr>
          <w:p w14:paraId="56C6995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Metal</w:t>
            </w:r>
          </w:p>
        </w:tc>
        <w:tc>
          <w:tcPr>
            <w:tcW w:w="0" w:type="auto"/>
            <w:vAlign w:val="center"/>
            <w:hideMark/>
          </w:tcPr>
          <w:p w14:paraId="1BF52C9F"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Exchangeable</w:t>
            </w:r>
          </w:p>
        </w:tc>
        <w:tc>
          <w:tcPr>
            <w:tcW w:w="0" w:type="auto"/>
            <w:vAlign w:val="center"/>
            <w:hideMark/>
          </w:tcPr>
          <w:p w14:paraId="27BD81F7"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Carbonate</w:t>
            </w:r>
          </w:p>
        </w:tc>
        <w:tc>
          <w:tcPr>
            <w:tcW w:w="0" w:type="auto"/>
            <w:vAlign w:val="center"/>
            <w:hideMark/>
          </w:tcPr>
          <w:p w14:paraId="2C2FAF0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Fe–Mn oxide</w:t>
            </w:r>
          </w:p>
        </w:tc>
        <w:tc>
          <w:tcPr>
            <w:tcW w:w="0" w:type="auto"/>
            <w:vAlign w:val="center"/>
            <w:hideMark/>
          </w:tcPr>
          <w:p w14:paraId="3C5A98A1"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Organic</w:t>
            </w:r>
          </w:p>
        </w:tc>
        <w:tc>
          <w:tcPr>
            <w:tcW w:w="0" w:type="auto"/>
            <w:vAlign w:val="center"/>
            <w:hideMark/>
          </w:tcPr>
          <w:p w14:paraId="7A9E2057"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Residual</w:t>
            </w:r>
          </w:p>
        </w:tc>
        <w:tc>
          <w:tcPr>
            <w:tcW w:w="0" w:type="auto"/>
            <w:vAlign w:val="center"/>
            <w:hideMark/>
          </w:tcPr>
          <w:p w14:paraId="1F4BB13A"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Dominant Phase</w:t>
            </w:r>
          </w:p>
        </w:tc>
      </w:tr>
      <w:tr w:rsidR="00117BBB" w:rsidRPr="006F2CD0" w14:paraId="0C4ED932" w14:textId="77777777" w:rsidTr="0010061F">
        <w:trPr>
          <w:tblCellSpacing w:w="15" w:type="dxa"/>
        </w:trPr>
        <w:tc>
          <w:tcPr>
            <w:tcW w:w="0" w:type="auto"/>
            <w:vAlign w:val="center"/>
            <w:hideMark/>
          </w:tcPr>
          <w:p w14:paraId="264C665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Fe</w:t>
            </w:r>
          </w:p>
        </w:tc>
        <w:tc>
          <w:tcPr>
            <w:tcW w:w="0" w:type="auto"/>
            <w:vAlign w:val="center"/>
            <w:hideMark/>
          </w:tcPr>
          <w:p w14:paraId="5BFE1C7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2.5</w:t>
            </w:r>
          </w:p>
        </w:tc>
        <w:tc>
          <w:tcPr>
            <w:tcW w:w="0" w:type="auto"/>
            <w:vAlign w:val="center"/>
            <w:hideMark/>
          </w:tcPr>
          <w:p w14:paraId="3E9823A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3.8</w:t>
            </w:r>
          </w:p>
        </w:tc>
        <w:tc>
          <w:tcPr>
            <w:tcW w:w="0" w:type="auto"/>
            <w:vAlign w:val="center"/>
            <w:hideMark/>
          </w:tcPr>
          <w:p w14:paraId="6D9BBC1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26.7</w:t>
            </w:r>
          </w:p>
        </w:tc>
        <w:tc>
          <w:tcPr>
            <w:tcW w:w="0" w:type="auto"/>
            <w:vAlign w:val="center"/>
            <w:hideMark/>
          </w:tcPr>
          <w:p w14:paraId="0A8CA29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12.4</w:t>
            </w:r>
          </w:p>
        </w:tc>
        <w:tc>
          <w:tcPr>
            <w:tcW w:w="0" w:type="auto"/>
            <w:vAlign w:val="center"/>
            <w:hideMark/>
          </w:tcPr>
          <w:p w14:paraId="50455C3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54.6</w:t>
            </w:r>
          </w:p>
        </w:tc>
        <w:tc>
          <w:tcPr>
            <w:tcW w:w="0" w:type="auto"/>
            <w:vAlign w:val="center"/>
            <w:hideMark/>
          </w:tcPr>
          <w:p w14:paraId="0FF02F2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Residual</w:t>
            </w:r>
          </w:p>
        </w:tc>
      </w:tr>
      <w:tr w:rsidR="00117BBB" w:rsidRPr="006F2CD0" w14:paraId="4E74157A" w14:textId="77777777" w:rsidTr="0010061F">
        <w:trPr>
          <w:tblCellSpacing w:w="15" w:type="dxa"/>
        </w:trPr>
        <w:tc>
          <w:tcPr>
            <w:tcW w:w="0" w:type="auto"/>
            <w:vAlign w:val="center"/>
            <w:hideMark/>
          </w:tcPr>
          <w:p w14:paraId="47EF12B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Mn</w:t>
            </w:r>
          </w:p>
        </w:tc>
        <w:tc>
          <w:tcPr>
            <w:tcW w:w="0" w:type="auto"/>
            <w:vAlign w:val="center"/>
            <w:hideMark/>
          </w:tcPr>
          <w:p w14:paraId="39AD5E6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5.1</w:t>
            </w:r>
          </w:p>
        </w:tc>
        <w:tc>
          <w:tcPr>
            <w:tcW w:w="0" w:type="auto"/>
            <w:vAlign w:val="center"/>
            <w:hideMark/>
          </w:tcPr>
          <w:p w14:paraId="4B0C700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8.2</w:t>
            </w:r>
          </w:p>
        </w:tc>
        <w:tc>
          <w:tcPr>
            <w:tcW w:w="0" w:type="auto"/>
            <w:vAlign w:val="center"/>
            <w:hideMark/>
          </w:tcPr>
          <w:p w14:paraId="3732ED7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31.9</w:t>
            </w:r>
          </w:p>
        </w:tc>
        <w:tc>
          <w:tcPr>
            <w:tcW w:w="0" w:type="auto"/>
            <w:vAlign w:val="center"/>
            <w:hideMark/>
          </w:tcPr>
          <w:p w14:paraId="37CC28F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10.3</w:t>
            </w:r>
          </w:p>
        </w:tc>
        <w:tc>
          <w:tcPr>
            <w:tcW w:w="0" w:type="auto"/>
            <w:vAlign w:val="center"/>
            <w:hideMark/>
          </w:tcPr>
          <w:p w14:paraId="2E4D9EC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44.5</w:t>
            </w:r>
          </w:p>
        </w:tc>
        <w:tc>
          <w:tcPr>
            <w:tcW w:w="0" w:type="auto"/>
            <w:vAlign w:val="center"/>
            <w:hideMark/>
          </w:tcPr>
          <w:p w14:paraId="72D0C72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Fe–Mn oxide</w:t>
            </w:r>
          </w:p>
        </w:tc>
      </w:tr>
      <w:tr w:rsidR="00117BBB" w:rsidRPr="006F2CD0" w14:paraId="688B8450" w14:textId="77777777" w:rsidTr="0010061F">
        <w:trPr>
          <w:tblCellSpacing w:w="15" w:type="dxa"/>
        </w:trPr>
        <w:tc>
          <w:tcPr>
            <w:tcW w:w="0" w:type="auto"/>
            <w:vAlign w:val="center"/>
            <w:hideMark/>
          </w:tcPr>
          <w:p w14:paraId="5668D71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Zn</w:t>
            </w:r>
          </w:p>
        </w:tc>
        <w:tc>
          <w:tcPr>
            <w:tcW w:w="0" w:type="auto"/>
            <w:vAlign w:val="center"/>
            <w:hideMark/>
          </w:tcPr>
          <w:p w14:paraId="0F106B2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13.6</w:t>
            </w:r>
          </w:p>
        </w:tc>
        <w:tc>
          <w:tcPr>
            <w:tcW w:w="0" w:type="auto"/>
            <w:vAlign w:val="center"/>
            <w:hideMark/>
          </w:tcPr>
          <w:p w14:paraId="03EC13F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17.2</w:t>
            </w:r>
          </w:p>
        </w:tc>
        <w:tc>
          <w:tcPr>
            <w:tcW w:w="0" w:type="auto"/>
            <w:vAlign w:val="center"/>
            <w:hideMark/>
          </w:tcPr>
          <w:p w14:paraId="12C7695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22.5</w:t>
            </w:r>
          </w:p>
        </w:tc>
        <w:tc>
          <w:tcPr>
            <w:tcW w:w="0" w:type="auto"/>
            <w:vAlign w:val="center"/>
            <w:hideMark/>
          </w:tcPr>
          <w:p w14:paraId="0720EA5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15.7</w:t>
            </w:r>
          </w:p>
        </w:tc>
        <w:tc>
          <w:tcPr>
            <w:tcW w:w="0" w:type="auto"/>
            <w:vAlign w:val="center"/>
            <w:hideMark/>
          </w:tcPr>
          <w:p w14:paraId="14CA431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31.0</w:t>
            </w:r>
          </w:p>
        </w:tc>
        <w:tc>
          <w:tcPr>
            <w:tcW w:w="0" w:type="auto"/>
            <w:vAlign w:val="center"/>
            <w:hideMark/>
          </w:tcPr>
          <w:p w14:paraId="2E7C105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Non-residual</w:t>
            </w:r>
          </w:p>
        </w:tc>
      </w:tr>
      <w:tr w:rsidR="00117BBB" w:rsidRPr="006F2CD0" w14:paraId="61B03049" w14:textId="77777777" w:rsidTr="0010061F">
        <w:trPr>
          <w:tblCellSpacing w:w="15" w:type="dxa"/>
        </w:trPr>
        <w:tc>
          <w:tcPr>
            <w:tcW w:w="0" w:type="auto"/>
            <w:vAlign w:val="center"/>
            <w:hideMark/>
          </w:tcPr>
          <w:p w14:paraId="4B5FDF6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Cu</w:t>
            </w:r>
          </w:p>
        </w:tc>
        <w:tc>
          <w:tcPr>
            <w:tcW w:w="0" w:type="auto"/>
            <w:vAlign w:val="center"/>
            <w:hideMark/>
          </w:tcPr>
          <w:p w14:paraId="380B6E2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8.5</w:t>
            </w:r>
          </w:p>
        </w:tc>
        <w:tc>
          <w:tcPr>
            <w:tcW w:w="0" w:type="auto"/>
            <w:vAlign w:val="center"/>
            <w:hideMark/>
          </w:tcPr>
          <w:p w14:paraId="298DBD4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12.1</w:t>
            </w:r>
          </w:p>
        </w:tc>
        <w:tc>
          <w:tcPr>
            <w:tcW w:w="0" w:type="auto"/>
            <w:vAlign w:val="center"/>
            <w:hideMark/>
          </w:tcPr>
          <w:p w14:paraId="3DA381A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23.4</w:t>
            </w:r>
          </w:p>
        </w:tc>
        <w:tc>
          <w:tcPr>
            <w:tcW w:w="0" w:type="auto"/>
            <w:vAlign w:val="center"/>
            <w:hideMark/>
          </w:tcPr>
          <w:p w14:paraId="44B2696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18.6</w:t>
            </w:r>
          </w:p>
        </w:tc>
        <w:tc>
          <w:tcPr>
            <w:tcW w:w="0" w:type="auto"/>
            <w:vAlign w:val="center"/>
            <w:hideMark/>
          </w:tcPr>
          <w:p w14:paraId="0B820D3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37.4</w:t>
            </w:r>
          </w:p>
        </w:tc>
        <w:tc>
          <w:tcPr>
            <w:tcW w:w="0" w:type="auto"/>
            <w:vAlign w:val="center"/>
            <w:hideMark/>
          </w:tcPr>
          <w:p w14:paraId="1742332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Mixed (oxide/organic)</w:t>
            </w:r>
          </w:p>
        </w:tc>
      </w:tr>
      <w:tr w:rsidR="00117BBB" w:rsidRPr="006F2CD0" w14:paraId="3C3BEAF4" w14:textId="77777777" w:rsidTr="0010061F">
        <w:trPr>
          <w:tblCellSpacing w:w="15" w:type="dxa"/>
        </w:trPr>
        <w:tc>
          <w:tcPr>
            <w:tcW w:w="0" w:type="auto"/>
            <w:vAlign w:val="center"/>
            <w:hideMark/>
          </w:tcPr>
          <w:p w14:paraId="3F393C4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Cr</w:t>
            </w:r>
          </w:p>
        </w:tc>
        <w:tc>
          <w:tcPr>
            <w:tcW w:w="0" w:type="auto"/>
            <w:vAlign w:val="center"/>
            <w:hideMark/>
          </w:tcPr>
          <w:p w14:paraId="11CB69B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4.2</w:t>
            </w:r>
          </w:p>
        </w:tc>
        <w:tc>
          <w:tcPr>
            <w:tcW w:w="0" w:type="auto"/>
            <w:vAlign w:val="center"/>
            <w:hideMark/>
          </w:tcPr>
          <w:p w14:paraId="43A40C4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5.7</w:t>
            </w:r>
          </w:p>
        </w:tc>
        <w:tc>
          <w:tcPr>
            <w:tcW w:w="0" w:type="auto"/>
            <w:vAlign w:val="center"/>
            <w:hideMark/>
          </w:tcPr>
          <w:p w14:paraId="077764A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19.3</w:t>
            </w:r>
          </w:p>
        </w:tc>
        <w:tc>
          <w:tcPr>
            <w:tcW w:w="0" w:type="auto"/>
            <w:vAlign w:val="center"/>
            <w:hideMark/>
          </w:tcPr>
          <w:p w14:paraId="0A5DD76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11.2</w:t>
            </w:r>
          </w:p>
        </w:tc>
        <w:tc>
          <w:tcPr>
            <w:tcW w:w="0" w:type="auto"/>
            <w:vAlign w:val="center"/>
            <w:hideMark/>
          </w:tcPr>
          <w:p w14:paraId="4D1D57B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59.6</w:t>
            </w:r>
          </w:p>
        </w:tc>
        <w:tc>
          <w:tcPr>
            <w:tcW w:w="0" w:type="auto"/>
            <w:vAlign w:val="center"/>
            <w:hideMark/>
          </w:tcPr>
          <w:p w14:paraId="79BBFF3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Residual</w:t>
            </w:r>
          </w:p>
        </w:tc>
      </w:tr>
      <w:tr w:rsidR="00117BBB" w:rsidRPr="006F2CD0" w14:paraId="234D3119" w14:textId="77777777" w:rsidTr="0010061F">
        <w:trPr>
          <w:tblCellSpacing w:w="15" w:type="dxa"/>
        </w:trPr>
        <w:tc>
          <w:tcPr>
            <w:tcW w:w="0" w:type="auto"/>
            <w:vAlign w:val="center"/>
            <w:hideMark/>
          </w:tcPr>
          <w:p w14:paraId="61B16F2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Pb</w:t>
            </w:r>
          </w:p>
        </w:tc>
        <w:tc>
          <w:tcPr>
            <w:tcW w:w="0" w:type="auto"/>
            <w:vAlign w:val="center"/>
            <w:hideMark/>
          </w:tcPr>
          <w:p w14:paraId="6F02F7B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15.4</w:t>
            </w:r>
          </w:p>
        </w:tc>
        <w:tc>
          <w:tcPr>
            <w:tcW w:w="0" w:type="auto"/>
            <w:vAlign w:val="center"/>
            <w:hideMark/>
          </w:tcPr>
          <w:p w14:paraId="5FE56C8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20.8</w:t>
            </w:r>
          </w:p>
        </w:tc>
        <w:tc>
          <w:tcPr>
            <w:tcW w:w="0" w:type="auto"/>
            <w:vAlign w:val="center"/>
            <w:hideMark/>
          </w:tcPr>
          <w:p w14:paraId="7F80B96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21.1</w:t>
            </w:r>
          </w:p>
        </w:tc>
        <w:tc>
          <w:tcPr>
            <w:tcW w:w="0" w:type="auto"/>
            <w:vAlign w:val="center"/>
            <w:hideMark/>
          </w:tcPr>
          <w:p w14:paraId="0854854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14.7</w:t>
            </w:r>
          </w:p>
        </w:tc>
        <w:tc>
          <w:tcPr>
            <w:tcW w:w="0" w:type="auto"/>
            <w:vAlign w:val="center"/>
            <w:hideMark/>
          </w:tcPr>
          <w:p w14:paraId="2D89896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28.0</w:t>
            </w:r>
          </w:p>
        </w:tc>
        <w:tc>
          <w:tcPr>
            <w:tcW w:w="0" w:type="auto"/>
            <w:vAlign w:val="center"/>
            <w:hideMark/>
          </w:tcPr>
          <w:p w14:paraId="1068E60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Non-residual</w:t>
            </w:r>
          </w:p>
        </w:tc>
      </w:tr>
      <w:tr w:rsidR="00117BBB" w:rsidRPr="006F2CD0" w14:paraId="5D73DFCF" w14:textId="77777777" w:rsidTr="0010061F">
        <w:trPr>
          <w:tblCellSpacing w:w="15" w:type="dxa"/>
        </w:trPr>
        <w:tc>
          <w:tcPr>
            <w:tcW w:w="0" w:type="auto"/>
            <w:vAlign w:val="center"/>
            <w:hideMark/>
          </w:tcPr>
          <w:p w14:paraId="6361596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Ni</w:t>
            </w:r>
          </w:p>
        </w:tc>
        <w:tc>
          <w:tcPr>
            <w:tcW w:w="0" w:type="auto"/>
            <w:vAlign w:val="center"/>
            <w:hideMark/>
          </w:tcPr>
          <w:p w14:paraId="28AFD60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9.2</w:t>
            </w:r>
          </w:p>
        </w:tc>
        <w:tc>
          <w:tcPr>
            <w:tcW w:w="0" w:type="auto"/>
            <w:vAlign w:val="center"/>
            <w:hideMark/>
          </w:tcPr>
          <w:p w14:paraId="7CB1BB6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11.6</w:t>
            </w:r>
          </w:p>
        </w:tc>
        <w:tc>
          <w:tcPr>
            <w:tcW w:w="0" w:type="auto"/>
            <w:vAlign w:val="center"/>
            <w:hideMark/>
          </w:tcPr>
          <w:p w14:paraId="4970475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23.8</w:t>
            </w:r>
          </w:p>
        </w:tc>
        <w:tc>
          <w:tcPr>
            <w:tcW w:w="0" w:type="auto"/>
            <w:vAlign w:val="center"/>
            <w:hideMark/>
          </w:tcPr>
          <w:p w14:paraId="736DF9D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16.3</w:t>
            </w:r>
          </w:p>
        </w:tc>
        <w:tc>
          <w:tcPr>
            <w:tcW w:w="0" w:type="auto"/>
            <w:vAlign w:val="center"/>
            <w:hideMark/>
          </w:tcPr>
          <w:p w14:paraId="5D15DAF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39.1</w:t>
            </w:r>
          </w:p>
        </w:tc>
        <w:tc>
          <w:tcPr>
            <w:tcW w:w="0" w:type="auto"/>
            <w:vAlign w:val="center"/>
            <w:hideMark/>
          </w:tcPr>
          <w:p w14:paraId="2A7ECC6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Mixed</w:t>
            </w:r>
          </w:p>
        </w:tc>
      </w:tr>
      <w:tr w:rsidR="00117BBB" w:rsidRPr="006F2CD0" w14:paraId="1D556D00" w14:textId="77777777" w:rsidTr="0010061F">
        <w:trPr>
          <w:tblCellSpacing w:w="15" w:type="dxa"/>
        </w:trPr>
        <w:tc>
          <w:tcPr>
            <w:tcW w:w="0" w:type="auto"/>
            <w:vAlign w:val="center"/>
            <w:hideMark/>
          </w:tcPr>
          <w:p w14:paraId="415DECF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Cd</w:t>
            </w:r>
          </w:p>
        </w:tc>
        <w:tc>
          <w:tcPr>
            <w:tcW w:w="0" w:type="auto"/>
            <w:vAlign w:val="center"/>
            <w:hideMark/>
          </w:tcPr>
          <w:p w14:paraId="4B59186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18.3</w:t>
            </w:r>
          </w:p>
        </w:tc>
        <w:tc>
          <w:tcPr>
            <w:tcW w:w="0" w:type="auto"/>
            <w:vAlign w:val="center"/>
            <w:hideMark/>
          </w:tcPr>
          <w:p w14:paraId="340ACCC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22.9</w:t>
            </w:r>
          </w:p>
        </w:tc>
        <w:tc>
          <w:tcPr>
            <w:tcW w:w="0" w:type="auto"/>
            <w:vAlign w:val="center"/>
            <w:hideMark/>
          </w:tcPr>
          <w:p w14:paraId="1D5E336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19.7</w:t>
            </w:r>
          </w:p>
        </w:tc>
        <w:tc>
          <w:tcPr>
            <w:tcW w:w="0" w:type="auto"/>
            <w:vAlign w:val="center"/>
            <w:hideMark/>
          </w:tcPr>
          <w:p w14:paraId="41E6B2B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15.2</w:t>
            </w:r>
          </w:p>
        </w:tc>
        <w:tc>
          <w:tcPr>
            <w:tcW w:w="0" w:type="auto"/>
            <w:vAlign w:val="center"/>
            <w:hideMark/>
          </w:tcPr>
          <w:p w14:paraId="4A63B89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23.9</w:t>
            </w:r>
          </w:p>
        </w:tc>
        <w:tc>
          <w:tcPr>
            <w:tcW w:w="0" w:type="auto"/>
            <w:vAlign w:val="center"/>
            <w:hideMark/>
          </w:tcPr>
          <w:p w14:paraId="6EADD1C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Labile fractions</w:t>
            </w:r>
          </w:p>
        </w:tc>
      </w:tr>
    </w:tbl>
    <w:p w14:paraId="71436B58"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The prevalence of cadmium and lead in labile forms implies their susceptibility to remobilisation under minor shifts in pH or redox conditions, making them the principal ecotoxic metals in the estuary.</w:t>
      </w:r>
    </w:p>
    <w:p w14:paraId="427A00B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3.1.4 Sediment Pollution and Ecological Risk Indices</w:t>
      </w:r>
    </w:p>
    <w:p w14:paraId="5D7A15C4"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Calculated contamination and ecological risk indices are presented in Table 4. The contamination factor (CF) values ranged from 0.92 to 4.76, identifying cadmium (CF = 4.76) and lead (CF = 2.34) as the most enriched metals. Corresponding geo-accumulation indices (</w:t>
      </w:r>
      <w:proofErr w:type="spellStart"/>
      <w:r w:rsidRPr="006F2CD0">
        <w:rPr>
          <w:rFonts w:ascii="Times New Roman" w:eastAsia="Times New Roman" w:hAnsi="Times New Roman" w:cs="Times New Roman"/>
          <w:sz w:val="24"/>
          <w:szCs w:val="24"/>
          <w:lang w:eastAsia="en-GB"/>
        </w:rPr>
        <w:t>Igeo</w:t>
      </w:r>
      <w:proofErr w:type="spellEnd"/>
      <w:r w:rsidRPr="006F2CD0">
        <w:rPr>
          <w:rFonts w:ascii="Times New Roman" w:eastAsia="Times New Roman" w:hAnsi="Times New Roman" w:cs="Times New Roman"/>
          <w:sz w:val="24"/>
          <w:szCs w:val="24"/>
          <w:lang w:eastAsia="en-GB"/>
        </w:rPr>
        <w:t>) categorised sediments as moderately polluted by Cd and Pb, whereas Fe, Mn, Cr, and Ni remained within background levels. The potential ecological risk factor (Erᶦ) varied markedly among metals, with Cd exhibiting a high risk (Er = 143), while Pb (11.7) and Cu (7.2) posed moderate risks. The order of ecological risk was Cd &gt; Pb &gt; Cu &gt; Cr &gt; Ni &gt; Zn.</w:t>
      </w:r>
    </w:p>
    <w:p w14:paraId="2FA1DD44"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proofErr w:type="gramStart"/>
      <w:r w:rsidRPr="006F2CD0">
        <w:rPr>
          <w:rFonts w:ascii="Times New Roman" w:eastAsia="Times New Roman" w:hAnsi="Times New Roman" w:cs="Times New Roman"/>
          <w:b/>
          <w:bCs/>
          <w:sz w:val="24"/>
          <w:szCs w:val="24"/>
          <w:lang w:eastAsia="en-GB"/>
        </w:rPr>
        <w:t>Table 4.</w:t>
      </w:r>
      <w:proofErr w:type="gramEnd"/>
      <w:r w:rsidRPr="006F2CD0">
        <w:rPr>
          <w:rFonts w:ascii="Times New Roman" w:eastAsia="Times New Roman" w:hAnsi="Times New Roman" w:cs="Times New Roman"/>
          <w:b/>
          <w:bCs/>
          <w:sz w:val="24"/>
          <w:szCs w:val="24"/>
          <w:lang w:eastAsia="en-GB"/>
        </w:rPr>
        <w:t xml:space="preserve"> Sediment contamination and ecological risk indices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851"/>
        <w:gridCol w:w="1134"/>
        <w:gridCol w:w="1134"/>
        <w:gridCol w:w="1984"/>
      </w:tblGrid>
      <w:tr w:rsidR="00117BBB" w:rsidRPr="006F2CD0" w14:paraId="0C0349B5" w14:textId="77777777" w:rsidTr="0010061F">
        <w:trPr>
          <w:tblHeader/>
          <w:tblCellSpacing w:w="15" w:type="dxa"/>
        </w:trPr>
        <w:tc>
          <w:tcPr>
            <w:tcW w:w="1231" w:type="dxa"/>
            <w:vAlign w:val="center"/>
            <w:hideMark/>
          </w:tcPr>
          <w:p w14:paraId="6FB2441B"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Metal</w:t>
            </w:r>
          </w:p>
        </w:tc>
        <w:tc>
          <w:tcPr>
            <w:tcW w:w="821" w:type="dxa"/>
            <w:vAlign w:val="center"/>
            <w:hideMark/>
          </w:tcPr>
          <w:p w14:paraId="24EBA7D0"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CF</w:t>
            </w:r>
          </w:p>
        </w:tc>
        <w:tc>
          <w:tcPr>
            <w:tcW w:w="1104" w:type="dxa"/>
            <w:vAlign w:val="center"/>
            <w:hideMark/>
          </w:tcPr>
          <w:p w14:paraId="7F918E8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proofErr w:type="spellStart"/>
            <w:r w:rsidRPr="006F2CD0">
              <w:rPr>
                <w:rFonts w:ascii="Times New Roman" w:eastAsia="Times New Roman" w:hAnsi="Times New Roman" w:cs="Times New Roman"/>
                <w:b/>
                <w:bCs/>
                <w:sz w:val="24"/>
                <w:szCs w:val="24"/>
                <w:lang w:eastAsia="en-GB"/>
              </w:rPr>
              <w:t>Igeo</w:t>
            </w:r>
            <w:proofErr w:type="spellEnd"/>
          </w:p>
        </w:tc>
        <w:tc>
          <w:tcPr>
            <w:tcW w:w="1104" w:type="dxa"/>
            <w:vAlign w:val="center"/>
            <w:hideMark/>
          </w:tcPr>
          <w:p w14:paraId="0E15EB8C"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Er</w:t>
            </w:r>
          </w:p>
        </w:tc>
        <w:tc>
          <w:tcPr>
            <w:tcW w:w="1939" w:type="dxa"/>
            <w:vAlign w:val="center"/>
            <w:hideMark/>
          </w:tcPr>
          <w:p w14:paraId="79FA2250"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Pollution Level</w:t>
            </w:r>
          </w:p>
        </w:tc>
      </w:tr>
      <w:tr w:rsidR="00117BBB" w:rsidRPr="006F2CD0" w14:paraId="271B1826" w14:textId="77777777" w:rsidTr="0010061F">
        <w:trPr>
          <w:tblCellSpacing w:w="15" w:type="dxa"/>
        </w:trPr>
        <w:tc>
          <w:tcPr>
            <w:tcW w:w="1231" w:type="dxa"/>
            <w:vAlign w:val="center"/>
            <w:hideMark/>
          </w:tcPr>
          <w:p w14:paraId="752F54E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Fe</w:t>
            </w:r>
          </w:p>
        </w:tc>
        <w:tc>
          <w:tcPr>
            <w:tcW w:w="821" w:type="dxa"/>
            <w:vAlign w:val="center"/>
            <w:hideMark/>
          </w:tcPr>
          <w:p w14:paraId="33DA26C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0.92</w:t>
            </w:r>
          </w:p>
        </w:tc>
        <w:tc>
          <w:tcPr>
            <w:tcW w:w="1104" w:type="dxa"/>
            <w:vAlign w:val="center"/>
            <w:hideMark/>
          </w:tcPr>
          <w:p w14:paraId="530F2F2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−0.13</w:t>
            </w:r>
          </w:p>
        </w:tc>
        <w:tc>
          <w:tcPr>
            <w:tcW w:w="1104" w:type="dxa"/>
            <w:vAlign w:val="center"/>
            <w:hideMark/>
          </w:tcPr>
          <w:p w14:paraId="0891039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w:t>
            </w:r>
          </w:p>
        </w:tc>
        <w:tc>
          <w:tcPr>
            <w:tcW w:w="1939" w:type="dxa"/>
            <w:vAlign w:val="center"/>
            <w:hideMark/>
          </w:tcPr>
          <w:p w14:paraId="3E42E36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Background</w:t>
            </w:r>
          </w:p>
        </w:tc>
      </w:tr>
      <w:tr w:rsidR="00117BBB" w:rsidRPr="006F2CD0" w14:paraId="2A03E3DF" w14:textId="77777777" w:rsidTr="0010061F">
        <w:trPr>
          <w:tblCellSpacing w:w="15" w:type="dxa"/>
        </w:trPr>
        <w:tc>
          <w:tcPr>
            <w:tcW w:w="1231" w:type="dxa"/>
            <w:vAlign w:val="center"/>
            <w:hideMark/>
          </w:tcPr>
          <w:p w14:paraId="557A3DF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Mn</w:t>
            </w:r>
          </w:p>
        </w:tc>
        <w:tc>
          <w:tcPr>
            <w:tcW w:w="821" w:type="dxa"/>
            <w:vAlign w:val="center"/>
            <w:hideMark/>
          </w:tcPr>
          <w:p w14:paraId="4DA76C7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1.05</w:t>
            </w:r>
          </w:p>
        </w:tc>
        <w:tc>
          <w:tcPr>
            <w:tcW w:w="1104" w:type="dxa"/>
            <w:vAlign w:val="center"/>
            <w:hideMark/>
          </w:tcPr>
          <w:p w14:paraId="2AF80AB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0.04</w:t>
            </w:r>
          </w:p>
        </w:tc>
        <w:tc>
          <w:tcPr>
            <w:tcW w:w="1104" w:type="dxa"/>
            <w:vAlign w:val="center"/>
            <w:hideMark/>
          </w:tcPr>
          <w:p w14:paraId="08C0A66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w:t>
            </w:r>
          </w:p>
        </w:tc>
        <w:tc>
          <w:tcPr>
            <w:tcW w:w="1939" w:type="dxa"/>
            <w:vAlign w:val="center"/>
            <w:hideMark/>
          </w:tcPr>
          <w:p w14:paraId="61BCFB5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Unpolluted</w:t>
            </w:r>
          </w:p>
        </w:tc>
      </w:tr>
      <w:tr w:rsidR="00117BBB" w:rsidRPr="006F2CD0" w14:paraId="7DE46515" w14:textId="77777777" w:rsidTr="0010061F">
        <w:trPr>
          <w:tblCellSpacing w:w="15" w:type="dxa"/>
        </w:trPr>
        <w:tc>
          <w:tcPr>
            <w:tcW w:w="1231" w:type="dxa"/>
            <w:vAlign w:val="center"/>
            <w:hideMark/>
          </w:tcPr>
          <w:p w14:paraId="7249A79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Zn</w:t>
            </w:r>
          </w:p>
        </w:tc>
        <w:tc>
          <w:tcPr>
            <w:tcW w:w="821" w:type="dxa"/>
            <w:vAlign w:val="center"/>
            <w:hideMark/>
          </w:tcPr>
          <w:p w14:paraId="0EB04EC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1.28</w:t>
            </w:r>
          </w:p>
        </w:tc>
        <w:tc>
          <w:tcPr>
            <w:tcW w:w="1104" w:type="dxa"/>
            <w:vAlign w:val="center"/>
            <w:hideMark/>
          </w:tcPr>
          <w:p w14:paraId="1CCB4E9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0.31</w:t>
            </w:r>
          </w:p>
        </w:tc>
        <w:tc>
          <w:tcPr>
            <w:tcW w:w="1104" w:type="dxa"/>
            <w:vAlign w:val="center"/>
            <w:hideMark/>
          </w:tcPr>
          <w:p w14:paraId="3E91A01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1.3</w:t>
            </w:r>
          </w:p>
        </w:tc>
        <w:tc>
          <w:tcPr>
            <w:tcW w:w="1939" w:type="dxa"/>
            <w:vAlign w:val="center"/>
            <w:hideMark/>
          </w:tcPr>
          <w:p w14:paraId="73B83C0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Low risk</w:t>
            </w:r>
          </w:p>
        </w:tc>
      </w:tr>
      <w:tr w:rsidR="00117BBB" w:rsidRPr="006F2CD0" w14:paraId="6FDC1B90" w14:textId="77777777" w:rsidTr="0010061F">
        <w:trPr>
          <w:tblCellSpacing w:w="15" w:type="dxa"/>
        </w:trPr>
        <w:tc>
          <w:tcPr>
            <w:tcW w:w="1231" w:type="dxa"/>
            <w:vAlign w:val="center"/>
            <w:hideMark/>
          </w:tcPr>
          <w:p w14:paraId="3E06D6D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Cu</w:t>
            </w:r>
          </w:p>
        </w:tc>
        <w:tc>
          <w:tcPr>
            <w:tcW w:w="821" w:type="dxa"/>
            <w:vAlign w:val="center"/>
            <w:hideMark/>
          </w:tcPr>
          <w:p w14:paraId="276C7B2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1.45</w:t>
            </w:r>
          </w:p>
        </w:tc>
        <w:tc>
          <w:tcPr>
            <w:tcW w:w="1104" w:type="dxa"/>
            <w:vAlign w:val="center"/>
            <w:hideMark/>
          </w:tcPr>
          <w:p w14:paraId="07BC5AF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0.48</w:t>
            </w:r>
          </w:p>
        </w:tc>
        <w:tc>
          <w:tcPr>
            <w:tcW w:w="1104" w:type="dxa"/>
            <w:vAlign w:val="center"/>
            <w:hideMark/>
          </w:tcPr>
          <w:p w14:paraId="5FFB3FA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7.2</w:t>
            </w:r>
          </w:p>
        </w:tc>
        <w:tc>
          <w:tcPr>
            <w:tcW w:w="1939" w:type="dxa"/>
            <w:vAlign w:val="center"/>
            <w:hideMark/>
          </w:tcPr>
          <w:p w14:paraId="44C5B5C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Moderate</w:t>
            </w:r>
          </w:p>
        </w:tc>
      </w:tr>
      <w:tr w:rsidR="00117BBB" w:rsidRPr="006F2CD0" w14:paraId="7D8E46BF" w14:textId="77777777" w:rsidTr="0010061F">
        <w:trPr>
          <w:tblCellSpacing w:w="15" w:type="dxa"/>
        </w:trPr>
        <w:tc>
          <w:tcPr>
            <w:tcW w:w="1231" w:type="dxa"/>
            <w:vAlign w:val="center"/>
            <w:hideMark/>
          </w:tcPr>
          <w:p w14:paraId="6A1A55F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Cr</w:t>
            </w:r>
          </w:p>
        </w:tc>
        <w:tc>
          <w:tcPr>
            <w:tcW w:w="821" w:type="dxa"/>
            <w:vAlign w:val="center"/>
            <w:hideMark/>
          </w:tcPr>
          <w:p w14:paraId="0F60483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1.12</w:t>
            </w:r>
          </w:p>
        </w:tc>
        <w:tc>
          <w:tcPr>
            <w:tcW w:w="1104" w:type="dxa"/>
            <w:vAlign w:val="center"/>
            <w:hideMark/>
          </w:tcPr>
          <w:p w14:paraId="7BBE050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0.15</w:t>
            </w:r>
          </w:p>
        </w:tc>
        <w:tc>
          <w:tcPr>
            <w:tcW w:w="1104" w:type="dxa"/>
            <w:vAlign w:val="center"/>
            <w:hideMark/>
          </w:tcPr>
          <w:p w14:paraId="43D46C4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3.8</w:t>
            </w:r>
          </w:p>
        </w:tc>
        <w:tc>
          <w:tcPr>
            <w:tcW w:w="1939" w:type="dxa"/>
            <w:vAlign w:val="center"/>
            <w:hideMark/>
          </w:tcPr>
          <w:p w14:paraId="474A042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Low</w:t>
            </w:r>
          </w:p>
        </w:tc>
      </w:tr>
      <w:tr w:rsidR="00117BBB" w:rsidRPr="006F2CD0" w14:paraId="67D5207A" w14:textId="77777777" w:rsidTr="0010061F">
        <w:trPr>
          <w:tblCellSpacing w:w="15" w:type="dxa"/>
        </w:trPr>
        <w:tc>
          <w:tcPr>
            <w:tcW w:w="1231" w:type="dxa"/>
            <w:vAlign w:val="center"/>
            <w:hideMark/>
          </w:tcPr>
          <w:p w14:paraId="563D13E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Pb</w:t>
            </w:r>
          </w:p>
        </w:tc>
        <w:tc>
          <w:tcPr>
            <w:tcW w:w="821" w:type="dxa"/>
            <w:vAlign w:val="center"/>
            <w:hideMark/>
          </w:tcPr>
          <w:p w14:paraId="0030A0B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2.34</w:t>
            </w:r>
          </w:p>
        </w:tc>
        <w:tc>
          <w:tcPr>
            <w:tcW w:w="1104" w:type="dxa"/>
            <w:vAlign w:val="center"/>
            <w:hideMark/>
          </w:tcPr>
          <w:p w14:paraId="6493521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0.92</w:t>
            </w:r>
          </w:p>
        </w:tc>
        <w:tc>
          <w:tcPr>
            <w:tcW w:w="1104" w:type="dxa"/>
            <w:vAlign w:val="center"/>
            <w:hideMark/>
          </w:tcPr>
          <w:p w14:paraId="02C2327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11.7</w:t>
            </w:r>
          </w:p>
        </w:tc>
        <w:tc>
          <w:tcPr>
            <w:tcW w:w="1939" w:type="dxa"/>
            <w:vAlign w:val="center"/>
            <w:hideMark/>
          </w:tcPr>
          <w:p w14:paraId="6F17318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Moderate</w:t>
            </w:r>
          </w:p>
        </w:tc>
      </w:tr>
      <w:tr w:rsidR="00117BBB" w:rsidRPr="006F2CD0" w14:paraId="08BF8459" w14:textId="77777777" w:rsidTr="0010061F">
        <w:trPr>
          <w:tblCellSpacing w:w="15" w:type="dxa"/>
        </w:trPr>
        <w:tc>
          <w:tcPr>
            <w:tcW w:w="1231" w:type="dxa"/>
            <w:vAlign w:val="center"/>
            <w:hideMark/>
          </w:tcPr>
          <w:p w14:paraId="764BDDE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Ni</w:t>
            </w:r>
          </w:p>
        </w:tc>
        <w:tc>
          <w:tcPr>
            <w:tcW w:w="821" w:type="dxa"/>
            <w:vAlign w:val="center"/>
            <w:hideMark/>
          </w:tcPr>
          <w:p w14:paraId="578C00B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1.08</w:t>
            </w:r>
          </w:p>
        </w:tc>
        <w:tc>
          <w:tcPr>
            <w:tcW w:w="1104" w:type="dxa"/>
            <w:vAlign w:val="center"/>
            <w:hideMark/>
          </w:tcPr>
          <w:p w14:paraId="31044F9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0.22</w:t>
            </w:r>
          </w:p>
        </w:tc>
        <w:tc>
          <w:tcPr>
            <w:tcW w:w="1104" w:type="dxa"/>
            <w:vAlign w:val="center"/>
            <w:hideMark/>
          </w:tcPr>
          <w:p w14:paraId="0D6EF96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5.4</w:t>
            </w:r>
          </w:p>
        </w:tc>
        <w:tc>
          <w:tcPr>
            <w:tcW w:w="1939" w:type="dxa"/>
            <w:vAlign w:val="center"/>
            <w:hideMark/>
          </w:tcPr>
          <w:p w14:paraId="756397B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Low</w:t>
            </w:r>
          </w:p>
        </w:tc>
      </w:tr>
      <w:tr w:rsidR="00117BBB" w:rsidRPr="006F2CD0" w14:paraId="0A7265AB" w14:textId="77777777" w:rsidTr="0010061F">
        <w:trPr>
          <w:tblCellSpacing w:w="15" w:type="dxa"/>
        </w:trPr>
        <w:tc>
          <w:tcPr>
            <w:tcW w:w="1231" w:type="dxa"/>
            <w:vAlign w:val="center"/>
            <w:hideMark/>
          </w:tcPr>
          <w:p w14:paraId="3645076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Cd</w:t>
            </w:r>
          </w:p>
        </w:tc>
        <w:tc>
          <w:tcPr>
            <w:tcW w:w="821" w:type="dxa"/>
            <w:vAlign w:val="center"/>
            <w:hideMark/>
          </w:tcPr>
          <w:p w14:paraId="1139AF5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4.76</w:t>
            </w:r>
          </w:p>
        </w:tc>
        <w:tc>
          <w:tcPr>
            <w:tcW w:w="1104" w:type="dxa"/>
            <w:vAlign w:val="center"/>
            <w:hideMark/>
          </w:tcPr>
          <w:p w14:paraId="6D07996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1.64</w:t>
            </w:r>
          </w:p>
        </w:tc>
        <w:tc>
          <w:tcPr>
            <w:tcW w:w="1104" w:type="dxa"/>
            <w:vAlign w:val="center"/>
            <w:hideMark/>
          </w:tcPr>
          <w:p w14:paraId="5795029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143.0</w:t>
            </w:r>
          </w:p>
        </w:tc>
        <w:tc>
          <w:tcPr>
            <w:tcW w:w="1939" w:type="dxa"/>
            <w:vAlign w:val="center"/>
            <w:hideMark/>
          </w:tcPr>
          <w:p w14:paraId="0A917CE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High</w:t>
            </w:r>
          </w:p>
        </w:tc>
      </w:tr>
    </w:tbl>
    <w:p w14:paraId="61B3153B"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These indices confirm that cadmium is the dominant contributor to ecological risk 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Estuary, warranting focused monitoring and source-control measures.</w:t>
      </w:r>
    </w:p>
    <w:p w14:paraId="2E42568C"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3.1.5 Correlation Analysis of Metals and Sediment Properties</w:t>
      </w:r>
    </w:p>
    <w:p w14:paraId="41FEF1BB"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Pearson correlation analysis (Table 5) revealed significant positive relationships among most metals, suggesting shared sources or similar geochemical controls. Iron correlated strongly with manganese (r = 0.76, p &lt; 0.01) and total organic carbon (r = 0.62), indicating that Fe–Mn oxides and organic matter are major sinks for trace metals. Lead and cadmium exhibited a strong positive correlation (r = 0.72, p &lt; 0.05), implying common anthropogenic origins such as fuel combustion, domestic waste, or petroleum discharge. The positive associations between TOC and Pb (r = 0.69) and between TOC and Cd (r = 0.64) further highlight the role of organic matter in metal complexation.</w:t>
      </w:r>
    </w:p>
    <w:p w14:paraId="6C8C679A"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Weak correlations between pH and metal concentrations indicate minimal influence of acidity on metal distribution within this estuarine system, likely due to buffering by bicarbonate and silicate minerals.</w:t>
      </w:r>
    </w:p>
    <w:p w14:paraId="616F6286"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b/>
          <w:bCs/>
          <w:sz w:val="24"/>
          <w:szCs w:val="24"/>
          <w:lang w:eastAsia="en-GB"/>
        </w:rPr>
      </w:pPr>
      <w:proofErr w:type="gramStart"/>
      <w:r w:rsidRPr="006F2CD0">
        <w:rPr>
          <w:rFonts w:ascii="Times New Roman" w:eastAsia="Times New Roman" w:hAnsi="Times New Roman" w:cs="Times New Roman"/>
          <w:b/>
          <w:bCs/>
          <w:sz w:val="24"/>
          <w:szCs w:val="24"/>
          <w:lang w:eastAsia="en-GB"/>
        </w:rPr>
        <w:t>Table 5.</w:t>
      </w:r>
      <w:proofErr w:type="gramEnd"/>
      <w:r w:rsidRPr="006F2CD0">
        <w:rPr>
          <w:rFonts w:ascii="Times New Roman" w:eastAsia="Times New Roman" w:hAnsi="Times New Roman" w:cs="Times New Roman"/>
          <w:b/>
          <w:bCs/>
          <w:sz w:val="24"/>
          <w:szCs w:val="24"/>
          <w:lang w:eastAsia="en-GB"/>
        </w:rPr>
        <w:t xml:space="preserve"> Correlation matrix among metals and sediment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817"/>
        <w:gridCol w:w="850"/>
        <w:gridCol w:w="851"/>
        <w:gridCol w:w="992"/>
        <w:gridCol w:w="851"/>
        <w:gridCol w:w="850"/>
        <w:gridCol w:w="992"/>
        <w:gridCol w:w="993"/>
      </w:tblGrid>
      <w:tr w:rsidR="00117BBB" w:rsidRPr="006F2CD0" w14:paraId="461A01CC" w14:textId="77777777" w:rsidTr="0010061F">
        <w:trPr>
          <w:tblHeader/>
          <w:tblCellSpacing w:w="15" w:type="dxa"/>
        </w:trPr>
        <w:tc>
          <w:tcPr>
            <w:tcW w:w="0" w:type="auto"/>
            <w:vAlign w:val="center"/>
            <w:hideMark/>
          </w:tcPr>
          <w:p w14:paraId="092397F5"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Parameter</w:t>
            </w:r>
          </w:p>
        </w:tc>
        <w:tc>
          <w:tcPr>
            <w:tcW w:w="787" w:type="dxa"/>
            <w:vAlign w:val="center"/>
            <w:hideMark/>
          </w:tcPr>
          <w:p w14:paraId="35894D59"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Fe</w:t>
            </w:r>
          </w:p>
        </w:tc>
        <w:tc>
          <w:tcPr>
            <w:tcW w:w="820" w:type="dxa"/>
            <w:vAlign w:val="center"/>
            <w:hideMark/>
          </w:tcPr>
          <w:p w14:paraId="6F6923C6"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Mn</w:t>
            </w:r>
          </w:p>
        </w:tc>
        <w:tc>
          <w:tcPr>
            <w:tcW w:w="821" w:type="dxa"/>
            <w:vAlign w:val="center"/>
            <w:hideMark/>
          </w:tcPr>
          <w:p w14:paraId="2F8E57F8"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Zn</w:t>
            </w:r>
          </w:p>
        </w:tc>
        <w:tc>
          <w:tcPr>
            <w:tcW w:w="962" w:type="dxa"/>
            <w:vAlign w:val="center"/>
            <w:hideMark/>
          </w:tcPr>
          <w:p w14:paraId="02D19472"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Cu</w:t>
            </w:r>
          </w:p>
        </w:tc>
        <w:tc>
          <w:tcPr>
            <w:tcW w:w="821" w:type="dxa"/>
            <w:vAlign w:val="center"/>
            <w:hideMark/>
          </w:tcPr>
          <w:p w14:paraId="3D389A9A"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Pb</w:t>
            </w:r>
          </w:p>
        </w:tc>
        <w:tc>
          <w:tcPr>
            <w:tcW w:w="820" w:type="dxa"/>
            <w:vAlign w:val="center"/>
            <w:hideMark/>
          </w:tcPr>
          <w:p w14:paraId="3F8FE0D6"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Cd</w:t>
            </w:r>
          </w:p>
        </w:tc>
        <w:tc>
          <w:tcPr>
            <w:tcW w:w="962" w:type="dxa"/>
            <w:vAlign w:val="center"/>
            <w:hideMark/>
          </w:tcPr>
          <w:p w14:paraId="0DB148E3"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TOC</w:t>
            </w:r>
          </w:p>
        </w:tc>
        <w:tc>
          <w:tcPr>
            <w:tcW w:w="948" w:type="dxa"/>
            <w:vAlign w:val="center"/>
            <w:hideMark/>
          </w:tcPr>
          <w:p w14:paraId="6545E974" w14:textId="77777777" w:rsidR="00117BBB" w:rsidRPr="006F2CD0" w:rsidRDefault="00117BBB" w:rsidP="0010061F">
            <w:pPr>
              <w:spacing w:after="0" w:line="240" w:lineRule="auto"/>
              <w:jc w:val="both"/>
              <w:rPr>
                <w:rFonts w:ascii="Times New Roman" w:eastAsia="Times New Roman" w:hAnsi="Times New Roman" w:cs="Times New Roman"/>
                <w:b/>
                <w:bCs/>
                <w:sz w:val="24"/>
                <w:szCs w:val="24"/>
                <w:lang w:eastAsia="en-GB"/>
              </w:rPr>
            </w:pPr>
            <w:r w:rsidRPr="006F2CD0">
              <w:rPr>
                <w:rFonts w:ascii="Times New Roman" w:eastAsia="Times New Roman" w:hAnsi="Times New Roman" w:cs="Times New Roman"/>
                <w:b/>
                <w:bCs/>
                <w:sz w:val="24"/>
                <w:szCs w:val="24"/>
                <w:lang w:eastAsia="en-GB"/>
              </w:rPr>
              <w:t>pH</w:t>
            </w:r>
          </w:p>
        </w:tc>
      </w:tr>
      <w:tr w:rsidR="00117BBB" w:rsidRPr="006F2CD0" w14:paraId="0CC0C87A" w14:textId="77777777" w:rsidTr="0010061F">
        <w:trPr>
          <w:tblCellSpacing w:w="15" w:type="dxa"/>
        </w:trPr>
        <w:tc>
          <w:tcPr>
            <w:tcW w:w="0" w:type="auto"/>
            <w:vAlign w:val="center"/>
            <w:hideMark/>
          </w:tcPr>
          <w:p w14:paraId="6EC3D63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Fe</w:t>
            </w:r>
          </w:p>
        </w:tc>
        <w:tc>
          <w:tcPr>
            <w:tcW w:w="787" w:type="dxa"/>
            <w:vAlign w:val="center"/>
            <w:hideMark/>
          </w:tcPr>
          <w:p w14:paraId="69FDAD0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820" w:type="dxa"/>
            <w:vAlign w:val="center"/>
            <w:hideMark/>
          </w:tcPr>
          <w:p w14:paraId="43E4F16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0.76</w:t>
            </w:r>
          </w:p>
        </w:tc>
        <w:tc>
          <w:tcPr>
            <w:tcW w:w="821" w:type="dxa"/>
            <w:vAlign w:val="center"/>
            <w:hideMark/>
          </w:tcPr>
          <w:p w14:paraId="410D541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0.52</w:t>
            </w:r>
          </w:p>
        </w:tc>
        <w:tc>
          <w:tcPr>
            <w:tcW w:w="962" w:type="dxa"/>
            <w:vAlign w:val="center"/>
            <w:hideMark/>
          </w:tcPr>
          <w:p w14:paraId="3760744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0.44</w:t>
            </w:r>
          </w:p>
        </w:tc>
        <w:tc>
          <w:tcPr>
            <w:tcW w:w="821" w:type="dxa"/>
            <w:vAlign w:val="center"/>
            <w:hideMark/>
          </w:tcPr>
          <w:p w14:paraId="0A5A049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0.39</w:t>
            </w:r>
          </w:p>
        </w:tc>
        <w:tc>
          <w:tcPr>
            <w:tcW w:w="820" w:type="dxa"/>
            <w:vAlign w:val="center"/>
            <w:hideMark/>
          </w:tcPr>
          <w:p w14:paraId="3A6FCAA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0.31</w:t>
            </w:r>
          </w:p>
        </w:tc>
        <w:tc>
          <w:tcPr>
            <w:tcW w:w="962" w:type="dxa"/>
            <w:vAlign w:val="center"/>
            <w:hideMark/>
          </w:tcPr>
          <w:p w14:paraId="6DBF78A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0.62</w:t>
            </w:r>
          </w:p>
        </w:tc>
        <w:tc>
          <w:tcPr>
            <w:tcW w:w="948" w:type="dxa"/>
            <w:vAlign w:val="center"/>
            <w:hideMark/>
          </w:tcPr>
          <w:p w14:paraId="6583CF9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0.18</w:t>
            </w:r>
          </w:p>
        </w:tc>
      </w:tr>
      <w:tr w:rsidR="00117BBB" w:rsidRPr="006F2CD0" w14:paraId="56A2E35D" w14:textId="77777777" w:rsidTr="0010061F">
        <w:trPr>
          <w:tblCellSpacing w:w="15" w:type="dxa"/>
        </w:trPr>
        <w:tc>
          <w:tcPr>
            <w:tcW w:w="0" w:type="auto"/>
            <w:vAlign w:val="center"/>
            <w:hideMark/>
          </w:tcPr>
          <w:p w14:paraId="5AD7AF4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Mn</w:t>
            </w:r>
          </w:p>
        </w:tc>
        <w:tc>
          <w:tcPr>
            <w:tcW w:w="787" w:type="dxa"/>
            <w:vAlign w:val="center"/>
            <w:hideMark/>
          </w:tcPr>
          <w:p w14:paraId="1F6B66F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0.76</w:t>
            </w:r>
          </w:p>
        </w:tc>
        <w:tc>
          <w:tcPr>
            <w:tcW w:w="820" w:type="dxa"/>
            <w:vAlign w:val="center"/>
            <w:hideMark/>
          </w:tcPr>
          <w:p w14:paraId="765B0D5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821" w:type="dxa"/>
            <w:vAlign w:val="center"/>
            <w:hideMark/>
          </w:tcPr>
          <w:p w14:paraId="1E1ABD9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0.64</w:t>
            </w:r>
          </w:p>
        </w:tc>
        <w:tc>
          <w:tcPr>
            <w:tcW w:w="962" w:type="dxa"/>
            <w:vAlign w:val="center"/>
            <w:hideMark/>
          </w:tcPr>
          <w:p w14:paraId="02E8D3C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0.57</w:t>
            </w:r>
          </w:p>
        </w:tc>
        <w:tc>
          <w:tcPr>
            <w:tcW w:w="821" w:type="dxa"/>
            <w:vAlign w:val="center"/>
            <w:hideMark/>
          </w:tcPr>
          <w:p w14:paraId="3911456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0.45</w:t>
            </w:r>
          </w:p>
        </w:tc>
        <w:tc>
          <w:tcPr>
            <w:tcW w:w="820" w:type="dxa"/>
            <w:vAlign w:val="center"/>
            <w:hideMark/>
          </w:tcPr>
          <w:p w14:paraId="66A108B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0.40</w:t>
            </w:r>
          </w:p>
        </w:tc>
        <w:tc>
          <w:tcPr>
            <w:tcW w:w="962" w:type="dxa"/>
            <w:vAlign w:val="center"/>
            <w:hideMark/>
          </w:tcPr>
          <w:p w14:paraId="4AD7519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0.68</w:t>
            </w:r>
          </w:p>
        </w:tc>
        <w:tc>
          <w:tcPr>
            <w:tcW w:w="948" w:type="dxa"/>
            <w:vAlign w:val="center"/>
            <w:hideMark/>
          </w:tcPr>
          <w:p w14:paraId="41618E7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0.24</w:t>
            </w:r>
          </w:p>
        </w:tc>
      </w:tr>
      <w:tr w:rsidR="00117BBB" w:rsidRPr="006F2CD0" w14:paraId="13503516" w14:textId="77777777" w:rsidTr="0010061F">
        <w:trPr>
          <w:tblCellSpacing w:w="15" w:type="dxa"/>
        </w:trPr>
        <w:tc>
          <w:tcPr>
            <w:tcW w:w="0" w:type="auto"/>
            <w:vAlign w:val="center"/>
            <w:hideMark/>
          </w:tcPr>
          <w:p w14:paraId="41F93DD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Zn</w:t>
            </w:r>
          </w:p>
        </w:tc>
        <w:tc>
          <w:tcPr>
            <w:tcW w:w="787" w:type="dxa"/>
            <w:vAlign w:val="center"/>
            <w:hideMark/>
          </w:tcPr>
          <w:p w14:paraId="11C6B09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0.52</w:t>
            </w:r>
          </w:p>
        </w:tc>
        <w:tc>
          <w:tcPr>
            <w:tcW w:w="820" w:type="dxa"/>
            <w:vAlign w:val="center"/>
            <w:hideMark/>
          </w:tcPr>
          <w:p w14:paraId="0E711C8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0.64</w:t>
            </w:r>
          </w:p>
        </w:tc>
        <w:tc>
          <w:tcPr>
            <w:tcW w:w="821" w:type="dxa"/>
            <w:vAlign w:val="center"/>
            <w:hideMark/>
          </w:tcPr>
          <w:p w14:paraId="2460E73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962" w:type="dxa"/>
            <w:vAlign w:val="center"/>
            <w:hideMark/>
          </w:tcPr>
          <w:p w14:paraId="349350A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0.73</w:t>
            </w:r>
          </w:p>
        </w:tc>
        <w:tc>
          <w:tcPr>
            <w:tcW w:w="821" w:type="dxa"/>
            <w:vAlign w:val="center"/>
            <w:hideMark/>
          </w:tcPr>
          <w:p w14:paraId="128A9D9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0.61</w:t>
            </w:r>
          </w:p>
        </w:tc>
        <w:tc>
          <w:tcPr>
            <w:tcW w:w="820" w:type="dxa"/>
            <w:vAlign w:val="center"/>
            <w:hideMark/>
          </w:tcPr>
          <w:p w14:paraId="6ACC922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0.55</w:t>
            </w:r>
          </w:p>
        </w:tc>
        <w:tc>
          <w:tcPr>
            <w:tcW w:w="962" w:type="dxa"/>
            <w:vAlign w:val="center"/>
            <w:hideMark/>
          </w:tcPr>
          <w:p w14:paraId="450FDC6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0.58</w:t>
            </w:r>
          </w:p>
        </w:tc>
        <w:tc>
          <w:tcPr>
            <w:tcW w:w="948" w:type="dxa"/>
            <w:vAlign w:val="center"/>
            <w:hideMark/>
          </w:tcPr>
          <w:p w14:paraId="0C86329C"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0.33</w:t>
            </w:r>
          </w:p>
        </w:tc>
      </w:tr>
      <w:tr w:rsidR="00117BBB" w:rsidRPr="006F2CD0" w14:paraId="0376A00D" w14:textId="77777777" w:rsidTr="0010061F">
        <w:trPr>
          <w:tblCellSpacing w:w="15" w:type="dxa"/>
        </w:trPr>
        <w:tc>
          <w:tcPr>
            <w:tcW w:w="0" w:type="auto"/>
            <w:vAlign w:val="center"/>
            <w:hideMark/>
          </w:tcPr>
          <w:p w14:paraId="0711392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Cu</w:t>
            </w:r>
          </w:p>
        </w:tc>
        <w:tc>
          <w:tcPr>
            <w:tcW w:w="787" w:type="dxa"/>
            <w:vAlign w:val="center"/>
            <w:hideMark/>
          </w:tcPr>
          <w:p w14:paraId="3AC959F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0.44</w:t>
            </w:r>
          </w:p>
        </w:tc>
        <w:tc>
          <w:tcPr>
            <w:tcW w:w="820" w:type="dxa"/>
            <w:vAlign w:val="center"/>
            <w:hideMark/>
          </w:tcPr>
          <w:p w14:paraId="598C39C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0.57</w:t>
            </w:r>
          </w:p>
        </w:tc>
        <w:tc>
          <w:tcPr>
            <w:tcW w:w="821" w:type="dxa"/>
            <w:vAlign w:val="center"/>
            <w:hideMark/>
          </w:tcPr>
          <w:p w14:paraId="73928A1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0.73</w:t>
            </w:r>
          </w:p>
        </w:tc>
        <w:tc>
          <w:tcPr>
            <w:tcW w:w="962" w:type="dxa"/>
            <w:vAlign w:val="center"/>
            <w:hideMark/>
          </w:tcPr>
          <w:p w14:paraId="57C7C68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821" w:type="dxa"/>
            <w:vAlign w:val="center"/>
            <w:hideMark/>
          </w:tcPr>
          <w:p w14:paraId="26172758"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0.68</w:t>
            </w:r>
          </w:p>
        </w:tc>
        <w:tc>
          <w:tcPr>
            <w:tcW w:w="820" w:type="dxa"/>
            <w:vAlign w:val="center"/>
            <w:hideMark/>
          </w:tcPr>
          <w:p w14:paraId="614D24B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0.47</w:t>
            </w:r>
          </w:p>
        </w:tc>
        <w:tc>
          <w:tcPr>
            <w:tcW w:w="962" w:type="dxa"/>
            <w:vAlign w:val="center"/>
            <w:hideMark/>
          </w:tcPr>
          <w:p w14:paraId="6785B6A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0.66</w:t>
            </w:r>
          </w:p>
        </w:tc>
        <w:tc>
          <w:tcPr>
            <w:tcW w:w="948" w:type="dxa"/>
            <w:vAlign w:val="center"/>
            <w:hideMark/>
          </w:tcPr>
          <w:p w14:paraId="0FBDE7E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0.40</w:t>
            </w:r>
          </w:p>
        </w:tc>
      </w:tr>
      <w:tr w:rsidR="00117BBB" w:rsidRPr="006F2CD0" w14:paraId="170E8C3F" w14:textId="77777777" w:rsidTr="0010061F">
        <w:trPr>
          <w:tblCellSpacing w:w="15" w:type="dxa"/>
        </w:trPr>
        <w:tc>
          <w:tcPr>
            <w:tcW w:w="0" w:type="auto"/>
            <w:vAlign w:val="center"/>
            <w:hideMark/>
          </w:tcPr>
          <w:p w14:paraId="78E6D45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Pb</w:t>
            </w:r>
          </w:p>
        </w:tc>
        <w:tc>
          <w:tcPr>
            <w:tcW w:w="787" w:type="dxa"/>
            <w:vAlign w:val="center"/>
            <w:hideMark/>
          </w:tcPr>
          <w:p w14:paraId="4A6DABC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0.39</w:t>
            </w:r>
          </w:p>
        </w:tc>
        <w:tc>
          <w:tcPr>
            <w:tcW w:w="820" w:type="dxa"/>
            <w:vAlign w:val="center"/>
            <w:hideMark/>
          </w:tcPr>
          <w:p w14:paraId="6C62FF5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0.45</w:t>
            </w:r>
          </w:p>
        </w:tc>
        <w:tc>
          <w:tcPr>
            <w:tcW w:w="821" w:type="dxa"/>
            <w:vAlign w:val="center"/>
            <w:hideMark/>
          </w:tcPr>
          <w:p w14:paraId="2CEA08C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0.61</w:t>
            </w:r>
          </w:p>
        </w:tc>
        <w:tc>
          <w:tcPr>
            <w:tcW w:w="962" w:type="dxa"/>
            <w:vAlign w:val="center"/>
            <w:hideMark/>
          </w:tcPr>
          <w:p w14:paraId="29600E1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0.68</w:t>
            </w:r>
          </w:p>
        </w:tc>
        <w:tc>
          <w:tcPr>
            <w:tcW w:w="821" w:type="dxa"/>
            <w:vAlign w:val="center"/>
            <w:hideMark/>
          </w:tcPr>
          <w:p w14:paraId="650A5B7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820" w:type="dxa"/>
            <w:vAlign w:val="center"/>
            <w:hideMark/>
          </w:tcPr>
          <w:p w14:paraId="59645B9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0.72</w:t>
            </w:r>
          </w:p>
        </w:tc>
        <w:tc>
          <w:tcPr>
            <w:tcW w:w="962" w:type="dxa"/>
            <w:vAlign w:val="center"/>
            <w:hideMark/>
          </w:tcPr>
          <w:p w14:paraId="7A19BA5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0.69</w:t>
            </w:r>
          </w:p>
        </w:tc>
        <w:tc>
          <w:tcPr>
            <w:tcW w:w="948" w:type="dxa"/>
            <w:vAlign w:val="center"/>
            <w:hideMark/>
          </w:tcPr>
          <w:p w14:paraId="480F892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0.32</w:t>
            </w:r>
          </w:p>
        </w:tc>
      </w:tr>
      <w:tr w:rsidR="00117BBB" w:rsidRPr="006F2CD0" w14:paraId="42726B62" w14:textId="77777777" w:rsidTr="0010061F">
        <w:trPr>
          <w:tblCellSpacing w:w="15" w:type="dxa"/>
        </w:trPr>
        <w:tc>
          <w:tcPr>
            <w:tcW w:w="0" w:type="auto"/>
            <w:vAlign w:val="center"/>
            <w:hideMark/>
          </w:tcPr>
          <w:p w14:paraId="2426FAE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Cd</w:t>
            </w:r>
          </w:p>
        </w:tc>
        <w:tc>
          <w:tcPr>
            <w:tcW w:w="787" w:type="dxa"/>
            <w:vAlign w:val="center"/>
            <w:hideMark/>
          </w:tcPr>
          <w:p w14:paraId="0673EAE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0.31</w:t>
            </w:r>
          </w:p>
        </w:tc>
        <w:tc>
          <w:tcPr>
            <w:tcW w:w="820" w:type="dxa"/>
            <w:vAlign w:val="center"/>
            <w:hideMark/>
          </w:tcPr>
          <w:p w14:paraId="28074CE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0.40</w:t>
            </w:r>
          </w:p>
        </w:tc>
        <w:tc>
          <w:tcPr>
            <w:tcW w:w="821" w:type="dxa"/>
            <w:vAlign w:val="center"/>
            <w:hideMark/>
          </w:tcPr>
          <w:p w14:paraId="3B1D069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0.55</w:t>
            </w:r>
          </w:p>
        </w:tc>
        <w:tc>
          <w:tcPr>
            <w:tcW w:w="962" w:type="dxa"/>
            <w:vAlign w:val="center"/>
            <w:hideMark/>
          </w:tcPr>
          <w:p w14:paraId="63939BA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0.47</w:t>
            </w:r>
          </w:p>
        </w:tc>
        <w:tc>
          <w:tcPr>
            <w:tcW w:w="821" w:type="dxa"/>
            <w:vAlign w:val="center"/>
            <w:hideMark/>
          </w:tcPr>
          <w:p w14:paraId="30C882E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0.72</w:t>
            </w:r>
          </w:p>
        </w:tc>
        <w:tc>
          <w:tcPr>
            <w:tcW w:w="820" w:type="dxa"/>
            <w:vAlign w:val="center"/>
            <w:hideMark/>
          </w:tcPr>
          <w:p w14:paraId="1753D60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962" w:type="dxa"/>
            <w:vAlign w:val="center"/>
            <w:hideMark/>
          </w:tcPr>
          <w:p w14:paraId="064798A7"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0.64</w:t>
            </w:r>
          </w:p>
        </w:tc>
        <w:tc>
          <w:tcPr>
            <w:tcW w:w="948" w:type="dxa"/>
            <w:vAlign w:val="center"/>
            <w:hideMark/>
          </w:tcPr>
          <w:p w14:paraId="03B7EFA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0.29</w:t>
            </w:r>
          </w:p>
        </w:tc>
      </w:tr>
      <w:tr w:rsidR="00117BBB" w:rsidRPr="006F2CD0" w14:paraId="7F08CC77" w14:textId="77777777" w:rsidTr="0010061F">
        <w:trPr>
          <w:tblCellSpacing w:w="15" w:type="dxa"/>
        </w:trPr>
        <w:tc>
          <w:tcPr>
            <w:tcW w:w="0" w:type="auto"/>
            <w:vAlign w:val="center"/>
            <w:hideMark/>
          </w:tcPr>
          <w:p w14:paraId="3A8E5689"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TOC</w:t>
            </w:r>
          </w:p>
        </w:tc>
        <w:tc>
          <w:tcPr>
            <w:tcW w:w="787" w:type="dxa"/>
            <w:vAlign w:val="center"/>
            <w:hideMark/>
          </w:tcPr>
          <w:p w14:paraId="019A87A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0.62</w:t>
            </w:r>
          </w:p>
        </w:tc>
        <w:tc>
          <w:tcPr>
            <w:tcW w:w="820" w:type="dxa"/>
            <w:vAlign w:val="center"/>
            <w:hideMark/>
          </w:tcPr>
          <w:p w14:paraId="20521EBB"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0.68</w:t>
            </w:r>
          </w:p>
        </w:tc>
        <w:tc>
          <w:tcPr>
            <w:tcW w:w="821" w:type="dxa"/>
            <w:vAlign w:val="center"/>
            <w:hideMark/>
          </w:tcPr>
          <w:p w14:paraId="0971AD5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0.58</w:t>
            </w:r>
          </w:p>
        </w:tc>
        <w:tc>
          <w:tcPr>
            <w:tcW w:w="962" w:type="dxa"/>
            <w:vAlign w:val="center"/>
            <w:hideMark/>
          </w:tcPr>
          <w:p w14:paraId="69140443"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0.66</w:t>
            </w:r>
          </w:p>
        </w:tc>
        <w:tc>
          <w:tcPr>
            <w:tcW w:w="821" w:type="dxa"/>
            <w:vAlign w:val="center"/>
            <w:hideMark/>
          </w:tcPr>
          <w:p w14:paraId="3FF4672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0.69</w:t>
            </w:r>
          </w:p>
        </w:tc>
        <w:tc>
          <w:tcPr>
            <w:tcW w:w="820" w:type="dxa"/>
            <w:vAlign w:val="center"/>
            <w:hideMark/>
          </w:tcPr>
          <w:p w14:paraId="1E25249F"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0.64</w:t>
            </w:r>
          </w:p>
        </w:tc>
        <w:tc>
          <w:tcPr>
            <w:tcW w:w="962" w:type="dxa"/>
            <w:vAlign w:val="center"/>
            <w:hideMark/>
          </w:tcPr>
          <w:p w14:paraId="11FAB41E"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c>
          <w:tcPr>
            <w:tcW w:w="948" w:type="dxa"/>
            <w:vAlign w:val="center"/>
            <w:hideMark/>
          </w:tcPr>
          <w:p w14:paraId="59DC99E5"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0.27</w:t>
            </w:r>
          </w:p>
        </w:tc>
      </w:tr>
      <w:tr w:rsidR="00117BBB" w:rsidRPr="006F2CD0" w14:paraId="0F4ACB82" w14:textId="77777777" w:rsidTr="0010061F">
        <w:trPr>
          <w:tblCellSpacing w:w="15" w:type="dxa"/>
        </w:trPr>
        <w:tc>
          <w:tcPr>
            <w:tcW w:w="0" w:type="auto"/>
            <w:vAlign w:val="center"/>
            <w:hideMark/>
          </w:tcPr>
          <w:p w14:paraId="0F98EF1D"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pH</w:t>
            </w:r>
          </w:p>
        </w:tc>
        <w:tc>
          <w:tcPr>
            <w:tcW w:w="787" w:type="dxa"/>
            <w:vAlign w:val="center"/>
            <w:hideMark/>
          </w:tcPr>
          <w:p w14:paraId="7919E50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0.18</w:t>
            </w:r>
          </w:p>
        </w:tc>
        <w:tc>
          <w:tcPr>
            <w:tcW w:w="820" w:type="dxa"/>
            <w:vAlign w:val="center"/>
            <w:hideMark/>
          </w:tcPr>
          <w:p w14:paraId="71733D6A"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0.24</w:t>
            </w:r>
          </w:p>
        </w:tc>
        <w:tc>
          <w:tcPr>
            <w:tcW w:w="821" w:type="dxa"/>
            <w:vAlign w:val="center"/>
            <w:hideMark/>
          </w:tcPr>
          <w:p w14:paraId="6D07F4A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0.33</w:t>
            </w:r>
          </w:p>
        </w:tc>
        <w:tc>
          <w:tcPr>
            <w:tcW w:w="962" w:type="dxa"/>
            <w:vAlign w:val="center"/>
            <w:hideMark/>
          </w:tcPr>
          <w:p w14:paraId="6540BEB2"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0.40</w:t>
            </w:r>
          </w:p>
        </w:tc>
        <w:tc>
          <w:tcPr>
            <w:tcW w:w="821" w:type="dxa"/>
            <w:vAlign w:val="center"/>
            <w:hideMark/>
          </w:tcPr>
          <w:p w14:paraId="7FE09664"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0.32</w:t>
            </w:r>
          </w:p>
        </w:tc>
        <w:tc>
          <w:tcPr>
            <w:tcW w:w="820" w:type="dxa"/>
            <w:vAlign w:val="center"/>
            <w:hideMark/>
          </w:tcPr>
          <w:p w14:paraId="65F67176"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0.29</w:t>
            </w:r>
          </w:p>
        </w:tc>
        <w:tc>
          <w:tcPr>
            <w:tcW w:w="962" w:type="dxa"/>
            <w:vAlign w:val="center"/>
            <w:hideMark/>
          </w:tcPr>
          <w:p w14:paraId="3A6BB4E1"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0.27</w:t>
            </w:r>
          </w:p>
        </w:tc>
        <w:tc>
          <w:tcPr>
            <w:tcW w:w="948" w:type="dxa"/>
            <w:vAlign w:val="center"/>
            <w:hideMark/>
          </w:tcPr>
          <w:p w14:paraId="5106DCA0" w14:textId="77777777" w:rsidR="00117BBB" w:rsidRPr="006F2CD0" w:rsidRDefault="00117BBB" w:rsidP="0010061F">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1.00</w:t>
            </w:r>
          </w:p>
        </w:tc>
      </w:tr>
    </w:tbl>
    <w:p w14:paraId="436DE47C"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intermetal correlations and strong association with organic carbon confirm that both natural lithogenic inputs and anthropogenic discharges jointly control the geochemical distribution of heavy metals 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w:t>
      </w:r>
    </w:p>
    <w:p w14:paraId="67DC7030" w14:textId="1DFFF534" w:rsidR="008123DF" w:rsidRPr="006F2CD0" w:rsidRDefault="008123DF" w:rsidP="008123DF">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FF0000"/>
          <w:sz w:val="24"/>
          <w:szCs w:val="24"/>
          <w:lang w:eastAsia="en-GB"/>
        </w:rPr>
      </w:pPr>
      <w:r w:rsidRPr="006F2CD0">
        <w:rPr>
          <w:rFonts w:ascii="Times New Roman" w:hAnsi="Times New Roman" w:cs="Times New Roman"/>
          <w:color w:val="FF0000"/>
          <w:sz w:val="24"/>
          <w:szCs w:val="24"/>
        </w:rPr>
        <w:t xml:space="preserve">Ensure all tables have </w:t>
      </w:r>
      <w:r w:rsidRPr="006F2CD0">
        <w:rPr>
          <w:rStyle w:val="Strong"/>
          <w:rFonts w:ascii="Times New Roman" w:hAnsi="Times New Roman" w:cs="Times New Roman"/>
          <w:b w:val="0"/>
          <w:bCs w:val="0"/>
          <w:color w:val="FF0000"/>
          <w:sz w:val="24"/>
          <w:szCs w:val="24"/>
        </w:rPr>
        <w:t>consistent decimal places</w:t>
      </w:r>
      <w:r w:rsidRPr="006F2CD0">
        <w:rPr>
          <w:rFonts w:ascii="Times New Roman" w:hAnsi="Times New Roman" w:cs="Times New Roman"/>
          <w:color w:val="FF0000"/>
          <w:sz w:val="24"/>
          <w:szCs w:val="24"/>
        </w:rPr>
        <w:t xml:space="preserve"> and proper alignment.</w:t>
      </w:r>
    </w:p>
    <w:p w14:paraId="69E353F8" w14:textId="77777777" w:rsidR="00117BBB" w:rsidRPr="006F2CD0" w:rsidRDefault="00117BBB" w:rsidP="00117BB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b/>
          <w:bCs/>
          <w:sz w:val="24"/>
          <w:szCs w:val="24"/>
          <w:lang w:eastAsia="en-GB"/>
        </w:rPr>
        <w:t>3.2 Discussion</w:t>
      </w:r>
    </w:p>
    <w:p w14:paraId="511932A6" w14:textId="77777777" w:rsidR="00117BBB" w:rsidRPr="006F2CD0" w:rsidRDefault="00117BBB" w:rsidP="00117BBB">
      <w:pPr>
        <w:spacing w:after="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color w:val="171717"/>
          <w:sz w:val="24"/>
          <w:szCs w:val="24"/>
          <w:shd w:val="clear" w:color="auto" w:fill="FFFFFF"/>
          <w:lang w:eastAsia="en-GB"/>
        </w:rPr>
        <w:t xml:space="preserve">The observed distribution pattern aligns with findings from other hydrocarbon-contaminated sites in the Niger Delta. </w:t>
      </w:r>
      <w:proofErr w:type="spellStart"/>
      <w:r w:rsidRPr="006F2CD0">
        <w:rPr>
          <w:rFonts w:ascii="Times New Roman" w:eastAsia="Times New Roman" w:hAnsi="Times New Roman" w:cs="Times New Roman"/>
          <w:color w:val="171717"/>
          <w:sz w:val="24"/>
          <w:szCs w:val="24"/>
          <w:shd w:val="clear" w:color="auto" w:fill="FFFFFF"/>
          <w:lang w:eastAsia="en-GB"/>
        </w:rPr>
        <w:t>Ajeh</w:t>
      </w:r>
      <w:proofErr w:type="spellEnd"/>
      <w:r w:rsidRPr="006F2CD0">
        <w:rPr>
          <w:rFonts w:ascii="Times New Roman" w:eastAsia="Times New Roman" w:hAnsi="Times New Roman" w:cs="Times New Roman"/>
          <w:color w:val="171717"/>
          <w:sz w:val="24"/>
          <w:szCs w:val="24"/>
          <w:shd w:val="clear" w:color="auto" w:fill="FFFFFF"/>
          <w:lang w:eastAsia="en-GB"/>
        </w:rPr>
        <w:t xml:space="preserve"> et al. (2022) and </w:t>
      </w:r>
      <w:proofErr w:type="spellStart"/>
      <w:r w:rsidRPr="006F2CD0">
        <w:rPr>
          <w:rFonts w:ascii="Times New Roman" w:eastAsia="Times New Roman" w:hAnsi="Times New Roman" w:cs="Times New Roman"/>
          <w:color w:val="171717"/>
          <w:sz w:val="24"/>
          <w:szCs w:val="24"/>
          <w:shd w:val="clear" w:color="auto" w:fill="FFFFFF"/>
          <w:lang w:eastAsia="en-GB"/>
        </w:rPr>
        <w:t>Abugu</w:t>
      </w:r>
      <w:proofErr w:type="spellEnd"/>
      <w:r w:rsidRPr="006F2CD0">
        <w:rPr>
          <w:rFonts w:ascii="Times New Roman" w:eastAsia="Times New Roman" w:hAnsi="Times New Roman" w:cs="Times New Roman"/>
          <w:color w:val="171717"/>
          <w:sz w:val="24"/>
          <w:szCs w:val="24"/>
          <w:shd w:val="clear" w:color="auto" w:fill="FFFFFF"/>
          <w:lang w:eastAsia="en-GB"/>
        </w:rPr>
        <w:t xml:space="preserve"> et al. (2023) documented significant metal enrichment and the co-occurrence of hydrocarbons and trace metals near tank farms and auto-mechanic clusters in Delta and Enugu States. Comparable metal–hydrocarbon interactions were also identified in Ghanaian urban aquifers, where fuel station activities contributed to elevated concentrations of Pb, Zn, and Cd (Fei-Baffoe et al., 2024; Onoja et al., 2025). These patterns support the conclusion that petroleum hydrocarbons facilitate metal mobilisation by altering sediment redox potential and binding equilibria, especially under oxygen-deficient conditions (Gill et al., 2020; Thornton et al., 2024).</w:t>
      </w:r>
    </w:p>
    <w:p w14:paraId="4EB8F72D" w14:textId="77777777" w:rsidR="00117BBB" w:rsidRPr="006F2CD0" w:rsidRDefault="00117BBB" w:rsidP="00117BBB">
      <w:pPr>
        <w:shd w:val="clear" w:color="auto" w:fill="FFFFFF"/>
        <w:spacing w:after="0" w:line="240" w:lineRule="auto"/>
        <w:jc w:val="both"/>
        <w:rPr>
          <w:rFonts w:ascii="Times New Roman" w:eastAsia="Times New Roman" w:hAnsi="Times New Roman" w:cs="Times New Roman"/>
          <w:color w:val="171717"/>
          <w:sz w:val="24"/>
          <w:szCs w:val="24"/>
          <w:lang w:eastAsia="en-GB"/>
        </w:rPr>
      </w:pPr>
    </w:p>
    <w:p w14:paraId="28EF5044" w14:textId="77777777" w:rsidR="00117BBB" w:rsidRPr="006F2CD0" w:rsidRDefault="00117BBB" w:rsidP="00117BBB">
      <w:pPr>
        <w:shd w:val="clear" w:color="auto" w:fill="FFFFFF"/>
        <w:spacing w:after="0" w:line="240" w:lineRule="auto"/>
        <w:jc w:val="both"/>
        <w:rPr>
          <w:rFonts w:ascii="Times New Roman" w:eastAsia="Times New Roman" w:hAnsi="Times New Roman" w:cs="Times New Roman"/>
          <w:color w:val="171717"/>
          <w:sz w:val="24"/>
          <w:szCs w:val="24"/>
          <w:lang w:eastAsia="en-GB"/>
        </w:rPr>
      </w:pPr>
      <w:r w:rsidRPr="006F2CD0">
        <w:rPr>
          <w:rFonts w:ascii="Times New Roman" w:eastAsia="Times New Roman" w:hAnsi="Times New Roman" w:cs="Times New Roman"/>
          <w:color w:val="171717"/>
          <w:sz w:val="24"/>
          <w:szCs w:val="24"/>
          <w:lang w:eastAsia="en-GB"/>
        </w:rPr>
        <w:t xml:space="preserve">Sequential extraction results indicate that Fe, Mn, and Cr were predominantly associated with the residual and Fe–Mn oxide fractions, reflecting low mobility and a natural mineral origin. In contrast, Cd, Pb, and Zn were primarily linked to exchangeable and carbonate fractions, which represent the most labile and bioavailable metal forms. The proportion of Cd in labile fractions (41.2%) observed in this study exceeds the 29–33% reported by </w:t>
      </w:r>
      <w:proofErr w:type="spellStart"/>
      <w:r w:rsidRPr="006F2CD0">
        <w:rPr>
          <w:rFonts w:ascii="Times New Roman" w:eastAsia="Times New Roman" w:hAnsi="Times New Roman" w:cs="Times New Roman"/>
          <w:color w:val="171717"/>
          <w:sz w:val="24"/>
          <w:szCs w:val="24"/>
          <w:lang w:eastAsia="en-GB"/>
        </w:rPr>
        <w:t>Ajeh</w:t>
      </w:r>
      <w:proofErr w:type="spellEnd"/>
      <w:r w:rsidRPr="006F2CD0">
        <w:rPr>
          <w:rFonts w:ascii="Times New Roman" w:eastAsia="Times New Roman" w:hAnsi="Times New Roman" w:cs="Times New Roman"/>
          <w:color w:val="171717"/>
          <w:sz w:val="24"/>
          <w:szCs w:val="24"/>
          <w:lang w:eastAsia="en-GB"/>
        </w:rPr>
        <w:t xml:space="preserve"> et al. (2022) for Delta State sediments and closely approximates the 43% reported for </w:t>
      </w:r>
      <w:proofErr w:type="spellStart"/>
      <w:r w:rsidRPr="006F2CD0">
        <w:rPr>
          <w:rFonts w:ascii="Times New Roman" w:eastAsia="Times New Roman" w:hAnsi="Times New Roman" w:cs="Times New Roman"/>
          <w:color w:val="171717"/>
          <w:sz w:val="24"/>
          <w:szCs w:val="24"/>
          <w:lang w:eastAsia="en-GB"/>
        </w:rPr>
        <w:t>Pb</w:t>
      </w:r>
      <w:proofErr w:type="spellEnd"/>
      <w:r w:rsidRPr="006F2CD0">
        <w:rPr>
          <w:rFonts w:ascii="Times New Roman" w:eastAsia="Times New Roman" w:hAnsi="Times New Roman" w:cs="Times New Roman"/>
          <w:color w:val="171717"/>
          <w:sz w:val="24"/>
          <w:szCs w:val="24"/>
          <w:lang w:eastAsia="en-GB"/>
        </w:rPr>
        <w:t xml:space="preserve"> in the </w:t>
      </w:r>
      <w:proofErr w:type="spellStart"/>
      <w:r w:rsidRPr="006F2CD0">
        <w:rPr>
          <w:rFonts w:ascii="Times New Roman" w:eastAsia="Times New Roman" w:hAnsi="Times New Roman" w:cs="Times New Roman"/>
          <w:color w:val="171717"/>
          <w:sz w:val="24"/>
          <w:szCs w:val="24"/>
          <w:lang w:eastAsia="en-GB"/>
        </w:rPr>
        <w:t>Ogoniland</w:t>
      </w:r>
      <w:proofErr w:type="spellEnd"/>
      <w:r w:rsidRPr="006F2CD0">
        <w:rPr>
          <w:rFonts w:ascii="Times New Roman" w:eastAsia="Times New Roman" w:hAnsi="Times New Roman" w:cs="Times New Roman"/>
          <w:color w:val="171717"/>
          <w:sz w:val="24"/>
          <w:szCs w:val="24"/>
          <w:lang w:eastAsia="en-GB"/>
        </w:rPr>
        <w:t xml:space="preserve"> remediation baseline (HYPREP, 2023). The prevalence of these fractions suggests that even minor changes in pH or redox conditions, such as those resulting from organic matter decomposition or tidal flushing, may mobilise metals into the water column (</w:t>
      </w:r>
      <w:proofErr w:type="spellStart"/>
      <w:r w:rsidRPr="006F2CD0">
        <w:rPr>
          <w:rFonts w:ascii="Times New Roman" w:eastAsia="Times New Roman" w:hAnsi="Times New Roman" w:cs="Times New Roman"/>
          <w:color w:val="171717"/>
          <w:sz w:val="24"/>
          <w:szCs w:val="24"/>
          <w:lang w:eastAsia="en-GB"/>
        </w:rPr>
        <w:t>Okpoji</w:t>
      </w:r>
      <w:proofErr w:type="spellEnd"/>
      <w:r w:rsidRPr="006F2CD0">
        <w:rPr>
          <w:rFonts w:ascii="Times New Roman" w:eastAsia="Times New Roman" w:hAnsi="Times New Roman" w:cs="Times New Roman"/>
          <w:color w:val="171717"/>
          <w:sz w:val="24"/>
          <w:szCs w:val="24"/>
          <w:lang w:eastAsia="en-GB"/>
        </w:rPr>
        <w:t xml:space="preserve"> et al., 2023).</w:t>
      </w:r>
    </w:p>
    <w:p w14:paraId="7FE70F26"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p>
    <w:p w14:paraId="5E3D2BD3"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These results reinforce the conclusions of Smith et al. (2021) and the Environment Agency (2023) that subsurface petroleum influence zones function as dynamic systems, with metal–hydrocarbon interactions and natural source </w:t>
      </w:r>
      <w:proofErr w:type="spellStart"/>
      <w:r w:rsidRPr="006F2CD0">
        <w:rPr>
          <w:rFonts w:ascii="Times New Roman" w:eastAsia="Times New Roman" w:hAnsi="Times New Roman" w:cs="Times New Roman"/>
          <w:sz w:val="24"/>
          <w:szCs w:val="24"/>
          <w:lang w:eastAsia="en-GB"/>
        </w:rPr>
        <w:t>zone</w:t>
      </w:r>
      <w:proofErr w:type="spellEnd"/>
      <w:r w:rsidRPr="006F2CD0">
        <w:rPr>
          <w:rFonts w:ascii="Times New Roman" w:eastAsia="Times New Roman" w:hAnsi="Times New Roman" w:cs="Times New Roman"/>
          <w:sz w:val="24"/>
          <w:szCs w:val="24"/>
          <w:lang w:eastAsia="en-GB"/>
        </w:rPr>
        <w:t xml:space="preserve"> depletion processes governing contaminant behaviour. The observed strong positive correlation between Pb and Cd (r = 0.72) indicates a shared anthropogenic origin, most plausibly associated with petroleum refining and domestic waste disposal. Correlations between total organic carbon (TOC) and metals such as Pb (r = 0.69) and Cd (r = 0.64) emphasise the role of organic carbon as a primary sorbent, aligning with the adsorption behaviour described by </w:t>
      </w:r>
      <w:proofErr w:type="spellStart"/>
      <w:r w:rsidRPr="006F2CD0">
        <w:rPr>
          <w:rFonts w:ascii="Times New Roman" w:eastAsia="Times New Roman" w:hAnsi="Times New Roman" w:cs="Times New Roman"/>
          <w:sz w:val="24"/>
          <w:szCs w:val="24"/>
          <w:lang w:eastAsia="en-GB"/>
        </w:rPr>
        <w:t>Aigberua</w:t>
      </w:r>
      <w:proofErr w:type="spellEnd"/>
      <w:r w:rsidRPr="006F2CD0">
        <w:rPr>
          <w:rFonts w:ascii="Times New Roman" w:eastAsia="Times New Roman" w:hAnsi="Times New Roman" w:cs="Times New Roman"/>
          <w:sz w:val="24"/>
          <w:szCs w:val="24"/>
          <w:lang w:eastAsia="en-GB"/>
        </w:rPr>
        <w:t xml:space="preserve"> (2020) and </w:t>
      </w:r>
      <w:proofErr w:type="spellStart"/>
      <w:r w:rsidRPr="006F2CD0">
        <w:rPr>
          <w:rFonts w:ascii="Times New Roman" w:eastAsia="Times New Roman" w:hAnsi="Times New Roman" w:cs="Times New Roman"/>
          <w:sz w:val="24"/>
          <w:szCs w:val="24"/>
          <w:lang w:eastAsia="en-GB"/>
        </w:rPr>
        <w:t>Ekwere</w:t>
      </w:r>
      <w:proofErr w:type="spellEnd"/>
      <w:r w:rsidRPr="006F2CD0">
        <w:rPr>
          <w:rFonts w:ascii="Times New Roman" w:eastAsia="Times New Roman" w:hAnsi="Times New Roman" w:cs="Times New Roman"/>
          <w:sz w:val="24"/>
          <w:szCs w:val="24"/>
          <w:lang w:eastAsia="en-GB"/>
        </w:rPr>
        <w:t xml:space="preserve"> et al. (2025).</w:t>
      </w:r>
    </w:p>
    <w:p w14:paraId="6BC723C7"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p>
    <w:p w14:paraId="51B4793C"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Pollution indices further substantiate the moderate anthropogenic impact 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Estuary. The contamination factor (CF) and </w:t>
      </w:r>
      <w:proofErr w:type="spellStart"/>
      <w:r w:rsidRPr="006F2CD0">
        <w:rPr>
          <w:rFonts w:ascii="Times New Roman" w:eastAsia="Times New Roman" w:hAnsi="Times New Roman" w:cs="Times New Roman"/>
          <w:sz w:val="24"/>
          <w:szCs w:val="24"/>
          <w:lang w:eastAsia="en-GB"/>
        </w:rPr>
        <w:t>geoaccumulation</w:t>
      </w:r>
      <w:proofErr w:type="spellEnd"/>
      <w:r w:rsidRPr="006F2CD0">
        <w:rPr>
          <w:rFonts w:ascii="Times New Roman" w:eastAsia="Times New Roman" w:hAnsi="Times New Roman" w:cs="Times New Roman"/>
          <w:sz w:val="24"/>
          <w:szCs w:val="24"/>
          <w:lang w:eastAsia="en-GB"/>
        </w:rPr>
        <w:t xml:space="preserve"> index (</w:t>
      </w:r>
      <w:proofErr w:type="spellStart"/>
      <w:r w:rsidRPr="006F2CD0">
        <w:rPr>
          <w:rFonts w:ascii="Times New Roman" w:eastAsia="Times New Roman" w:hAnsi="Times New Roman" w:cs="Times New Roman"/>
          <w:sz w:val="24"/>
          <w:szCs w:val="24"/>
          <w:lang w:eastAsia="en-GB"/>
        </w:rPr>
        <w:t>Igeo</w:t>
      </w:r>
      <w:proofErr w:type="spellEnd"/>
      <w:r w:rsidRPr="006F2CD0">
        <w:rPr>
          <w:rFonts w:ascii="Times New Roman" w:eastAsia="Times New Roman" w:hAnsi="Times New Roman" w:cs="Times New Roman"/>
          <w:sz w:val="24"/>
          <w:szCs w:val="24"/>
          <w:lang w:eastAsia="en-GB"/>
        </w:rPr>
        <w:t xml:space="preserve">) classify Cd (CF = 4.76; </w:t>
      </w:r>
      <w:proofErr w:type="spellStart"/>
      <w:r w:rsidRPr="006F2CD0">
        <w:rPr>
          <w:rFonts w:ascii="Times New Roman" w:eastAsia="Times New Roman" w:hAnsi="Times New Roman" w:cs="Times New Roman"/>
          <w:sz w:val="24"/>
          <w:szCs w:val="24"/>
          <w:lang w:eastAsia="en-GB"/>
        </w:rPr>
        <w:t>Igeo</w:t>
      </w:r>
      <w:proofErr w:type="spellEnd"/>
      <w:r w:rsidRPr="006F2CD0">
        <w:rPr>
          <w:rFonts w:ascii="Times New Roman" w:eastAsia="Times New Roman" w:hAnsi="Times New Roman" w:cs="Times New Roman"/>
          <w:sz w:val="24"/>
          <w:szCs w:val="24"/>
          <w:lang w:eastAsia="en-GB"/>
        </w:rPr>
        <w:t xml:space="preserve"> = 1.64) and Pb (CF = 2.34; </w:t>
      </w:r>
      <w:proofErr w:type="spellStart"/>
      <w:r w:rsidRPr="006F2CD0">
        <w:rPr>
          <w:rFonts w:ascii="Times New Roman" w:eastAsia="Times New Roman" w:hAnsi="Times New Roman" w:cs="Times New Roman"/>
          <w:sz w:val="24"/>
          <w:szCs w:val="24"/>
          <w:lang w:eastAsia="en-GB"/>
        </w:rPr>
        <w:t>Igeo</w:t>
      </w:r>
      <w:proofErr w:type="spellEnd"/>
      <w:r w:rsidRPr="006F2CD0">
        <w:rPr>
          <w:rFonts w:ascii="Times New Roman" w:eastAsia="Times New Roman" w:hAnsi="Times New Roman" w:cs="Times New Roman"/>
          <w:sz w:val="24"/>
          <w:szCs w:val="24"/>
          <w:lang w:eastAsia="en-GB"/>
        </w:rPr>
        <w:t xml:space="preserve"> = 0.92) as moderately to considerably enriched. These results closely align with those of </w:t>
      </w:r>
      <w:proofErr w:type="spellStart"/>
      <w:r w:rsidRPr="006F2CD0">
        <w:rPr>
          <w:rFonts w:ascii="Times New Roman" w:eastAsia="Times New Roman" w:hAnsi="Times New Roman" w:cs="Times New Roman"/>
          <w:sz w:val="24"/>
          <w:szCs w:val="24"/>
          <w:lang w:eastAsia="en-GB"/>
        </w:rPr>
        <w:t>Okpoji</w:t>
      </w:r>
      <w:proofErr w:type="spellEnd"/>
      <w:r w:rsidRPr="006F2CD0">
        <w:rPr>
          <w:rFonts w:ascii="Times New Roman" w:eastAsia="Times New Roman" w:hAnsi="Times New Roman" w:cs="Times New Roman"/>
          <w:sz w:val="24"/>
          <w:szCs w:val="24"/>
          <w:lang w:eastAsia="en-GB"/>
        </w:rPr>
        <w:t xml:space="preserve"> et al. (2025), who reported CF values of 4.9 for Cd and 2.6 for Pb in the Bonny River. Similarly, </w:t>
      </w:r>
      <w:proofErr w:type="spellStart"/>
      <w:r w:rsidRPr="006F2CD0">
        <w:rPr>
          <w:rFonts w:ascii="Times New Roman" w:eastAsia="Times New Roman" w:hAnsi="Times New Roman" w:cs="Times New Roman"/>
          <w:sz w:val="24"/>
          <w:szCs w:val="24"/>
          <w:lang w:eastAsia="en-GB"/>
        </w:rPr>
        <w:t>Igeo</w:t>
      </w:r>
      <w:proofErr w:type="spellEnd"/>
      <w:r w:rsidRPr="006F2CD0">
        <w:rPr>
          <w:rFonts w:ascii="Times New Roman" w:eastAsia="Times New Roman" w:hAnsi="Times New Roman" w:cs="Times New Roman"/>
          <w:sz w:val="24"/>
          <w:szCs w:val="24"/>
          <w:lang w:eastAsia="en-GB"/>
        </w:rPr>
        <w:t xml:space="preserve"> values from the </w:t>
      </w:r>
      <w:proofErr w:type="spellStart"/>
      <w:r w:rsidRPr="006F2CD0">
        <w:rPr>
          <w:rFonts w:ascii="Times New Roman" w:eastAsia="Times New Roman" w:hAnsi="Times New Roman" w:cs="Times New Roman"/>
          <w:sz w:val="24"/>
          <w:szCs w:val="24"/>
          <w:lang w:eastAsia="en-GB"/>
        </w:rPr>
        <w:t>Eket</w:t>
      </w:r>
      <w:proofErr w:type="spellEnd"/>
      <w:r w:rsidRPr="006F2CD0">
        <w:rPr>
          <w:rFonts w:ascii="Times New Roman" w:eastAsia="Times New Roman" w:hAnsi="Times New Roman" w:cs="Times New Roman"/>
          <w:sz w:val="24"/>
          <w:szCs w:val="24"/>
          <w:lang w:eastAsia="en-GB"/>
        </w:rPr>
        <w:t xml:space="preserve"> and </w:t>
      </w:r>
      <w:proofErr w:type="spellStart"/>
      <w:r w:rsidRPr="006F2CD0">
        <w:rPr>
          <w:rFonts w:ascii="Times New Roman" w:eastAsia="Times New Roman" w:hAnsi="Times New Roman" w:cs="Times New Roman"/>
          <w:sz w:val="24"/>
          <w:szCs w:val="24"/>
          <w:lang w:eastAsia="en-GB"/>
        </w:rPr>
        <w:t>Imiringi</w:t>
      </w:r>
      <w:proofErr w:type="spellEnd"/>
      <w:r w:rsidRPr="006F2CD0">
        <w:rPr>
          <w:rFonts w:ascii="Times New Roman" w:eastAsia="Times New Roman" w:hAnsi="Times New Roman" w:cs="Times New Roman"/>
          <w:sz w:val="24"/>
          <w:szCs w:val="24"/>
          <w:lang w:eastAsia="en-GB"/>
        </w:rPr>
        <w:t xml:space="preserve"> Rivers (0.84–1.90) (Akpan et al., 2022; </w:t>
      </w:r>
      <w:proofErr w:type="spellStart"/>
      <w:r w:rsidRPr="006F2CD0">
        <w:rPr>
          <w:rFonts w:ascii="Times New Roman" w:eastAsia="Times New Roman" w:hAnsi="Times New Roman" w:cs="Times New Roman"/>
          <w:sz w:val="24"/>
          <w:szCs w:val="24"/>
          <w:lang w:eastAsia="en-GB"/>
        </w:rPr>
        <w:t>Aigberua</w:t>
      </w:r>
      <w:proofErr w:type="spellEnd"/>
      <w:r w:rsidRPr="006F2CD0">
        <w:rPr>
          <w:rFonts w:ascii="Times New Roman" w:eastAsia="Times New Roman" w:hAnsi="Times New Roman" w:cs="Times New Roman"/>
          <w:sz w:val="24"/>
          <w:szCs w:val="24"/>
          <w:lang w:eastAsia="en-GB"/>
        </w:rPr>
        <w:t>, 2020) are consistent with the present findings. Comparison with global baselines reveals that Cd concentrations in this study exceed background levels for uncontaminated marine sediments in the United Kingdom (BGS, 2024), thereby confirming regional anthropogenic loading (</w:t>
      </w:r>
      <w:proofErr w:type="spellStart"/>
      <w:r w:rsidRPr="006F2CD0">
        <w:rPr>
          <w:rFonts w:ascii="Times New Roman" w:eastAsia="Times New Roman" w:hAnsi="Times New Roman" w:cs="Times New Roman"/>
          <w:sz w:val="24"/>
          <w:szCs w:val="24"/>
          <w:lang w:eastAsia="en-GB"/>
        </w:rPr>
        <w:t>Ekwere</w:t>
      </w:r>
      <w:proofErr w:type="spellEnd"/>
      <w:r w:rsidRPr="006F2CD0">
        <w:rPr>
          <w:rFonts w:ascii="Times New Roman" w:eastAsia="Times New Roman" w:hAnsi="Times New Roman" w:cs="Times New Roman"/>
          <w:sz w:val="24"/>
          <w:szCs w:val="24"/>
          <w:lang w:eastAsia="en-GB"/>
        </w:rPr>
        <w:t xml:space="preserve"> et al., 2025).</w:t>
      </w:r>
    </w:p>
    <w:p w14:paraId="139BDB06"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p>
    <w:p w14:paraId="5D2E420E"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The potential ecological risk index (PERI) identified cadmium as the primary pollutant of concern, exhibiting a high risk value (Er = 143). In contrast, lead (Er = 11.7) and copper (Er = 7.2) presented moderate risks. Consequently, the overall risk index (RI) falls within the moderate risk category, consistent with the values reported by </w:t>
      </w:r>
      <w:proofErr w:type="spellStart"/>
      <w:r w:rsidRPr="006F2CD0">
        <w:rPr>
          <w:rFonts w:ascii="Times New Roman" w:eastAsia="Times New Roman" w:hAnsi="Times New Roman" w:cs="Times New Roman"/>
          <w:sz w:val="24"/>
          <w:szCs w:val="24"/>
          <w:lang w:eastAsia="en-GB"/>
        </w:rPr>
        <w:t>Ajeh</w:t>
      </w:r>
      <w:proofErr w:type="spellEnd"/>
      <w:r w:rsidRPr="006F2CD0">
        <w:rPr>
          <w:rFonts w:ascii="Times New Roman" w:eastAsia="Times New Roman" w:hAnsi="Times New Roman" w:cs="Times New Roman"/>
          <w:sz w:val="24"/>
          <w:szCs w:val="24"/>
          <w:lang w:eastAsia="en-GB"/>
        </w:rPr>
        <w:t xml:space="preserve"> et al. (2022) and </w:t>
      </w:r>
      <w:proofErr w:type="spellStart"/>
      <w:r w:rsidRPr="006F2CD0">
        <w:rPr>
          <w:rFonts w:ascii="Times New Roman" w:eastAsia="Times New Roman" w:hAnsi="Times New Roman" w:cs="Times New Roman"/>
          <w:sz w:val="24"/>
          <w:szCs w:val="24"/>
          <w:lang w:eastAsia="en-GB"/>
        </w:rPr>
        <w:t>Abugu</w:t>
      </w:r>
      <w:proofErr w:type="spellEnd"/>
      <w:r w:rsidRPr="006F2CD0">
        <w:rPr>
          <w:rFonts w:ascii="Times New Roman" w:eastAsia="Times New Roman" w:hAnsi="Times New Roman" w:cs="Times New Roman"/>
          <w:sz w:val="24"/>
          <w:szCs w:val="24"/>
          <w:lang w:eastAsia="en-GB"/>
        </w:rPr>
        <w:t xml:space="preserve"> et al. (2023). The elevated cadmium risk is particularly significant given its toxicity and ability to bioaccumulate in aquatic organisms, as demonstrated by Onoja et al. (2025) in smoked fish samples and by John et al. (2025) in food-chain exposure studies. From a hydrogeochemical standpoint, these results demonstrate that prolonged petroleum activity can modify sediment mineralogy and facilitate the partitioning of metals into labile phases. This process, as described by Ite et al. (2018) and further detailed by Thornton et al. (2024), highlights the necessity of understanding redox-driven mechanisms and natural attenuation dynamics in the management of petroleum-contaminated environments.</w:t>
      </w:r>
    </w:p>
    <w:p w14:paraId="52A8FADC"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p>
    <w:p w14:paraId="37ACB9B7"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Comparison with international sediment-quality guidelines indicates that most metals, including zinc, copper, chromium, and nickel, 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Estuary remain within the NOAA Effects Range–Low (ERL) limits of 150, 34, 81, and 20.9 mg kg⁻¹, respectively. In contrast, cadmium (1.6 mg kg⁻¹) and lead (44 mg kg⁻¹) approach or exceed the ERL thresholds of 0.6 and 35 mg kg⁻¹, respectively, indicating potential sub-lethal effects on benthic organisms. Similar exceedances have been reported in </w:t>
      </w:r>
      <w:proofErr w:type="spellStart"/>
      <w:r w:rsidRPr="006F2CD0">
        <w:rPr>
          <w:rFonts w:ascii="Times New Roman" w:eastAsia="Times New Roman" w:hAnsi="Times New Roman" w:cs="Times New Roman"/>
          <w:sz w:val="24"/>
          <w:szCs w:val="24"/>
          <w:lang w:eastAsia="en-GB"/>
        </w:rPr>
        <w:t>Eket</w:t>
      </w:r>
      <w:proofErr w:type="spellEnd"/>
      <w:r w:rsidRPr="006F2CD0">
        <w:rPr>
          <w:rFonts w:ascii="Times New Roman" w:eastAsia="Times New Roman" w:hAnsi="Times New Roman" w:cs="Times New Roman"/>
          <w:sz w:val="24"/>
          <w:szCs w:val="24"/>
          <w:lang w:eastAsia="en-GB"/>
        </w:rPr>
        <w:t xml:space="preserve"> and </w:t>
      </w:r>
      <w:proofErr w:type="spellStart"/>
      <w:r w:rsidRPr="006F2CD0">
        <w:rPr>
          <w:rFonts w:ascii="Times New Roman" w:eastAsia="Times New Roman" w:hAnsi="Times New Roman" w:cs="Times New Roman"/>
          <w:sz w:val="24"/>
          <w:szCs w:val="24"/>
          <w:lang w:eastAsia="en-GB"/>
        </w:rPr>
        <w:t>Nsisioken</w:t>
      </w:r>
      <w:proofErr w:type="spellEnd"/>
      <w:r w:rsidRPr="006F2CD0">
        <w:rPr>
          <w:rFonts w:ascii="Times New Roman" w:eastAsia="Times New Roman" w:hAnsi="Times New Roman" w:cs="Times New Roman"/>
          <w:sz w:val="24"/>
          <w:szCs w:val="24"/>
          <w:lang w:eastAsia="en-GB"/>
        </w:rPr>
        <w:t xml:space="preserve"> (</w:t>
      </w:r>
      <w:proofErr w:type="spellStart"/>
      <w:r w:rsidRPr="006F2CD0">
        <w:rPr>
          <w:rFonts w:ascii="Times New Roman" w:eastAsia="Times New Roman" w:hAnsi="Times New Roman" w:cs="Times New Roman"/>
          <w:sz w:val="24"/>
          <w:szCs w:val="24"/>
          <w:lang w:eastAsia="en-GB"/>
        </w:rPr>
        <w:t>Akpan</w:t>
      </w:r>
      <w:proofErr w:type="spellEnd"/>
      <w:r w:rsidRPr="006F2CD0">
        <w:rPr>
          <w:rFonts w:ascii="Times New Roman" w:eastAsia="Times New Roman" w:hAnsi="Times New Roman" w:cs="Times New Roman"/>
          <w:sz w:val="24"/>
          <w:szCs w:val="24"/>
          <w:lang w:eastAsia="en-GB"/>
        </w:rPr>
        <w:t xml:space="preserve"> et al., 2022; </w:t>
      </w:r>
      <w:proofErr w:type="spellStart"/>
      <w:r w:rsidRPr="006F2CD0">
        <w:rPr>
          <w:rFonts w:ascii="Times New Roman" w:eastAsia="Times New Roman" w:hAnsi="Times New Roman" w:cs="Times New Roman"/>
          <w:sz w:val="24"/>
          <w:szCs w:val="24"/>
          <w:lang w:eastAsia="en-GB"/>
        </w:rPr>
        <w:t>Nwaozuzu</w:t>
      </w:r>
      <w:proofErr w:type="spellEnd"/>
      <w:r w:rsidRPr="006F2CD0">
        <w:rPr>
          <w:rFonts w:ascii="Times New Roman" w:eastAsia="Times New Roman" w:hAnsi="Times New Roman" w:cs="Times New Roman"/>
          <w:sz w:val="24"/>
          <w:szCs w:val="24"/>
          <w:lang w:eastAsia="en-GB"/>
        </w:rPr>
        <w:t xml:space="preserve"> et al., 2024), reinforcing the persistent ecological threats posed by petroleum-derived metals in Nigerian estuarine and groundwater systems. Recent global remediation initiatives advocate integrated pollution control through natural attenuation, electrokinetic enhancement, and in-situ bioremediation. The </w:t>
      </w:r>
      <w:proofErr w:type="spellStart"/>
      <w:r w:rsidRPr="006F2CD0">
        <w:rPr>
          <w:rFonts w:ascii="Times New Roman" w:eastAsia="Times New Roman" w:hAnsi="Times New Roman" w:cs="Times New Roman"/>
          <w:sz w:val="24"/>
          <w:szCs w:val="24"/>
          <w:lang w:eastAsia="en-GB"/>
        </w:rPr>
        <w:t>ongoing</w:t>
      </w:r>
      <w:proofErr w:type="spellEnd"/>
      <w:r w:rsidRPr="006F2CD0">
        <w:rPr>
          <w:rFonts w:ascii="Times New Roman" w:eastAsia="Times New Roman" w:hAnsi="Times New Roman" w:cs="Times New Roman"/>
          <w:sz w:val="24"/>
          <w:szCs w:val="24"/>
          <w:lang w:eastAsia="en-GB"/>
        </w:rPr>
        <w:t xml:space="preserve"> </w:t>
      </w:r>
      <w:proofErr w:type="spellStart"/>
      <w:r w:rsidRPr="006F2CD0">
        <w:rPr>
          <w:rFonts w:ascii="Times New Roman" w:eastAsia="Times New Roman" w:hAnsi="Times New Roman" w:cs="Times New Roman"/>
          <w:sz w:val="24"/>
          <w:szCs w:val="24"/>
          <w:lang w:eastAsia="en-GB"/>
        </w:rPr>
        <w:t>Ogoniland</w:t>
      </w:r>
      <w:proofErr w:type="spellEnd"/>
      <w:r w:rsidRPr="006F2CD0">
        <w:rPr>
          <w:rFonts w:ascii="Times New Roman" w:eastAsia="Times New Roman" w:hAnsi="Times New Roman" w:cs="Times New Roman"/>
          <w:sz w:val="24"/>
          <w:szCs w:val="24"/>
          <w:lang w:eastAsia="en-GB"/>
        </w:rPr>
        <w:t xml:space="preserve"> </w:t>
      </w:r>
      <w:proofErr w:type="spellStart"/>
      <w:r w:rsidRPr="006F2CD0">
        <w:rPr>
          <w:rFonts w:ascii="Times New Roman" w:eastAsia="Times New Roman" w:hAnsi="Times New Roman" w:cs="Times New Roman"/>
          <w:sz w:val="24"/>
          <w:szCs w:val="24"/>
          <w:lang w:eastAsia="en-GB"/>
        </w:rPr>
        <w:t>cleanup</w:t>
      </w:r>
      <w:proofErr w:type="spellEnd"/>
      <w:r w:rsidRPr="006F2CD0">
        <w:rPr>
          <w:rFonts w:ascii="Times New Roman" w:eastAsia="Times New Roman" w:hAnsi="Times New Roman" w:cs="Times New Roman"/>
          <w:sz w:val="24"/>
          <w:szCs w:val="24"/>
          <w:lang w:eastAsia="en-GB"/>
        </w:rPr>
        <w:t xml:space="preserve"> programme also emphasises sediment remediation and sustainable management strategies Sweeney, 2024; DEFRA, 2023). Lessons from the British Environment Agency and the British Geological Survey highlight the importance of combining geochemical monitoring with risk-based management frameworks. </w:t>
      </w:r>
    </w:p>
    <w:p w14:paraId="785D7B9E"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p>
    <w:p w14:paraId="355C49F2" w14:textId="0EFCEC69" w:rsidR="00117BBB" w:rsidRPr="006F2CD0" w:rsidRDefault="0098668F"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hAnsi="Times New Roman" w:cs="Times New Roman"/>
          <w:sz w:val="24"/>
          <w:szCs w:val="24"/>
        </w:rPr>
        <w:t xml:space="preserve">The findings of </w:t>
      </w:r>
      <w:proofErr w:type="spellStart"/>
      <w:r w:rsidRPr="006F2CD0">
        <w:rPr>
          <w:rFonts w:ascii="Times New Roman" w:hAnsi="Times New Roman" w:cs="Times New Roman"/>
          <w:sz w:val="24"/>
          <w:szCs w:val="24"/>
        </w:rPr>
        <w:t>Pandey</w:t>
      </w:r>
      <w:proofErr w:type="spellEnd"/>
      <w:r w:rsidRPr="006F2CD0">
        <w:rPr>
          <w:rFonts w:ascii="Times New Roman" w:hAnsi="Times New Roman" w:cs="Times New Roman"/>
          <w:sz w:val="24"/>
          <w:szCs w:val="24"/>
        </w:rPr>
        <w:t xml:space="preserve"> and Mishra (2025) also emphasize that untreated or inadequately treated wastewater from nearby industries contributes significantly to the enrichment of metals such as Fe and </w:t>
      </w:r>
      <w:proofErr w:type="spellStart"/>
      <w:r w:rsidRPr="006F2CD0">
        <w:rPr>
          <w:rFonts w:ascii="Times New Roman" w:hAnsi="Times New Roman" w:cs="Times New Roman"/>
          <w:sz w:val="24"/>
          <w:szCs w:val="24"/>
        </w:rPr>
        <w:t>Pb</w:t>
      </w:r>
      <w:proofErr w:type="spellEnd"/>
      <w:r w:rsidRPr="006F2CD0">
        <w:rPr>
          <w:rFonts w:ascii="Times New Roman" w:hAnsi="Times New Roman" w:cs="Times New Roman"/>
          <w:sz w:val="24"/>
          <w:szCs w:val="24"/>
        </w:rPr>
        <w:t xml:space="preserve"> in surface waters. Their results highlight the urgent need for effective wastewater treatment and monitoring systems to mitigate heavy metal loading in aquatic ecosystems. </w:t>
      </w:r>
      <w:r w:rsidR="00117BBB" w:rsidRPr="006F2CD0">
        <w:rPr>
          <w:rFonts w:ascii="Times New Roman" w:eastAsia="Times New Roman" w:hAnsi="Times New Roman" w:cs="Times New Roman"/>
          <w:sz w:val="24"/>
          <w:szCs w:val="24"/>
          <w:lang w:eastAsia="en-GB"/>
        </w:rPr>
        <w:t xml:space="preserve">The present study demonstrates that the Qua </w:t>
      </w:r>
      <w:proofErr w:type="spellStart"/>
      <w:r w:rsidR="00117BBB" w:rsidRPr="006F2CD0">
        <w:rPr>
          <w:rFonts w:ascii="Times New Roman" w:eastAsia="Times New Roman" w:hAnsi="Times New Roman" w:cs="Times New Roman"/>
          <w:sz w:val="24"/>
          <w:szCs w:val="24"/>
          <w:lang w:eastAsia="en-GB"/>
        </w:rPr>
        <w:t>Iboe</w:t>
      </w:r>
      <w:proofErr w:type="spellEnd"/>
      <w:r w:rsidR="00117BBB" w:rsidRPr="006F2CD0">
        <w:rPr>
          <w:rFonts w:ascii="Times New Roman" w:eastAsia="Times New Roman" w:hAnsi="Times New Roman" w:cs="Times New Roman"/>
          <w:sz w:val="24"/>
          <w:szCs w:val="24"/>
          <w:lang w:eastAsia="en-GB"/>
        </w:rPr>
        <w:t xml:space="preserve"> River Estuary is moderately contaminated by cadmium and lead, primarily of anthropogenic origin (Ite et al., 2018; Fei-Baffoe et al., 2024). This contamination reflects the cumulative impacts of petroleum exploration, boat traffic, and unregulated waste disposal. These findings align with regional and international studies, which indicate that metal–hydrocarbon co-contamination remains a significant issue in coastal and estuarine systems. Effective management of the Qua </w:t>
      </w:r>
      <w:proofErr w:type="spellStart"/>
      <w:r w:rsidR="00117BBB" w:rsidRPr="006F2CD0">
        <w:rPr>
          <w:rFonts w:ascii="Times New Roman" w:eastAsia="Times New Roman" w:hAnsi="Times New Roman" w:cs="Times New Roman"/>
          <w:sz w:val="24"/>
          <w:szCs w:val="24"/>
          <w:lang w:eastAsia="en-GB"/>
        </w:rPr>
        <w:t>Iboe</w:t>
      </w:r>
      <w:proofErr w:type="spellEnd"/>
      <w:r w:rsidR="00117BBB" w:rsidRPr="006F2CD0">
        <w:rPr>
          <w:rFonts w:ascii="Times New Roman" w:eastAsia="Times New Roman" w:hAnsi="Times New Roman" w:cs="Times New Roman"/>
          <w:sz w:val="24"/>
          <w:szCs w:val="24"/>
          <w:lang w:eastAsia="en-GB"/>
        </w:rPr>
        <w:t xml:space="preserve"> Estuary should incorporate periodic sediment monitoring, source control, and environmentally sustainable petroleum operations (</w:t>
      </w:r>
      <w:proofErr w:type="spellStart"/>
      <w:r w:rsidR="00117BBB" w:rsidRPr="006F2CD0">
        <w:rPr>
          <w:rFonts w:ascii="Times New Roman" w:eastAsia="Times New Roman" w:hAnsi="Times New Roman" w:cs="Times New Roman"/>
          <w:sz w:val="24"/>
          <w:szCs w:val="24"/>
          <w:lang w:eastAsia="en-GB"/>
        </w:rPr>
        <w:t>Anarado</w:t>
      </w:r>
      <w:proofErr w:type="spellEnd"/>
      <w:r w:rsidR="00117BBB" w:rsidRPr="006F2CD0">
        <w:rPr>
          <w:rFonts w:ascii="Times New Roman" w:eastAsia="Times New Roman" w:hAnsi="Times New Roman" w:cs="Times New Roman"/>
          <w:sz w:val="24"/>
          <w:szCs w:val="24"/>
          <w:lang w:eastAsia="en-GB"/>
        </w:rPr>
        <w:t xml:space="preserve"> et al. 2023). Remediation strategies should prioritise high-risk metals such as cadmium, employing context-appropriate technologies including electrokinetic-enhanced removal and phytoremediation, which have proven effective in heterogeneous coastal environments (Gill et al., 2020; Sweeney, 2024). </w:t>
      </w:r>
    </w:p>
    <w:p w14:paraId="308D91F8" w14:textId="50F6EC4E" w:rsidR="00117BBB" w:rsidRPr="006F2CD0" w:rsidRDefault="00413167" w:rsidP="00413167">
      <w:pPr>
        <w:pStyle w:val="ListParagraph"/>
        <w:numPr>
          <w:ilvl w:val="0"/>
          <w:numId w:val="1"/>
        </w:numPr>
        <w:spacing w:after="120" w:line="240" w:lineRule="auto"/>
        <w:jc w:val="both"/>
        <w:rPr>
          <w:rFonts w:ascii="Times New Roman" w:eastAsia="Times New Roman" w:hAnsi="Times New Roman" w:cs="Times New Roman"/>
          <w:color w:val="FF0000"/>
          <w:sz w:val="24"/>
          <w:szCs w:val="24"/>
          <w:lang w:eastAsia="en-GB"/>
        </w:rPr>
      </w:pPr>
      <w:r w:rsidRPr="006F2CD0">
        <w:rPr>
          <w:rFonts w:ascii="Times New Roman" w:hAnsi="Times New Roman" w:cs="Times New Roman"/>
          <w:color w:val="FF0000"/>
          <w:sz w:val="24"/>
          <w:szCs w:val="24"/>
        </w:rPr>
        <w:t>Condense repetitive comparisons</w:t>
      </w:r>
      <w:r w:rsidRPr="006F2CD0">
        <w:rPr>
          <w:rFonts w:ascii="Times New Roman" w:hAnsi="Times New Roman" w:cs="Times New Roman"/>
          <w:color w:val="FF0000"/>
          <w:sz w:val="24"/>
          <w:szCs w:val="24"/>
        </w:rPr>
        <w:t>.</w:t>
      </w:r>
    </w:p>
    <w:p w14:paraId="4225B4C1" w14:textId="77777777" w:rsidR="00117BBB" w:rsidRPr="006F2CD0" w:rsidRDefault="00117BBB" w:rsidP="00117BBB">
      <w:pPr>
        <w:pStyle w:val="Heading3"/>
        <w:jc w:val="both"/>
        <w:rPr>
          <w:sz w:val="24"/>
          <w:szCs w:val="24"/>
        </w:rPr>
      </w:pPr>
      <w:r w:rsidRPr="006F2CD0">
        <w:rPr>
          <w:rStyle w:val="Strong"/>
          <w:b/>
          <w:bCs/>
          <w:sz w:val="24"/>
          <w:szCs w:val="24"/>
        </w:rPr>
        <w:t>Conclusion</w:t>
      </w:r>
    </w:p>
    <w:p w14:paraId="3B942BE7" w14:textId="77777777" w:rsidR="00117BBB" w:rsidRPr="006F2CD0" w:rsidRDefault="00117BBB" w:rsidP="00117BBB">
      <w:pPr>
        <w:spacing w:after="120" w:line="240" w:lineRule="auto"/>
        <w:jc w:val="both"/>
        <w:rPr>
          <w:rFonts w:ascii="Times New Roman" w:eastAsia="Times New Roman" w:hAnsi="Times New Roman" w:cs="Times New Roman"/>
          <w:sz w:val="24"/>
          <w:szCs w:val="24"/>
          <w:lang w:eastAsia="en-GB"/>
        </w:rPr>
      </w:pPr>
      <w:r w:rsidRPr="006F2CD0">
        <w:rPr>
          <w:rFonts w:ascii="Times New Roman" w:eastAsia="Times New Roman" w:hAnsi="Times New Roman" w:cs="Times New Roman"/>
          <w:sz w:val="24"/>
          <w:szCs w:val="24"/>
          <w:lang w:eastAsia="en-GB"/>
        </w:rPr>
        <w:t xml:space="preserve">In the Qua </w:t>
      </w:r>
      <w:proofErr w:type="spellStart"/>
      <w:r w:rsidRPr="006F2CD0">
        <w:rPr>
          <w:rFonts w:ascii="Times New Roman" w:eastAsia="Times New Roman" w:hAnsi="Times New Roman" w:cs="Times New Roman"/>
          <w:sz w:val="24"/>
          <w:szCs w:val="24"/>
          <w:lang w:eastAsia="en-GB"/>
        </w:rPr>
        <w:t>Iboe</w:t>
      </w:r>
      <w:proofErr w:type="spellEnd"/>
      <w:r w:rsidRPr="006F2CD0">
        <w:rPr>
          <w:rFonts w:ascii="Times New Roman" w:eastAsia="Times New Roman" w:hAnsi="Times New Roman" w:cs="Times New Roman"/>
          <w:sz w:val="24"/>
          <w:szCs w:val="24"/>
          <w:lang w:eastAsia="en-GB"/>
        </w:rPr>
        <w:t xml:space="preserve"> River Estuary, </w:t>
      </w:r>
      <w:proofErr w:type="spellStart"/>
      <w:r w:rsidRPr="006F2CD0">
        <w:rPr>
          <w:rFonts w:ascii="Times New Roman" w:eastAsia="Times New Roman" w:hAnsi="Times New Roman" w:cs="Times New Roman"/>
          <w:sz w:val="24"/>
          <w:szCs w:val="24"/>
          <w:lang w:eastAsia="en-GB"/>
        </w:rPr>
        <w:t>Akwa</w:t>
      </w:r>
      <w:proofErr w:type="spellEnd"/>
      <w:r w:rsidRPr="006F2CD0">
        <w:rPr>
          <w:rFonts w:ascii="Times New Roman" w:eastAsia="Times New Roman" w:hAnsi="Times New Roman" w:cs="Times New Roman"/>
          <w:sz w:val="24"/>
          <w:szCs w:val="24"/>
          <w:lang w:eastAsia="en-GB"/>
        </w:rPr>
        <w:t xml:space="preserve"> Ibom State, Nigeria, the present study investigated the chemistry of marine sediments and the partitioning of heavy metals. The sediments exhibited a fine-grained texture dominated by silt and clay, a pH ranging from slightly acidic to neutral, and moderate organic carbon content. These properties facilitate metal retention and complexation. The order of total metal concentrations was Fe &gt; Mn &gt; Zn &gt; Cu &gt; Cr &gt; Pb &gt; Ni &gt; Cd, indicating both lithogenic and anthropogenic sources. Sequential extraction revealed that iron, manganese, and chromium were predominantly associated with the residual phase, demonstrating geogenic control. In contrast, the exchangeable and carbonate fractions contained the majority of the cadmium, lead, and zinc, indicating increased mobility and bioavailability. Due to its high toxicity and mobility, cadmium was identified as the primary contributor to ecological risk according to the ecological risk index. Strong positive correlations among iron, manganese, zinc, and copper indicate shared sources and similar geochemical behaviours. The correlation of lead and cadmium with organic carbon suggests anthropogenic input, particularly from petroleum-related activities.</w:t>
      </w:r>
    </w:p>
    <w:p w14:paraId="3E6503F3" w14:textId="77777777" w:rsidR="00117BBB" w:rsidRPr="006F2CD0" w:rsidRDefault="00117BBB" w:rsidP="00117BBB">
      <w:pPr>
        <w:pStyle w:val="Heading3"/>
        <w:jc w:val="both"/>
        <w:rPr>
          <w:sz w:val="24"/>
          <w:szCs w:val="24"/>
        </w:rPr>
      </w:pPr>
      <w:r w:rsidRPr="006F2CD0">
        <w:rPr>
          <w:rStyle w:val="Strong"/>
          <w:b/>
          <w:bCs/>
          <w:sz w:val="24"/>
          <w:szCs w:val="24"/>
        </w:rPr>
        <w:t>References</w:t>
      </w:r>
    </w:p>
    <w:p w14:paraId="1B0F2742" w14:textId="77777777" w:rsidR="00A655CC" w:rsidRPr="006F2CD0" w:rsidRDefault="00A655CC" w:rsidP="00117BBB">
      <w:pPr>
        <w:pStyle w:val="NormalWeb"/>
        <w:ind w:left="720" w:hanging="720"/>
        <w:jc w:val="both"/>
      </w:pPr>
      <w:proofErr w:type="spellStart"/>
      <w:proofErr w:type="gramStart"/>
      <w:r w:rsidRPr="006F2CD0">
        <w:t>Abugu</w:t>
      </w:r>
      <w:proofErr w:type="spellEnd"/>
      <w:r w:rsidRPr="006F2CD0">
        <w:t xml:space="preserve">, H. O., Ezugwu, A. L., &amp; </w:t>
      </w:r>
      <w:proofErr w:type="spellStart"/>
      <w:r w:rsidRPr="006F2CD0">
        <w:t>Ihedioha</w:t>
      </w:r>
      <w:proofErr w:type="spellEnd"/>
      <w:r w:rsidRPr="006F2CD0">
        <w:t>, J. N. (2023).</w:t>
      </w:r>
      <w:proofErr w:type="gramEnd"/>
      <w:r w:rsidRPr="006F2CD0">
        <w:t xml:space="preserve"> Assessment of polycyclic aromatic hydrocarbon contamination of fruits, leaves, and soil within automobile repair workshops in Nsukka Metropolis. </w:t>
      </w:r>
      <w:proofErr w:type="gramStart"/>
      <w:r w:rsidRPr="006F2CD0">
        <w:rPr>
          <w:rStyle w:val="Emphasis"/>
        </w:rPr>
        <w:t>Polycyclic Aromatic Compounds, 43</w:t>
      </w:r>
      <w:r w:rsidRPr="006F2CD0">
        <w:t>(9), 8333–8355.</w:t>
      </w:r>
      <w:proofErr w:type="gramEnd"/>
      <w:r w:rsidRPr="006F2CD0">
        <w:t xml:space="preserve"> </w:t>
      </w:r>
      <w:hyperlink r:id="rId11" w:tgtFrame="_new" w:history="1">
        <w:r w:rsidRPr="006F2CD0">
          <w:rPr>
            <w:rStyle w:val="Hyperlink"/>
          </w:rPr>
          <w:t>https://doi.org/10.1080/10406638.2022.2112222</w:t>
        </w:r>
      </w:hyperlink>
    </w:p>
    <w:p w14:paraId="2F61DAE1" w14:textId="77777777" w:rsidR="00A655CC" w:rsidRPr="006F2CD0" w:rsidRDefault="00A655CC" w:rsidP="00117BBB">
      <w:pPr>
        <w:pStyle w:val="NormalWeb"/>
        <w:ind w:left="720" w:hanging="720"/>
        <w:jc w:val="both"/>
      </w:pPr>
      <w:proofErr w:type="gramStart"/>
      <w:r w:rsidRPr="006F2CD0">
        <w:t>Adeniran, A. A., Ololade, I. A., &amp; Ikechukwu, N. (2023).</w:t>
      </w:r>
      <w:proofErr w:type="gramEnd"/>
      <w:r w:rsidRPr="006F2CD0">
        <w:t xml:space="preserve"> </w:t>
      </w:r>
      <w:proofErr w:type="gramStart"/>
      <w:r w:rsidRPr="006F2CD0">
        <w:t>Hydrocarbon contamination and groundwater quality assessment in the Niger Delta, Nigeria.</w:t>
      </w:r>
      <w:proofErr w:type="gramEnd"/>
      <w:r w:rsidRPr="006F2CD0">
        <w:t xml:space="preserve"> </w:t>
      </w:r>
      <w:proofErr w:type="gramStart"/>
      <w:r w:rsidRPr="006F2CD0">
        <w:rPr>
          <w:rStyle w:val="Emphasis"/>
        </w:rPr>
        <w:t>Environmental Monitoring and Assessment, 195</w:t>
      </w:r>
      <w:r w:rsidRPr="006F2CD0">
        <w:t>(2), 286.</w:t>
      </w:r>
      <w:proofErr w:type="gramEnd"/>
    </w:p>
    <w:p w14:paraId="5816C3A7" w14:textId="77777777" w:rsidR="00A655CC" w:rsidRPr="006F2CD0" w:rsidRDefault="00A655CC" w:rsidP="00117BBB">
      <w:pPr>
        <w:pStyle w:val="NormalWeb"/>
        <w:ind w:left="720" w:hanging="720"/>
        <w:jc w:val="both"/>
      </w:pPr>
      <w:proofErr w:type="spellStart"/>
      <w:r w:rsidRPr="006F2CD0">
        <w:t>Aigberua</w:t>
      </w:r>
      <w:proofErr w:type="spellEnd"/>
      <w:r w:rsidRPr="006F2CD0">
        <w:t xml:space="preserve">, A. O. (2020). Polycyclic aromatic hydrocarbons in surface waters of </w:t>
      </w:r>
      <w:proofErr w:type="spellStart"/>
      <w:r w:rsidRPr="006F2CD0">
        <w:t>Imiringi</w:t>
      </w:r>
      <w:proofErr w:type="spellEnd"/>
      <w:r w:rsidRPr="006F2CD0">
        <w:t xml:space="preserve"> River, </w:t>
      </w:r>
      <w:proofErr w:type="spellStart"/>
      <w:r w:rsidRPr="006F2CD0">
        <w:t>Bayelsa</w:t>
      </w:r>
      <w:proofErr w:type="spellEnd"/>
      <w:r w:rsidRPr="006F2CD0">
        <w:t xml:space="preserve"> State, Nigeria: Distribution, sources, and risk assessment. </w:t>
      </w:r>
      <w:r w:rsidRPr="006F2CD0">
        <w:rPr>
          <w:rStyle w:val="Emphasis"/>
        </w:rPr>
        <w:t>Journal of Environmental Science and Pollution Research, 26</w:t>
      </w:r>
      <w:r w:rsidRPr="006F2CD0">
        <w:t>(4), 357–372.</w:t>
      </w:r>
    </w:p>
    <w:p w14:paraId="7C5CB64E" w14:textId="77777777" w:rsidR="00A655CC" w:rsidRPr="006F2CD0" w:rsidRDefault="00A655CC" w:rsidP="00117BBB">
      <w:pPr>
        <w:pStyle w:val="NormalWeb"/>
        <w:ind w:left="720" w:hanging="720"/>
        <w:jc w:val="both"/>
      </w:pPr>
      <w:proofErr w:type="spellStart"/>
      <w:r w:rsidRPr="006F2CD0">
        <w:t>Ajeh</w:t>
      </w:r>
      <w:proofErr w:type="spellEnd"/>
      <w:r w:rsidRPr="006F2CD0">
        <w:t xml:space="preserve">, E. A., </w:t>
      </w:r>
      <w:proofErr w:type="spellStart"/>
      <w:r w:rsidRPr="006F2CD0">
        <w:t>Odeniyi</w:t>
      </w:r>
      <w:proofErr w:type="spellEnd"/>
      <w:r w:rsidRPr="006F2CD0">
        <w:t xml:space="preserve">, O. K., Isibor, P. O., Ezemonye, L. I. N., &amp; </w:t>
      </w:r>
      <w:proofErr w:type="spellStart"/>
      <w:r w:rsidRPr="006F2CD0">
        <w:t>Osibanjo</w:t>
      </w:r>
      <w:proofErr w:type="spellEnd"/>
      <w:r w:rsidRPr="006F2CD0">
        <w:t xml:space="preserve">, O. (2022). </w:t>
      </w:r>
      <w:proofErr w:type="gramStart"/>
      <w:r w:rsidRPr="006F2CD0">
        <w:t>Comparative analysis of groundwater quality statuses and associated health risk indices of metals and total hydrocarbons at locations of tank farm in Delta State, Nigeria.</w:t>
      </w:r>
      <w:proofErr w:type="gramEnd"/>
      <w:r w:rsidRPr="006F2CD0">
        <w:t xml:space="preserve"> </w:t>
      </w:r>
      <w:r w:rsidRPr="006F2CD0">
        <w:rPr>
          <w:rStyle w:val="Emphasis"/>
        </w:rPr>
        <w:t>Toxicology Reports, 9</w:t>
      </w:r>
      <w:r w:rsidRPr="006F2CD0">
        <w:t xml:space="preserve">, 404–421. </w:t>
      </w:r>
      <w:hyperlink r:id="rId12" w:tgtFrame="_new" w:history="1">
        <w:r w:rsidRPr="006F2CD0">
          <w:rPr>
            <w:rStyle w:val="Hyperlink"/>
          </w:rPr>
          <w:t>https://doi.org/10.1016/j.toxrep.2022.03.001</w:t>
        </w:r>
      </w:hyperlink>
    </w:p>
    <w:p w14:paraId="0BCAC9F9" w14:textId="77777777" w:rsidR="00A655CC" w:rsidRPr="006F2CD0" w:rsidRDefault="00A655CC" w:rsidP="00117BBB">
      <w:pPr>
        <w:pStyle w:val="NormalWeb"/>
        <w:ind w:left="720" w:hanging="720"/>
        <w:jc w:val="both"/>
      </w:pPr>
      <w:proofErr w:type="gramStart"/>
      <w:r w:rsidRPr="006F2CD0">
        <w:t>Akpan, U. S., Ekanem, A.E., &amp; Akpan, B. S. (2022).</w:t>
      </w:r>
      <w:proofErr w:type="gramEnd"/>
      <w:r w:rsidRPr="006F2CD0">
        <w:t xml:space="preserve"> </w:t>
      </w:r>
      <w:proofErr w:type="gramStart"/>
      <w:r w:rsidRPr="006F2CD0">
        <w:t xml:space="preserve">Polycyclic aromatic hydrocarbons in groundwater around petroleum facilities in </w:t>
      </w:r>
      <w:proofErr w:type="spellStart"/>
      <w:r w:rsidRPr="006F2CD0">
        <w:t>Eket</w:t>
      </w:r>
      <w:proofErr w:type="spellEnd"/>
      <w:r w:rsidRPr="006F2CD0">
        <w:t xml:space="preserve"> Metropolis, </w:t>
      </w:r>
      <w:proofErr w:type="spellStart"/>
      <w:r w:rsidRPr="006F2CD0">
        <w:t>Akwa</w:t>
      </w:r>
      <w:proofErr w:type="spellEnd"/>
      <w:r w:rsidRPr="006F2CD0">
        <w:t xml:space="preserve"> </w:t>
      </w:r>
      <w:proofErr w:type="spellStart"/>
      <w:r w:rsidRPr="006F2CD0">
        <w:t>Ibom</w:t>
      </w:r>
      <w:proofErr w:type="spellEnd"/>
      <w:r w:rsidRPr="006F2CD0">
        <w:t xml:space="preserve"> State, Nigeria.</w:t>
      </w:r>
      <w:proofErr w:type="gramEnd"/>
      <w:r w:rsidRPr="006F2CD0">
        <w:t xml:space="preserve"> </w:t>
      </w:r>
      <w:r w:rsidRPr="006F2CD0">
        <w:rPr>
          <w:rStyle w:val="Emphasis"/>
        </w:rPr>
        <w:t>Environmental Forensics, 23</w:t>
      </w:r>
      <w:r w:rsidRPr="006F2CD0">
        <w:t xml:space="preserve">(3), 307–320. </w:t>
      </w:r>
      <w:hyperlink r:id="rId13" w:tgtFrame="_new" w:history="1">
        <w:r w:rsidRPr="006F2CD0">
          <w:rPr>
            <w:rStyle w:val="Hyperlink"/>
          </w:rPr>
          <w:t>https://doi.org/10.1080/15275922.2022.2042585</w:t>
        </w:r>
      </w:hyperlink>
    </w:p>
    <w:p w14:paraId="7DB2FDD7" w14:textId="77777777" w:rsidR="00A655CC" w:rsidRPr="006F2CD0" w:rsidRDefault="00A655CC" w:rsidP="00117BBB">
      <w:pPr>
        <w:pStyle w:val="NormalWeb"/>
        <w:ind w:left="720" w:hanging="720"/>
        <w:jc w:val="both"/>
      </w:pPr>
      <w:proofErr w:type="spellStart"/>
      <w:proofErr w:type="gramStart"/>
      <w:r w:rsidRPr="006F2CD0">
        <w:t>Anarado</w:t>
      </w:r>
      <w:proofErr w:type="spellEnd"/>
      <w:r w:rsidRPr="006F2CD0">
        <w:t xml:space="preserve">, C. J. O., </w:t>
      </w:r>
      <w:proofErr w:type="spellStart"/>
      <w:r w:rsidRPr="006F2CD0">
        <w:t>Okpoji</w:t>
      </w:r>
      <w:proofErr w:type="spellEnd"/>
      <w:r w:rsidRPr="006F2CD0">
        <w:t xml:space="preserve">, A. U., &amp; </w:t>
      </w:r>
      <w:proofErr w:type="spellStart"/>
      <w:r w:rsidRPr="006F2CD0">
        <w:t>Anarado</w:t>
      </w:r>
      <w:proofErr w:type="spellEnd"/>
      <w:r w:rsidRPr="006F2CD0">
        <w:t>, C. E. (2023).</w:t>
      </w:r>
      <w:proofErr w:type="gramEnd"/>
      <w:r w:rsidRPr="006F2CD0">
        <w:t xml:space="preserve"> Bioaccumulation and health risk assessment of lead, cadmium, arsenic, and mercury in blue crabs found in creeks in Bayelsa State of the Niger Delta region of Nigeria. </w:t>
      </w:r>
      <w:r w:rsidRPr="006F2CD0">
        <w:rPr>
          <w:rStyle w:val="Emphasis"/>
        </w:rPr>
        <w:t>Asian Journal of Environmental &amp; Ecology, 21</w:t>
      </w:r>
      <w:r w:rsidRPr="006F2CD0">
        <w:t>(4), 46–59.</w:t>
      </w:r>
    </w:p>
    <w:p w14:paraId="56C11DA3" w14:textId="77777777" w:rsidR="00A655CC" w:rsidRPr="006F2CD0" w:rsidRDefault="00A655CC" w:rsidP="00117BBB">
      <w:pPr>
        <w:pStyle w:val="NormalWeb"/>
        <w:ind w:left="720" w:hanging="720"/>
        <w:jc w:val="both"/>
      </w:pPr>
      <w:proofErr w:type="gramStart"/>
      <w:r w:rsidRPr="006F2CD0">
        <w:t>British Geological Survey (BGS).</w:t>
      </w:r>
      <w:proofErr w:type="gramEnd"/>
      <w:r w:rsidRPr="006F2CD0">
        <w:t xml:space="preserve"> </w:t>
      </w:r>
      <w:proofErr w:type="gramStart"/>
      <w:r w:rsidRPr="006F2CD0">
        <w:t xml:space="preserve">(2024). </w:t>
      </w:r>
      <w:r w:rsidRPr="006F2CD0">
        <w:rPr>
          <w:rStyle w:val="Emphasis"/>
        </w:rPr>
        <w:t>National baseline methane and hydrocarbon survey of groundwater in the United Kingdom</w:t>
      </w:r>
      <w:r w:rsidRPr="006F2CD0">
        <w:t>.</w:t>
      </w:r>
      <w:proofErr w:type="gramEnd"/>
      <w:r w:rsidRPr="006F2CD0">
        <w:t xml:space="preserve"> Keyworth, Nottingham: BGS Publications.</w:t>
      </w:r>
    </w:p>
    <w:p w14:paraId="499ACBDC" w14:textId="77777777" w:rsidR="00A655CC" w:rsidRPr="006F2CD0" w:rsidRDefault="00A655CC" w:rsidP="00117BBB">
      <w:pPr>
        <w:pStyle w:val="NormalWeb"/>
        <w:ind w:left="720" w:hanging="720"/>
        <w:jc w:val="both"/>
      </w:pPr>
      <w:proofErr w:type="gramStart"/>
      <w:r w:rsidRPr="006F2CD0">
        <w:t>Department for Environment, Food and Rural Affairs (DEFRA).</w:t>
      </w:r>
      <w:proofErr w:type="gramEnd"/>
      <w:r w:rsidRPr="006F2CD0">
        <w:t xml:space="preserve"> </w:t>
      </w:r>
      <w:proofErr w:type="gramStart"/>
      <w:r w:rsidRPr="006F2CD0">
        <w:t xml:space="preserve">(2023). </w:t>
      </w:r>
      <w:r w:rsidRPr="006F2CD0">
        <w:rPr>
          <w:rStyle w:val="Emphasis"/>
        </w:rPr>
        <w:t>Environmental improvement plan for England 2023</w:t>
      </w:r>
      <w:r w:rsidRPr="006F2CD0">
        <w:t>.</w:t>
      </w:r>
      <w:proofErr w:type="gramEnd"/>
      <w:r w:rsidRPr="006F2CD0">
        <w:t xml:space="preserve"> London: DEFRA.</w:t>
      </w:r>
    </w:p>
    <w:p w14:paraId="528B8200" w14:textId="77777777" w:rsidR="00A655CC" w:rsidRPr="006F2CD0" w:rsidRDefault="00A655CC" w:rsidP="00117BBB">
      <w:pPr>
        <w:pStyle w:val="NormalWeb"/>
        <w:ind w:left="720" w:hanging="720"/>
        <w:jc w:val="both"/>
      </w:pPr>
      <w:proofErr w:type="spellStart"/>
      <w:r w:rsidRPr="006F2CD0">
        <w:t>Ekpe</w:t>
      </w:r>
      <w:proofErr w:type="spellEnd"/>
      <w:r w:rsidRPr="006F2CD0">
        <w:t xml:space="preserve">, J. E., </w:t>
      </w:r>
      <w:proofErr w:type="spellStart"/>
      <w:r w:rsidRPr="006F2CD0">
        <w:t>Okpoji</w:t>
      </w:r>
      <w:proofErr w:type="spellEnd"/>
      <w:r w:rsidRPr="006F2CD0">
        <w:t xml:space="preserve">, A. U., </w:t>
      </w:r>
      <w:proofErr w:type="spellStart"/>
      <w:r w:rsidRPr="006F2CD0">
        <w:t>Ekwere</w:t>
      </w:r>
      <w:proofErr w:type="spellEnd"/>
      <w:r w:rsidRPr="006F2CD0">
        <w:t xml:space="preserve">, I. O., </w:t>
      </w:r>
      <w:proofErr w:type="spellStart"/>
      <w:r w:rsidRPr="006F2CD0">
        <w:t>Anarado</w:t>
      </w:r>
      <w:proofErr w:type="spellEnd"/>
      <w:r w:rsidRPr="006F2CD0">
        <w:t xml:space="preserve">, C. J., </w:t>
      </w:r>
      <w:proofErr w:type="spellStart"/>
      <w:r w:rsidRPr="006F2CD0">
        <w:t>Ewuola</w:t>
      </w:r>
      <w:proofErr w:type="spellEnd"/>
      <w:r w:rsidRPr="006F2CD0">
        <w:t xml:space="preserve">, A. A., Ufuoma, V. O., </w:t>
      </w:r>
      <w:proofErr w:type="spellStart"/>
      <w:r w:rsidRPr="006F2CD0">
        <w:t>Okpanachi</w:t>
      </w:r>
      <w:proofErr w:type="spellEnd"/>
      <w:r w:rsidRPr="006F2CD0">
        <w:t xml:space="preserve">, C. B., Okonkwo, C. O., &amp; </w:t>
      </w:r>
      <w:proofErr w:type="spellStart"/>
      <w:r w:rsidRPr="006F2CD0">
        <w:t>Obunezi</w:t>
      </w:r>
      <w:proofErr w:type="spellEnd"/>
      <w:r w:rsidRPr="006F2CD0">
        <w:t xml:space="preserve">, O. A. (2025). </w:t>
      </w:r>
      <w:proofErr w:type="spellStart"/>
      <w:proofErr w:type="gramStart"/>
      <w:r w:rsidRPr="006F2CD0">
        <w:t>Physico</w:t>
      </w:r>
      <w:proofErr w:type="spellEnd"/>
      <w:r w:rsidRPr="006F2CD0">
        <w:t>-chemical transport of pesticides and nutrients in irrigation water and their fate in agro-ecosystems of Rivers State, Nigeria.</w:t>
      </w:r>
      <w:proofErr w:type="gramEnd"/>
      <w:r w:rsidRPr="006F2CD0">
        <w:t xml:space="preserve"> </w:t>
      </w:r>
      <w:proofErr w:type="spellStart"/>
      <w:r w:rsidRPr="006F2CD0">
        <w:rPr>
          <w:rStyle w:val="Emphasis"/>
        </w:rPr>
        <w:t>Palgo</w:t>
      </w:r>
      <w:proofErr w:type="spellEnd"/>
      <w:r w:rsidRPr="006F2CD0">
        <w:rPr>
          <w:rStyle w:val="Emphasis"/>
        </w:rPr>
        <w:t xml:space="preserve"> Journal of Agriculture, 9</w:t>
      </w:r>
      <w:r w:rsidRPr="006F2CD0">
        <w:t xml:space="preserve">(2), 30–37. </w:t>
      </w:r>
      <w:hyperlink r:id="rId14" w:tgtFrame="_new" w:history="1">
        <w:r w:rsidRPr="006F2CD0">
          <w:rPr>
            <w:rStyle w:val="Hyperlink"/>
          </w:rPr>
          <w:t>https://doi.org/10.5281/zenodo.17148360</w:t>
        </w:r>
      </w:hyperlink>
    </w:p>
    <w:p w14:paraId="4D0713FD" w14:textId="77777777" w:rsidR="00A655CC" w:rsidRPr="006F2CD0" w:rsidRDefault="00A655CC" w:rsidP="00117BBB">
      <w:pPr>
        <w:pStyle w:val="NormalWeb"/>
        <w:ind w:left="720" w:hanging="720"/>
        <w:jc w:val="both"/>
      </w:pPr>
      <w:proofErr w:type="spellStart"/>
      <w:r w:rsidRPr="006F2CD0">
        <w:t>Ekwere</w:t>
      </w:r>
      <w:proofErr w:type="spellEnd"/>
      <w:r w:rsidRPr="006F2CD0">
        <w:t xml:space="preserve">, I. O., </w:t>
      </w:r>
      <w:proofErr w:type="spellStart"/>
      <w:r w:rsidRPr="006F2CD0">
        <w:t>Okpoji</w:t>
      </w:r>
      <w:proofErr w:type="spellEnd"/>
      <w:r w:rsidRPr="006F2CD0">
        <w:t xml:space="preserve">, A. U., </w:t>
      </w:r>
      <w:proofErr w:type="spellStart"/>
      <w:r w:rsidRPr="006F2CD0">
        <w:t>Igwegbe</w:t>
      </w:r>
      <w:proofErr w:type="spellEnd"/>
      <w:r w:rsidRPr="006F2CD0">
        <w:t xml:space="preserve">, K. C., Okonkwo, C. O., </w:t>
      </w:r>
      <w:proofErr w:type="spellStart"/>
      <w:r w:rsidRPr="006F2CD0">
        <w:t>Yekeen</w:t>
      </w:r>
      <w:proofErr w:type="spellEnd"/>
      <w:r w:rsidRPr="006F2CD0">
        <w:t xml:space="preserve">, A. A., </w:t>
      </w:r>
      <w:proofErr w:type="spellStart"/>
      <w:r w:rsidRPr="006F2CD0">
        <w:t>Obunezi</w:t>
      </w:r>
      <w:proofErr w:type="spellEnd"/>
      <w:r w:rsidRPr="006F2CD0">
        <w:t xml:space="preserve">, O. C., </w:t>
      </w:r>
      <w:proofErr w:type="spellStart"/>
      <w:r w:rsidRPr="006F2CD0">
        <w:t>Okpanachi</w:t>
      </w:r>
      <w:proofErr w:type="spellEnd"/>
      <w:r w:rsidRPr="006F2CD0">
        <w:t xml:space="preserve">, C. B., Garuba, M. H., </w:t>
      </w:r>
      <w:proofErr w:type="spellStart"/>
      <w:r w:rsidRPr="006F2CD0">
        <w:t>Ogini</w:t>
      </w:r>
      <w:proofErr w:type="spellEnd"/>
      <w:r w:rsidRPr="006F2CD0">
        <w:t xml:space="preserve">, O. R., &amp; </w:t>
      </w:r>
      <w:proofErr w:type="spellStart"/>
      <w:r w:rsidRPr="006F2CD0">
        <w:t>Odibo</w:t>
      </w:r>
      <w:proofErr w:type="spellEnd"/>
      <w:r w:rsidRPr="006F2CD0">
        <w:t xml:space="preserve">, U. E. (2025). Nutritional–toxicological trade-off: Comparative study of polycyclic aromatic hydrocarbons in smoked and oven-dried </w:t>
      </w:r>
      <w:r w:rsidRPr="006F2CD0">
        <w:rPr>
          <w:rStyle w:val="Emphasis"/>
        </w:rPr>
        <w:t>Nile tilapia (Oreochromis niloticus).</w:t>
      </w:r>
      <w:r w:rsidRPr="006F2CD0">
        <w:t xml:space="preserve"> </w:t>
      </w:r>
      <w:r w:rsidRPr="006F2CD0">
        <w:rPr>
          <w:rStyle w:val="Emphasis"/>
        </w:rPr>
        <w:t>Journal of Environment, Climate, and Ecology, 2</w:t>
      </w:r>
      <w:r w:rsidRPr="006F2CD0">
        <w:t xml:space="preserve">(2), 90–97. </w:t>
      </w:r>
      <w:hyperlink r:id="rId15" w:tgtFrame="_new" w:history="1">
        <w:r w:rsidRPr="006F2CD0">
          <w:rPr>
            <w:rStyle w:val="Hyperlink"/>
          </w:rPr>
          <w:t>https://doi.org/10.69739/jece.v2i2.952</w:t>
        </w:r>
      </w:hyperlink>
    </w:p>
    <w:p w14:paraId="2396B085" w14:textId="77777777" w:rsidR="00A655CC" w:rsidRPr="006F2CD0" w:rsidRDefault="00A655CC" w:rsidP="00117BBB">
      <w:pPr>
        <w:pStyle w:val="NormalWeb"/>
        <w:ind w:left="720" w:hanging="720"/>
        <w:jc w:val="both"/>
      </w:pPr>
      <w:proofErr w:type="spellStart"/>
      <w:r w:rsidRPr="006F2CD0">
        <w:t>Ekwere</w:t>
      </w:r>
      <w:proofErr w:type="spellEnd"/>
      <w:r w:rsidRPr="006F2CD0">
        <w:t xml:space="preserve">, I. O., </w:t>
      </w:r>
      <w:proofErr w:type="spellStart"/>
      <w:r w:rsidRPr="006F2CD0">
        <w:t>Okpoji</w:t>
      </w:r>
      <w:proofErr w:type="spellEnd"/>
      <w:r w:rsidRPr="006F2CD0">
        <w:t xml:space="preserve">, A. U., Ufuoma, V. O., Akinola, A. E., Raymond, C. A., Clement, R. O., </w:t>
      </w:r>
      <w:proofErr w:type="spellStart"/>
      <w:r w:rsidRPr="006F2CD0">
        <w:t>Alaekwe</w:t>
      </w:r>
      <w:proofErr w:type="spellEnd"/>
      <w:r w:rsidRPr="006F2CD0">
        <w:t xml:space="preserve">, I. O., </w:t>
      </w:r>
      <w:proofErr w:type="spellStart"/>
      <w:r w:rsidRPr="006F2CD0">
        <w:t>Etesin</w:t>
      </w:r>
      <w:proofErr w:type="spellEnd"/>
      <w:r w:rsidRPr="006F2CD0">
        <w:t xml:space="preserve">, M. O., &amp; </w:t>
      </w:r>
      <w:proofErr w:type="spellStart"/>
      <w:r w:rsidRPr="006F2CD0">
        <w:t>Edodi</w:t>
      </w:r>
      <w:proofErr w:type="spellEnd"/>
      <w:r w:rsidRPr="006F2CD0">
        <w:t xml:space="preserve">, I. O. (2025). Nutritional evaluation of </w:t>
      </w:r>
      <w:r w:rsidRPr="006F2CD0">
        <w:rPr>
          <w:rStyle w:val="Emphasis"/>
        </w:rPr>
        <w:t>Nile tilapia (Oreochromis niloticus)</w:t>
      </w:r>
      <w:r w:rsidRPr="006F2CD0">
        <w:t xml:space="preserve"> processed by different drying methods in Akwa Ibom State, Nigeria. </w:t>
      </w:r>
      <w:r w:rsidRPr="006F2CD0">
        <w:rPr>
          <w:rStyle w:val="Emphasis"/>
        </w:rPr>
        <w:t>Journal of Sustainable Research and Development, 1</w:t>
      </w:r>
      <w:r w:rsidRPr="006F2CD0">
        <w:t xml:space="preserve">(2), 11–17. </w:t>
      </w:r>
      <w:hyperlink r:id="rId16" w:tgtFrame="_new" w:history="1">
        <w:r w:rsidRPr="006F2CD0">
          <w:rPr>
            <w:rStyle w:val="Hyperlink"/>
          </w:rPr>
          <w:t>https://doi.org/10.69739/jsrd.v1i2.1033</w:t>
        </w:r>
      </w:hyperlink>
    </w:p>
    <w:p w14:paraId="66FEAF76" w14:textId="77777777" w:rsidR="00A655CC" w:rsidRPr="006F2CD0" w:rsidRDefault="00A655CC" w:rsidP="00117BBB">
      <w:pPr>
        <w:pStyle w:val="NormalWeb"/>
        <w:ind w:left="720" w:hanging="720"/>
        <w:jc w:val="both"/>
      </w:pPr>
      <w:proofErr w:type="gramStart"/>
      <w:r w:rsidRPr="006F2CD0">
        <w:t>Environment Agency.</w:t>
      </w:r>
      <w:proofErr w:type="gramEnd"/>
      <w:r w:rsidRPr="006F2CD0">
        <w:t xml:space="preserve"> (2023). </w:t>
      </w:r>
      <w:r w:rsidRPr="006F2CD0">
        <w:rPr>
          <w:rStyle w:val="Emphasis"/>
        </w:rPr>
        <w:t>Groundwater protection: Principles and practice</w:t>
      </w:r>
      <w:r w:rsidRPr="006F2CD0">
        <w:t>. Bristol: EA.</w:t>
      </w:r>
    </w:p>
    <w:p w14:paraId="539E3734" w14:textId="77777777" w:rsidR="00A655CC" w:rsidRPr="006F2CD0" w:rsidRDefault="00A655CC" w:rsidP="00117BBB">
      <w:pPr>
        <w:pStyle w:val="NormalWeb"/>
        <w:ind w:left="720" w:hanging="720"/>
        <w:jc w:val="both"/>
      </w:pPr>
      <w:r w:rsidRPr="006F2CD0">
        <w:t xml:space="preserve">Fei-Baffoe, B., Badu, E., </w:t>
      </w:r>
      <w:proofErr w:type="spellStart"/>
      <w:r w:rsidRPr="006F2CD0">
        <w:t>Miezah</w:t>
      </w:r>
      <w:proofErr w:type="spellEnd"/>
      <w:r w:rsidRPr="006F2CD0">
        <w:t xml:space="preserve">, K., Sackey, L. N. A., Sulemana, A., &amp; </w:t>
      </w:r>
      <w:proofErr w:type="spellStart"/>
      <w:r w:rsidRPr="006F2CD0">
        <w:t>Amuah</w:t>
      </w:r>
      <w:proofErr w:type="spellEnd"/>
      <w:r w:rsidRPr="006F2CD0">
        <w:t xml:space="preserve">, E. E. Y. (2024). Contamination of groundwater by petroleum hydrocarbons: Impact of fuel stations in residential areas. </w:t>
      </w:r>
      <w:proofErr w:type="spellStart"/>
      <w:proofErr w:type="gramStart"/>
      <w:r w:rsidRPr="006F2CD0">
        <w:rPr>
          <w:rStyle w:val="Emphasis"/>
        </w:rPr>
        <w:t>Heliyon</w:t>
      </w:r>
      <w:proofErr w:type="spellEnd"/>
      <w:r w:rsidRPr="006F2CD0">
        <w:rPr>
          <w:rStyle w:val="Emphasis"/>
        </w:rPr>
        <w:t>, 10</w:t>
      </w:r>
      <w:r w:rsidRPr="006F2CD0">
        <w:t>(4), e25924.</w:t>
      </w:r>
      <w:proofErr w:type="gramEnd"/>
      <w:r w:rsidRPr="006F2CD0">
        <w:t xml:space="preserve"> </w:t>
      </w:r>
      <w:hyperlink r:id="rId17" w:tgtFrame="_new" w:history="1">
        <w:r w:rsidRPr="006F2CD0">
          <w:rPr>
            <w:rStyle w:val="Hyperlink"/>
          </w:rPr>
          <w:t>https://doi.org/10.1016/j.heliyon.2024.e25924</w:t>
        </w:r>
      </w:hyperlink>
    </w:p>
    <w:p w14:paraId="77B8B0F6" w14:textId="77777777" w:rsidR="00A655CC" w:rsidRPr="006F2CD0" w:rsidRDefault="00A655CC" w:rsidP="00117BBB">
      <w:pPr>
        <w:pStyle w:val="NormalWeb"/>
        <w:ind w:left="720" w:hanging="720"/>
        <w:jc w:val="both"/>
      </w:pPr>
      <w:proofErr w:type="gramStart"/>
      <w:r w:rsidRPr="006F2CD0">
        <w:t>Gill, R. T., Thornton, S. F., Harbottle, M. J., &amp; Smith, J. W. N. (2020).</w:t>
      </w:r>
      <w:proofErr w:type="gramEnd"/>
      <w:r w:rsidRPr="006F2CD0">
        <w:t xml:space="preserve"> </w:t>
      </w:r>
      <w:proofErr w:type="gramStart"/>
      <w:r w:rsidRPr="006F2CD0">
        <w:t>Electrokinetic-enhanced removal of toluene from physically heterogeneous granular porous media.</w:t>
      </w:r>
      <w:proofErr w:type="gramEnd"/>
      <w:r w:rsidRPr="006F2CD0">
        <w:t xml:space="preserve"> </w:t>
      </w:r>
      <w:proofErr w:type="gramStart"/>
      <w:r w:rsidRPr="006F2CD0">
        <w:rPr>
          <w:rStyle w:val="Emphasis"/>
        </w:rPr>
        <w:t>Quarterly Journal of Engineering Geology and Hydrogeology, 54.</w:t>
      </w:r>
      <w:proofErr w:type="gramEnd"/>
      <w:r w:rsidRPr="006F2CD0">
        <w:t xml:space="preserve"> </w:t>
      </w:r>
      <w:hyperlink r:id="rId18" w:tgtFrame="_new" w:history="1">
        <w:r w:rsidRPr="006F2CD0">
          <w:rPr>
            <w:rStyle w:val="Hyperlink"/>
          </w:rPr>
          <w:t>https://doi.org/10.1144/qjegh2020-073</w:t>
        </w:r>
      </w:hyperlink>
    </w:p>
    <w:p w14:paraId="0369BCDD" w14:textId="77777777" w:rsidR="00A655CC" w:rsidRPr="006F2CD0" w:rsidRDefault="00A655CC" w:rsidP="00117BBB">
      <w:pPr>
        <w:pStyle w:val="NormalWeb"/>
        <w:ind w:left="720" w:hanging="720"/>
        <w:jc w:val="both"/>
      </w:pPr>
      <w:r w:rsidRPr="006F2CD0">
        <w:t xml:space="preserve">Gloria, O. N., Ifenna, O. V., Adetola, A., Daniel, E. E., Abdulmumuni, S., &amp; </w:t>
      </w:r>
      <w:proofErr w:type="spellStart"/>
      <w:r w:rsidRPr="006F2CD0">
        <w:t>Okpoji</w:t>
      </w:r>
      <w:proofErr w:type="spellEnd"/>
      <w:r w:rsidRPr="006F2CD0">
        <w:t>, A. U. (2025). Synthesis, characterisation, and antimicrobial studies of N-[(E)-</w:t>
      </w:r>
      <w:proofErr w:type="spellStart"/>
      <w:r w:rsidRPr="006F2CD0">
        <w:t>benzylideneamino</w:t>
      </w:r>
      <w:proofErr w:type="spellEnd"/>
      <w:r w:rsidRPr="006F2CD0">
        <w:t>]-2</w:t>
      </w:r>
      <w:proofErr w:type="gramStart"/>
      <w:r w:rsidRPr="006F2CD0">
        <w:t>,4</w:t>
      </w:r>
      <w:proofErr w:type="gramEnd"/>
      <w:r w:rsidRPr="006F2CD0">
        <w:t xml:space="preserve">-dinitroaniline and its copper (II), nickel (II) and zinc (II) complexes. </w:t>
      </w:r>
      <w:r w:rsidRPr="006F2CD0">
        <w:rPr>
          <w:rStyle w:val="Emphasis"/>
        </w:rPr>
        <w:t>Chemistry Research Journal, 10</w:t>
      </w:r>
      <w:r w:rsidRPr="006F2CD0">
        <w:t>(2), 55–56.</w:t>
      </w:r>
    </w:p>
    <w:p w14:paraId="0A7F288E" w14:textId="77777777" w:rsidR="00A655CC" w:rsidRPr="006F2CD0" w:rsidRDefault="00A655CC" w:rsidP="00117BBB">
      <w:pPr>
        <w:pStyle w:val="NormalWeb"/>
        <w:ind w:left="720" w:hanging="720"/>
        <w:jc w:val="both"/>
      </w:pPr>
      <w:r w:rsidRPr="006F2CD0">
        <w:t xml:space="preserve">Hydrocarbon Pollution Remediation Project (HYPREP). </w:t>
      </w:r>
      <w:proofErr w:type="gramStart"/>
      <w:r w:rsidRPr="006F2CD0">
        <w:t xml:space="preserve">(2023). </w:t>
      </w:r>
      <w:r w:rsidRPr="006F2CD0">
        <w:rPr>
          <w:rStyle w:val="Emphasis"/>
        </w:rPr>
        <w:t xml:space="preserve">Annual progress report on </w:t>
      </w:r>
      <w:proofErr w:type="spellStart"/>
      <w:r w:rsidRPr="006F2CD0">
        <w:rPr>
          <w:rStyle w:val="Emphasis"/>
        </w:rPr>
        <w:t>Ogoniland</w:t>
      </w:r>
      <w:proofErr w:type="spellEnd"/>
      <w:r w:rsidRPr="006F2CD0">
        <w:rPr>
          <w:rStyle w:val="Emphasis"/>
        </w:rPr>
        <w:t xml:space="preserve"> remediation</w:t>
      </w:r>
      <w:r w:rsidRPr="006F2CD0">
        <w:t>.</w:t>
      </w:r>
      <w:proofErr w:type="gramEnd"/>
      <w:r w:rsidRPr="006F2CD0">
        <w:t xml:space="preserve"> Port Harcourt: Federal Ministry of Environment.</w:t>
      </w:r>
    </w:p>
    <w:p w14:paraId="4B4380E3" w14:textId="77777777" w:rsidR="00A655CC" w:rsidRPr="006F2CD0" w:rsidRDefault="00A655CC" w:rsidP="00117BBB">
      <w:pPr>
        <w:pStyle w:val="NormalWeb"/>
        <w:ind w:left="720" w:hanging="720"/>
        <w:jc w:val="both"/>
      </w:pPr>
      <w:r w:rsidRPr="006F2CD0">
        <w:t xml:space="preserve">Ite, A. E., Udofia, E. E., Ite, M. U., &amp; Ekanem, A. P. (2018). Petroleum hydrocarbon contamination of surface and groundwater in the Niger Delta: A review of sources, impacts, and remediation. </w:t>
      </w:r>
      <w:r w:rsidRPr="006F2CD0">
        <w:rPr>
          <w:rStyle w:val="Emphasis"/>
        </w:rPr>
        <w:t>Journal of Environmental Pollution and Human Health, 6</w:t>
      </w:r>
      <w:r w:rsidRPr="006F2CD0">
        <w:t>(1), 19–30.</w:t>
      </w:r>
    </w:p>
    <w:p w14:paraId="77B4723B" w14:textId="77777777" w:rsidR="00A655CC" w:rsidRPr="006F2CD0" w:rsidRDefault="00A655CC" w:rsidP="00117BBB">
      <w:pPr>
        <w:pStyle w:val="NormalWeb"/>
        <w:ind w:left="720" w:hanging="720"/>
        <w:jc w:val="both"/>
      </w:pPr>
      <w:r w:rsidRPr="006F2CD0">
        <w:t xml:space="preserve">John, E. E., Emah, O. A., Ifiok, O. E., </w:t>
      </w:r>
      <w:proofErr w:type="spellStart"/>
      <w:r w:rsidRPr="006F2CD0">
        <w:t>Okpoji</w:t>
      </w:r>
      <w:proofErr w:type="spellEnd"/>
      <w:r w:rsidRPr="006F2CD0">
        <w:t xml:space="preserve">, A. U., Iyam, O. E., Henderson, O. O., Akinola, A. E., Gloria, N. A., &amp; Charles, N. O. (2025). </w:t>
      </w:r>
      <w:proofErr w:type="gramStart"/>
      <w:r w:rsidRPr="006F2CD0">
        <w:t>Health risk implications of polycyclic aromatic hydrocarbons in smoked and dried fish consumed in Nigeria.</w:t>
      </w:r>
      <w:proofErr w:type="gramEnd"/>
      <w:r w:rsidRPr="006F2CD0">
        <w:t xml:space="preserve"> </w:t>
      </w:r>
      <w:r w:rsidRPr="006F2CD0">
        <w:rPr>
          <w:rStyle w:val="Emphasis"/>
        </w:rPr>
        <w:t>Journal of Medical Science, Biology, and Chemistry, 2</w:t>
      </w:r>
      <w:r w:rsidRPr="006F2CD0">
        <w:t xml:space="preserve">(2), 192–199. </w:t>
      </w:r>
      <w:hyperlink r:id="rId19" w:tgtFrame="_new" w:history="1">
        <w:r w:rsidRPr="006F2CD0">
          <w:rPr>
            <w:rStyle w:val="Hyperlink"/>
          </w:rPr>
          <w:t>https://doi.org/10.69739/jmsbc.v2i2.1045</w:t>
        </w:r>
      </w:hyperlink>
    </w:p>
    <w:p w14:paraId="608F459B" w14:textId="77777777" w:rsidR="00A655CC" w:rsidRPr="006F2CD0" w:rsidRDefault="00A655CC" w:rsidP="00117BBB">
      <w:pPr>
        <w:pStyle w:val="NormalWeb"/>
        <w:ind w:left="720" w:hanging="720"/>
        <w:jc w:val="both"/>
      </w:pPr>
      <w:proofErr w:type="spellStart"/>
      <w:proofErr w:type="gramStart"/>
      <w:r w:rsidRPr="006F2CD0">
        <w:t>Nwaozuzu</w:t>
      </w:r>
      <w:proofErr w:type="spellEnd"/>
      <w:r w:rsidRPr="006F2CD0">
        <w:t>, C. C., Abah, S. O., &amp; Patrick-Iwuanyanwu, K. C. (2024).</w:t>
      </w:r>
      <w:proofErr w:type="gramEnd"/>
      <w:r w:rsidRPr="006F2CD0">
        <w:t xml:space="preserve"> Polycyclic aromatic hydrocarbons in community drinking water, </w:t>
      </w:r>
      <w:proofErr w:type="spellStart"/>
      <w:r w:rsidRPr="006F2CD0">
        <w:t>Nsisioken</w:t>
      </w:r>
      <w:proofErr w:type="spellEnd"/>
      <w:r w:rsidRPr="006F2CD0">
        <w:t xml:space="preserve">, Nigeria: Source and health risk assessment. </w:t>
      </w:r>
      <w:proofErr w:type="gramStart"/>
      <w:r w:rsidRPr="006F2CD0">
        <w:rPr>
          <w:rStyle w:val="Emphasis"/>
        </w:rPr>
        <w:t>Environmental Analysis Health and Toxicology, 39</w:t>
      </w:r>
      <w:r w:rsidRPr="006F2CD0">
        <w:t>(2), e2024015.</w:t>
      </w:r>
      <w:proofErr w:type="gramEnd"/>
      <w:r w:rsidRPr="006F2CD0">
        <w:t xml:space="preserve"> </w:t>
      </w:r>
      <w:hyperlink r:id="rId20" w:tgtFrame="_new" w:history="1">
        <w:r w:rsidRPr="006F2CD0">
          <w:rPr>
            <w:rStyle w:val="Hyperlink"/>
          </w:rPr>
          <w:t>https://doi.org/10.5620/eaht.2024015</w:t>
        </w:r>
      </w:hyperlink>
    </w:p>
    <w:p w14:paraId="736E3508"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w:t>
      </w:r>
      <w:proofErr w:type="spellStart"/>
      <w:r w:rsidRPr="006F2CD0">
        <w:t>Anarado</w:t>
      </w:r>
      <w:proofErr w:type="spellEnd"/>
      <w:r w:rsidRPr="006F2CD0">
        <w:t xml:space="preserve">, C. O., </w:t>
      </w:r>
      <w:proofErr w:type="spellStart"/>
      <w:r w:rsidRPr="006F2CD0">
        <w:t>Mmuta</w:t>
      </w:r>
      <w:proofErr w:type="spellEnd"/>
      <w:r w:rsidRPr="006F2CD0">
        <w:t xml:space="preserve">, E. C., </w:t>
      </w:r>
      <w:proofErr w:type="spellStart"/>
      <w:r w:rsidRPr="006F2CD0">
        <w:t>Ekwere</w:t>
      </w:r>
      <w:proofErr w:type="spellEnd"/>
      <w:r w:rsidRPr="006F2CD0">
        <w:t xml:space="preserve">, I. O., </w:t>
      </w:r>
      <w:proofErr w:type="spellStart"/>
      <w:r w:rsidRPr="006F2CD0">
        <w:t>Alaekwe</w:t>
      </w:r>
      <w:proofErr w:type="spellEnd"/>
      <w:r w:rsidRPr="006F2CD0">
        <w:t xml:space="preserve">, I. O., </w:t>
      </w:r>
      <w:proofErr w:type="spellStart"/>
      <w:r w:rsidRPr="006F2CD0">
        <w:t>Odibo</w:t>
      </w:r>
      <w:proofErr w:type="spellEnd"/>
      <w:r w:rsidRPr="006F2CD0">
        <w:t xml:space="preserve">, U. E., </w:t>
      </w:r>
      <w:proofErr w:type="spellStart"/>
      <w:r w:rsidRPr="006F2CD0">
        <w:t>Igwegbe</w:t>
      </w:r>
      <w:proofErr w:type="spellEnd"/>
      <w:r w:rsidRPr="006F2CD0">
        <w:t xml:space="preserve">, K. C., Eboh-Ajoku, I. O., &amp; </w:t>
      </w:r>
      <w:proofErr w:type="spellStart"/>
      <w:r w:rsidRPr="006F2CD0">
        <w:t>Obunezi</w:t>
      </w:r>
      <w:proofErr w:type="spellEnd"/>
      <w:r w:rsidRPr="006F2CD0">
        <w:t xml:space="preserve">, O. C. (2025). </w:t>
      </w:r>
      <w:proofErr w:type="gramStart"/>
      <w:r w:rsidRPr="006F2CD0">
        <w:t>Toxicological evaluation of Pb, Cd, As, and Hg in blue crab from oil-polluted creeks in the Niger Delta.</w:t>
      </w:r>
      <w:proofErr w:type="gramEnd"/>
      <w:r w:rsidRPr="006F2CD0">
        <w:t xml:space="preserve"> </w:t>
      </w:r>
      <w:r w:rsidRPr="006F2CD0">
        <w:rPr>
          <w:rStyle w:val="Emphasis"/>
        </w:rPr>
        <w:t>Journal of Life Science and Public Health, 1</w:t>
      </w:r>
      <w:r w:rsidRPr="006F2CD0">
        <w:t xml:space="preserve">(1), 24–31. </w:t>
      </w:r>
      <w:hyperlink r:id="rId21" w:tgtFrame="_new" w:history="1">
        <w:r w:rsidRPr="006F2CD0">
          <w:rPr>
            <w:rStyle w:val="Hyperlink"/>
          </w:rPr>
          <w:t>https://doi.org/10.69739/jlsph.v1i1.879</w:t>
        </w:r>
      </w:hyperlink>
    </w:p>
    <w:p w14:paraId="65F5590F"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Chinyere, U. E., </w:t>
      </w:r>
      <w:proofErr w:type="spellStart"/>
      <w:r w:rsidRPr="006F2CD0">
        <w:t>Nwokoye</w:t>
      </w:r>
      <w:proofErr w:type="spellEnd"/>
      <w:r w:rsidRPr="006F2CD0">
        <w:t xml:space="preserve">, J. N., </w:t>
      </w:r>
      <w:proofErr w:type="spellStart"/>
      <w:r w:rsidRPr="006F2CD0">
        <w:t>Ezekwuemen</w:t>
      </w:r>
      <w:proofErr w:type="spellEnd"/>
      <w:r w:rsidRPr="006F2CD0">
        <w:t xml:space="preserve">, O. I., </w:t>
      </w:r>
      <w:proofErr w:type="spellStart"/>
      <w:r w:rsidRPr="006F2CD0">
        <w:t>Alaekwe</w:t>
      </w:r>
      <w:proofErr w:type="spellEnd"/>
      <w:r w:rsidRPr="006F2CD0">
        <w:t xml:space="preserve">, I. O., </w:t>
      </w:r>
      <w:proofErr w:type="spellStart"/>
      <w:r w:rsidRPr="006F2CD0">
        <w:t>Odidika</w:t>
      </w:r>
      <w:proofErr w:type="spellEnd"/>
      <w:r w:rsidRPr="006F2CD0">
        <w:t xml:space="preserve">, C. C., </w:t>
      </w:r>
      <w:proofErr w:type="spellStart"/>
      <w:r w:rsidRPr="006F2CD0">
        <w:t>Owughara</w:t>
      </w:r>
      <w:proofErr w:type="spellEnd"/>
      <w:r w:rsidRPr="006F2CD0">
        <w:t xml:space="preserve">, C. N., Enyi, C. M., &amp; Kolawole, O. O. (2025). </w:t>
      </w:r>
      <w:proofErr w:type="gramStart"/>
      <w:r w:rsidRPr="006F2CD0">
        <w:t>Environmental assessment of heavy metals and hydrocarbon pollution in surface waters of oil-bearing communities in Andoni, Rivers State, Nigeria.</w:t>
      </w:r>
      <w:proofErr w:type="gramEnd"/>
      <w:r w:rsidRPr="006F2CD0">
        <w:t xml:space="preserve"> </w:t>
      </w:r>
      <w:r w:rsidRPr="006F2CD0">
        <w:rPr>
          <w:rStyle w:val="Emphasis"/>
        </w:rPr>
        <w:t>International Journal of Modern Science and Research Technology, 3</w:t>
      </w:r>
      <w:r w:rsidRPr="006F2CD0">
        <w:t xml:space="preserve">(8), 22–30. </w:t>
      </w:r>
      <w:hyperlink r:id="rId22" w:tgtFrame="_new" w:history="1">
        <w:r w:rsidRPr="006F2CD0">
          <w:rPr>
            <w:rStyle w:val="Hyperlink"/>
          </w:rPr>
          <w:t>http://www.ijmsrt.com</w:t>
        </w:r>
      </w:hyperlink>
    </w:p>
    <w:p w14:paraId="106676AF"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Eboh-Ajoku, I. O., </w:t>
      </w:r>
      <w:proofErr w:type="spellStart"/>
      <w:r w:rsidRPr="006F2CD0">
        <w:t>Mmuta</w:t>
      </w:r>
      <w:proofErr w:type="spellEnd"/>
      <w:r w:rsidRPr="006F2CD0">
        <w:t xml:space="preserve">, E. C., Ndubuisi, J. O., </w:t>
      </w:r>
      <w:proofErr w:type="spellStart"/>
      <w:r w:rsidRPr="006F2CD0">
        <w:t>Alaekwe</w:t>
      </w:r>
      <w:proofErr w:type="spellEnd"/>
      <w:r w:rsidRPr="006F2CD0">
        <w:t xml:space="preserve">, I. O., </w:t>
      </w:r>
      <w:proofErr w:type="spellStart"/>
      <w:r w:rsidRPr="006F2CD0">
        <w:t>Odibo</w:t>
      </w:r>
      <w:proofErr w:type="spellEnd"/>
      <w:r w:rsidRPr="006F2CD0">
        <w:t xml:space="preserve">, U. E., </w:t>
      </w:r>
      <w:proofErr w:type="spellStart"/>
      <w:r w:rsidRPr="006F2CD0">
        <w:t>Nwoka</w:t>
      </w:r>
      <w:proofErr w:type="spellEnd"/>
      <w:r w:rsidRPr="006F2CD0">
        <w:t xml:space="preserve">, N. G., Okafor, C. A., &amp; </w:t>
      </w:r>
      <w:proofErr w:type="spellStart"/>
      <w:r w:rsidRPr="006F2CD0">
        <w:t>Obunezi</w:t>
      </w:r>
      <w:proofErr w:type="spellEnd"/>
      <w:r w:rsidRPr="006F2CD0">
        <w:t xml:space="preserve">, O. C. (2025). </w:t>
      </w:r>
      <w:proofErr w:type="gramStart"/>
      <w:r w:rsidRPr="006F2CD0">
        <w:t>Integrated environmental risk assessment of BTEX and PAHs in water and sediment samples from the Bonny River, Nigeria.</w:t>
      </w:r>
      <w:proofErr w:type="gramEnd"/>
      <w:r w:rsidRPr="006F2CD0">
        <w:t xml:space="preserve"> </w:t>
      </w:r>
      <w:r w:rsidRPr="006F2CD0">
        <w:rPr>
          <w:rStyle w:val="Emphasis"/>
        </w:rPr>
        <w:t>ISA Journal of Multidisciplinary (ISAJM), 2</w:t>
      </w:r>
      <w:r w:rsidRPr="006F2CD0">
        <w:t>(4), 14–21.</w:t>
      </w:r>
    </w:p>
    <w:p w14:paraId="45E3D012"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w:t>
      </w:r>
      <w:proofErr w:type="spellStart"/>
      <w:r w:rsidRPr="006F2CD0">
        <w:t>Ekwere</w:t>
      </w:r>
      <w:proofErr w:type="spellEnd"/>
      <w:r w:rsidRPr="006F2CD0">
        <w:t xml:space="preserve">, I. O., </w:t>
      </w:r>
      <w:proofErr w:type="spellStart"/>
      <w:r w:rsidRPr="006F2CD0">
        <w:t>Igwegbe</w:t>
      </w:r>
      <w:proofErr w:type="spellEnd"/>
      <w:r w:rsidRPr="006F2CD0">
        <w:t xml:space="preserve">, K. C., </w:t>
      </w:r>
      <w:proofErr w:type="spellStart"/>
      <w:r w:rsidRPr="006F2CD0">
        <w:t>Etesin</w:t>
      </w:r>
      <w:proofErr w:type="spellEnd"/>
      <w:r w:rsidRPr="006F2CD0">
        <w:t xml:space="preserve">, U. M., Ugwuanyi, G. C., </w:t>
      </w:r>
      <w:proofErr w:type="spellStart"/>
      <w:r w:rsidRPr="006F2CD0">
        <w:t>Okpanachi</w:t>
      </w:r>
      <w:proofErr w:type="spellEnd"/>
      <w:r w:rsidRPr="006F2CD0">
        <w:t xml:space="preserve">, C. B., </w:t>
      </w:r>
      <w:proofErr w:type="spellStart"/>
      <w:r w:rsidRPr="006F2CD0">
        <w:t>Ewuola</w:t>
      </w:r>
      <w:proofErr w:type="spellEnd"/>
      <w:r w:rsidRPr="006F2CD0">
        <w:t xml:space="preserve">, A. A., Mojisola, K. M., &amp; </w:t>
      </w:r>
      <w:proofErr w:type="spellStart"/>
      <w:r w:rsidRPr="006F2CD0">
        <w:t>Ezekwueme</w:t>
      </w:r>
      <w:proofErr w:type="spellEnd"/>
      <w:r w:rsidRPr="006F2CD0">
        <w:t xml:space="preserve">, O. I. (2025). </w:t>
      </w:r>
      <w:proofErr w:type="gramStart"/>
      <w:r w:rsidRPr="006F2CD0">
        <w:t xml:space="preserve">Solar-enhanced photocatalytic degradation of pharmaceutical residues in wastewater using Fe-, Cu-, and Zn-doped </w:t>
      </w:r>
      <w:proofErr w:type="spellStart"/>
      <w:r w:rsidRPr="006F2CD0">
        <w:t>TiO</w:t>
      </w:r>
      <w:proofErr w:type="spellEnd"/>
      <w:r w:rsidRPr="006F2CD0">
        <w:t xml:space="preserve">₂ </w:t>
      </w:r>
      <w:proofErr w:type="spellStart"/>
      <w:r w:rsidRPr="006F2CD0">
        <w:t>nanomaterials</w:t>
      </w:r>
      <w:proofErr w:type="spellEnd"/>
      <w:r w:rsidRPr="006F2CD0">
        <w:t>.</w:t>
      </w:r>
      <w:proofErr w:type="gramEnd"/>
      <w:r w:rsidRPr="006F2CD0">
        <w:t xml:space="preserve"> </w:t>
      </w:r>
      <w:r w:rsidRPr="006F2CD0">
        <w:rPr>
          <w:rStyle w:val="Emphasis"/>
        </w:rPr>
        <w:t>Journal of Environment, Climate, and Ecology, 2</w:t>
      </w:r>
      <w:r w:rsidRPr="006F2CD0">
        <w:t xml:space="preserve">(2), 56–62. </w:t>
      </w:r>
      <w:hyperlink r:id="rId23" w:tgtFrame="_new" w:history="1">
        <w:r w:rsidRPr="006F2CD0">
          <w:rPr>
            <w:rStyle w:val="Hyperlink"/>
          </w:rPr>
          <w:t>https://doi.org/10.69739/jece.v2i2.961</w:t>
        </w:r>
      </w:hyperlink>
    </w:p>
    <w:p w14:paraId="4FB21ABB"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Emem, J. A., </w:t>
      </w:r>
      <w:proofErr w:type="spellStart"/>
      <w:r w:rsidRPr="006F2CD0">
        <w:t>Ekwere</w:t>
      </w:r>
      <w:proofErr w:type="spellEnd"/>
      <w:r w:rsidRPr="006F2CD0">
        <w:t xml:space="preserve">, I. O., </w:t>
      </w:r>
      <w:proofErr w:type="spellStart"/>
      <w:r w:rsidRPr="006F2CD0">
        <w:t>Odibo</w:t>
      </w:r>
      <w:proofErr w:type="spellEnd"/>
      <w:r w:rsidRPr="006F2CD0">
        <w:t xml:space="preserve">, U. E., </w:t>
      </w:r>
      <w:proofErr w:type="spellStart"/>
      <w:r w:rsidRPr="006F2CD0">
        <w:t>Alaekwe</w:t>
      </w:r>
      <w:proofErr w:type="spellEnd"/>
      <w:r w:rsidRPr="006F2CD0">
        <w:t xml:space="preserve">, I. O., Warder, A. B., &amp; Eboh-Ajoku, O. I. (2025). Bioaccumulation of nickel, lead, and cadmium in tissues of </w:t>
      </w:r>
      <w:r w:rsidRPr="006F2CD0">
        <w:rPr>
          <w:rStyle w:val="Emphasis"/>
        </w:rPr>
        <w:t>Callinectes sapidus</w:t>
      </w:r>
      <w:r w:rsidRPr="006F2CD0">
        <w:t xml:space="preserve"> from the Iko River, Nigeria: Implications for human health risk and environmental safety. </w:t>
      </w:r>
      <w:r w:rsidRPr="006F2CD0">
        <w:rPr>
          <w:rStyle w:val="Emphasis"/>
        </w:rPr>
        <w:t>Journal of Environment, Climate, and Ecology, 2</w:t>
      </w:r>
      <w:r w:rsidRPr="006F2CD0">
        <w:t xml:space="preserve">(2), 29–37. </w:t>
      </w:r>
      <w:hyperlink r:id="rId24" w:tgtFrame="_new" w:history="1">
        <w:r w:rsidRPr="006F2CD0">
          <w:rPr>
            <w:rStyle w:val="Hyperlink"/>
          </w:rPr>
          <w:t>https://doi.org/10.69739/jece.v2i2.844</w:t>
        </w:r>
      </w:hyperlink>
    </w:p>
    <w:p w14:paraId="7EB849C0"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Ndubuisi, J. O., Eboh-Ajoku, I. O., Emem, J. A., </w:t>
      </w:r>
      <w:proofErr w:type="spellStart"/>
      <w:r w:rsidRPr="006F2CD0">
        <w:t>Ekwere</w:t>
      </w:r>
      <w:proofErr w:type="spellEnd"/>
      <w:r w:rsidRPr="006F2CD0">
        <w:t xml:space="preserve">, I. O., </w:t>
      </w:r>
      <w:proofErr w:type="spellStart"/>
      <w:r w:rsidRPr="006F2CD0">
        <w:t>Alaekwe</w:t>
      </w:r>
      <w:proofErr w:type="spellEnd"/>
      <w:r w:rsidRPr="006F2CD0">
        <w:t xml:space="preserve">, I. O., </w:t>
      </w:r>
      <w:proofErr w:type="spellStart"/>
      <w:r w:rsidRPr="006F2CD0">
        <w:t>Odibo</w:t>
      </w:r>
      <w:proofErr w:type="spellEnd"/>
      <w:r w:rsidRPr="006F2CD0">
        <w:t xml:space="preserve">, U. E., </w:t>
      </w:r>
      <w:proofErr w:type="spellStart"/>
      <w:r w:rsidRPr="006F2CD0">
        <w:t>Igwegbe</w:t>
      </w:r>
      <w:proofErr w:type="spellEnd"/>
      <w:r w:rsidRPr="006F2CD0">
        <w:t xml:space="preserve">, K. C., Onoja, C. R., Warder, A. B., &amp; </w:t>
      </w:r>
      <w:proofErr w:type="spellStart"/>
      <w:r w:rsidRPr="006F2CD0">
        <w:t>InyangAbia</w:t>
      </w:r>
      <w:proofErr w:type="spellEnd"/>
      <w:r w:rsidRPr="006F2CD0">
        <w:t xml:space="preserve">, A. J. (2025). </w:t>
      </w:r>
      <w:proofErr w:type="spellStart"/>
      <w:proofErr w:type="gramStart"/>
      <w:r w:rsidRPr="006F2CD0">
        <w:t>Trematode</w:t>
      </w:r>
      <w:proofErr w:type="spellEnd"/>
      <w:r w:rsidRPr="006F2CD0">
        <w:t xml:space="preserve"> infections and </w:t>
      </w:r>
      <w:proofErr w:type="spellStart"/>
      <w:r w:rsidRPr="006F2CD0">
        <w:t>histopathological</w:t>
      </w:r>
      <w:proofErr w:type="spellEnd"/>
      <w:r w:rsidRPr="006F2CD0">
        <w:t xml:space="preserve"> effects in </w:t>
      </w:r>
      <w:proofErr w:type="spellStart"/>
      <w:r w:rsidRPr="006F2CD0">
        <w:rPr>
          <w:rStyle w:val="Emphasis"/>
        </w:rPr>
        <w:t>Chrysichthys</w:t>
      </w:r>
      <w:proofErr w:type="spellEnd"/>
      <w:r w:rsidRPr="006F2CD0">
        <w:rPr>
          <w:rStyle w:val="Emphasis"/>
        </w:rPr>
        <w:t xml:space="preserve"> </w:t>
      </w:r>
      <w:proofErr w:type="spellStart"/>
      <w:r w:rsidRPr="006F2CD0">
        <w:rPr>
          <w:rStyle w:val="Emphasis"/>
        </w:rPr>
        <w:t>nigrodigitatus</w:t>
      </w:r>
      <w:proofErr w:type="spellEnd"/>
      <w:r w:rsidRPr="006F2CD0">
        <w:t xml:space="preserve"> from the polluted Andoni River, Niger Delta, Nigeria.</w:t>
      </w:r>
      <w:proofErr w:type="gramEnd"/>
      <w:r w:rsidRPr="006F2CD0">
        <w:t xml:space="preserve"> </w:t>
      </w:r>
      <w:r w:rsidRPr="006F2CD0">
        <w:rPr>
          <w:rStyle w:val="Emphasis"/>
        </w:rPr>
        <w:t>Journal of Agriculture, Aquaculture, and Animal Science, 2</w:t>
      </w:r>
      <w:r w:rsidRPr="006F2CD0">
        <w:t xml:space="preserve">(2), 66–72. </w:t>
      </w:r>
      <w:hyperlink r:id="rId25" w:tgtFrame="_new" w:history="1">
        <w:r w:rsidRPr="006F2CD0">
          <w:rPr>
            <w:rStyle w:val="Hyperlink"/>
          </w:rPr>
          <w:t>https://doi.org/10.69739/jaaas.v2i2.882</w:t>
        </w:r>
      </w:hyperlink>
    </w:p>
    <w:p w14:paraId="7EF25870" w14:textId="77777777" w:rsidR="00A655CC" w:rsidRPr="006F2CD0" w:rsidRDefault="00A655CC" w:rsidP="00117BBB">
      <w:pPr>
        <w:pStyle w:val="NormalWeb"/>
        <w:ind w:left="720" w:hanging="720"/>
        <w:jc w:val="both"/>
      </w:pPr>
      <w:proofErr w:type="spellStart"/>
      <w:r w:rsidRPr="006F2CD0">
        <w:t>Okpoji</w:t>
      </w:r>
      <w:proofErr w:type="spellEnd"/>
      <w:r w:rsidRPr="006F2CD0">
        <w:t xml:space="preserve">, A. U., </w:t>
      </w:r>
      <w:proofErr w:type="spellStart"/>
      <w:r w:rsidRPr="006F2CD0">
        <w:t>Nwoka</w:t>
      </w:r>
      <w:proofErr w:type="spellEnd"/>
      <w:r w:rsidRPr="006F2CD0">
        <w:t xml:space="preserve">, N. G., </w:t>
      </w:r>
      <w:proofErr w:type="spellStart"/>
      <w:r w:rsidRPr="006F2CD0">
        <w:t>Odibo</w:t>
      </w:r>
      <w:proofErr w:type="spellEnd"/>
      <w:r w:rsidRPr="006F2CD0">
        <w:t xml:space="preserve">, U. E., </w:t>
      </w:r>
      <w:proofErr w:type="spellStart"/>
      <w:r w:rsidRPr="006F2CD0">
        <w:t>Alaekwe</w:t>
      </w:r>
      <w:proofErr w:type="spellEnd"/>
      <w:r w:rsidRPr="006F2CD0">
        <w:t xml:space="preserve">, I. O., Okafor, C. A., </w:t>
      </w:r>
      <w:proofErr w:type="spellStart"/>
      <w:r w:rsidRPr="006F2CD0">
        <w:t>Ogwu</w:t>
      </w:r>
      <w:proofErr w:type="spellEnd"/>
      <w:r w:rsidRPr="006F2CD0">
        <w:t xml:space="preserve">, N. G., &amp; </w:t>
      </w:r>
      <w:proofErr w:type="spellStart"/>
      <w:r w:rsidRPr="006F2CD0">
        <w:t>Akatakpo</w:t>
      </w:r>
      <w:proofErr w:type="spellEnd"/>
      <w:r w:rsidRPr="006F2CD0">
        <w:t xml:space="preserve">, C. U. (2025). </w:t>
      </w:r>
      <w:proofErr w:type="gramStart"/>
      <w:r w:rsidRPr="006F2CD0">
        <w:t xml:space="preserve">Seasonal variation in </w:t>
      </w:r>
      <w:proofErr w:type="spellStart"/>
      <w:r w:rsidRPr="006F2CD0">
        <w:t>hydrochemical</w:t>
      </w:r>
      <w:proofErr w:type="spellEnd"/>
      <w:r w:rsidRPr="006F2CD0">
        <w:t xml:space="preserve"> characteristics and heavy metal risk assessment of groundwater in </w:t>
      </w:r>
      <w:proofErr w:type="spellStart"/>
      <w:r w:rsidRPr="006F2CD0">
        <w:t>Andoni-Isiokwan</w:t>
      </w:r>
      <w:proofErr w:type="spellEnd"/>
      <w:r w:rsidRPr="006F2CD0">
        <w:t xml:space="preserve"> District, Niger Delta, Nigeria.</w:t>
      </w:r>
      <w:proofErr w:type="gramEnd"/>
      <w:r w:rsidRPr="006F2CD0">
        <w:t xml:space="preserve"> </w:t>
      </w:r>
      <w:r w:rsidRPr="006F2CD0">
        <w:rPr>
          <w:rStyle w:val="Emphasis"/>
        </w:rPr>
        <w:t>International Journal of Modern Science and Research Technology, 3</w:t>
      </w:r>
      <w:r w:rsidRPr="006F2CD0">
        <w:t xml:space="preserve">(8), 44–51. </w:t>
      </w:r>
      <w:hyperlink r:id="rId26" w:tgtFrame="_new" w:history="1">
        <w:r w:rsidRPr="006F2CD0">
          <w:rPr>
            <w:rStyle w:val="Hyperlink"/>
          </w:rPr>
          <w:t>http://www.ijmsrt.com</w:t>
        </w:r>
      </w:hyperlink>
    </w:p>
    <w:p w14:paraId="3237AD1C" w14:textId="77777777" w:rsidR="00A655CC" w:rsidRPr="006F2CD0" w:rsidRDefault="00A655CC" w:rsidP="00117BBB">
      <w:pPr>
        <w:pStyle w:val="NormalWeb"/>
        <w:ind w:left="720" w:hanging="720"/>
        <w:jc w:val="both"/>
      </w:pPr>
      <w:r w:rsidRPr="006F2CD0">
        <w:t xml:space="preserve">Onoja, C. R., Ogbaji, H. O., Edodi, I. O., </w:t>
      </w:r>
      <w:proofErr w:type="spellStart"/>
      <w:r w:rsidRPr="006F2CD0">
        <w:t>Mmuta</w:t>
      </w:r>
      <w:proofErr w:type="spellEnd"/>
      <w:r w:rsidRPr="006F2CD0">
        <w:t xml:space="preserve">, E. C., </w:t>
      </w:r>
      <w:proofErr w:type="spellStart"/>
      <w:r w:rsidRPr="006F2CD0">
        <w:t>Igwegbe</w:t>
      </w:r>
      <w:proofErr w:type="spellEnd"/>
      <w:r w:rsidRPr="006F2CD0">
        <w:t xml:space="preserve">, K. C., Ogini, O. R., </w:t>
      </w:r>
      <w:proofErr w:type="spellStart"/>
      <w:r w:rsidRPr="006F2CD0">
        <w:t>Odibo</w:t>
      </w:r>
      <w:proofErr w:type="spellEnd"/>
      <w:r w:rsidRPr="006F2CD0">
        <w:t xml:space="preserve">, U. E., </w:t>
      </w:r>
      <w:proofErr w:type="spellStart"/>
      <w:r w:rsidRPr="006F2CD0">
        <w:t>Ewuola</w:t>
      </w:r>
      <w:proofErr w:type="spellEnd"/>
      <w:r w:rsidRPr="006F2CD0">
        <w:t xml:space="preserve">, A. A., Mahmoud, A. B., &amp; </w:t>
      </w:r>
      <w:proofErr w:type="spellStart"/>
      <w:r w:rsidRPr="006F2CD0">
        <w:t>Okpoji</w:t>
      </w:r>
      <w:proofErr w:type="spellEnd"/>
      <w:r w:rsidRPr="006F2CD0">
        <w:t>, A. U. (2025). Heavy metal contamination and health risk assessment of smoked-dried fish sold in Eke-</w:t>
      </w:r>
      <w:proofErr w:type="spellStart"/>
      <w:r w:rsidRPr="006F2CD0">
        <w:t>Awka</w:t>
      </w:r>
      <w:proofErr w:type="spellEnd"/>
      <w:r w:rsidRPr="006F2CD0">
        <w:t xml:space="preserve"> Market, </w:t>
      </w:r>
      <w:proofErr w:type="spellStart"/>
      <w:r w:rsidRPr="006F2CD0">
        <w:t>Anambra</w:t>
      </w:r>
      <w:proofErr w:type="spellEnd"/>
      <w:r w:rsidRPr="006F2CD0">
        <w:t xml:space="preserve"> State, Nigeria. </w:t>
      </w:r>
      <w:r w:rsidRPr="006F2CD0">
        <w:rPr>
          <w:rStyle w:val="Emphasis"/>
        </w:rPr>
        <w:t>Journal of Sustainable Research and Development, 1</w:t>
      </w:r>
      <w:r w:rsidRPr="006F2CD0">
        <w:t xml:space="preserve">(2), 18–25. </w:t>
      </w:r>
      <w:hyperlink r:id="rId27" w:tgtFrame="_new" w:history="1">
        <w:r w:rsidRPr="006F2CD0">
          <w:rPr>
            <w:rStyle w:val="Hyperlink"/>
          </w:rPr>
          <w:t>https://doi.org/10.69739/jsrd.v1i2.1044</w:t>
        </w:r>
      </w:hyperlink>
    </w:p>
    <w:p w14:paraId="1CF8DEB8" w14:textId="77777777" w:rsidR="00A655CC" w:rsidRPr="006F2CD0" w:rsidRDefault="00A655CC" w:rsidP="00117BBB">
      <w:pPr>
        <w:pStyle w:val="NormalWeb"/>
        <w:ind w:left="720" w:hanging="720"/>
        <w:jc w:val="both"/>
      </w:pPr>
      <w:proofErr w:type="spellStart"/>
      <w:proofErr w:type="gramStart"/>
      <w:r w:rsidRPr="006F2CD0">
        <w:t>Pandey</w:t>
      </w:r>
      <w:proofErr w:type="spellEnd"/>
      <w:r w:rsidRPr="006F2CD0">
        <w:t>, C., &amp; Mishra, A. (2025).</w:t>
      </w:r>
      <w:proofErr w:type="gramEnd"/>
      <w:r w:rsidRPr="006F2CD0">
        <w:t xml:space="preserve"> </w:t>
      </w:r>
      <w:proofErr w:type="gramStart"/>
      <w:r w:rsidRPr="006F2CD0">
        <w:rPr>
          <w:rStyle w:val="Emphasis"/>
        </w:rPr>
        <w:t xml:space="preserve">Estimation of heavy metals in the water of </w:t>
      </w:r>
      <w:proofErr w:type="spellStart"/>
      <w:r w:rsidRPr="006F2CD0">
        <w:rPr>
          <w:rStyle w:val="Emphasis"/>
        </w:rPr>
        <w:t>Kharun</w:t>
      </w:r>
      <w:proofErr w:type="spellEnd"/>
      <w:r w:rsidRPr="006F2CD0">
        <w:rPr>
          <w:rStyle w:val="Emphasis"/>
        </w:rPr>
        <w:t xml:space="preserve"> at the convergence point of industrial effluents near </w:t>
      </w:r>
      <w:proofErr w:type="spellStart"/>
      <w:r w:rsidRPr="006F2CD0">
        <w:rPr>
          <w:rStyle w:val="Emphasis"/>
        </w:rPr>
        <w:t>Kumhari</w:t>
      </w:r>
      <w:proofErr w:type="spellEnd"/>
      <w:r w:rsidRPr="006F2CD0">
        <w:rPr>
          <w:rStyle w:val="Emphasis"/>
        </w:rPr>
        <w:t xml:space="preserve">, </w:t>
      </w:r>
      <w:proofErr w:type="spellStart"/>
      <w:r w:rsidRPr="006F2CD0">
        <w:rPr>
          <w:rStyle w:val="Emphasis"/>
        </w:rPr>
        <w:t>Durg</w:t>
      </w:r>
      <w:proofErr w:type="spellEnd"/>
      <w:r w:rsidRPr="006F2CD0">
        <w:rPr>
          <w:rStyle w:val="Emphasis"/>
        </w:rPr>
        <w:t>, Chhattisgarh, Central India.</w:t>
      </w:r>
      <w:proofErr w:type="gramEnd"/>
      <w:r w:rsidRPr="006F2CD0">
        <w:t xml:space="preserve"> </w:t>
      </w:r>
      <w:r w:rsidRPr="006F2CD0">
        <w:rPr>
          <w:rStyle w:val="Emphasis"/>
        </w:rPr>
        <w:t>Advances in Pharmacology and Toxicology</w:t>
      </w:r>
      <w:r w:rsidRPr="006F2CD0">
        <w:t xml:space="preserve">, 26(1), 11–19. </w:t>
      </w:r>
      <w:proofErr w:type="gramStart"/>
      <w:r w:rsidRPr="006F2CD0">
        <w:t>ISSN 0973-2381.</w:t>
      </w:r>
      <w:proofErr w:type="gramEnd"/>
    </w:p>
    <w:p w14:paraId="128500A1" w14:textId="77777777" w:rsidR="00A655CC" w:rsidRPr="006F2CD0" w:rsidRDefault="00A655CC" w:rsidP="00117BBB">
      <w:pPr>
        <w:pStyle w:val="NormalWeb"/>
        <w:ind w:left="720" w:hanging="720"/>
        <w:jc w:val="both"/>
      </w:pPr>
      <w:proofErr w:type="spellStart"/>
      <w:proofErr w:type="gramStart"/>
      <w:r w:rsidRPr="006F2CD0">
        <w:t>Pandey</w:t>
      </w:r>
      <w:proofErr w:type="spellEnd"/>
      <w:r w:rsidRPr="006F2CD0">
        <w:t xml:space="preserve">, C., Mishra, A., Mishra, V., </w:t>
      </w:r>
      <w:proofErr w:type="spellStart"/>
      <w:r w:rsidRPr="006F2CD0">
        <w:t>Kande</w:t>
      </w:r>
      <w:proofErr w:type="spellEnd"/>
      <w:r w:rsidRPr="006F2CD0">
        <w:t xml:space="preserve">, V., </w:t>
      </w:r>
      <w:proofErr w:type="spellStart"/>
      <w:r w:rsidRPr="006F2CD0">
        <w:t>Tiwari</w:t>
      </w:r>
      <w:proofErr w:type="spellEnd"/>
      <w:r w:rsidRPr="006F2CD0">
        <w:t>, S., Kumar, A., &amp; Prasad, G. (2024).</w:t>
      </w:r>
      <w:proofErr w:type="gramEnd"/>
      <w:r w:rsidRPr="006F2CD0">
        <w:t xml:space="preserve"> </w:t>
      </w:r>
      <w:r w:rsidRPr="006F2CD0">
        <w:rPr>
          <w:rStyle w:val="Emphasis"/>
        </w:rPr>
        <w:t>Impact of heavy metals toxicity in fishes: A review.</w:t>
      </w:r>
      <w:r w:rsidRPr="006F2CD0">
        <w:t xml:space="preserve"> </w:t>
      </w:r>
      <w:proofErr w:type="spellStart"/>
      <w:r w:rsidRPr="006F2CD0">
        <w:rPr>
          <w:rStyle w:val="Emphasis"/>
        </w:rPr>
        <w:t>Degres</w:t>
      </w:r>
      <w:proofErr w:type="spellEnd"/>
      <w:r w:rsidRPr="006F2CD0">
        <w:rPr>
          <w:rStyle w:val="Emphasis"/>
        </w:rPr>
        <w:t xml:space="preserve"> Journal</w:t>
      </w:r>
      <w:r w:rsidRPr="006F2CD0">
        <w:t xml:space="preserve">, 9(11), 136–152. </w:t>
      </w:r>
      <w:proofErr w:type="gramStart"/>
      <w:r w:rsidRPr="006F2CD0">
        <w:t>ISSN 0376-8163.</w:t>
      </w:r>
      <w:proofErr w:type="gramEnd"/>
    </w:p>
    <w:p w14:paraId="1375D46B" w14:textId="77777777" w:rsidR="00A655CC" w:rsidRPr="006F2CD0" w:rsidRDefault="00A655CC" w:rsidP="00117BBB">
      <w:pPr>
        <w:pStyle w:val="NormalWeb"/>
        <w:ind w:left="720" w:hanging="720"/>
        <w:jc w:val="both"/>
      </w:pPr>
      <w:r w:rsidRPr="006F2CD0">
        <w:t xml:space="preserve">Smith, J. J., </w:t>
      </w:r>
      <w:proofErr w:type="spellStart"/>
      <w:r w:rsidRPr="006F2CD0">
        <w:t>Benede</w:t>
      </w:r>
      <w:proofErr w:type="spellEnd"/>
      <w:r w:rsidRPr="006F2CD0">
        <w:t xml:space="preserve">, E., </w:t>
      </w:r>
      <w:proofErr w:type="spellStart"/>
      <w:r w:rsidRPr="006F2CD0">
        <w:t>Beuthe</w:t>
      </w:r>
      <w:proofErr w:type="spellEnd"/>
      <w:r w:rsidRPr="006F2CD0">
        <w:t xml:space="preserve">, B., Marti, M., Sayas Lopez, A., Koons, B. W., Kirkman, A. J., </w:t>
      </w:r>
      <w:proofErr w:type="spellStart"/>
      <w:r w:rsidRPr="006F2CD0">
        <w:t>Barreales</w:t>
      </w:r>
      <w:proofErr w:type="spellEnd"/>
      <w:r w:rsidRPr="006F2CD0">
        <w:t xml:space="preserve">, L. A., Grosjean, T., &amp; Hjort, M. (2021). A comparison of three methods to assess natural source </w:t>
      </w:r>
      <w:proofErr w:type="spellStart"/>
      <w:r w:rsidRPr="006F2CD0">
        <w:t>zone</w:t>
      </w:r>
      <w:proofErr w:type="spellEnd"/>
      <w:r w:rsidRPr="006F2CD0">
        <w:t xml:space="preserve"> depletion at paved fuel retail sites. </w:t>
      </w:r>
      <w:proofErr w:type="gramStart"/>
      <w:r w:rsidRPr="006F2CD0">
        <w:rPr>
          <w:rStyle w:val="Emphasis"/>
        </w:rPr>
        <w:t>Quarterly Journal of Engineering Geology and Hydrogeology, 54.</w:t>
      </w:r>
      <w:proofErr w:type="gramEnd"/>
      <w:r w:rsidRPr="006F2CD0">
        <w:t xml:space="preserve"> </w:t>
      </w:r>
      <w:hyperlink r:id="rId28" w:tgtFrame="_new" w:history="1">
        <w:r w:rsidRPr="006F2CD0">
          <w:rPr>
            <w:rStyle w:val="Hyperlink"/>
          </w:rPr>
          <w:t>https://doi.org/10.1144/qjegh2021-005</w:t>
        </w:r>
      </w:hyperlink>
    </w:p>
    <w:p w14:paraId="2A62BBA1" w14:textId="77777777" w:rsidR="00A655CC" w:rsidRPr="006F2CD0" w:rsidRDefault="00A655CC" w:rsidP="00117BBB">
      <w:pPr>
        <w:pStyle w:val="NormalWeb"/>
        <w:ind w:left="720" w:hanging="720"/>
        <w:jc w:val="both"/>
      </w:pPr>
      <w:r w:rsidRPr="006F2CD0">
        <w:t xml:space="preserve">Sweeney, R. (2024). </w:t>
      </w:r>
      <w:proofErr w:type="gramStart"/>
      <w:r w:rsidRPr="006F2CD0">
        <w:t>Analysis of sustainable remediation techniques and case studies across the United Kingdom and Europe.</w:t>
      </w:r>
      <w:proofErr w:type="gramEnd"/>
      <w:r w:rsidRPr="006F2CD0">
        <w:t xml:space="preserve"> </w:t>
      </w:r>
      <w:r w:rsidRPr="006F2CD0">
        <w:rPr>
          <w:rStyle w:val="Emphasis"/>
        </w:rPr>
        <w:t>Remediation Journal, 34</w:t>
      </w:r>
      <w:r w:rsidRPr="006F2CD0">
        <w:t xml:space="preserve">(2), 55–73. </w:t>
      </w:r>
      <w:hyperlink r:id="rId29" w:tgtFrame="_new" w:history="1">
        <w:r w:rsidRPr="006F2CD0">
          <w:rPr>
            <w:rStyle w:val="Hyperlink"/>
          </w:rPr>
          <w:t>https://doi.org/10.1002/rem.21728</w:t>
        </w:r>
      </w:hyperlink>
    </w:p>
    <w:p w14:paraId="28C4D027" w14:textId="77777777" w:rsidR="00A655CC" w:rsidRPr="006F2CD0" w:rsidRDefault="00A655CC" w:rsidP="00117BBB">
      <w:pPr>
        <w:pStyle w:val="NormalWeb"/>
        <w:ind w:left="720" w:hanging="720"/>
        <w:jc w:val="both"/>
        <w:rPr>
          <w:rStyle w:val="Hyperlink"/>
        </w:rPr>
      </w:pPr>
      <w:proofErr w:type="gramStart"/>
      <w:r w:rsidRPr="006F2CD0">
        <w:t>Thornton, S. F., Spence, M. J., Bottrell, S. H., &amp; Spence, K. H. (2024).</w:t>
      </w:r>
      <w:proofErr w:type="gramEnd"/>
      <w:r w:rsidRPr="006F2CD0">
        <w:t xml:space="preserve"> Natural attenuation of dissolved petroleum fuel constituents in a fractured Chalk aquifer: Contaminant mass balance with probabilistic analysis. </w:t>
      </w:r>
      <w:proofErr w:type="gramStart"/>
      <w:r w:rsidRPr="006F2CD0">
        <w:rPr>
          <w:rStyle w:val="Emphasis"/>
        </w:rPr>
        <w:t>Quarterly Journal of Engineering Geology and Hydrogeology, 57</w:t>
      </w:r>
      <w:r w:rsidRPr="006F2CD0">
        <w:t>, 678.</w:t>
      </w:r>
      <w:proofErr w:type="gramEnd"/>
      <w:r w:rsidRPr="006F2CD0">
        <w:t xml:space="preserve"> </w:t>
      </w:r>
      <w:hyperlink r:id="rId30" w:tgtFrame="_new" w:history="1">
        <w:r w:rsidRPr="006F2CD0">
          <w:rPr>
            <w:rStyle w:val="Hyperlink"/>
          </w:rPr>
          <w:t>https://doi.org/10.1144/qjegh2023-116</w:t>
        </w:r>
      </w:hyperlink>
    </w:p>
    <w:p w14:paraId="2A1FF8A1" w14:textId="77777777" w:rsidR="00117BBB" w:rsidRPr="006F2CD0" w:rsidRDefault="00117BBB" w:rsidP="00117BBB">
      <w:pPr>
        <w:jc w:val="both"/>
        <w:rPr>
          <w:rFonts w:ascii="Times New Roman" w:hAnsi="Times New Roman" w:cs="Times New Roman"/>
          <w:sz w:val="24"/>
          <w:szCs w:val="24"/>
        </w:rPr>
      </w:pPr>
    </w:p>
    <w:p w14:paraId="27920AD6" w14:textId="77777777" w:rsidR="00117BBB" w:rsidRPr="006F2CD0" w:rsidRDefault="00117BBB" w:rsidP="00117BBB">
      <w:pPr>
        <w:rPr>
          <w:rFonts w:ascii="Times New Roman" w:hAnsi="Times New Roman" w:cs="Times New Roman"/>
          <w:sz w:val="24"/>
          <w:szCs w:val="24"/>
        </w:rPr>
      </w:pPr>
    </w:p>
    <w:p w14:paraId="28B67F1F" w14:textId="77777777" w:rsidR="00965D60" w:rsidRPr="006F2CD0" w:rsidRDefault="00965D60">
      <w:pPr>
        <w:rPr>
          <w:rFonts w:ascii="Times New Roman" w:hAnsi="Times New Roman" w:cs="Times New Roman"/>
          <w:sz w:val="24"/>
          <w:szCs w:val="24"/>
        </w:rPr>
      </w:pPr>
    </w:p>
    <w:sectPr w:rsidR="00965D60" w:rsidRPr="006F2CD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66558" w14:textId="77777777" w:rsidR="00D6032E" w:rsidRDefault="00D6032E" w:rsidP="00134CB2">
      <w:pPr>
        <w:spacing w:after="0" w:line="240" w:lineRule="auto"/>
      </w:pPr>
      <w:r>
        <w:separator/>
      </w:r>
    </w:p>
  </w:endnote>
  <w:endnote w:type="continuationSeparator" w:id="0">
    <w:p w14:paraId="64A53515" w14:textId="77777777" w:rsidR="00D6032E" w:rsidRDefault="00D6032E" w:rsidP="0013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C904" w14:textId="77777777" w:rsidR="00134CB2" w:rsidRDefault="00134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83B17" w14:textId="77777777" w:rsidR="00134CB2" w:rsidRDefault="00134C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70AED" w14:textId="77777777" w:rsidR="00134CB2" w:rsidRDefault="00134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0ABB6" w14:textId="77777777" w:rsidR="00D6032E" w:rsidRDefault="00D6032E" w:rsidP="00134CB2">
      <w:pPr>
        <w:spacing w:after="0" w:line="240" w:lineRule="auto"/>
      </w:pPr>
      <w:r>
        <w:separator/>
      </w:r>
    </w:p>
  </w:footnote>
  <w:footnote w:type="continuationSeparator" w:id="0">
    <w:p w14:paraId="794A3209" w14:textId="77777777" w:rsidR="00D6032E" w:rsidRDefault="00D6032E" w:rsidP="00134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38F2" w14:textId="2D36F20A" w:rsidR="00134CB2" w:rsidRDefault="00D6032E">
    <w:pPr>
      <w:pStyle w:val="Header"/>
    </w:pPr>
    <w:r>
      <w:rPr>
        <w:noProof/>
      </w:rPr>
      <w:pict w14:anchorId="4EDDC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8218" w14:textId="426549B5" w:rsidR="00134CB2" w:rsidRDefault="00D6032E">
    <w:pPr>
      <w:pStyle w:val="Header"/>
    </w:pPr>
    <w:r>
      <w:rPr>
        <w:noProof/>
      </w:rPr>
      <w:pict w14:anchorId="1DAE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4D83" w14:textId="0565E94E" w:rsidR="00134CB2" w:rsidRDefault="00D6032E">
    <w:pPr>
      <w:pStyle w:val="Header"/>
    </w:pPr>
    <w:r>
      <w:rPr>
        <w:noProof/>
      </w:rPr>
      <w:pict w14:anchorId="63030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4EB9"/>
    <w:multiLevelType w:val="hybridMultilevel"/>
    <w:tmpl w:val="1068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BB"/>
    <w:rsid w:val="00117BBB"/>
    <w:rsid w:val="00134CB2"/>
    <w:rsid w:val="0038339E"/>
    <w:rsid w:val="00413167"/>
    <w:rsid w:val="00543CBB"/>
    <w:rsid w:val="005D6D53"/>
    <w:rsid w:val="006A5643"/>
    <w:rsid w:val="006F2CD0"/>
    <w:rsid w:val="00765DA3"/>
    <w:rsid w:val="008123DF"/>
    <w:rsid w:val="008435BA"/>
    <w:rsid w:val="008775B5"/>
    <w:rsid w:val="00965D60"/>
    <w:rsid w:val="0098668F"/>
    <w:rsid w:val="009D171C"/>
    <w:rsid w:val="00A655CC"/>
    <w:rsid w:val="00AA46A2"/>
    <w:rsid w:val="00B31AD6"/>
    <w:rsid w:val="00CE4C43"/>
    <w:rsid w:val="00D6032E"/>
    <w:rsid w:val="00E14209"/>
    <w:rsid w:val="00F01DD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2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BB"/>
  </w:style>
  <w:style w:type="paragraph" w:styleId="Heading3">
    <w:name w:val="heading 3"/>
    <w:basedOn w:val="Normal"/>
    <w:link w:val="Heading3Char"/>
    <w:uiPriority w:val="9"/>
    <w:qFormat/>
    <w:rsid w:val="00117B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17BBB"/>
    <w:rPr>
      <w:b/>
      <w:bCs/>
    </w:rPr>
  </w:style>
  <w:style w:type="paragraph" w:styleId="NormalWeb">
    <w:name w:val="Normal (Web)"/>
    <w:basedOn w:val="Normal"/>
    <w:uiPriority w:val="99"/>
    <w:semiHidden/>
    <w:unhideWhenUsed/>
    <w:rsid w:val="00117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7BBB"/>
    <w:rPr>
      <w:i/>
      <w:iCs/>
    </w:rPr>
  </w:style>
  <w:style w:type="character" w:styleId="Hyperlink">
    <w:name w:val="Hyperlink"/>
    <w:basedOn w:val="DefaultParagraphFont"/>
    <w:uiPriority w:val="99"/>
    <w:unhideWhenUsed/>
    <w:rsid w:val="00117BBB"/>
    <w:rPr>
      <w:color w:val="0000FF"/>
      <w:u w:val="single"/>
    </w:rPr>
  </w:style>
  <w:style w:type="character" w:customStyle="1" w:styleId="15">
    <w:name w:val="15"/>
    <w:basedOn w:val="DefaultParagraphFont"/>
    <w:rsid w:val="00117BBB"/>
    <w:rPr>
      <w:rFonts w:ascii="Calibri" w:hAnsi="Calibri" w:cs="Calibri" w:hint="default"/>
      <w:i/>
      <w:iCs/>
    </w:rPr>
  </w:style>
  <w:style w:type="character" w:customStyle="1" w:styleId="16">
    <w:name w:val="16"/>
    <w:basedOn w:val="DefaultParagraphFont"/>
    <w:rsid w:val="00117BBB"/>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B31AD6"/>
    <w:rPr>
      <w:color w:val="605E5C"/>
      <w:shd w:val="clear" w:color="auto" w:fill="E1DFDD"/>
    </w:rPr>
  </w:style>
  <w:style w:type="paragraph" w:styleId="Header">
    <w:name w:val="header"/>
    <w:basedOn w:val="Normal"/>
    <w:link w:val="HeaderChar"/>
    <w:uiPriority w:val="99"/>
    <w:unhideWhenUsed/>
    <w:rsid w:val="0013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B2"/>
  </w:style>
  <w:style w:type="paragraph" w:styleId="Footer">
    <w:name w:val="footer"/>
    <w:basedOn w:val="Normal"/>
    <w:link w:val="FooterChar"/>
    <w:uiPriority w:val="99"/>
    <w:unhideWhenUsed/>
    <w:rsid w:val="0013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B2"/>
  </w:style>
  <w:style w:type="paragraph" w:styleId="BalloonText">
    <w:name w:val="Balloon Text"/>
    <w:basedOn w:val="Normal"/>
    <w:link w:val="BalloonTextChar"/>
    <w:uiPriority w:val="99"/>
    <w:semiHidden/>
    <w:unhideWhenUsed/>
    <w:rsid w:val="009D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1C"/>
    <w:rPr>
      <w:rFonts w:ascii="Tahoma" w:hAnsi="Tahoma" w:cs="Tahoma"/>
      <w:sz w:val="16"/>
      <w:szCs w:val="16"/>
    </w:rPr>
  </w:style>
  <w:style w:type="paragraph" w:styleId="ListParagraph">
    <w:name w:val="List Paragraph"/>
    <w:basedOn w:val="Normal"/>
    <w:uiPriority w:val="34"/>
    <w:qFormat/>
    <w:rsid w:val="00383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BB"/>
  </w:style>
  <w:style w:type="paragraph" w:styleId="Heading3">
    <w:name w:val="heading 3"/>
    <w:basedOn w:val="Normal"/>
    <w:link w:val="Heading3Char"/>
    <w:uiPriority w:val="9"/>
    <w:qFormat/>
    <w:rsid w:val="00117B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17BBB"/>
    <w:rPr>
      <w:b/>
      <w:bCs/>
    </w:rPr>
  </w:style>
  <w:style w:type="paragraph" w:styleId="NormalWeb">
    <w:name w:val="Normal (Web)"/>
    <w:basedOn w:val="Normal"/>
    <w:uiPriority w:val="99"/>
    <w:semiHidden/>
    <w:unhideWhenUsed/>
    <w:rsid w:val="00117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7BBB"/>
    <w:rPr>
      <w:i/>
      <w:iCs/>
    </w:rPr>
  </w:style>
  <w:style w:type="character" w:styleId="Hyperlink">
    <w:name w:val="Hyperlink"/>
    <w:basedOn w:val="DefaultParagraphFont"/>
    <w:uiPriority w:val="99"/>
    <w:unhideWhenUsed/>
    <w:rsid w:val="00117BBB"/>
    <w:rPr>
      <w:color w:val="0000FF"/>
      <w:u w:val="single"/>
    </w:rPr>
  </w:style>
  <w:style w:type="character" w:customStyle="1" w:styleId="15">
    <w:name w:val="15"/>
    <w:basedOn w:val="DefaultParagraphFont"/>
    <w:rsid w:val="00117BBB"/>
    <w:rPr>
      <w:rFonts w:ascii="Calibri" w:hAnsi="Calibri" w:cs="Calibri" w:hint="default"/>
      <w:i/>
      <w:iCs/>
    </w:rPr>
  </w:style>
  <w:style w:type="character" w:customStyle="1" w:styleId="16">
    <w:name w:val="16"/>
    <w:basedOn w:val="DefaultParagraphFont"/>
    <w:rsid w:val="00117BBB"/>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B31AD6"/>
    <w:rPr>
      <w:color w:val="605E5C"/>
      <w:shd w:val="clear" w:color="auto" w:fill="E1DFDD"/>
    </w:rPr>
  </w:style>
  <w:style w:type="paragraph" w:styleId="Header">
    <w:name w:val="header"/>
    <w:basedOn w:val="Normal"/>
    <w:link w:val="HeaderChar"/>
    <w:uiPriority w:val="99"/>
    <w:unhideWhenUsed/>
    <w:rsid w:val="0013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B2"/>
  </w:style>
  <w:style w:type="paragraph" w:styleId="Footer">
    <w:name w:val="footer"/>
    <w:basedOn w:val="Normal"/>
    <w:link w:val="FooterChar"/>
    <w:uiPriority w:val="99"/>
    <w:unhideWhenUsed/>
    <w:rsid w:val="0013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B2"/>
  </w:style>
  <w:style w:type="paragraph" w:styleId="BalloonText">
    <w:name w:val="Balloon Text"/>
    <w:basedOn w:val="Normal"/>
    <w:link w:val="BalloonTextChar"/>
    <w:uiPriority w:val="99"/>
    <w:semiHidden/>
    <w:unhideWhenUsed/>
    <w:rsid w:val="009D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1C"/>
    <w:rPr>
      <w:rFonts w:ascii="Tahoma" w:hAnsi="Tahoma" w:cs="Tahoma"/>
      <w:sz w:val="16"/>
      <w:szCs w:val="16"/>
    </w:rPr>
  </w:style>
  <w:style w:type="paragraph" w:styleId="ListParagraph">
    <w:name w:val="List Paragraph"/>
    <w:basedOn w:val="Normal"/>
    <w:uiPriority w:val="34"/>
    <w:qFormat/>
    <w:rsid w:val="00383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pollution-indices" TargetMode="External"/><Relationship Id="rId13" Type="http://schemas.openxmlformats.org/officeDocument/2006/relationships/hyperlink" Target="https://doi.org/10.1080/15275922.2022.2042585" TargetMode="External"/><Relationship Id="rId18" Type="http://schemas.openxmlformats.org/officeDocument/2006/relationships/hyperlink" Target="https://doi.org/10.1144/qjegh2020-073" TargetMode="External"/><Relationship Id="rId26" Type="http://schemas.openxmlformats.org/officeDocument/2006/relationships/hyperlink" Target="http://www.ijmsrt.com" TargetMode="External"/><Relationship Id="rId3" Type="http://schemas.microsoft.com/office/2007/relationships/stylesWithEffects" Target="stylesWithEffects.xml"/><Relationship Id="rId21" Type="http://schemas.openxmlformats.org/officeDocument/2006/relationships/hyperlink" Target="https://doi.org/10.69739/jlsph.v1i1.87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toxrep.2022.03.001" TargetMode="External"/><Relationship Id="rId17" Type="http://schemas.openxmlformats.org/officeDocument/2006/relationships/hyperlink" Target="https://doi.org/10.1016/j.heliyon.2024.e25924" TargetMode="External"/><Relationship Id="rId25" Type="http://schemas.openxmlformats.org/officeDocument/2006/relationships/hyperlink" Target="https://doi.org/10.69739/jaaas.v2i2.88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9739/jsrd.v1i2.1033" TargetMode="External"/><Relationship Id="rId20" Type="http://schemas.openxmlformats.org/officeDocument/2006/relationships/hyperlink" Target="https://doi.org/10.5620/eaht.2024015" TargetMode="External"/><Relationship Id="rId29" Type="http://schemas.openxmlformats.org/officeDocument/2006/relationships/hyperlink" Target="https://doi.org/10.1002/rem.2172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0406638.2022.2112222" TargetMode="External"/><Relationship Id="rId24" Type="http://schemas.openxmlformats.org/officeDocument/2006/relationships/hyperlink" Target="https://doi.org/10.69739/jece.v2i2.84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69739/jece.v2i2.952"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1144/qjegh2021-005" TargetMode="External"/><Relationship Id="rId36" Type="http://schemas.openxmlformats.org/officeDocument/2006/relationships/footer" Target="footer3.xml"/><Relationship Id="rId10" Type="http://schemas.openxmlformats.org/officeDocument/2006/relationships/hyperlink" Target="https://www.sciencedirect.com/topics/earth-and-planetary-sciences/pollution-control" TargetMode="External"/><Relationship Id="rId19" Type="http://schemas.openxmlformats.org/officeDocument/2006/relationships/hyperlink" Target="https://doi.org/10.69739/jmsbc.v2i2.104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earth-and-planetary-sciences/water-pollution" TargetMode="External"/><Relationship Id="rId14" Type="http://schemas.openxmlformats.org/officeDocument/2006/relationships/hyperlink" Target="https://doi.org/10.5281/zenodo.17148360" TargetMode="External"/><Relationship Id="rId22" Type="http://schemas.openxmlformats.org/officeDocument/2006/relationships/hyperlink" Target="http://www.ijmsrt.com" TargetMode="External"/><Relationship Id="rId27" Type="http://schemas.openxmlformats.org/officeDocument/2006/relationships/hyperlink" Target="https://doi.org/10.69739/jsrd.v1i2.1044" TargetMode="External"/><Relationship Id="rId30" Type="http://schemas.openxmlformats.org/officeDocument/2006/relationships/hyperlink" Target="https://doi.org/10.1144/qjegh2023-116"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6044</Words>
  <Characters>34451</Characters>
  <Application>Microsoft Office Word</Application>
  <DocSecurity>0</DocSecurity>
  <Lines>287</Lines>
  <Paragraphs>80</Paragraphs>
  <ScaleCrop>false</ScaleCrop>
  <Company/>
  <LinksUpToDate>false</LinksUpToDate>
  <CharactersWithSpaces>40415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MAA</cp:lastModifiedBy>
  <cp:revision>18</cp:revision>
  <dcterms:created xsi:type="dcterms:W3CDTF">2025-10-28T15:31:00Z</dcterms:created>
  <dcterms:modified xsi:type="dcterms:W3CDTF">2025-10-29T18:39:00Z</dcterms:modified>
</cp:coreProperties>
</file>