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w:cs="Arial" w:eastAsia="Arial" w:hAnsi="Arial"/>
          <w:b/>
          <w:color w:val="000000"/>
          <w:sz w:val="26"/>
          <w:szCs w:val="26"/>
        </w:rPr>
      </w:pPr>
      <w:r>
        <w:rPr>
          <w:rFonts w:ascii="Arial" w:cs="Arial" w:eastAsia="Arial" w:hAnsi="Arial"/>
          <w:b/>
          <w:color w:val="000000"/>
          <w:sz w:val="26"/>
          <w:szCs w:val="26"/>
        </w:rPr>
        <w:t xml:space="preserve"> Comprehensive Analysis of Mitochondrial DNA and its Applications in Forensic Medicine and Medical Diagnosis</w:t>
      </w:r>
    </w:p>
    <w:p>
      <w:pPr>
        <w:pStyle w:val="style0"/>
        <w:pBdr>
          <w:left w:val="nil"/>
          <w:right w:val="nil"/>
          <w:top w:val="nil"/>
          <w:bottom w:val="nil"/>
          <w:between w:val="nil"/>
        </w:pBdr>
        <w:jc w:val="left"/>
        <w:rPr>
          <w:rFonts w:ascii="Arial" w:cs="Arial" w:eastAsia="Arial" w:hAnsi="Arial"/>
          <w:color w:val="000000"/>
        </w:rPr>
      </w:pPr>
    </w:p>
    <w:p>
      <w:pPr>
        <w:pStyle w:val="style0"/>
        <w:widowControl w:val="false"/>
        <w:pBdr>
          <w:left w:val="nil"/>
          <w:right w:val="nil"/>
          <w:top w:val="nil"/>
          <w:bottom w:val="nil"/>
          <w:between w:val="nil"/>
        </w:pBdr>
        <w:spacing w:after="0" w:lineRule="auto" w:line="276"/>
        <w:ind w:left="0" w:firstLine="0"/>
        <w:jc w:val="left"/>
        <w:rPr>
          <w:rFonts w:ascii="Arial" w:cs="Arial" w:eastAsia="Arial" w:hAnsi="Arial"/>
          <w:b/>
          <w:color w:val="000000"/>
        </w:rPr>
      </w:pPr>
    </w:p>
    <w:p>
      <w:pPr>
        <w:pStyle w:val="style0"/>
        <w:widowControl w:val="false"/>
        <w:pBdr>
          <w:left w:val="nil"/>
          <w:right w:val="nil"/>
          <w:top w:val="nil"/>
          <w:bottom w:val="nil"/>
          <w:between w:val="nil"/>
        </w:pBdr>
        <w:spacing w:after="0" w:lineRule="auto" w:line="276"/>
        <w:ind w:left="0" w:firstLine="0"/>
        <w:jc w:val="left"/>
        <w:rPr>
          <w:rFonts w:ascii="Arial" w:cs="Arial" w:eastAsia="Arial" w:hAnsi="Arial"/>
          <w:b/>
          <w:color w:val="000000"/>
        </w:rPr>
      </w:pPr>
      <w:r>
        <w:rPr>
          <w:rFonts w:ascii="Arial" w:cs="Arial" w:eastAsia="Arial" w:hAnsi="Arial"/>
          <w:b/>
          <w:color w:val="000000"/>
        </w:rPr>
        <w:t>Abstract:</w:t>
      </w:r>
    </w:p>
    <w:p>
      <w:pPr>
        <w:pStyle w:val="style0"/>
        <w:rPr>
          <w:rFonts w:ascii="Arial" w:cs="Arial" w:eastAsia="Arial" w:hAnsi="Arial"/>
          <w:color w:val="000000"/>
        </w:rPr>
      </w:pPr>
      <w:r>
        <w:t>The study of mitochondrial DNA (</w:t>
      </w:r>
      <w:r>
        <w:t>mtDNA</w:t>
      </w:r>
      <w:r>
        <w:t xml:space="preserve">) is of paramount importance in understanding fundamental biological processes and its diverse applications in the fields of forensic medicine and medical diagnosis. </w:t>
      </w:r>
      <w:commentRangeStart w:id="1"/>
      <w:r>
        <w:t xml:space="preserve">This study aims to provide a comprehensive review of mitochondria, mitochondrial DNA structure, the D-Loop control region, the 12S gene, mitochondrial DNA copy number, </w:t>
      </w:r>
      <w:r>
        <w:t>heteroplasmy</w:t>
      </w:r>
      <w:r>
        <w:t>, maternal inheritance, replication of mitochondrial DNA molecules, genetics of mitochondrial diseases, mitochondrial genome analysis, Next-Generation Sequencing (NGS) technologies, and the forensic uses of mitochondrial DNA, including kinship matching, investigative uses, medical diagnostics, and mitochondrial DNA quantification, in addition to differentiating between human and animal blood, Polymerase Chain Reaction (PCR), and mitochondrial DNA sequencing</w:t>
      </w:r>
      <w:commentRangeEnd w:id="1"/>
      <w:r>
        <w:rPr/>
        <w:commentReference w:id="1"/>
      </w:r>
      <w:r>
        <w:t>. The study concluded that mitochondrial DNA represents a powerful and effective tool in identification, tracing population origins, and diagnosing genetic diseases, opening new horizons for research and application in these vital fields.</w:t>
      </w:r>
    </w:p>
    <w:p>
      <w:pPr>
        <w:pStyle w:val="style0"/>
        <w:pBdr>
          <w:left w:val="nil"/>
          <w:right w:val="nil"/>
          <w:top w:val="nil"/>
          <w:bottom w:val="nil"/>
          <w:between w:val="nil"/>
        </w:pBdr>
        <w:jc w:val="left"/>
        <w:rPr>
          <w:rFonts w:ascii="Arial" w:cs="Arial" w:eastAsia="Arial" w:hAnsi="Arial"/>
          <w:color w:val="000000"/>
        </w:rPr>
      </w:pPr>
      <w:r>
        <w:rPr>
          <w:rFonts w:ascii="Arial" w:cs="Arial" w:eastAsia="Arial" w:hAnsi="Arial"/>
          <w:b/>
          <w:color w:val="000000"/>
        </w:rPr>
        <w:t>Keywords:</w:t>
      </w:r>
      <w:r>
        <w:rPr>
          <w:rFonts w:ascii="Arial" w:cs="Arial" w:eastAsia="Arial" w:hAnsi="Arial"/>
          <w:color w:val="000000"/>
        </w:rPr>
        <w:t xml:space="preserve"> Mitochondrial DNA, Forensic Medicine, Medical Diagnosis, </w:t>
      </w:r>
      <w:r>
        <w:rPr>
          <w:rFonts w:ascii="Arial" w:cs="Arial" w:eastAsia="Arial" w:hAnsi="Arial"/>
          <w:color w:val="000000"/>
        </w:rPr>
        <w:t>Heteroplasmy</w:t>
      </w:r>
      <w:r>
        <w:rPr>
          <w:rFonts w:ascii="Arial" w:cs="Arial" w:eastAsia="Arial" w:hAnsi="Arial"/>
          <w:color w:val="000000"/>
        </w:rPr>
        <w:t>, PCR, NGS.</w:t>
      </w:r>
    </w:p>
    <w:p>
      <w:pPr>
        <w:pStyle w:val="style0"/>
        <w:pBdr>
          <w:left w:val="nil"/>
          <w:right w:val="nil"/>
          <w:top w:val="nil"/>
          <w:bottom w:val="nil"/>
          <w:between w:val="nil"/>
        </w:pBdr>
        <w:jc w:val="left"/>
        <w:rPr>
          <w:rFonts w:ascii="Arial" w:cs="Arial" w:eastAsia="Arial" w:hAnsi="Arial"/>
        </w:rPr>
      </w:pPr>
    </w:p>
    <w:p>
      <w:pPr>
        <w:pStyle w:val="style0"/>
        <w:pBdr>
          <w:left w:val="nil"/>
          <w:right w:val="nil"/>
          <w:top w:val="nil"/>
          <w:bottom w:val="nil"/>
          <w:between w:val="nil"/>
        </w:pBdr>
        <w:jc w:val="left"/>
        <w:rPr>
          <w:rFonts w:ascii="Arial" w:cs="Arial" w:eastAsia="Arial" w:hAnsi="Arial"/>
        </w:rPr>
      </w:pPr>
    </w:p>
    <w:p>
      <w:pPr>
        <w:pStyle w:val="style0"/>
        <w:pBdr>
          <w:left w:val="nil"/>
          <w:right w:val="nil"/>
          <w:top w:val="nil"/>
          <w:bottom w:val="nil"/>
          <w:between w:val="nil"/>
        </w:pBdr>
        <w:jc w:val="left"/>
        <w:rPr>
          <w:rFonts w:ascii="Arial" w:cs="Arial" w:eastAsia="Arial" w:hAnsi="Arial"/>
        </w:rPr>
      </w:pPr>
    </w:p>
    <w:p>
      <w:pPr>
        <w:pStyle w:val="style0"/>
        <w:pBdr>
          <w:left w:val="nil"/>
          <w:right w:val="nil"/>
          <w:top w:val="nil"/>
          <w:bottom w:val="nil"/>
          <w:between w:val="nil"/>
        </w:pBdr>
        <w:jc w:val="left"/>
        <w:rPr>
          <w:rFonts w:ascii="Arial" w:cs="Arial" w:eastAsia="Arial" w:hAnsi="Arial"/>
        </w:rPr>
      </w:pPr>
    </w:p>
    <w:p>
      <w:pPr>
        <w:pStyle w:val="style0"/>
        <w:pBdr>
          <w:left w:val="nil"/>
          <w:right w:val="nil"/>
          <w:top w:val="nil"/>
          <w:bottom w:val="nil"/>
          <w:between w:val="nil"/>
        </w:pBdr>
        <w:jc w:val="left"/>
        <w:rPr>
          <w:rFonts w:ascii="Arial" w:cs="Arial" w:eastAsia="Arial" w:hAnsi="Arial"/>
          <w:color w:val="000000"/>
        </w:rPr>
      </w:pPr>
      <w:r>
        <w:rPr>
          <w:rFonts w:ascii="Arial" w:cs="Arial" w:eastAsia="Arial" w:hAnsi="Arial"/>
          <w:b/>
          <w:color w:val="000000"/>
        </w:rPr>
        <w:t>Introduction:</w:t>
      </w:r>
    </w:p>
    <w:p>
      <w:pPr>
        <w:pStyle w:val="style0"/>
        <w:rPr/>
      </w:pPr>
      <w:r>
        <w:t>Mitochondria are essential vital organelles in eukaryotic cells, often referred to as "cellular power plants" for their pivotal role in producing adenosine triphosphate (ATP) through oxidative phosphorylation (</w:t>
      </w:r>
      <w:r>
        <w:t>Lavrov</w:t>
      </w:r>
      <w:r>
        <w:t xml:space="preserve"> and </w:t>
      </w:r>
      <w:r>
        <w:t>Pett</w:t>
      </w:r>
      <w:r>
        <w:t>, 2016). However, their functions extend beyond mere energy production to include the biosynthesis of amino acids and steroids, fatty acid oxidation, iron-sulfur metabolism, and the initiation of apoptosis. The number of mitochondrial DNA (</w:t>
      </w:r>
      <w:r>
        <w:t>mtDNA</w:t>
      </w:r>
      <w:r>
        <w:t xml:space="preserve">) copies per mitochondrion and mitochondria per cell varies with cell types, with each mitochondrion containing 2-10 copies of </w:t>
      </w:r>
      <w:r>
        <w:t>mtDNA</w:t>
      </w:r>
      <w:r>
        <w:t xml:space="preserve">, and each cell potentially harboring hundreds to thousands of mitochondria </w:t>
      </w:r>
      <w:r>
        <w:rPr/>
        <w:fldChar w:fldCharType="begin"/>
      </w:r>
      <w:r>
        <w:instrText xml:space="preserve"> HYPERLINK "https://paperpile.com/c/ebrq0b/YpY4" </w:instrText>
      </w:r>
      <w:r>
        <w:rPr/>
        <w:fldChar w:fldCharType="separate"/>
      </w:r>
      <w:r>
        <w:rPr>
          <w:color w:val="1155cc"/>
          <w:u w:val="single"/>
        </w:rPr>
        <w:t>(Du et al. 2025)</w:t>
      </w:r>
      <w:r>
        <w:rPr/>
        <w:fldChar w:fldCharType="end"/>
      </w:r>
      <w:r>
        <w:t>.</w:t>
      </w:r>
    </w:p>
    <w:p>
      <w:pPr>
        <w:pStyle w:val="style0"/>
        <w:rPr/>
      </w:pPr>
      <w:r>
        <w:t>Mitochondria play a central role in cell life and death. They possess a small genome, independent of nuclear DNA. Mitochondrial DNA is an excellent tool for determining the origin of different populations and is a significant subject of study in fields such as evolutionary anthropology, population genetics, medical genetics, genetic genealogy, and forensic medicine (</w:t>
      </w:r>
      <w:r>
        <w:t>Pakendorf</w:t>
      </w:r>
      <w:r>
        <w:t xml:space="preserve"> and </w:t>
      </w:r>
      <w:r>
        <w:t>Stoneking</w:t>
      </w:r>
      <w:r>
        <w:t>, 2005; Shriver and Kittles, 2004). Their primary function is energy production in the form of ATP via the citric acid cycle and the oxidative phosphorylation system (OXPHOS).</w:t>
      </w:r>
    </w:p>
    <w:p>
      <w:pPr>
        <w:pStyle w:val="style0"/>
        <w:rPr/>
      </w:pPr>
      <w:r>
        <w:t>Mitochondria are also involved in the biosynthesis of many metabolites such as pyrimidines, amino acids, or cellular iron-sulfur cluster proteins (</w:t>
      </w:r>
      <w:r>
        <w:t>Bereiter</w:t>
      </w:r>
      <w:r>
        <w:t xml:space="preserve">-Hahn, 1990; </w:t>
      </w:r>
      <w:r>
        <w:t>Lill</w:t>
      </w:r>
      <w:r>
        <w:t xml:space="preserve"> et al., 1999). ATP synthesis occurs through the process of oxidative phosphorylation (OXPHOS) via the respiratory or electron transport chain (ETC), located in the inner mitochondrial membrane and composed of five protein complexes (</w:t>
      </w:r>
      <w:r>
        <w:t>Zapico</w:t>
      </w:r>
      <w:r>
        <w:t xml:space="preserve"> and </w:t>
      </w:r>
      <w:r>
        <w:t>Ubelaker</w:t>
      </w:r>
      <w:r>
        <w:t>, 2013). Dysfunction in OXPHOS leads to increased production of reactive oxygen species (ROS) (</w:t>
      </w:r>
      <w:r>
        <w:t>Camello-Almaraz</w:t>
      </w:r>
      <w:r>
        <w:t xml:space="preserve"> et al., 2006), and mitochondria control the cell's ability to generate and detoxify ROS (Nicholls et al., 2003).</w:t>
      </w:r>
    </w:p>
    <w:p>
      <w:pPr>
        <w:pStyle w:val="style0"/>
        <w:rPr/>
      </w:pPr>
      <w:r>
        <w:t>The importance of this study lies in highlighting the increasing role of mitochondrial DNA in understanding diseases and developing diagnostic and criminal investigation techniques. With the rising mortality and losses caused by mitochondrial-related genetic diseases, research in this area becomes crucial for developing more accurate and effective therapeutic and diagnostic solutions. For example, these studies can contribute to identifying individuals at risk of certain diseases or understanding drug resistance mechanisms (Gorman et al., 2015).</w:t>
      </w:r>
    </w:p>
    <w:p>
      <w:pPr>
        <w:pStyle w:val="style0"/>
        <w:rPr/>
      </w:pPr>
    </w:p>
    <w:p>
      <w:pPr>
        <w:pStyle w:val="style0"/>
        <w:rPr/>
      </w:pPr>
      <w:r>
        <w:t>Traditional solutions in identification and medical diagnosis show limitations, especially when dealing with degraded samples or small amounts of DNA. In contrast, recent studies on mitochondrial DNA offer innovative solutions due to its unique characteristics, such as high copy number and maternal inheritance, making it ideal for analyzing challenging samples (Amorim et al., 2019). This comparison highlights the feasibility of adopting modern mitochondrial DNA-based technologies.</w:t>
      </w:r>
    </w:p>
    <w:p>
      <w:pPr>
        <w:pStyle w:val="style0"/>
        <w:rPr/>
      </w:pPr>
      <w:r>
        <w:t>Previous studies have addressed various aspects of mitochondrial DNA. For instance, a study by (</w:t>
      </w:r>
      <w:r>
        <w:t>Pakendorf</w:t>
      </w:r>
      <w:r>
        <w:t xml:space="preserve"> and </w:t>
      </w:r>
      <w:r>
        <w:t>Stoneking</w:t>
      </w:r>
      <w:r>
        <w:t xml:space="preserve">, 2005) focused on using </w:t>
      </w:r>
      <w:r>
        <w:t>mtDNA</w:t>
      </w:r>
      <w:r>
        <w:t xml:space="preserve"> to determine the origins of populations, while a study by (</w:t>
      </w:r>
      <w:r>
        <w:t>Galtier</w:t>
      </w:r>
      <w:r>
        <w:t xml:space="preserve"> et al., 2009) investigated the use of </w:t>
      </w:r>
      <w:r>
        <w:t>mtDNA</w:t>
      </w:r>
      <w:r>
        <w:t xml:space="preserve"> genes as molecular markers in molecular ecology. These studies pave the way for deeper understanding and broader applications of mitochondrial DNA.</w:t>
      </w:r>
    </w:p>
    <w:p>
      <w:pPr>
        <w:pStyle w:val="style0"/>
        <w:rPr>
          <w:rFonts w:ascii="Arial" w:cs="Arial" w:eastAsia="Arial" w:hAnsi="Arial"/>
          <w:color w:val="000000"/>
        </w:rPr>
      </w:pPr>
      <w:r>
        <w:t>This current study aims to provide a comprehensive and updated review of the latest developments in understanding mitochondrial DNA and its applications, with a focus on aspects not sufficiently explored in previous studies. It also aims to clarify how technologies like Next-Generation Sequencing (NGS) can revolutionize the fields of forensic medicine and medical diagnosis, providing a reference framework for researchers and practitioners in these areas.</w:t>
      </w: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 Mitochondria</w:t>
      </w:r>
    </w:p>
    <w:p>
      <w:pPr>
        <w:pStyle w:val="style0"/>
        <w:rPr>
          <w:rFonts w:ascii="Arial" w:cs="Arial" w:eastAsia="Arial" w:hAnsi="Arial"/>
          <w:color w:val="000000"/>
        </w:rPr>
      </w:pPr>
      <w:r>
        <w:t xml:space="preserve">Mitochondria are double membrane-bound organelles found in most eukaryotic cells. Commonly described as cellular “power plants” for their role in the generation of ATP by oxidative phosphorylation, mitochondria perform a variety of additional cellular functions, such as biosynthesis of amino acids and steroids, β-oxidation of fatty acids, </w:t>
      </w:r>
      <w:r>
        <w:t>FeS</w:t>
      </w:r>
      <w:r>
        <w:t xml:space="preserve"> metabolism, and initiation of apoptosis (</w:t>
      </w:r>
      <w:r>
        <w:t>Lavrov</w:t>
      </w:r>
      <w:r>
        <w:t xml:space="preserve"> and </w:t>
      </w:r>
      <w:r>
        <w:t>Pett</w:t>
      </w:r>
      <w:r>
        <w:t xml:space="preserve">, 2016). The copies of </w:t>
      </w:r>
      <w:r>
        <w:t>mtDNA</w:t>
      </w:r>
      <w:r>
        <w:t xml:space="preserve"> per mitochondrion and mitochondria per cell vary with cell types. Each mitochondrion contains 2–10 copies of </w:t>
      </w:r>
      <w:r>
        <w:t>mtDNA</w:t>
      </w:r>
      <w:r>
        <w:t>, and each cell may harbor hundreds to thousands of mitochondria (Manuscript, 2014). They play a central role in cell life and death. They have a small genome, independent of the nuclear DNA-mitochondrial DNA (</w:t>
      </w:r>
      <w:r>
        <w:t>mtDNA</w:t>
      </w:r>
      <w:r>
        <w:t>). Mitochondrial DNA is a decent tool for determination of the origin of different populations. It is an important object of study in different fields such as evolutionary anthropology, population genetics, medical genetics, genetic genealogy, and forensic science (</w:t>
      </w:r>
      <w:r>
        <w:t>Pakendorf</w:t>
      </w:r>
      <w:r>
        <w:t xml:space="preserve"> and </w:t>
      </w:r>
      <w:r>
        <w:t>Stoneking</w:t>
      </w:r>
      <w:r>
        <w:t xml:space="preserve"> 2005; Shriver and Kittles, 2004). Their main function is the production of energy in the form of ATP via the citric acid cycle and the oxidative phosphorylation system (OXPHOS), but they are also involved in the biosynthesis of many metabolites like pyrimidines, amino acids, or cellular iron-sulfur cluster proteins (</w:t>
      </w:r>
      <w:r>
        <w:t>Bereiter</w:t>
      </w:r>
      <w:r>
        <w:t xml:space="preserve">-Hahn, 1990; </w:t>
      </w:r>
      <w:r>
        <w:t>Lill</w:t>
      </w:r>
      <w:r>
        <w:t xml:space="preserve"> et al., 1999). Synthesis of ATP occurs via the process of oxidative phosphorylation (OXPHOS) through the respiratory or electron transport chain (ETC), which is located at the inner mitochondrial membrane and consists of five protein complexes (</w:t>
      </w:r>
      <w:r>
        <w:t>Zapico</w:t>
      </w:r>
      <w:r>
        <w:t xml:space="preserve"> and </w:t>
      </w:r>
      <w:r>
        <w:t>Ubelaker</w:t>
      </w:r>
      <w:r>
        <w:t>, 2013).</w:t>
      </w: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2.2 Mitochondrial DNA Genome</w:t>
      </w:r>
    </w:p>
    <w:p>
      <w:pPr>
        <w:pStyle w:val="style0"/>
        <w:rPr/>
      </w:pPr>
      <w:r>
        <w:t>Mitochondria are under dual genetic control of the mitochondrial and nuclear genomes. The mitochondrial genome consists of multiple copies of 116,569 bp, double-stranded mitochondrial DNA (</w:t>
      </w:r>
      <w:r>
        <w:t>mtDNA</w:t>
      </w:r>
      <w:r>
        <w:t>) molecules and located adjacent to the OXPHOS system in the matrix (</w:t>
      </w:r>
      <w:r>
        <w:t>Shiau</w:t>
      </w:r>
      <w:r>
        <w:t xml:space="preserve"> and Doug, 2016). The mitochondrial and nuclear genomes collaborate tightly to encode the subunits of the different electron transport system (ETS) complexes: Complex I (CI) has seven subunits (ND11, ND2, ND3, ND4, ND4L, ND5, ND6) encoded by the </w:t>
      </w:r>
      <w:r>
        <w:t>mtDNA</w:t>
      </w:r>
      <w:r>
        <w:t>; Complex II (CII) is exclusively encoded by the nuclear DNA; Complex III (CIII) has one mitochondrial subunit cytochrome b (</w:t>
      </w:r>
      <w:r>
        <w:t>cyt</w:t>
      </w:r>
      <w:r>
        <w:t xml:space="preserve"> b); Complex IV has three subunits (COI, COII, COIII) encoded by the </w:t>
      </w:r>
      <w:r>
        <w:t>mtDNA</w:t>
      </w:r>
      <w:r>
        <w:t>; and Complex V has two mitochondrial.</w:t>
      </w:r>
    </w:p>
    <w:p>
      <w:pPr>
        <w:pStyle w:val="style0"/>
        <w:widowControl w:val="false"/>
        <w:ind w:left="0" w:right="142" w:hanging="142"/>
        <w:rPr>
          <w:sz w:val="28"/>
          <w:szCs w:val="28"/>
        </w:rPr>
      </w:pPr>
    </w:p>
    <w:p>
      <w:pPr>
        <w:pStyle w:val="style0"/>
        <w:widowControl w:val="false"/>
        <w:spacing w:lineRule="auto" w:line="240"/>
        <w:ind w:left="0" w:right="142" w:firstLine="0"/>
        <w:jc w:val="center"/>
        <w:rPr>
          <w:sz w:val="28"/>
          <w:szCs w:val="28"/>
        </w:rPr>
      </w:pPr>
      <w:r>
        <w:rPr>
          <w:noProof/>
        </w:rPr>
        <w:drawing>
          <wp:inline distL="0" distT="0" distB="0" distR="0">
            <wp:extent cx="4448175" cy="3314700"/>
            <wp:effectExtent l="0" t="0" r="0" b="0"/>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4" cstate="print"/>
                    <a:srcRect l="0" t="0" r="0" b="0"/>
                    <a:stretch/>
                  </pic:blipFill>
                  <pic:spPr>
                    <a:xfrm rot="0">
                      <a:off x="0" y="0"/>
                      <a:ext cx="4448175" cy="3314700"/>
                    </a:xfrm>
                    <a:prstGeom prst="rect"/>
                    <a:ln cmpd="sng" cap="flat" w="9525">
                      <a:solidFill>
                        <a:srgbClr val="000000"/>
                      </a:solidFill>
                      <a:prstDash val="solid"/>
                      <a:round/>
                      <a:headEnd/>
                      <a:tailEnd/>
                    </a:ln>
                  </pic:spPr>
                </pic:pic>
              </a:graphicData>
            </a:graphic>
          </wp:inline>
        </w:drawing>
      </w:r>
    </w:p>
    <w:bookmarkStart w:id="0" w:name="_9419hzwyq5lf" w:colFirst="0" w:colLast="0"/>
    <w:bookmarkEnd w:id="0"/>
    <w:p>
      <w:pPr>
        <w:pStyle w:val="style74"/>
        <w:widowControl w:val="false"/>
        <w:rPr/>
      </w:pPr>
      <w:r>
        <w:t xml:space="preserve">Figure (1) </w:t>
      </w:r>
      <w:r>
        <w:t>Organisation</w:t>
      </w:r>
      <w:r>
        <w:t xml:space="preserve"> the Human Mitochondrial Genome (Wai and Bachelor</w:t>
      </w:r>
      <w:r>
        <w:rPr>
          <w:color w:val="222222"/>
          <w:shd w:val="clear" w:color="auto" w:fill="f8f9fa"/>
          <w:vertAlign w:val="superscript"/>
        </w:rPr>
        <w:t xml:space="preserve"> </w:t>
      </w:r>
      <w:r>
        <w:rPr>
          <w:color w:val="222222"/>
          <w:shd w:val="clear" w:color="auto" w:fill="f8f9fa"/>
        </w:rPr>
        <w:t>,  2018).</w:t>
      </w:r>
    </w:p>
    <w:p>
      <w:pPr>
        <w:pStyle w:val="style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 xml:space="preserve">2.3 Control Region of </w:t>
      </w:r>
      <w:r>
        <w:rPr>
          <w:rFonts w:ascii="Arial" w:cs="Arial" w:eastAsia="Arial" w:hAnsi="Arial"/>
          <w:b/>
          <w:color w:val="000000"/>
        </w:rPr>
        <w:t>mtDNA</w:t>
      </w:r>
      <w:r>
        <w:rPr>
          <w:rFonts w:ascii="Arial" w:cs="Arial" w:eastAsia="Arial" w:hAnsi="Arial"/>
          <w:b/>
          <w:color w:val="000000"/>
        </w:rPr>
        <w:t xml:space="preserve"> D-Loop</w:t>
      </w:r>
    </w:p>
    <w:p>
      <w:pPr>
        <w:pStyle w:val="style0"/>
        <w:rPr/>
      </w:pPr>
      <w:r>
        <w:t xml:space="preserve">Damage to </w:t>
      </w:r>
      <w:r>
        <w:t>mtDNA</w:t>
      </w:r>
      <w:r>
        <w:t xml:space="preserve"> and change in its copy number can affect OXPHOS function. Multiple factors contribute to the increased vulnerability of </w:t>
      </w:r>
      <w:r>
        <w:t>mtDNA</w:t>
      </w:r>
      <w:r>
        <w:t xml:space="preserve"> to damage, and thus mutations. Through replication, </w:t>
      </w:r>
      <w:r>
        <w:t>mtDNA</w:t>
      </w:r>
      <w:r>
        <w:t xml:space="preserve"> contains a short triple-stranded DNA structure (known as the D-loop), in which a single strand of </w:t>
      </w:r>
      <w:r>
        <w:t>mtDNA</w:t>
      </w:r>
      <w:r>
        <w:t xml:space="preserve"> is displaced (Manuscript, 2014). The most variable part of </w:t>
      </w:r>
      <w:r>
        <w:t>mtDNA</w:t>
      </w:r>
      <w:r>
        <w:t xml:space="preserve"> is the control region </w:t>
      </w:r>
      <w:r>
        <w:t>mtDNA</w:t>
      </w:r>
      <w:r>
        <w:t xml:space="preserve"> analysis placement loop (D-loop). It is the biggest non-coding part of </w:t>
      </w:r>
      <w:r>
        <w:t>mtDNA</w:t>
      </w:r>
      <w:r>
        <w:t xml:space="preserve"> and plays a role in the regulation and initiation of replication and transcription. The most polymorphic sequences in the control region are the hypervariable segment I and hypervariable segment II (HVSs I and HVSs II, respectively). They are objects of many studies and researches of the roots of populations and human evolution (Tully et al., 2000; </w:t>
      </w:r>
      <w:r>
        <w:t>Horai</w:t>
      </w:r>
      <w:r>
        <w:t xml:space="preserve"> et al., 1995).</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2.4 Gene 12S and its uses</w:t>
      </w:r>
    </w:p>
    <w:p>
      <w:pPr>
        <w:pStyle w:val="style0"/>
        <w:rPr/>
      </w:pPr>
      <w:r>
        <w:t xml:space="preserve">Expression of </w:t>
      </w:r>
      <w:r>
        <w:t>mtDNA</w:t>
      </w:r>
      <w:r>
        <w:t xml:space="preserve"> is essential for the production of ATP through oxidative phosphorylation in all eukaryotes. Mammalian </w:t>
      </w:r>
      <w:r>
        <w:t>mtDNA</w:t>
      </w:r>
      <w:r>
        <w:t xml:space="preserve"> encodes 13 polypeptides that are translated on mitochondrial ribosomes (MIT ribosomes) and are essential for oxidative phosphorylation. The mammalian MIT ribosomes are composed of the </w:t>
      </w:r>
      <w:r>
        <w:t>mtDNA</w:t>
      </w:r>
      <w:r>
        <w:t>-encoded 12S and 16S rRNAs and more than a hundred different nucleus-encoded ribosomal proteins. In bacteria, rRNA modifications are established at precise points of ribosomal assembly and can participate in rRNA processing events as well as in folding and interactions with neighboring proteins (Grainne et al., 2015).</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2.5 Mitochondrial DNA Copy Number</w:t>
      </w:r>
    </w:p>
    <w:p>
      <w:pPr>
        <w:pStyle w:val="style0"/>
        <w:rPr/>
      </w:pPr>
      <w:r>
        <w:t xml:space="preserve">Each mitochondrion is estimated to contain from two to ten copies of </w:t>
      </w:r>
      <w:r>
        <w:t>mtDNA</w:t>
      </w:r>
      <w:r>
        <w:t xml:space="preserve">. The </w:t>
      </w:r>
      <w:r>
        <w:t>mtDNA</w:t>
      </w:r>
      <w:r>
        <w:t xml:space="preserve"> is packed into protein-DNA complexes called nucleoids. Each mitochondrion holds between one and more than ten nucleoids. The nucleoids are proposed to occur in discrete membrane-spanning structures, the mitochondrial replisomes. These structures are proposed to provide a mechanism for connecting </w:t>
      </w:r>
      <w:r>
        <w:t>mtDNA</w:t>
      </w:r>
      <w:r>
        <w:t xml:space="preserve"> replication and transcription. Although the composition of the nucleoids is poorly understood, a high number of nuclear-encoded proteins that control </w:t>
      </w:r>
      <w:r>
        <w:t>mtDNA</w:t>
      </w:r>
      <w:r>
        <w:t xml:space="preserve"> replication, mitochondrial DNA transcription, mitochondrial fusion, and the attachment of the nucleoids to the cytoskeleton have been detected (Baron, 2010).</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 xml:space="preserve">2.6 </w:t>
      </w:r>
      <w:r>
        <w:rPr>
          <w:rFonts w:ascii="Arial" w:cs="Arial" w:eastAsia="Arial" w:hAnsi="Arial"/>
          <w:b/>
          <w:color w:val="000000"/>
        </w:rPr>
        <w:t>Heteroplasmy</w:t>
      </w:r>
      <w:r>
        <w:rPr>
          <w:rFonts w:ascii="Arial" w:cs="Arial" w:eastAsia="Arial" w:hAnsi="Arial"/>
          <w:b/>
          <w:color w:val="000000"/>
        </w:rPr>
        <w:t xml:space="preserve"> of </w:t>
      </w:r>
      <w:r>
        <w:rPr>
          <w:rFonts w:ascii="Arial" w:cs="Arial" w:eastAsia="Arial" w:hAnsi="Arial"/>
          <w:b/>
          <w:color w:val="000000"/>
        </w:rPr>
        <w:t>MtDNA</w:t>
      </w:r>
    </w:p>
    <w:p>
      <w:pPr>
        <w:pStyle w:val="style0"/>
        <w:rPr/>
      </w:pPr>
      <w:r>
        <w:t>We define mitochondrial heterogeneity as the difference of a mitochondrial feature within the mitochondrial population of a single cell, and the difference of a mitochondrial feature, potentially aggregated at the per-cell level, between supposedly identical cells. Mitochondrial heterogeneity has been found to be an important correlate of extrinsic cellular noise. It was found that mitochondrial mass, scaled by mitochondrial membrane potential, correlates strongly with global transcription rate at the single-cell level, also accounting for ~50% of the heterogeneity observed in protein levels. Since global transcription rate has diverse implications for cellular function, this link provides compelling evidence for the importance of mitochondrial heterogeneity as a contributor to cellular noise (Aryaman et al., 2019).</w:t>
      </w:r>
    </w:p>
    <w:p>
      <w:pPr>
        <w:pStyle w:val="style0"/>
        <w:pBdr>
          <w:left w:val="nil"/>
          <w:right w:val="nil"/>
          <w:top w:val="nil"/>
          <w:bottom w:val="nil"/>
          <w:between w:val="nil"/>
        </w:pBdr>
        <w:jc w:val="left"/>
        <w:rPr>
          <w:rFonts w:ascii="Arial" w:cs="Arial" w:eastAsia="Arial" w:hAnsi="Arial"/>
        </w:rPr>
      </w:pPr>
    </w:p>
    <w:p>
      <w:pPr>
        <w:pStyle w:val="style0"/>
        <w:pBdr>
          <w:left w:val="nil"/>
          <w:right w:val="nil"/>
          <w:top w:val="nil"/>
          <w:bottom w:val="nil"/>
          <w:between w:val="nil"/>
        </w:pBdr>
        <w:jc w:val="left"/>
        <w:rPr>
          <w:rFonts w:ascii="Arial" w:cs="Arial" w:eastAsia="Arial" w:hAnsi="Arial"/>
        </w:rPr>
      </w:pPr>
    </w:p>
    <w:p>
      <w:pPr>
        <w:pStyle w:val="style0"/>
        <w:pBdr>
          <w:left w:val="nil"/>
          <w:right w:val="nil"/>
          <w:top w:val="nil"/>
          <w:bottom w:val="nil"/>
          <w:between w:val="nil"/>
        </w:pBdr>
        <w:jc w:val="left"/>
        <w:rPr>
          <w:rFonts w:ascii="Arial" w:cs="Arial" w:eastAsia="Arial" w:hAnsi="Arial"/>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2.7 Mitochondrial Maternity</w:t>
      </w:r>
    </w:p>
    <w:p>
      <w:pPr>
        <w:pStyle w:val="style0"/>
        <w:rPr/>
      </w:pPr>
      <w:r>
        <w:t xml:space="preserve">The mitochondria of a spermatozoon are located in the midpiece. At conception, only the head portion of a spermatozoon (containing a nucleus but no mitochondria) enters the egg. The fertilized egg contains the maternal mitochondria, which are transmitted to the offspring. Occasionally, the paternal mitochondria can enter the cell. However, paternal mitochondria in the spermatozoon that enter the egg are usually destroyed by the egg cell after fertilization. Therefore, the co-inheritance of maternal and paternal mitochondrial DNA in a single individual is very rare in humans. The </w:t>
      </w:r>
      <w:r>
        <w:t>mtDNA</w:t>
      </w:r>
      <w:r>
        <w:t xml:space="preserve"> sequence is identical for relatives within the same maternal lineage, a property that is useful when identifying individuals by linking their </w:t>
      </w:r>
      <w:r>
        <w:t>mtDNA</w:t>
      </w:r>
      <w:r>
        <w:t xml:space="preserve"> with that of maternal relatives (Richard et al., 2015).</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2.8 Replication of Mitochondrial DNA Molecules</w:t>
      </w:r>
    </w:p>
    <w:p>
      <w:pPr>
        <w:pStyle w:val="style0"/>
        <w:rPr/>
      </w:pPr>
      <w:r>
        <w:t xml:space="preserve">Both </w:t>
      </w:r>
      <w:r>
        <w:t>mtDNA</w:t>
      </w:r>
      <w:r>
        <w:t xml:space="preserve"> strands dissociate during the initiation of replication at the first origin. The synthesis process is performed unidirectionally at one strand, while the other single strand is exiled until the second replication origin is exposed. Then the replication is initiated in the opposite direction (Krishnan et al., 2008; </w:t>
      </w:r>
      <w:r>
        <w:t>Shadel</w:t>
      </w:r>
      <w:r>
        <w:t xml:space="preserve"> and Clayton, 1997). The bidirectional replication model describes another strand-coupled mechanism. According to this model, replication is initiated at one replication zone and proceeds evenly in both directions (Bowmaker et al., 2003; Holt et al., 2000; Krishnan et al., 2008; Yao Yang et al., 2002).</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2.9 Genetics of Mitochondrial Diseases</w:t>
      </w:r>
    </w:p>
    <w:p>
      <w:pPr>
        <w:pStyle w:val="style0"/>
        <w:rPr/>
      </w:pPr>
      <w:r>
        <w:t>The prevalence of mitochondrial disease has proven difficult to start, predominantly as a result of clinical and genetic heterogeneity. The phenotypic spectrum of mitochondrial disease has extended significantly since the original reports that connected classic clinical syndromes with mitochondrial DNA rearrangements and point mutations. The revolution in genetic technologies has allowed interrogation of the nuclear genome in a manner that has dramatically improved the diagnosis of mitochondrial disorders (Gorman et al., 2015). Mitochondrial diseases are defined by a respiratory chain dysfunction and in most of the cases evident as multisystem and multi-organ disorders with predominant mien in muscles and nerves.</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2.10 Mitochondrial Genome Analysis</w:t>
      </w:r>
    </w:p>
    <w:p>
      <w:pPr>
        <w:pStyle w:val="style0"/>
        <w:rPr/>
      </w:pPr>
      <w:r>
        <w:t xml:space="preserve">Through evolution, the human genome, including the mitochondrial genome, has acquired genetic adaptations to its diet, which can be used to map evolutionary processes in space and time. Studies on ancient DNA have provided a sturdy link between diet availability and nutritional content and diversity in natural populations (Perry et al., 2007; </w:t>
      </w:r>
      <w:r>
        <w:t>Sjöstrand</w:t>
      </w:r>
      <w:r>
        <w:t xml:space="preserve"> et al., 2014; </w:t>
      </w:r>
      <w:r>
        <w:t>Tishkoff</w:t>
      </w:r>
      <w:r>
        <w:t xml:space="preserve"> et al., 2007; </w:t>
      </w:r>
      <w:r>
        <w:t>Schlebusch</w:t>
      </w:r>
      <w:r>
        <w:t xml:space="preserve"> et al., 2013). The functional role of mitochondria in metabolism is an alternative key aspect for analyzing ancient mitochondrial DNA to trace the origin of a population (</w:t>
      </w:r>
      <w:r>
        <w:t>Nesheva</w:t>
      </w:r>
      <w:r>
        <w:t>, 2014).</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2.11 Next-generation Sequencing Technology (NGS)</w:t>
      </w:r>
    </w:p>
    <w:p>
      <w:pPr>
        <w:pStyle w:val="style0"/>
        <w:rPr/>
      </w:pPr>
      <w:r>
        <w:t>In the past few years, the advent of Next-Generation Sequencing (NGS) technologies has given a rapid and decisive turning point in response to the ongoing needs of the scientific world, deeply contributing to an improved understanding of biological processes. These new methods have influenced the way scientists extract genetic information from biological systems, leading to new fields of study that contemplate the entire characterization of the studied object (</w:t>
      </w:r>
      <w:r>
        <w:t>Cocozza</w:t>
      </w:r>
      <w:r>
        <w:t xml:space="preserve"> et al., 2014).</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2.12 Mitochondrial DNA in Forensics</w:t>
      </w:r>
    </w:p>
    <w:p>
      <w:pPr>
        <w:pStyle w:val="style0"/>
        <w:rPr/>
      </w:pPr>
      <w:r>
        <w:t xml:space="preserve">Mitochondrial DNA presents several characteristics useful for forensic studies, especially related to the lack of recombination, to a high copy number, and to matrilineal inheritance. </w:t>
      </w:r>
      <w:r>
        <w:t>mtDNA</w:t>
      </w:r>
      <w:r>
        <w:t xml:space="preserve"> typing based on sequences of the control region or full genomic sequences analysis is used to analyze a change of forensic samples such as old bones, teeth and hair, as well as other biological samples where the DNA content is low. Evaluation and reporting of the results requires cautious consideration of biological issues as well as other issues such as nomenclature and reference population databases (Amorim et al., 2019).</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2.13 Differentiation between Human Blood and Animal Blood</w:t>
      </w:r>
    </w:p>
    <w:p>
      <w:pPr>
        <w:pStyle w:val="style0"/>
        <w:rPr/>
      </w:pPr>
      <w:r>
        <w:t xml:space="preserve">The authors suggest that the use of </w:t>
      </w:r>
      <w:commentRangeStart w:id="2"/>
      <w:r>
        <w:t>sequence</w:t>
      </w:r>
      <w:commentRangeEnd w:id="2"/>
      <w:r>
        <w:rPr/>
        <w:commentReference w:id="2"/>
      </w:r>
      <w:r>
        <w:t xml:space="preserve"> could accurately address this issue, but this has to be done carefully to avoid overfitting. Then, they performed outside validation using the cow samples and ten unknown samples chosen blindly (5 human and 5 animal) and obtained 100% accuracy, in spite of a few samples that were very close to the threshold. The same authors lately expanded their dataset to include blood samples from 6 other animal species, chimpanzee, deer, elk, ferret, fish, and macaque (Silva et al., 2019).</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2.14 Polymerase Chain Reaction (PCR)</w:t>
      </w:r>
    </w:p>
    <w:p>
      <w:pPr>
        <w:pStyle w:val="style0"/>
        <w:rPr/>
      </w:pPr>
      <w:r>
        <w:t>Among the methods used for species identification, polymerase chain reaction (PCR) is a DNA-based technique permitting the discovery of tiny amounts of nucleic acid probes and the determination of their sequence through the amplification of DNA or RNA individual strains. This technique has some benefits, for instance, high sensitivity and fast performance with high sample numbers (Rodríguez et al., 2004).</w:t>
      </w:r>
    </w:p>
    <w:p>
      <w:pPr>
        <w:pStyle w:val="style0"/>
        <w:ind w:left="0" w:right="142" w:firstLine="284"/>
        <w:rPr>
          <w:sz w:val="28"/>
          <w:szCs w:val="28"/>
        </w:rPr>
      </w:pPr>
    </w:p>
    <w:p>
      <w:pPr>
        <w:pStyle w:val="style0"/>
        <w:ind w:left="0" w:right="142" w:firstLine="0"/>
        <w:rPr>
          <w:sz w:val="28"/>
          <w:szCs w:val="28"/>
        </w:rPr>
      </w:pPr>
      <w:r>
        <w:rPr>
          <w:noProof/>
          <w:sz w:val="28"/>
          <w:szCs w:val="28"/>
        </w:rPr>
        <w:drawing>
          <wp:inline distL="0" distT="0" distB="0" distR="0">
            <wp:extent cx="5274310" cy="2163445"/>
            <wp:effectExtent l="0" t="0" r="0" b="0"/>
            <wp:docPr id="1027" name="image2.png" descr="C:\Users\AL-AMen\Desktop\بحثي\مقدمه بحث\New folder\Captur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5" cstate="print"/>
                    <a:srcRect l="0" t="0" r="0" b="0"/>
                    <a:stretch/>
                  </pic:blipFill>
                  <pic:spPr>
                    <a:xfrm rot="0">
                      <a:off x="0" y="0"/>
                      <a:ext cx="5274310" cy="2163445"/>
                    </a:xfrm>
                    <a:prstGeom prst="rect"/>
                    <a:ln cmpd="sng" cap="flat" w="9525">
                      <a:solidFill>
                        <a:srgbClr val="000000"/>
                      </a:solidFill>
                      <a:prstDash val="solid"/>
                      <a:round/>
                      <a:headEnd/>
                      <a:tailEnd/>
                    </a:ln>
                  </pic:spPr>
                </pic:pic>
              </a:graphicData>
            </a:graphic>
          </wp:inline>
        </w:drawing>
      </w:r>
    </w:p>
    <w:bookmarkStart w:id="1" w:name="_1u7oqk403oth" w:colFirst="0" w:colLast="0"/>
    <w:bookmarkEnd w:id="1"/>
    <w:p>
      <w:pPr>
        <w:pStyle w:val="style74"/>
        <w:widowControl w:val="false"/>
        <w:pBdr>
          <w:left w:val="nil"/>
          <w:right w:val="nil"/>
          <w:top w:val="nil"/>
          <w:bottom w:val="nil"/>
          <w:between w:val="nil"/>
        </w:pBdr>
        <w:rPr/>
      </w:pPr>
      <w:r>
        <w:t xml:space="preserve">Figure (2)Temperature parameters during thermal cycling of the PCR </w:t>
      </w:r>
    </w:p>
    <w:bookmarkStart w:id="2" w:name="_aj9kiv7etxdm" w:colFirst="0" w:colLast="0"/>
    <w:bookmarkEnd w:id="2"/>
    <w:p>
      <w:pPr>
        <w:pStyle w:val="style74"/>
        <w:widowControl w:val="false"/>
        <w:pBdr>
          <w:left w:val="nil"/>
          <w:right w:val="nil"/>
          <w:top w:val="nil"/>
          <w:bottom w:val="nil"/>
          <w:between w:val="nil"/>
        </w:pBdr>
        <w:rPr>
          <w:sz w:val="28"/>
          <w:szCs w:val="28"/>
        </w:rPr>
      </w:pPr>
      <w:r>
        <w:t xml:space="preserve">                                  process (Richard  et al., 2015).</w:t>
      </w:r>
    </w:p>
    <w:p>
      <w:pPr>
        <w:pStyle w:val="style0"/>
        <w:rPr/>
      </w:pP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2.15 Sequencing Mitochondrial DNA</w:t>
      </w:r>
    </w:p>
    <w:p>
      <w:pPr>
        <w:pStyle w:val="style0"/>
        <w:rPr/>
      </w:pPr>
      <w:r>
        <w:t xml:space="preserve">To sequence a specific region of mitochondrial DNA, a mixture of PCR amplification and DNA sequencing techniques is utilized to reduce the time and labor needed to obtain DNA sequences from genomic DNA templates. </w:t>
      </w:r>
      <w:r>
        <w:t>mtDNA</w:t>
      </w:r>
      <w:r>
        <w:t xml:space="preserve"> sequencing usually consists of PCR amplification, DNA sequencing reactions, separation using electrophoresis, and data collection and sequence analysis (Richard et al., 2015).</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color w:val="000000"/>
        </w:rPr>
      </w:pPr>
      <w:r>
        <w:rPr>
          <w:rFonts w:ascii="Arial" w:cs="Arial" w:eastAsia="Arial" w:hAnsi="Arial"/>
          <w:b/>
          <w:color w:val="000000"/>
        </w:rPr>
        <w:t>2.16 Forensic Uses of Mitochondrial DNA</w:t>
      </w: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2.16.1 Kinship Matching</w:t>
      </w:r>
    </w:p>
    <w:p>
      <w:pPr>
        <w:pStyle w:val="style0"/>
        <w:rPr/>
      </w:pPr>
      <w:r>
        <w:t xml:space="preserve">The typing of mitochondrial DNA is common in cases of mass disasters, missing persons, and historical remains. These cases typically present samples of a compromised or aged nature, from which </w:t>
      </w:r>
      <w:r>
        <w:t>mtDNA</w:t>
      </w:r>
      <w:r>
        <w:t xml:space="preserve"> can infer an individual’s identity from their maternal lineage. Accordingly, the identification of individuals is usually aided by referencing to samples of maternal relatives (Wai and Bachelor, 2018).</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2.16.2 Investigative Use</w:t>
      </w:r>
    </w:p>
    <w:p>
      <w:pPr>
        <w:pStyle w:val="style0"/>
        <w:rPr/>
      </w:pPr>
      <w:r>
        <w:t xml:space="preserve">While direct comparisons of </w:t>
      </w:r>
      <w:r>
        <w:t>mtDNA</w:t>
      </w:r>
      <w:r>
        <w:t xml:space="preserve"> sequences with a reference sample can assist in the identification of an individual, its use can be partial when an unknown </w:t>
      </w:r>
      <w:r>
        <w:t>mtDNA</w:t>
      </w:r>
      <w:r>
        <w:t xml:space="preserve"> profile is located. In these cases, there is value in acquiring intellect about the unknown source’s ancestry and ethnicity. Inference of maternal BGA from </w:t>
      </w:r>
      <w:r>
        <w:t>mtDNA</w:t>
      </w:r>
      <w:r>
        <w:t xml:space="preserve"> provides investigative leads to the conceivable identity of suspects. In line with forensic DNA phenotyping (FDP) techniques, BGA is useful in cases where crime scene samples fail to deliver a match to a known person as well as in the re-opening of ‘cold cases' (Stephen LR Ellison and Claire A English, 2006).</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2.16.3 Medical Diagnostics</w:t>
      </w:r>
    </w:p>
    <w:commentRangeStart w:id="3"/>
    <w:p>
      <w:pPr>
        <w:pStyle w:val="style0"/>
        <w:rPr/>
      </w:pPr>
      <w:r>
        <w:t xml:space="preserve">Mitochondria are cellular organelles found in eukaryotic organisms. Their cellular functions include the production of energy, processing of amino acids, fatty acids, and cofactors as well as cell signaling. </w:t>
      </w:r>
      <w:commentRangeEnd w:id="3"/>
      <w:r>
        <w:rPr/>
        <w:commentReference w:id="3"/>
      </w:r>
      <w:r>
        <w:t>Polymorphisms of the mitochondrial genome have been related to changes in endurance capacity and trainability along with a number of other mitochondrial disorders. Medical diagnosis of these disorders is comprised of genetic history (maternal), clinical symptoms, biochemical tests, and targeted sequencing assays (Wai and Bachelor, 2018).</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2.16.4 Quantification of Mitochondrial DNA</w:t>
      </w:r>
    </w:p>
    <w:p>
      <w:pPr>
        <w:pStyle w:val="style0"/>
        <w:rPr/>
      </w:pPr>
      <w:r>
        <w:t xml:space="preserve">The quantification of </w:t>
      </w:r>
      <w:r>
        <w:t>mtDNA</w:t>
      </w:r>
      <w:r>
        <w:t xml:space="preserve"> determines the quantity of ‘amplifiable’ DNA that is available in an extract. This process optimizes the quantity of DNA, which is added to DNA amplification and contributes to its overall success. The under-amplifying of DNA can lead to allele dropouts, heterozygote imbalance, and low sequence coverages. While the excess amplification of DNA can introduce stutter peaks, non-specific amplification, and diminish the overall representation of coverages between samples (Jerome D. Robin et al., 2016).</w:t>
      </w: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Conclusions:</w:t>
      </w:r>
    </w:p>
    <w:p>
      <w:pPr>
        <w:pStyle w:val="style0"/>
        <w:rPr/>
      </w:pPr>
      <w:r>
        <w:t>This comprehensive review demonstrates that mitochondrial DNA represents an invaluable genetic resource in the fields of forensic medicine and medical diagnosis, providing unique insights into origins, identification, and disease mechanisms, and opening promising avenues for scientific advancement.</w:t>
      </w:r>
    </w:p>
    <w:p>
      <w:pPr>
        <w:pStyle w:val="style0"/>
        <w:rPr/>
      </w:pPr>
    </w:p>
    <w:p>
      <w:pPr>
        <w:pStyle w:val="style0"/>
        <w:pBdr>
          <w:left w:val="nil"/>
          <w:right w:val="nil"/>
          <w:top w:val="nil"/>
          <w:bottom w:val="nil"/>
          <w:between w:val="nil"/>
        </w:pBdr>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b/>
          <w:color w:val="000000"/>
        </w:rPr>
      </w:pPr>
      <w:r>
        <w:rPr>
          <w:rFonts w:ascii="Arial" w:cs="Arial" w:eastAsia="Arial" w:hAnsi="Arial"/>
          <w:b/>
          <w:color w:val="000000"/>
        </w:rPr>
        <w:t>References:</w:t>
      </w:r>
    </w:p>
    <w:p>
      <w:pPr>
        <w:pStyle w:val="style0"/>
        <w:widowControl w:val="false"/>
        <w:numPr>
          <w:ilvl w:val="0"/>
          <w:numId w:val="1"/>
        </w:numPr>
        <w:spacing w:before="240" w:after="0" w:lineRule="auto" w:line="276"/>
        <w:ind w:firstLine="360"/>
        <w:rPr>
          <w:rFonts w:ascii="Arial" w:cs="Arial" w:eastAsia="Arial" w:hAnsi="Arial"/>
          <w:sz w:val="28"/>
          <w:szCs w:val="28"/>
        </w:rPr>
      </w:pPr>
      <w:r>
        <w:rPr>
          <w:b/>
          <w:sz w:val="28"/>
          <w:szCs w:val="28"/>
        </w:rPr>
        <w:t xml:space="preserve">Amorim, A., Fernandes, T. and </w:t>
      </w:r>
      <w:r>
        <w:rPr>
          <w:b/>
          <w:sz w:val="28"/>
          <w:szCs w:val="28"/>
        </w:rPr>
        <w:t>Taveira</w:t>
      </w:r>
      <w:r>
        <w:rPr>
          <w:b/>
          <w:sz w:val="28"/>
          <w:szCs w:val="28"/>
        </w:rPr>
        <w:t xml:space="preserve">, N., 2019. Mitochondrial DNA in human identification: a review. </w:t>
      </w:r>
      <w:r>
        <w:rPr>
          <w:rFonts w:ascii="Arial" w:cs="Arial" w:eastAsia="Arial" w:hAnsi="Arial"/>
          <w:i/>
          <w:sz w:val="28"/>
          <w:szCs w:val="28"/>
        </w:rPr>
        <w:t>PeerJ</w:t>
      </w:r>
      <w:r>
        <w:rPr>
          <w:rFonts w:ascii="Arial" w:cs="Arial" w:eastAsia="Arial" w:hAnsi="Arial"/>
          <w:i/>
          <w:sz w:val="28"/>
          <w:szCs w:val="28"/>
        </w:rPr>
        <w:t xml:space="preserve"> Preprints</w:t>
      </w:r>
      <w:r>
        <w:rPr>
          <w:rFonts w:ascii="Arial" w:cs="Arial" w:eastAsia="Arial" w:hAnsi="Arial"/>
          <w:sz w:val="28"/>
          <w:szCs w:val="28"/>
        </w:rPr>
        <w:t xml:space="preserve">, </w:t>
      </w:r>
      <w:r>
        <w:rPr>
          <w:rFonts w:ascii="Arial" w:cs="Arial" w:eastAsia="Arial" w:hAnsi="Arial"/>
          <w:i/>
          <w:sz w:val="28"/>
          <w:szCs w:val="28"/>
        </w:rPr>
        <w:t>7</w:t>
      </w:r>
      <w:r>
        <w:rPr>
          <w:rFonts w:ascii="Arial" w:cs="Arial" w:eastAsia="Arial" w:hAnsi="Arial"/>
          <w:sz w:val="28"/>
          <w:szCs w:val="28"/>
        </w:rPr>
        <w:t>, p.e27500v1.</w:t>
      </w:r>
      <w:r>
        <w:rPr/>
        <w:fldChar w:fldCharType="begin"/>
      </w:r>
      <w:r>
        <w:instrText xml:space="preserve"> HYPERLINK "https://doi.org/10.7287/peerj.preprints.27500v1"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"https://doi.org/10.7287/peerj.preprints.27500v1" </w:instrText>
      </w:r>
      <w:r>
        <w:rPr/>
        <w:fldChar w:fldCharType="separate"/>
      </w:r>
      <w:r>
        <w:rPr>
          <w:rFonts w:ascii="Arial" w:cs="Arial" w:eastAsia="Arial" w:hAnsi="Arial"/>
          <w:color w:val="1155cc"/>
          <w:sz w:val="28"/>
          <w:szCs w:val="28"/>
          <w:u w:val="single"/>
        </w:rPr>
        <w:t>https://doi.org/10.7287/peerj.preprints.27500v1</w:t>
      </w:r>
      <w:r>
        <w:rPr/>
        <w:fldChar w:fldCharType="end"/>
      </w:r>
      <w:r>
        <w:rPr>
          <w:rFonts w:ascii="Arial" w:cs="Arial" w:eastAsia="Arial" w:hAnsi="Arial"/>
          <w:sz w:val="28"/>
          <w:szCs w:val="28"/>
        </w:rPr>
        <w: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Aryaman, J.; Johnston, I. G. and Jones, N. S. (2019) ‘Mitochondrial heterogeneity’, 9(January) pp.1-16. doi:10.3389/fgene.2018.00718.</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Bowmaker, M.; Yao Yang M.; Yasukawa, T.; Reyes, A.; Jacobs, H. T.; Huberman, J. A., and Holt I. J., 2003. Mammalian mitochondrial DNA replicates bidirectionally from an initiation zone. J. Biol. Chem. 278, 50961–50969.</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Butnariu</w:t>
      </w:r>
      <w:r>
        <w:rPr>
          <w:rFonts w:ascii="Arial" w:cs="Arial" w:eastAsia="Arial" w:hAnsi="Arial"/>
          <w:sz w:val="28"/>
          <w:szCs w:val="28"/>
        </w:rPr>
        <w:t xml:space="preserve">, M.; </w:t>
      </w:r>
      <w:r>
        <w:rPr>
          <w:rFonts w:ascii="Arial" w:cs="Arial" w:eastAsia="Arial" w:hAnsi="Arial"/>
          <w:sz w:val="28"/>
          <w:szCs w:val="28"/>
        </w:rPr>
        <w:t>Rodino</w:t>
      </w:r>
      <w:r>
        <w:rPr>
          <w:rFonts w:ascii="Arial" w:cs="Arial" w:eastAsia="Arial" w:hAnsi="Arial"/>
          <w:sz w:val="28"/>
          <w:szCs w:val="28"/>
        </w:rPr>
        <w:t xml:space="preserve">, S.; </w:t>
      </w:r>
      <w:r>
        <w:rPr>
          <w:rFonts w:ascii="Arial" w:cs="Arial" w:eastAsia="Arial" w:hAnsi="Arial"/>
          <w:sz w:val="28"/>
          <w:szCs w:val="28"/>
        </w:rPr>
        <w:t>Petrache</w:t>
      </w:r>
      <w:r>
        <w:rPr>
          <w:rFonts w:ascii="Arial" w:cs="Arial" w:eastAsia="Arial" w:hAnsi="Arial"/>
          <w:sz w:val="28"/>
          <w:szCs w:val="28"/>
        </w:rPr>
        <w:t xml:space="preserve">, P.; </w:t>
      </w:r>
      <w:r>
        <w:rPr>
          <w:rFonts w:ascii="Arial" w:cs="Arial" w:eastAsia="Arial" w:hAnsi="Arial"/>
          <w:sz w:val="28"/>
          <w:szCs w:val="28"/>
        </w:rPr>
        <w:t>Negoescu</w:t>
      </w:r>
      <w:r>
        <w:rPr>
          <w:rFonts w:ascii="Arial" w:cs="Arial" w:eastAsia="Arial" w:hAnsi="Arial"/>
          <w:sz w:val="28"/>
          <w:szCs w:val="28"/>
        </w:rPr>
        <w:t xml:space="preserve">, C. and </w:t>
      </w:r>
      <w:r>
        <w:rPr>
          <w:rFonts w:ascii="Arial" w:cs="Arial" w:eastAsia="Arial" w:hAnsi="Arial"/>
          <w:sz w:val="28"/>
          <w:szCs w:val="28"/>
        </w:rPr>
        <w:t>Butu</w:t>
      </w:r>
      <w:r>
        <w:rPr>
          <w:rFonts w:ascii="Arial" w:cs="Arial" w:eastAsia="Arial" w:hAnsi="Arial"/>
          <w:sz w:val="28"/>
          <w:szCs w:val="28"/>
        </w:rPr>
        <w:t xml:space="preserve">, M., 2014. Determination and quantification of maize zeaxanthin stability. </w:t>
      </w:r>
      <w:r>
        <w:rPr>
          <w:rFonts w:ascii="Arial" w:cs="Arial" w:eastAsia="Arial" w:hAnsi="Arial"/>
          <w:i/>
          <w:sz w:val="28"/>
          <w:szCs w:val="28"/>
        </w:rPr>
        <w:t>Digest journal of nanomaterials and biostructures</w:t>
      </w:r>
      <w:r>
        <w:rPr>
          <w:rFonts w:ascii="Arial" w:cs="Arial" w:eastAsia="Arial" w:hAnsi="Arial"/>
          <w:sz w:val="28"/>
          <w:szCs w:val="28"/>
        </w:rPr>
        <w:t xml:space="preserve">, </w:t>
      </w:r>
      <w:r>
        <w:rPr>
          <w:rFonts w:ascii="Arial" w:cs="Arial" w:eastAsia="Arial" w:hAnsi="Arial"/>
          <w:i/>
          <w:sz w:val="28"/>
          <w:szCs w:val="28"/>
        </w:rPr>
        <w:t>9</w:t>
      </w:r>
      <w:r>
        <w:rPr>
          <w:rFonts w:ascii="Arial" w:cs="Arial" w:eastAsia="Arial" w:hAnsi="Arial"/>
          <w:sz w:val="28"/>
          <w:szCs w:val="28"/>
        </w:rPr>
        <w:t>(2), pp.745-755.</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Camello-Almaraz</w:t>
      </w:r>
      <w:r>
        <w:rPr>
          <w:rFonts w:ascii="Arial" w:cs="Arial" w:eastAsia="Arial" w:hAnsi="Arial"/>
          <w:sz w:val="28"/>
          <w:szCs w:val="28"/>
        </w:rPr>
        <w:t xml:space="preserve">, C.; Gomez-Pinilla, P.J.; </w:t>
      </w:r>
      <w:r>
        <w:rPr>
          <w:rFonts w:ascii="Arial" w:cs="Arial" w:eastAsia="Arial" w:hAnsi="Arial"/>
          <w:sz w:val="28"/>
          <w:szCs w:val="28"/>
        </w:rPr>
        <w:t>Pozo</w:t>
      </w:r>
      <w:r>
        <w:rPr>
          <w:rFonts w:ascii="Arial" w:cs="Arial" w:eastAsia="Arial" w:hAnsi="Arial"/>
          <w:sz w:val="28"/>
          <w:szCs w:val="28"/>
        </w:rPr>
        <w:t xml:space="preserve">, M.J. and </w:t>
      </w:r>
      <w:r>
        <w:rPr>
          <w:rFonts w:ascii="Arial" w:cs="Arial" w:eastAsia="Arial" w:hAnsi="Arial"/>
          <w:sz w:val="28"/>
          <w:szCs w:val="28"/>
        </w:rPr>
        <w:t>Camello</w:t>
      </w:r>
      <w:r>
        <w:rPr>
          <w:rFonts w:ascii="Arial" w:cs="Arial" w:eastAsia="Arial" w:hAnsi="Arial"/>
          <w:sz w:val="28"/>
          <w:szCs w:val="28"/>
        </w:rPr>
        <w:t xml:space="preserve">, P.J., 2006. Mitochondrial reactive oxygen species and Ca2+ signaling. </w:t>
      </w:r>
      <w:r>
        <w:rPr>
          <w:rFonts w:ascii="Arial" w:cs="Arial" w:eastAsia="Arial" w:hAnsi="Arial"/>
          <w:i/>
          <w:sz w:val="28"/>
          <w:szCs w:val="28"/>
        </w:rPr>
        <w:t>American Journal of Physiology-Cell Physiology</w:t>
      </w:r>
      <w:r>
        <w:rPr>
          <w:rFonts w:ascii="Arial" w:cs="Arial" w:eastAsia="Arial" w:hAnsi="Arial"/>
          <w:sz w:val="28"/>
          <w:szCs w:val="28"/>
        </w:rPr>
        <w:t xml:space="preserve">, </w:t>
      </w:r>
      <w:r>
        <w:rPr>
          <w:rFonts w:ascii="Arial" w:cs="Arial" w:eastAsia="Arial" w:hAnsi="Arial"/>
          <w:i/>
          <w:sz w:val="28"/>
          <w:szCs w:val="28"/>
        </w:rPr>
        <w:t>291</w:t>
      </w:r>
      <w:r>
        <w:rPr>
          <w:rFonts w:ascii="Arial" w:cs="Arial" w:eastAsia="Arial" w:hAnsi="Arial"/>
          <w:sz w:val="28"/>
          <w:szCs w:val="28"/>
        </w:rPr>
        <w:t>(5), pp.C1082-C1088.</w:t>
      </w:r>
      <w:r>
        <w:rPr/>
        <w:fldChar w:fldCharType="begin"/>
      </w:r>
      <w:r>
        <w:instrText xml:space="preserve"> HYPERLINK "https://doi.org/10.1152/ajpcell.00217.2006"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"https://doi.org/10.1152/ajpcell.00217.2006" </w:instrText>
      </w:r>
      <w:r>
        <w:rPr/>
        <w:fldChar w:fldCharType="separate"/>
      </w:r>
      <w:r>
        <w:rPr>
          <w:rFonts w:ascii="Arial" w:cs="Arial" w:eastAsia="Arial" w:hAnsi="Arial"/>
          <w:color w:val="1155cc"/>
          <w:sz w:val="28"/>
          <w:szCs w:val="28"/>
          <w:u w:val="single"/>
        </w:rPr>
        <w:t>https://doi.org/10.1152/ajpcell.00217.2006</w:t>
      </w:r>
      <w:r>
        <w:rPr/>
        <w:fldChar w:fldCharType="end"/>
      </w:r>
      <w:r>
        <w:rPr>
          <w:rFonts w:ascii="Arial" w:cs="Arial" w:eastAsia="Arial" w:hAnsi="Arial"/>
          <w:sz w:val="28"/>
          <w:szCs w:val="28"/>
        </w:rPr>
        <w: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Chikuni</w:t>
      </w:r>
      <w:r>
        <w:rPr>
          <w:rFonts w:ascii="Arial" w:cs="Arial" w:eastAsia="Arial" w:hAnsi="Arial"/>
          <w:sz w:val="28"/>
          <w:szCs w:val="28"/>
        </w:rPr>
        <w:t xml:space="preserve">, K.; Tabata, T.; </w:t>
      </w:r>
      <w:r>
        <w:rPr>
          <w:rFonts w:ascii="Arial" w:cs="Arial" w:eastAsia="Arial" w:hAnsi="Arial"/>
          <w:sz w:val="28"/>
          <w:szCs w:val="28"/>
        </w:rPr>
        <w:t>Kosugiyama</w:t>
      </w:r>
      <w:r>
        <w:rPr>
          <w:rFonts w:ascii="Arial" w:cs="Arial" w:eastAsia="Arial" w:hAnsi="Arial"/>
          <w:sz w:val="28"/>
          <w:szCs w:val="28"/>
        </w:rPr>
        <w:t xml:space="preserve">, M.; </w:t>
      </w:r>
      <w:r>
        <w:rPr>
          <w:rFonts w:ascii="Arial" w:cs="Arial" w:eastAsia="Arial" w:hAnsi="Arial"/>
          <w:sz w:val="28"/>
          <w:szCs w:val="28"/>
        </w:rPr>
        <w:t>Monma</w:t>
      </w:r>
      <w:r>
        <w:rPr>
          <w:rFonts w:ascii="Arial" w:cs="Arial" w:eastAsia="Arial" w:hAnsi="Arial"/>
          <w:sz w:val="28"/>
          <w:szCs w:val="28"/>
        </w:rPr>
        <w:t>, M., &amp; Saito, M., 1994. Polymerase chain reaction assay for detection of sheep and goat meats. Meat Science, 37(3), 337-345.</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Chinnery, P. F. and Schon, E. A., 2003. Mitochondria. J. Neurol. </w:t>
      </w:r>
      <w:r>
        <w:rPr>
          <w:rFonts w:ascii="Arial" w:cs="Arial" w:eastAsia="Arial" w:hAnsi="Arial"/>
          <w:sz w:val="28"/>
          <w:szCs w:val="28"/>
        </w:rPr>
        <w:t>Neurosurg</w:t>
      </w:r>
      <w:r>
        <w:rPr>
          <w:rFonts w:ascii="Arial" w:cs="Arial" w:eastAsia="Arial" w:hAnsi="Arial"/>
          <w:sz w:val="28"/>
          <w:szCs w:val="28"/>
        </w:rPr>
        <w:t xml:space="preserve">. </w:t>
      </w:r>
      <w:r>
        <w:rPr>
          <w:rFonts w:ascii="Arial" w:cs="Arial" w:eastAsia="Arial" w:hAnsi="Arial"/>
          <w:sz w:val="28"/>
          <w:szCs w:val="28"/>
        </w:rPr>
        <w:t>Psychiatr</w:t>
      </w:r>
      <w:r>
        <w:rPr>
          <w:rFonts w:ascii="Arial" w:cs="Arial" w:eastAsia="Arial" w:hAnsi="Arial"/>
          <w:sz w:val="28"/>
          <w:szCs w:val="28"/>
        </w:rPr>
        <w:t>. 74, 1188– 1199.</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Cocozza</w:t>
      </w:r>
      <w:r>
        <w:rPr>
          <w:rFonts w:ascii="Arial" w:cs="Arial" w:eastAsia="Arial" w:hAnsi="Arial"/>
          <w:sz w:val="28"/>
          <w:szCs w:val="28"/>
        </w:rPr>
        <w:t xml:space="preserve">, S.; </w:t>
      </w:r>
      <w:r>
        <w:rPr>
          <w:rFonts w:ascii="Arial" w:cs="Arial" w:eastAsia="Arial" w:hAnsi="Arial"/>
          <w:sz w:val="28"/>
          <w:szCs w:val="28"/>
        </w:rPr>
        <w:t>Casaburi</w:t>
      </w:r>
      <w:r>
        <w:rPr>
          <w:rFonts w:ascii="Arial" w:cs="Arial" w:eastAsia="Arial" w:hAnsi="Arial"/>
          <w:sz w:val="28"/>
          <w:szCs w:val="28"/>
        </w:rPr>
        <w:t>, D.G. and Salvatore, F., 2014. ‘“Next generation genomic sequencing and bioinformatics approaches for the study of the human gut microbiome in selected diseases of the human gut”.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Copeland, W.C., 2008. Inherited mitochondrial diseases of DNA replication. </w:t>
      </w:r>
      <w:r>
        <w:rPr>
          <w:rFonts w:ascii="Arial" w:cs="Arial" w:eastAsia="Arial" w:hAnsi="Arial"/>
          <w:i/>
          <w:sz w:val="28"/>
          <w:szCs w:val="28"/>
        </w:rPr>
        <w:t>Annu</w:t>
      </w:r>
      <w:r>
        <w:rPr>
          <w:rFonts w:ascii="Arial" w:cs="Arial" w:eastAsia="Arial" w:hAnsi="Arial"/>
          <w:i/>
          <w:sz w:val="28"/>
          <w:szCs w:val="28"/>
        </w:rPr>
        <w:t>. Rev. Med.</w:t>
      </w:r>
      <w:r>
        <w:rPr>
          <w:rFonts w:ascii="Arial" w:cs="Arial" w:eastAsia="Arial" w:hAnsi="Arial"/>
          <w:sz w:val="28"/>
          <w:szCs w:val="28"/>
        </w:rPr>
        <w:t xml:space="preserve">, </w:t>
      </w:r>
      <w:r>
        <w:rPr>
          <w:rFonts w:ascii="Arial" w:cs="Arial" w:eastAsia="Arial" w:hAnsi="Arial"/>
          <w:i/>
          <w:sz w:val="28"/>
          <w:szCs w:val="28"/>
        </w:rPr>
        <w:t>59</w:t>
      </w:r>
      <w:r>
        <w:rPr>
          <w:rFonts w:ascii="Arial" w:cs="Arial" w:eastAsia="Arial" w:hAnsi="Arial"/>
          <w:sz w:val="28"/>
          <w:szCs w:val="28"/>
        </w:rPr>
        <w:t>, pp.131-146.</w:t>
      </w:r>
      <w:r>
        <w:rPr/>
        <w:fldChar w:fldCharType="begin"/>
      </w:r>
      <w:r>
        <w:instrText xml:space="preserve"> HYPERLINK "https://doi.org/10.1146/annurev.med.59.053006.104646"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"https://doi.org/10.1146/annurev.med.59.053006.104646" </w:instrText>
      </w:r>
      <w:r>
        <w:rPr/>
        <w:fldChar w:fldCharType="separate"/>
      </w:r>
      <w:r>
        <w:rPr>
          <w:rFonts w:ascii="Arial" w:cs="Arial" w:eastAsia="Arial" w:hAnsi="Arial"/>
          <w:color w:val="1155cc"/>
          <w:sz w:val="28"/>
          <w:szCs w:val="28"/>
          <w:u w:val="single"/>
        </w:rPr>
        <w:t>https://doi.org/10.1146/annurev.med.59.053006.104646</w:t>
      </w:r>
      <w:r>
        <w:rPr/>
        <w:fldChar w:fldCharType="end"/>
      </w:r>
      <w:r>
        <w:rPr>
          <w:rFonts w:ascii="Arial" w:cs="Arial" w:eastAsia="Arial" w:hAnsi="Arial"/>
          <w:sz w:val="28"/>
          <w:szCs w:val="28"/>
        </w:rPr>
        <w: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David, J.A.; Guan, z.; Daniel, P. L.; Fred, W. and </w:t>
      </w:r>
      <w:r>
        <w:rPr>
          <w:rFonts w:ascii="Arial" w:cs="Arial" w:eastAsia="Arial" w:hAnsi="Arial"/>
          <w:sz w:val="28"/>
          <w:szCs w:val="28"/>
        </w:rPr>
        <w:t>McLafferty</w:t>
      </w:r>
      <w:r>
        <w:rPr>
          <w:rFonts w:ascii="Arial" w:cs="Arial" w:eastAsia="Arial" w:hAnsi="Arial"/>
          <w:sz w:val="28"/>
          <w:szCs w:val="28"/>
        </w:rPr>
        <w:t xml:space="preserve">, 1997. DNA Sequencing with </w:t>
      </w:r>
      <w:r>
        <w:rPr>
          <w:rFonts w:ascii="Arial" w:cs="Arial" w:eastAsia="Arial" w:hAnsi="Arial"/>
          <w:sz w:val="28"/>
          <w:szCs w:val="28"/>
        </w:rPr>
        <w:t>Balckbody</w:t>
      </w:r>
      <w:r>
        <w:rPr>
          <w:rFonts w:ascii="Arial" w:cs="Arial" w:eastAsia="Arial" w:hAnsi="Arial"/>
          <w:sz w:val="28"/>
          <w:szCs w:val="28"/>
        </w:rPr>
        <w:t xml:space="preserve"> Infrared Radioactive Dissociation of </w:t>
      </w:r>
      <w:r>
        <w:rPr>
          <w:rFonts w:ascii="Arial" w:cs="Arial" w:eastAsia="Arial" w:hAnsi="Arial"/>
          <w:sz w:val="28"/>
          <w:szCs w:val="28"/>
        </w:rPr>
        <w:t>Electrosprayed</w:t>
      </w:r>
      <w:r>
        <w:rPr>
          <w:rFonts w:ascii="Arial" w:cs="Arial" w:eastAsia="Arial" w:hAnsi="Arial"/>
          <w:sz w:val="28"/>
          <w:szCs w:val="28"/>
        </w:rPr>
        <w:t xml:space="preserve"> Ions. International Journal of Mass Spectrometry and Icon Processes 167-168: 705-712. doi.org/10.1016/S0168-1176 (97) 00130-4.</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DeSalle</w:t>
      </w:r>
      <w:r>
        <w:rPr>
          <w:rFonts w:ascii="Arial" w:cs="Arial" w:eastAsia="Arial" w:hAnsi="Arial"/>
          <w:sz w:val="28"/>
          <w:szCs w:val="28"/>
        </w:rPr>
        <w:t xml:space="preserve">, R., </w:t>
      </w:r>
      <w:r>
        <w:rPr>
          <w:rFonts w:ascii="Arial" w:cs="Arial" w:eastAsia="Arial" w:hAnsi="Arial"/>
          <w:sz w:val="28"/>
          <w:szCs w:val="28"/>
        </w:rPr>
        <w:t>Schierwater</w:t>
      </w:r>
      <w:r>
        <w:rPr>
          <w:rFonts w:ascii="Arial" w:cs="Arial" w:eastAsia="Arial" w:hAnsi="Arial"/>
          <w:sz w:val="28"/>
          <w:szCs w:val="28"/>
        </w:rPr>
        <w:t xml:space="preserve">, B. and </w:t>
      </w:r>
      <w:r>
        <w:rPr>
          <w:rFonts w:ascii="Arial" w:cs="Arial" w:eastAsia="Arial" w:hAnsi="Arial"/>
          <w:sz w:val="28"/>
          <w:szCs w:val="28"/>
        </w:rPr>
        <w:t>Hadrys</w:t>
      </w:r>
      <w:r>
        <w:rPr>
          <w:rFonts w:ascii="Arial" w:cs="Arial" w:eastAsia="Arial" w:hAnsi="Arial"/>
          <w:sz w:val="28"/>
          <w:szCs w:val="28"/>
        </w:rPr>
        <w:t xml:space="preserve">, H., 2017. </w:t>
      </w:r>
      <w:r>
        <w:rPr>
          <w:rFonts w:ascii="Arial" w:cs="Arial" w:eastAsia="Arial" w:hAnsi="Arial"/>
          <w:sz w:val="28"/>
          <w:szCs w:val="28"/>
        </w:rPr>
        <w:t>MtDNA</w:t>
      </w:r>
      <w:r>
        <w:rPr>
          <w:rFonts w:ascii="Arial" w:cs="Arial" w:eastAsia="Arial" w:hAnsi="Arial"/>
          <w:sz w:val="28"/>
          <w:szCs w:val="28"/>
        </w:rPr>
        <w:t xml:space="preserve">: The small workhorse of evolutionary studies. </w:t>
      </w:r>
      <w:r>
        <w:rPr>
          <w:rFonts w:ascii="Arial" w:cs="Arial" w:eastAsia="Arial" w:hAnsi="Arial"/>
          <w:i/>
          <w:sz w:val="28"/>
          <w:szCs w:val="28"/>
        </w:rPr>
        <w:t>Frontiers in Bioscience</w:t>
      </w:r>
      <w:r>
        <w:rPr>
          <w:rFonts w:ascii="Arial" w:cs="Arial" w:eastAsia="Arial" w:hAnsi="Arial"/>
          <w:sz w:val="28"/>
          <w:szCs w:val="28"/>
        </w:rPr>
        <w:t xml:space="preserve">, </w:t>
      </w:r>
      <w:r>
        <w:rPr>
          <w:rFonts w:ascii="Arial" w:cs="Arial" w:eastAsia="Arial" w:hAnsi="Arial"/>
          <w:i/>
          <w:sz w:val="28"/>
          <w:szCs w:val="28"/>
        </w:rPr>
        <w:t>22</w:t>
      </w:r>
      <w:r>
        <w:rPr>
          <w:rFonts w:ascii="Arial" w:cs="Arial" w:eastAsia="Arial" w:hAnsi="Arial"/>
          <w:sz w:val="28"/>
          <w:szCs w:val="28"/>
        </w:rPr>
        <w:t>, pp.873-887.</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Galtier</w:t>
      </w:r>
      <w:r>
        <w:rPr>
          <w:rFonts w:ascii="Arial" w:cs="Arial" w:eastAsia="Arial" w:hAnsi="Arial"/>
          <w:sz w:val="28"/>
          <w:szCs w:val="28"/>
        </w:rPr>
        <w:t xml:space="preserve">, N., </w:t>
      </w:r>
      <w:r>
        <w:rPr>
          <w:rFonts w:ascii="Arial" w:cs="Arial" w:eastAsia="Arial" w:hAnsi="Arial"/>
          <w:sz w:val="28"/>
          <w:szCs w:val="28"/>
        </w:rPr>
        <w:t>Nabholz</w:t>
      </w:r>
      <w:r>
        <w:rPr>
          <w:rFonts w:ascii="Arial" w:cs="Arial" w:eastAsia="Arial" w:hAnsi="Arial"/>
          <w:sz w:val="28"/>
          <w:szCs w:val="28"/>
        </w:rPr>
        <w:t xml:space="preserve">, B., </w:t>
      </w:r>
      <w:r>
        <w:rPr>
          <w:rFonts w:ascii="Arial" w:cs="Arial" w:eastAsia="Arial" w:hAnsi="Arial"/>
          <w:sz w:val="28"/>
          <w:szCs w:val="28"/>
        </w:rPr>
        <w:t>Glémin</w:t>
      </w:r>
      <w:r>
        <w:rPr>
          <w:rFonts w:ascii="Arial" w:cs="Arial" w:eastAsia="Arial" w:hAnsi="Arial"/>
          <w:sz w:val="28"/>
          <w:szCs w:val="28"/>
        </w:rPr>
        <w:t xml:space="preserve">, S. and Hurst, G.D.D., 2009. Mitochondrial DNA as a marker of molecular diversity: a reappraisal. </w:t>
      </w:r>
      <w:r>
        <w:rPr>
          <w:rFonts w:ascii="Arial" w:cs="Arial" w:eastAsia="Arial" w:hAnsi="Arial"/>
          <w:i/>
          <w:sz w:val="28"/>
          <w:szCs w:val="28"/>
        </w:rPr>
        <w:t>Molecular ecology</w:t>
      </w:r>
      <w:r>
        <w:rPr>
          <w:rFonts w:ascii="Arial" w:cs="Arial" w:eastAsia="Arial" w:hAnsi="Arial"/>
          <w:sz w:val="28"/>
          <w:szCs w:val="28"/>
        </w:rPr>
        <w:t xml:space="preserve">, </w:t>
      </w:r>
      <w:r>
        <w:rPr>
          <w:rFonts w:ascii="Arial" w:cs="Arial" w:eastAsia="Arial" w:hAnsi="Arial"/>
          <w:i/>
          <w:sz w:val="28"/>
          <w:szCs w:val="28"/>
        </w:rPr>
        <w:t>18</w:t>
      </w:r>
      <w:r>
        <w:rPr>
          <w:rFonts w:ascii="Arial" w:cs="Arial" w:eastAsia="Arial" w:hAnsi="Arial"/>
          <w:sz w:val="28"/>
          <w:szCs w:val="28"/>
        </w:rPr>
        <w:t xml:space="preserve">(22), pp.4541-4550. </w:t>
      </w:r>
      <w:r>
        <w:rPr>
          <w:rFonts w:ascii="Arial" w:cs="Arial" w:eastAsia="Arial" w:hAnsi="Arial"/>
          <w:sz w:val="28"/>
          <w:szCs w:val="28"/>
        </w:rPr>
        <w:t>doi</w:t>
      </w:r>
      <w:r>
        <w:rPr>
          <w:rFonts w:ascii="Arial" w:cs="Arial" w:eastAsia="Arial" w:hAnsi="Arial"/>
          <w:sz w:val="28"/>
          <w:szCs w:val="28"/>
        </w:rPr>
        <w:t>: 10.1111/j.1365-294X.2009.04380.x.</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Gauthier-Villars, M.; Landrieu, P.; Cormier-</w:t>
      </w:r>
      <w:r>
        <w:rPr>
          <w:rFonts w:ascii="Arial" w:cs="Arial" w:eastAsia="Arial" w:hAnsi="Arial"/>
          <w:sz w:val="28"/>
          <w:szCs w:val="28"/>
        </w:rPr>
        <w:t>Daire</w:t>
      </w:r>
      <w:r>
        <w:rPr>
          <w:rFonts w:ascii="Arial" w:cs="Arial" w:eastAsia="Arial" w:hAnsi="Arial"/>
          <w:sz w:val="28"/>
          <w:szCs w:val="28"/>
        </w:rPr>
        <w:t xml:space="preserve">, V.; </w:t>
      </w:r>
      <w:r>
        <w:rPr>
          <w:rFonts w:ascii="Arial" w:cs="Arial" w:eastAsia="Arial" w:hAnsi="Arial"/>
          <w:sz w:val="28"/>
          <w:szCs w:val="28"/>
        </w:rPr>
        <w:t>Jacquemin</w:t>
      </w:r>
      <w:r>
        <w:rPr>
          <w:rFonts w:ascii="Arial" w:cs="Arial" w:eastAsia="Arial" w:hAnsi="Arial"/>
          <w:sz w:val="28"/>
          <w:szCs w:val="28"/>
        </w:rPr>
        <w:t xml:space="preserve">, E.; Chretien, D.; </w:t>
      </w:r>
      <w:r>
        <w:rPr>
          <w:rFonts w:ascii="Arial" w:cs="Arial" w:eastAsia="Arial" w:hAnsi="Arial"/>
          <w:sz w:val="28"/>
          <w:szCs w:val="28"/>
        </w:rPr>
        <w:t>Rötig</w:t>
      </w:r>
      <w:r>
        <w:rPr>
          <w:rFonts w:ascii="Arial" w:cs="Arial" w:eastAsia="Arial" w:hAnsi="Arial"/>
          <w:sz w:val="28"/>
          <w:szCs w:val="28"/>
        </w:rPr>
        <w:t xml:space="preserve">, A.; Rustin, P.; </w:t>
      </w:r>
      <w:r>
        <w:rPr>
          <w:rFonts w:ascii="Arial" w:cs="Arial" w:eastAsia="Arial" w:hAnsi="Arial"/>
          <w:sz w:val="28"/>
          <w:szCs w:val="28"/>
        </w:rPr>
        <w:t>Munnich</w:t>
      </w:r>
      <w:r>
        <w:rPr>
          <w:rFonts w:ascii="Arial" w:cs="Arial" w:eastAsia="Arial" w:hAnsi="Arial"/>
          <w:sz w:val="28"/>
          <w:szCs w:val="28"/>
        </w:rPr>
        <w:t xml:space="preserve">, A. and de </w:t>
      </w:r>
      <w:r>
        <w:rPr>
          <w:rFonts w:ascii="Arial" w:cs="Arial" w:eastAsia="Arial" w:hAnsi="Arial"/>
          <w:sz w:val="28"/>
          <w:szCs w:val="28"/>
        </w:rPr>
        <w:t>Lonlay</w:t>
      </w:r>
      <w:r>
        <w:rPr>
          <w:rFonts w:ascii="Arial" w:cs="Arial" w:eastAsia="Arial" w:hAnsi="Arial"/>
          <w:sz w:val="28"/>
          <w:szCs w:val="28"/>
        </w:rPr>
        <w:t>, P., 2001. Respiratory chain deficiency in Alpers syndrome.</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Girish, P.S.; </w:t>
      </w:r>
      <w:r>
        <w:rPr>
          <w:rFonts w:ascii="Arial" w:cs="Arial" w:eastAsia="Arial" w:hAnsi="Arial"/>
          <w:sz w:val="28"/>
          <w:szCs w:val="28"/>
        </w:rPr>
        <w:t>Anjaneyulu</w:t>
      </w:r>
      <w:r>
        <w:rPr>
          <w:rFonts w:ascii="Arial" w:cs="Arial" w:eastAsia="Arial" w:hAnsi="Arial"/>
          <w:sz w:val="28"/>
          <w:szCs w:val="28"/>
        </w:rPr>
        <w:t xml:space="preserve">, A.S.R.; </w:t>
      </w:r>
      <w:r>
        <w:rPr>
          <w:rFonts w:ascii="Arial" w:cs="Arial" w:eastAsia="Arial" w:hAnsi="Arial"/>
          <w:sz w:val="28"/>
          <w:szCs w:val="28"/>
        </w:rPr>
        <w:t>Viswas</w:t>
      </w:r>
      <w:r>
        <w:rPr>
          <w:rFonts w:ascii="Arial" w:cs="Arial" w:eastAsia="Arial" w:hAnsi="Arial"/>
          <w:sz w:val="28"/>
          <w:szCs w:val="28"/>
        </w:rPr>
        <w:t xml:space="preserve">, K.N.; Santhosh, F.H.; </w:t>
      </w:r>
      <w:r>
        <w:rPr>
          <w:rFonts w:ascii="Arial" w:cs="Arial" w:eastAsia="Arial" w:hAnsi="Arial"/>
          <w:sz w:val="28"/>
          <w:szCs w:val="28"/>
        </w:rPr>
        <w:t>Bhilegaonkar</w:t>
      </w:r>
      <w:r>
        <w:rPr>
          <w:rFonts w:ascii="Arial" w:cs="Arial" w:eastAsia="Arial" w:hAnsi="Arial"/>
          <w:sz w:val="28"/>
          <w:szCs w:val="28"/>
        </w:rPr>
        <w:t>, K.N.; Agarwal, R.K., 2007. Polymerase chain reaction–restriction fragment length polymorphism of mitochondrial 12S rRNA gene: a simple method for identification of poultry meat species. Veterinary Research Communications. 31(4), 447e455.</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Gorman, G.S.; Schaefer, A.M.; Ng, Y.; Gomez, N.; Blakely, E.L.; Alston, C.L.; Feeney, C.; Horvath, R.; Yu‐Wai‐Man, P.; Chinnery, P.F. and Taylor, R.W., 2015. Prevalence of nuclear and mitochondrial DNA mutations related to adult mitochondrial disease. </w:t>
      </w:r>
      <w:r>
        <w:rPr>
          <w:rFonts w:ascii="Arial" w:cs="Arial" w:eastAsia="Arial" w:hAnsi="Arial"/>
          <w:i/>
          <w:sz w:val="28"/>
          <w:szCs w:val="28"/>
        </w:rPr>
        <w:t>Annals of neurology</w:t>
      </w:r>
      <w:r>
        <w:rPr>
          <w:rFonts w:ascii="Arial" w:cs="Arial" w:eastAsia="Arial" w:hAnsi="Arial"/>
          <w:sz w:val="28"/>
          <w:szCs w:val="28"/>
        </w:rPr>
        <w:t xml:space="preserve">, </w:t>
      </w:r>
      <w:r>
        <w:rPr>
          <w:rFonts w:ascii="Arial" w:cs="Arial" w:eastAsia="Arial" w:hAnsi="Arial"/>
          <w:i/>
          <w:sz w:val="28"/>
          <w:szCs w:val="28"/>
        </w:rPr>
        <w:t>77</w:t>
      </w:r>
      <w:r>
        <w:rPr>
          <w:rFonts w:ascii="Arial" w:cs="Arial" w:eastAsia="Arial" w:hAnsi="Arial"/>
          <w:sz w:val="28"/>
          <w:szCs w:val="28"/>
        </w:rPr>
        <w:t>(5), pp.753-759.</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Graziewicz</w:t>
      </w:r>
      <w:r>
        <w:rPr>
          <w:rFonts w:ascii="Arial" w:cs="Arial" w:eastAsia="Arial" w:hAnsi="Arial"/>
          <w:sz w:val="28"/>
          <w:szCs w:val="28"/>
        </w:rPr>
        <w:t xml:space="preserve">, M.A.; Longley, M.J. and Copeland, W.C., 2006. DNA polymerase γ in mitochondrial DNA replication and repair. </w:t>
      </w:r>
      <w:r>
        <w:rPr>
          <w:rFonts w:ascii="Arial" w:cs="Arial" w:eastAsia="Arial" w:hAnsi="Arial"/>
          <w:i/>
          <w:sz w:val="28"/>
          <w:szCs w:val="28"/>
        </w:rPr>
        <w:t>Chemical reviews</w:t>
      </w:r>
      <w:r>
        <w:rPr>
          <w:rFonts w:ascii="Arial" w:cs="Arial" w:eastAsia="Arial" w:hAnsi="Arial"/>
          <w:sz w:val="28"/>
          <w:szCs w:val="28"/>
        </w:rPr>
        <w:t xml:space="preserve">, </w:t>
      </w:r>
      <w:r>
        <w:rPr>
          <w:rFonts w:ascii="Arial" w:cs="Arial" w:eastAsia="Arial" w:hAnsi="Arial"/>
          <w:i/>
          <w:sz w:val="28"/>
          <w:szCs w:val="28"/>
        </w:rPr>
        <w:t>106</w:t>
      </w:r>
      <w:r>
        <w:rPr>
          <w:rFonts w:ascii="Arial" w:cs="Arial" w:eastAsia="Arial" w:hAnsi="Arial"/>
          <w:sz w:val="28"/>
          <w:szCs w:val="28"/>
        </w:rPr>
        <w:t>(2), pp.383-405.</w:t>
      </w:r>
      <w:r>
        <w:rPr/>
        <w:fldChar w:fldCharType="begin"/>
      </w:r>
      <w:r>
        <w:instrText xml:space="preserve"> HYPERLINK "https://doi.org/10.1021/cr040463d"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"https://doi.org/10.1021/cr040463d" </w:instrText>
      </w:r>
      <w:r>
        <w:rPr/>
        <w:fldChar w:fldCharType="separate"/>
      </w:r>
      <w:r>
        <w:rPr>
          <w:rFonts w:ascii="Arial" w:cs="Arial" w:eastAsia="Arial" w:hAnsi="Arial"/>
          <w:color w:val="1155cc"/>
          <w:sz w:val="28"/>
          <w:szCs w:val="28"/>
          <w:u w:val="single"/>
        </w:rPr>
        <w:t>https://doi.org/10.1021/cr040463d</w:t>
      </w:r>
      <w:r>
        <w:rPr/>
        <w:fldChar w:fldCharType="end"/>
      </w:r>
      <w:r>
        <w:rPr>
          <w:rFonts w:ascii="Arial" w:cs="Arial" w:eastAsia="Arial" w:hAnsi="Arial"/>
          <w:sz w:val="28"/>
          <w:szCs w:val="28"/>
        </w:rPr>
        <w: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Holt, I. J.; Lorimer, H. E. and Jacobs, H. T., 2000. Coupled leading- and lagging-strand synthesis of mammalian mitochondrial DNA. Cell 100, 515–524.</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Horai</w:t>
      </w:r>
      <w:r>
        <w:rPr>
          <w:rFonts w:ascii="Arial" w:cs="Arial" w:eastAsia="Arial" w:hAnsi="Arial"/>
          <w:sz w:val="28"/>
          <w:szCs w:val="28"/>
        </w:rPr>
        <w:t xml:space="preserve"> S, </w:t>
      </w:r>
      <w:r>
        <w:rPr>
          <w:rFonts w:ascii="Arial" w:cs="Arial" w:eastAsia="Arial" w:hAnsi="Arial"/>
          <w:sz w:val="28"/>
          <w:szCs w:val="28"/>
        </w:rPr>
        <w:t>Hayasaka</w:t>
      </w:r>
      <w:r>
        <w:rPr>
          <w:rFonts w:ascii="Arial" w:cs="Arial" w:eastAsia="Arial" w:hAnsi="Arial"/>
          <w:sz w:val="28"/>
          <w:szCs w:val="28"/>
        </w:rPr>
        <w:t xml:space="preserve"> K, Kondo R, </w:t>
      </w:r>
      <w:r>
        <w:rPr>
          <w:rFonts w:ascii="Arial" w:cs="Arial" w:eastAsia="Arial" w:hAnsi="Arial"/>
          <w:sz w:val="28"/>
          <w:szCs w:val="28"/>
        </w:rPr>
        <w:t>Tsugane</w:t>
      </w:r>
      <w:r>
        <w:rPr>
          <w:rFonts w:ascii="Arial" w:cs="Arial" w:eastAsia="Arial" w:hAnsi="Arial"/>
          <w:sz w:val="28"/>
          <w:szCs w:val="28"/>
        </w:rPr>
        <w:t xml:space="preserve"> K, </w:t>
      </w:r>
      <w:r>
        <w:rPr>
          <w:rFonts w:ascii="Arial" w:cs="Arial" w:eastAsia="Arial" w:hAnsi="Arial"/>
          <w:sz w:val="28"/>
          <w:szCs w:val="28"/>
        </w:rPr>
        <w:t>Takahata</w:t>
      </w:r>
      <w:r>
        <w:rPr>
          <w:rFonts w:ascii="Arial" w:cs="Arial" w:eastAsia="Arial" w:hAnsi="Arial"/>
          <w:sz w:val="28"/>
          <w:szCs w:val="28"/>
        </w:rPr>
        <w:t xml:space="preserve"> N. Recent African origin of modern humans revealed by complete sequences of hominoid mitochondrial DNAs. </w:t>
      </w:r>
      <w:r>
        <w:rPr>
          <w:rFonts w:ascii="Arial" w:cs="Arial" w:eastAsia="Arial" w:hAnsi="Arial"/>
          <w:sz w:val="28"/>
          <w:szCs w:val="28"/>
        </w:rPr>
        <w:t>Proc</w:t>
      </w:r>
      <w:r>
        <w:rPr>
          <w:rFonts w:ascii="Arial" w:cs="Arial" w:eastAsia="Arial" w:hAnsi="Arial"/>
          <w:sz w:val="28"/>
          <w:szCs w:val="28"/>
        </w:rPr>
        <w:t xml:space="preserve"> Natl </w:t>
      </w:r>
      <w:r>
        <w:rPr>
          <w:rFonts w:ascii="Arial" w:cs="Arial" w:eastAsia="Arial" w:hAnsi="Arial"/>
          <w:sz w:val="28"/>
          <w:szCs w:val="28"/>
        </w:rPr>
        <w:t>Acad</w:t>
      </w:r>
      <w:r>
        <w:rPr>
          <w:rFonts w:ascii="Arial" w:cs="Arial" w:eastAsia="Arial" w:hAnsi="Arial"/>
          <w:sz w:val="28"/>
          <w:szCs w:val="28"/>
        </w:rPr>
        <w:t xml:space="preserve"> </w:t>
      </w:r>
      <w:r>
        <w:rPr>
          <w:rFonts w:ascii="Arial" w:cs="Arial" w:eastAsia="Arial" w:hAnsi="Arial"/>
          <w:sz w:val="28"/>
          <w:szCs w:val="28"/>
        </w:rPr>
        <w:t>Sci</w:t>
      </w:r>
      <w:r>
        <w:rPr>
          <w:rFonts w:ascii="Arial" w:cs="Arial" w:eastAsia="Arial" w:hAnsi="Arial"/>
          <w:sz w:val="28"/>
          <w:szCs w:val="28"/>
        </w:rPr>
        <w:t xml:space="preserve"> USA. 1995; 92(2): 532-536. 8.</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Joshi, M. &amp; Deshpande, J., 2010. Polymerase chain reaction: methods, Principles and application. International Journal of Biomedical Research, 2(1), 81-9.</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Kazuno</w:t>
      </w:r>
      <w:r>
        <w:rPr>
          <w:rFonts w:ascii="Arial" w:cs="Arial" w:eastAsia="Arial" w:hAnsi="Arial"/>
          <w:sz w:val="28"/>
          <w:szCs w:val="28"/>
        </w:rPr>
        <w:t xml:space="preserve">, A.A.; </w:t>
      </w:r>
      <w:r>
        <w:rPr>
          <w:rFonts w:ascii="Arial" w:cs="Arial" w:eastAsia="Arial" w:hAnsi="Arial"/>
          <w:sz w:val="28"/>
          <w:szCs w:val="28"/>
        </w:rPr>
        <w:t>Manukata</w:t>
      </w:r>
      <w:r>
        <w:rPr>
          <w:rFonts w:ascii="Arial" w:cs="Arial" w:eastAsia="Arial" w:hAnsi="Arial"/>
          <w:sz w:val="28"/>
          <w:szCs w:val="28"/>
        </w:rPr>
        <w:t xml:space="preserve">, K.; Nagai, T.; </w:t>
      </w:r>
      <w:r>
        <w:rPr>
          <w:rFonts w:ascii="Arial" w:cs="Arial" w:eastAsia="Arial" w:hAnsi="Arial"/>
          <w:sz w:val="28"/>
          <w:szCs w:val="28"/>
        </w:rPr>
        <w:t>Shimozono</w:t>
      </w:r>
      <w:r>
        <w:rPr>
          <w:rFonts w:ascii="Arial" w:cs="Arial" w:eastAsia="Arial" w:hAnsi="Arial"/>
          <w:sz w:val="28"/>
          <w:szCs w:val="28"/>
        </w:rPr>
        <w:t xml:space="preserve">, S.; Tanaka, M.; </w:t>
      </w:r>
      <w:r>
        <w:rPr>
          <w:rFonts w:ascii="Arial" w:cs="Arial" w:eastAsia="Arial" w:hAnsi="Arial"/>
          <w:sz w:val="28"/>
          <w:szCs w:val="28"/>
        </w:rPr>
        <w:t>Yoneda</w:t>
      </w:r>
      <w:r>
        <w:rPr>
          <w:rFonts w:ascii="Arial" w:cs="Arial" w:eastAsia="Arial" w:hAnsi="Arial"/>
          <w:sz w:val="28"/>
          <w:szCs w:val="28"/>
        </w:rPr>
        <w:t xml:space="preserve">, M.; Kato, N.; Miyawaki, A. and Kato, T., (2006). Identification of mitochondrial DNA polymorphisms that alter mitochondrial matrix pH and intracellular calcium dynamics. </w:t>
      </w:r>
      <w:r>
        <w:rPr>
          <w:rFonts w:ascii="Arial" w:cs="Arial" w:eastAsia="Arial" w:hAnsi="Arial"/>
          <w:sz w:val="28"/>
          <w:szCs w:val="28"/>
        </w:rPr>
        <w:t>PLoS</w:t>
      </w:r>
      <w:r>
        <w:rPr>
          <w:rFonts w:ascii="Arial" w:cs="Arial" w:eastAsia="Arial" w:hAnsi="Arial"/>
          <w:sz w:val="28"/>
          <w:szCs w:val="28"/>
        </w:rPr>
        <w:t xml:space="preserve"> Genet, 2(8): e128.</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Kim, M.Y.; Cho, S.; Lee, J.H.; </w:t>
      </w:r>
      <w:r>
        <w:rPr>
          <w:rFonts w:ascii="Arial" w:cs="Arial" w:eastAsia="Arial" w:hAnsi="Arial"/>
          <w:sz w:val="28"/>
          <w:szCs w:val="28"/>
        </w:rPr>
        <w:t>Seo</w:t>
      </w:r>
      <w:r>
        <w:rPr>
          <w:rFonts w:ascii="Arial" w:cs="Arial" w:eastAsia="Arial" w:hAnsi="Arial"/>
          <w:sz w:val="28"/>
          <w:szCs w:val="28"/>
        </w:rPr>
        <w:t xml:space="preserve">, H.J. and Lee, S.D., 2018. Detection of Innate and Artificial Mitochondrial DNA </w:t>
      </w:r>
      <w:r>
        <w:rPr>
          <w:rFonts w:ascii="Arial" w:cs="Arial" w:eastAsia="Arial" w:hAnsi="Arial"/>
          <w:sz w:val="28"/>
          <w:szCs w:val="28"/>
        </w:rPr>
        <w:t>Heteroplasmy</w:t>
      </w:r>
      <w:r>
        <w:rPr>
          <w:rFonts w:ascii="Arial" w:cs="Arial" w:eastAsia="Arial" w:hAnsi="Arial"/>
          <w:sz w:val="28"/>
          <w:szCs w:val="28"/>
        </w:rPr>
        <w:t xml:space="preserve"> by Massively Parallel Sequencing: Considerations for Analysis. </w:t>
      </w:r>
      <w:r>
        <w:rPr>
          <w:rFonts w:ascii="Arial" w:cs="Arial" w:eastAsia="Arial" w:hAnsi="Arial"/>
          <w:i/>
          <w:sz w:val="28"/>
          <w:szCs w:val="28"/>
        </w:rPr>
        <w:t>Journal of Korean medical science</w:t>
      </w:r>
      <w:r>
        <w:rPr>
          <w:rFonts w:ascii="Arial" w:cs="Arial" w:eastAsia="Arial" w:hAnsi="Arial"/>
          <w:sz w:val="28"/>
          <w:szCs w:val="28"/>
        </w:rPr>
        <w:t xml:space="preserve">, </w:t>
      </w:r>
      <w:r>
        <w:rPr>
          <w:rFonts w:ascii="Arial" w:cs="Arial" w:eastAsia="Arial" w:hAnsi="Arial"/>
          <w:i/>
          <w:sz w:val="28"/>
          <w:szCs w:val="28"/>
        </w:rPr>
        <w:t>33</w:t>
      </w:r>
      <w:r>
        <w:rPr>
          <w:rFonts w:ascii="Arial" w:cs="Arial" w:eastAsia="Arial" w:hAnsi="Arial"/>
          <w:sz w:val="28"/>
          <w:szCs w:val="28"/>
        </w:rPr>
        <w:t>(52).</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Kircher, M. and Janet Kelso, J., 2010. High-throughput DNA sequencing concepts and limitations. Bioassays 32 (6): 524-536. </w:t>
      </w:r>
      <w:r>
        <w:rPr>
          <w:rFonts w:ascii="Arial" w:cs="Arial" w:eastAsia="Arial" w:hAnsi="Arial"/>
          <w:sz w:val="28"/>
          <w:szCs w:val="28"/>
        </w:rPr>
        <w:t>doi</w:t>
      </w:r>
      <w:r>
        <w:rPr>
          <w:rFonts w:ascii="Arial" w:cs="Arial" w:eastAsia="Arial" w:hAnsi="Arial"/>
          <w:sz w:val="28"/>
          <w:szCs w:val="28"/>
        </w:rPr>
        <w:t>: 10.1002/bies.200900181.</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Koopman</w:t>
      </w:r>
      <w:r>
        <w:rPr>
          <w:rFonts w:ascii="Arial" w:cs="Arial" w:eastAsia="Arial" w:hAnsi="Arial"/>
          <w:sz w:val="28"/>
          <w:szCs w:val="28"/>
        </w:rPr>
        <w:t xml:space="preserve">, W.J.; </w:t>
      </w:r>
      <w:r>
        <w:rPr>
          <w:rFonts w:ascii="Arial" w:cs="Arial" w:eastAsia="Arial" w:hAnsi="Arial"/>
          <w:sz w:val="28"/>
          <w:szCs w:val="28"/>
        </w:rPr>
        <w:t>Distelmaier</w:t>
      </w:r>
      <w:r>
        <w:rPr>
          <w:rFonts w:ascii="Arial" w:cs="Arial" w:eastAsia="Arial" w:hAnsi="Arial"/>
          <w:sz w:val="28"/>
          <w:szCs w:val="28"/>
        </w:rPr>
        <w:t xml:space="preserve">, F. and </w:t>
      </w:r>
      <w:r>
        <w:rPr>
          <w:rFonts w:ascii="Arial" w:cs="Arial" w:eastAsia="Arial" w:hAnsi="Arial"/>
          <w:sz w:val="28"/>
          <w:szCs w:val="28"/>
        </w:rPr>
        <w:t>Smeitink</w:t>
      </w:r>
      <w:r>
        <w:rPr>
          <w:rFonts w:ascii="Arial" w:cs="Arial" w:eastAsia="Arial" w:hAnsi="Arial"/>
          <w:sz w:val="28"/>
          <w:szCs w:val="28"/>
        </w:rPr>
        <w:t xml:space="preserve"> J.A., 2013. ‘OXPHOS mutations and neurodegeneration.’, </w:t>
      </w:r>
      <w:r>
        <w:rPr>
          <w:rFonts w:ascii="Arial" w:cs="Arial" w:eastAsia="Arial" w:hAnsi="Arial"/>
          <w:i/>
          <w:sz w:val="28"/>
          <w:szCs w:val="28"/>
        </w:rPr>
        <w:t>EMBO J</w:t>
      </w:r>
      <w:r>
        <w:rPr>
          <w:rFonts w:ascii="Arial" w:cs="Arial" w:eastAsia="Arial" w:hAnsi="Arial"/>
          <w:sz w:val="28"/>
          <w:szCs w:val="28"/>
        </w:rPr>
        <w:t>. Beijing Institute of Genomics, Chinese Academy of Sciences and Genetics Society of China, 2(4), p.;32:9–29.</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Krishnan, K. J.; Reeve, A. K.; Samuels, D. C.; Chinnery, P. F.; Blackwood, J. K.; Taylor R, W.; </w:t>
      </w:r>
      <w:r>
        <w:rPr>
          <w:rFonts w:ascii="Arial" w:cs="Arial" w:eastAsia="Arial" w:hAnsi="Arial"/>
          <w:sz w:val="28"/>
          <w:szCs w:val="28"/>
        </w:rPr>
        <w:t>Wanrooij</w:t>
      </w:r>
      <w:r>
        <w:rPr>
          <w:rFonts w:ascii="Arial" w:cs="Arial" w:eastAsia="Arial" w:hAnsi="Arial"/>
          <w:sz w:val="28"/>
          <w:szCs w:val="28"/>
        </w:rPr>
        <w:t xml:space="preserve">, S.; </w:t>
      </w:r>
      <w:r>
        <w:rPr>
          <w:rFonts w:ascii="Arial" w:cs="Arial" w:eastAsia="Arial" w:hAnsi="Arial"/>
          <w:sz w:val="28"/>
          <w:szCs w:val="28"/>
        </w:rPr>
        <w:t>Spelbrink</w:t>
      </w:r>
      <w:r>
        <w:rPr>
          <w:rFonts w:ascii="Arial" w:cs="Arial" w:eastAsia="Arial" w:hAnsi="Arial"/>
          <w:sz w:val="28"/>
          <w:szCs w:val="28"/>
        </w:rPr>
        <w:t xml:space="preserve">, J. N.; </w:t>
      </w:r>
      <w:r>
        <w:rPr>
          <w:rFonts w:ascii="Arial" w:cs="Arial" w:eastAsia="Arial" w:hAnsi="Arial"/>
          <w:sz w:val="28"/>
          <w:szCs w:val="28"/>
        </w:rPr>
        <w:t>Lightowlers</w:t>
      </w:r>
      <w:r>
        <w:rPr>
          <w:rFonts w:ascii="Arial" w:cs="Arial" w:eastAsia="Arial" w:hAnsi="Arial"/>
          <w:sz w:val="28"/>
          <w:szCs w:val="28"/>
        </w:rPr>
        <w:t>, R. N., and Turnbull D. M., 2008. What causes mitochondrial DNA deletions in human cells? Nat. Genet. 40, 275–279.</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Kumar, A.; Kumar, R. R.; Sharma, B. D.; </w:t>
      </w:r>
      <w:r>
        <w:rPr>
          <w:rFonts w:ascii="Arial" w:cs="Arial" w:eastAsia="Arial" w:hAnsi="Arial"/>
          <w:sz w:val="28"/>
          <w:szCs w:val="28"/>
        </w:rPr>
        <w:t>Gokulakrishnan</w:t>
      </w:r>
      <w:r>
        <w:rPr>
          <w:rFonts w:ascii="Arial" w:cs="Arial" w:eastAsia="Arial" w:hAnsi="Arial"/>
          <w:sz w:val="28"/>
          <w:szCs w:val="28"/>
        </w:rPr>
        <w:t xml:space="preserve">, P.; </w:t>
      </w:r>
      <w:r>
        <w:rPr>
          <w:rFonts w:ascii="Arial" w:cs="Arial" w:eastAsia="Arial" w:hAnsi="Arial"/>
          <w:sz w:val="28"/>
          <w:szCs w:val="28"/>
        </w:rPr>
        <w:t>Mendiratta</w:t>
      </w:r>
      <w:r>
        <w:rPr>
          <w:rFonts w:ascii="Arial" w:cs="Arial" w:eastAsia="Arial" w:hAnsi="Arial"/>
          <w:sz w:val="28"/>
          <w:szCs w:val="28"/>
        </w:rPr>
        <w:t>, S. K., &amp; Sharma, D., 2015. Identification of species origin of meat and meat products on the DNA basis: a review. Critical review in food science and nutrition, 55(10), 1340-1.</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Kuwayama</w:t>
      </w:r>
      <w:r>
        <w:rPr>
          <w:rFonts w:ascii="Arial" w:cs="Arial" w:eastAsia="Arial" w:hAnsi="Arial"/>
          <w:sz w:val="28"/>
          <w:szCs w:val="28"/>
        </w:rPr>
        <w:t xml:space="preserve">, R. and Ozawa, T., 2000. Phylogenetic relationships among European red deer, wapiti, and sika deer inferred from mitochondrial DNA sequences. </w:t>
      </w:r>
      <w:r>
        <w:rPr>
          <w:rFonts w:ascii="Arial" w:cs="Arial" w:eastAsia="Arial" w:hAnsi="Arial"/>
          <w:i/>
          <w:sz w:val="28"/>
          <w:szCs w:val="28"/>
        </w:rPr>
        <w:t>Molecular phylogenetics and evolution</w:t>
      </w:r>
      <w:r>
        <w:rPr>
          <w:rFonts w:ascii="Arial" w:cs="Arial" w:eastAsia="Arial" w:hAnsi="Arial"/>
          <w:sz w:val="28"/>
          <w:szCs w:val="28"/>
        </w:rPr>
        <w:t xml:space="preserve">, </w:t>
      </w:r>
      <w:r>
        <w:rPr>
          <w:rFonts w:ascii="Arial" w:cs="Arial" w:eastAsia="Arial" w:hAnsi="Arial"/>
          <w:i/>
          <w:sz w:val="28"/>
          <w:szCs w:val="28"/>
        </w:rPr>
        <w:t>15</w:t>
      </w:r>
      <w:r>
        <w:rPr>
          <w:rFonts w:ascii="Arial" w:cs="Arial" w:eastAsia="Arial" w:hAnsi="Arial"/>
          <w:sz w:val="28"/>
          <w:szCs w:val="28"/>
        </w:rPr>
        <w:t>(1), pp.115-123.</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Lavrov, D. V and </w:t>
      </w:r>
      <w:r>
        <w:rPr>
          <w:rFonts w:ascii="Arial" w:cs="Arial" w:eastAsia="Arial" w:hAnsi="Arial"/>
          <w:sz w:val="28"/>
          <w:szCs w:val="28"/>
        </w:rPr>
        <w:t>Pett</w:t>
      </w:r>
      <w:r>
        <w:rPr>
          <w:rFonts w:ascii="Arial" w:cs="Arial" w:eastAsia="Arial" w:hAnsi="Arial"/>
          <w:sz w:val="28"/>
          <w:szCs w:val="28"/>
        </w:rPr>
        <w:t xml:space="preserve">, W., 2016. ‘Animal Mitochondrial DNA as we do not know it: mt - Genome Organization and Evolution in Nonbilaterian Lineages’, 8(9), pp. 2896–2913. </w:t>
      </w:r>
      <w:r>
        <w:rPr>
          <w:rFonts w:ascii="Arial" w:cs="Arial" w:eastAsia="Arial" w:hAnsi="Arial"/>
          <w:sz w:val="28"/>
          <w:szCs w:val="28"/>
        </w:rPr>
        <w:t>doi</w:t>
      </w:r>
      <w:r>
        <w:rPr>
          <w:rFonts w:ascii="Arial" w:cs="Arial" w:eastAsia="Arial" w:hAnsi="Arial"/>
          <w:sz w:val="28"/>
          <w:szCs w:val="28"/>
        </w:rPr>
        <w:t>: 10.1093/</w:t>
      </w:r>
      <w:r>
        <w:rPr>
          <w:rFonts w:ascii="Arial" w:cs="Arial" w:eastAsia="Arial" w:hAnsi="Arial"/>
          <w:sz w:val="28"/>
          <w:szCs w:val="28"/>
        </w:rPr>
        <w:t>gbe</w:t>
      </w:r>
      <w:r>
        <w:rPr>
          <w:rFonts w:ascii="Arial" w:cs="Arial" w:eastAsia="Arial" w:hAnsi="Arial"/>
          <w:sz w:val="28"/>
          <w:szCs w:val="28"/>
        </w:rPr>
        <w:t>/evw195.</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Lee, J.C.I. and Chang, J.G., 1994. Random amplified polymorphic DNA polymerase chain reaction (RAPD PCR) fingerprints in forensic species identification. </w:t>
      </w:r>
      <w:r>
        <w:rPr>
          <w:rFonts w:ascii="Arial" w:cs="Arial" w:eastAsia="Arial" w:hAnsi="Arial"/>
          <w:i/>
          <w:sz w:val="28"/>
          <w:szCs w:val="28"/>
        </w:rPr>
        <w:t>Forensic science international</w:t>
      </w:r>
      <w:r>
        <w:rPr>
          <w:rFonts w:ascii="Arial" w:cs="Arial" w:eastAsia="Arial" w:hAnsi="Arial"/>
          <w:sz w:val="28"/>
          <w:szCs w:val="28"/>
        </w:rPr>
        <w:t xml:space="preserve">, </w:t>
      </w:r>
      <w:r>
        <w:rPr>
          <w:rFonts w:ascii="Arial" w:cs="Arial" w:eastAsia="Arial" w:hAnsi="Arial"/>
          <w:i/>
          <w:sz w:val="28"/>
          <w:szCs w:val="28"/>
        </w:rPr>
        <w:t>67</w:t>
      </w:r>
      <w:r>
        <w:rPr>
          <w:rFonts w:ascii="Arial" w:cs="Arial" w:eastAsia="Arial" w:hAnsi="Arial"/>
          <w:sz w:val="28"/>
          <w:szCs w:val="28"/>
        </w:rPr>
        <w:t>(2), pp.103-107.</w:t>
      </w:r>
      <w:r>
        <w:rPr/>
        <w:fldChar w:fldCharType="begin"/>
      </w:r>
      <w:r>
        <w:instrText xml:space="preserve"> HYPERLINK "https://doi.org/10.1016/0379-0738(94)90325-5"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"https://doi.org/10.1016/0379-0738(94)90325-5" </w:instrText>
      </w:r>
      <w:r>
        <w:rPr/>
        <w:fldChar w:fldCharType="separate"/>
      </w:r>
      <w:r>
        <w:rPr>
          <w:rFonts w:ascii="Arial" w:cs="Arial" w:eastAsia="Arial" w:hAnsi="Arial"/>
          <w:color w:val="1155cc"/>
          <w:sz w:val="28"/>
          <w:szCs w:val="28"/>
          <w:u w:val="single"/>
        </w:rPr>
        <w:t>https://doi.org/10.1016/0379-0738(94)90325-5</w:t>
      </w:r>
      <w:r>
        <w:rPr/>
        <w:fldChar w:fldCharType="end"/>
      </w:r>
      <w:r>
        <w:rPr>
          <w:rFonts w:ascii="Arial" w:cs="Arial" w:eastAsia="Arial" w:hAnsi="Arial"/>
          <w:sz w:val="28"/>
          <w:szCs w:val="28"/>
        </w:rPr>
        <w: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Lill</w:t>
      </w:r>
      <w:r>
        <w:rPr>
          <w:rFonts w:ascii="Arial" w:cs="Arial" w:eastAsia="Arial" w:hAnsi="Arial"/>
          <w:sz w:val="28"/>
          <w:szCs w:val="28"/>
        </w:rPr>
        <w:t xml:space="preserve">, R.; </w:t>
      </w:r>
      <w:r>
        <w:rPr>
          <w:rFonts w:ascii="Arial" w:cs="Arial" w:eastAsia="Arial" w:hAnsi="Arial"/>
          <w:sz w:val="28"/>
          <w:szCs w:val="28"/>
        </w:rPr>
        <w:t>Diekert</w:t>
      </w:r>
      <w:r>
        <w:rPr>
          <w:rFonts w:ascii="Arial" w:cs="Arial" w:eastAsia="Arial" w:hAnsi="Arial"/>
          <w:sz w:val="28"/>
          <w:szCs w:val="28"/>
        </w:rPr>
        <w:t xml:space="preserve">, K.; </w:t>
      </w:r>
      <w:r>
        <w:rPr>
          <w:rFonts w:ascii="Arial" w:cs="Arial" w:eastAsia="Arial" w:hAnsi="Arial"/>
          <w:sz w:val="28"/>
          <w:szCs w:val="28"/>
        </w:rPr>
        <w:t>Kaut</w:t>
      </w:r>
      <w:r>
        <w:rPr>
          <w:rFonts w:ascii="Arial" w:cs="Arial" w:eastAsia="Arial" w:hAnsi="Arial"/>
          <w:sz w:val="28"/>
          <w:szCs w:val="28"/>
        </w:rPr>
        <w:t xml:space="preserve">, A.; Lange, H.; Pelzer, W.; </w:t>
      </w:r>
      <w:r>
        <w:rPr>
          <w:rFonts w:ascii="Arial" w:cs="Arial" w:eastAsia="Arial" w:hAnsi="Arial"/>
          <w:sz w:val="28"/>
          <w:szCs w:val="28"/>
        </w:rPr>
        <w:t>Prohl</w:t>
      </w:r>
      <w:r>
        <w:rPr>
          <w:rFonts w:ascii="Arial" w:cs="Arial" w:eastAsia="Arial" w:hAnsi="Arial"/>
          <w:sz w:val="28"/>
          <w:szCs w:val="28"/>
        </w:rPr>
        <w:t xml:space="preserve">, C. and </w:t>
      </w:r>
      <w:r>
        <w:rPr>
          <w:rFonts w:ascii="Arial" w:cs="Arial" w:eastAsia="Arial" w:hAnsi="Arial"/>
          <w:sz w:val="28"/>
          <w:szCs w:val="28"/>
        </w:rPr>
        <w:t>Kispal</w:t>
      </w:r>
      <w:r>
        <w:rPr>
          <w:rFonts w:ascii="Arial" w:cs="Arial" w:eastAsia="Arial" w:hAnsi="Arial"/>
          <w:sz w:val="28"/>
          <w:szCs w:val="28"/>
        </w:rPr>
        <w:t xml:space="preserve">, G., 1999. The essential role of mitochondria in the biogenesis of cellular iron-sulfur proteins. </w:t>
      </w:r>
      <w:r>
        <w:rPr>
          <w:rFonts w:ascii="Arial" w:cs="Arial" w:eastAsia="Arial" w:hAnsi="Arial"/>
          <w:i/>
          <w:sz w:val="28"/>
          <w:szCs w:val="28"/>
        </w:rPr>
        <w:t>Biological chemistry</w:t>
      </w:r>
      <w:r>
        <w:rPr>
          <w:rFonts w:ascii="Arial" w:cs="Arial" w:eastAsia="Arial" w:hAnsi="Arial"/>
          <w:sz w:val="28"/>
          <w:szCs w:val="28"/>
        </w:rPr>
        <w:t xml:space="preserve">, </w:t>
      </w:r>
      <w:r>
        <w:rPr>
          <w:rFonts w:ascii="Arial" w:cs="Arial" w:eastAsia="Arial" w:hAnsi="Arial"/>
          <w:i/>
          <w:sz w:val="28"/>
          <w:szCs w:val="28"/>
        </w:rPr>
        <w:t>380</w:t>
      </w:r>
      <w:r>
        <w:rPr>
          <w:rFonts w:ascii="Arial" w:cs="Arial" w:eastAsia="Arial" w:hAnsi="Arial"/>
          <w:sz w:val="28"/>
          <w:szCs w:val="28"/>
        </w:rPr>
        <w:t>(10), pp.1157-1166. DOI:</w:t>
      </w:r>
      <w:r>
        <w:rPr/>
        <w:fldChar w:fldCharType="begin"/>
      </w:r>
      <w:r>
        <w:instrText xml:space="preserve"> HYPERLINK "https://doi.org/10.1515/BC.1999.147"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"https://doi.org/10.1515/BC.1999.147" </w:instrText>
      </w:r>
      <w:r>
        <w:rPr/>
        <w:fldChar w:fldCharType="separate"/>
      </w:r>
      <w:r>
        <w:rPr>
          <w:rFonts w:ascii="Arial" w:cs="Arial" w:eastAsia="Arial" w:hAnsi="Arial"/>
          <w:color w:val="1155cc"/>
          <w:sz w:val="28"/>
          <w:szCs w:val="28"/>
          <w:u w:val="single"/>
        </w:rPr>
        <w:t>https://doi.org/10.1515/BC.1999.147</w:t>
      </w:r>
      <w:r>
        <w:rPr/>
        <w:fldChar w:fldCharType="end"/>
      </w:r>
      <w:r>
        <w:rPr>
          <w:rFonts w:ascii="Arial" w:cs="Arial" w:eastAsia="Arial" w:hAnsi="Arial"/>
          <w:sz w:val="28"/>
          <w:szCs w:val="28"/>
        </w:rPr>
        <w: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Luo, S.; Valencia, C.A.; Zhang, J; Lee, N.C.; Slone, J.; </w:t>
      </w:r>
      <w:r>
        <w:rPr>
          <w:rFonts w:ascii="Arial" w:cs="Arial" w:eastAsia="Arial" w:hAnsi="Arial"/>
          <w:sz w:val="28"/>
          <w:szCs w:val="28"/>
        </w:rPr>
        <w:t>Gui</w:t>
      </w:r>
      <w:r>
        <w:rPr>
          <w:rFonts w:ascii="Arial" w:cs="Arial" w:eastAsia="Arial" w:hAnsi="Arial"/>
          <w:sz w:val="28"/>
          <w:szCs w:val="28"/>
        </w:rPr>
        <w:t xml:space="preserve">, B.; Wang, X.; Li, Z.; Dell, S.; Brown, J.; </w:t>
      </w:r>
      <w:r>
        <w:rPr>
          <w:rFonts w:ascii="Arial" w:cs="Arial" w:eastAsia="Arial" w:hAnsi="Arial"/>
          <w:sz w:val="28"/>
          <w:szCs w:val="28"/>
        </w:rPr>
        <w:t>etal</w:t>
      </w:r>
      <w:r>
        <w:rPr>
          <w:rFonts w:ascii="Arial" w:cs="Arial" w:eastAsia="Arial" w:hAnsi="Arial"/>
          <w:sz w:val="28"/>
          <w:szCs w:val="28"/>
        </w:rPr>
        <w:t xml:space="preserve">. Biparental Inheritance of Mitochondrial DNA in Humans. </w:t>
      </w:r>
      <w:r>
        <w:rPr>
          <w:rFonts w:ascii="Arial" w:cs="Arial" w:eastAsia="Arial" w:hAnsi="Arial"/>
          <w:sz w:val="28"/>
          <w:szCs w:val="28"/>
        </w:rPr>
        <w:t>Proc</w:t>
      </w:r>
      <w:r>
        <w:rPr>
          <w:rFonts w:ascii="Arial" w:cs="Arial" w:eastAsia="Arial" w:hAnsi="Arial"/>
          <w:sz w:val="28"/>
          <w:szCs w:val="28"/>
        </w:rPr>
        <w:t xml:space="preserve"> Natl </w:t>
      </w:r>
      <w:r>
        <w:rPr>
          <w:rFonts w:ascii="Arial" w:cs="Arial" w:eastAsia="Arial" w:hAnsi="Arial"/>
          <w:sz w:val="28"/>
          <w:szCs w:val="28"/>
        </w:rPr>
        <w:t>Acad</w:t>
      </w:r>
      <w:r>
        <w:rPr>
          <w:rFonts w:ascii="Arial" w:cs="Arial" w:eastAsia="Arial" w:hAnsi="Arial"/>
          <w:sz w:val="28"/>
          <w:szCs w:val="28"/>
        </w:rPr>
        <w:t xml:space="preserve"> </w:t>
      </w:r>
      <w:r>
        <w:rPr>
          <w:rFonts w:ascii="Arial" w:cs="Arial" w:eastAsia="Arial" w:hAnsi="Arial"/>
          <w:sz w:val="28"/>
          <w:szCs w:val="28"/>
        </w:rPr>
        <w:t>Sci</w:t>
      </w:r>
      <w:r>
        <w:rPr>
          <w:rFonts w:ascii="Arial" w:cs="Arial" w:eastAsia="Arial" w:hAnsi="Arial"/>
          <w:sz w:val="28"/>
          <w:szCs w:val="28"/>
        </w:rPr>
        <w:t xml:space="preserve"> USA. 2018; 115: 13039-13044.</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Maddocks, S. and Jenkins, R., 2016. Understanding PCR: A Practical Bench-top Guide. Elsevier Academic Press. Page 4.</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McFarland, R.; Hudson, G.; Taylor, R.W.; Green, S.H.; Hodges, S.; McKiernan, P.J.; Chinnery, P.F. and Ramesh, V., 2009. Reversible valproate hepatotoxicity due to mutations in mitochondrial DNA polymerase γ (POLG1). </w:t>
      </w:r>
      <w:r>
        <w:rPr>
          <w:rFonts w:ascii="Arial" w:cs="Arial" w:eastAsia="Arial" w:hAnsi="Arial"/>
          <w:i/>
          <w:sz w:val="28"/>
          <w:szCs w:val="28"/>
        </w:rPr>
        <w:t>BMJ case reports</w:t>
      </w:r>
      <w:r>
        <w:rPr>
          <w:rFonts w:ascii="Arial" w:cs="Arial" w:eastAsia="Arial" w:hAnsi="Arial"/>
          <w:sz w:val="28"/>
          <w:szCs w:val="28"/>
        </w:rPr>
        <w:t xml:space="preserve">, </w:t>
      </w:r>
      <w:r>
        <w:rPr>
          <w:rFonts w:ascii="Arial" w:cs="Arial" w:eastAsia="Arial" w:hAnsi="Arial"/>
          <w:i/>
          <w:sz w:val="28"/>
          <w:szCs w:val="28"/>
        </w:rPr>
        <w:t>2009</w:t>
      </w:r>
      <w:r>
        <w:rPr>
          <w:rFonts w:ascii="Arial" w:cs="Arial" w:eastAsia="Arial" w:hAnsi="Arial"/>
          <w:sz w:val="28"/>
          <w:szCs w:val="28"/>
        </w:rPr>
        <w:t>, p.bcr1220081303.</w:t>
      </w:r>
      <w:r>
        <w:rPr/>
        <w:fldChar w:fldCharType="begin"/>
      </w:r>
      <w:r>
        <w:instrText xml:space="preserve"> HYPERLINK "http://dx.doi.org/10.1136/bcr.12.2008.1303"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"http://dx.doi.org/10.1136/bcr.12.2008.1303" </w:instrText>
      </w:r>
      <w:r>
        <w:rPr/>
        <w:fldChar w:fldCharType="separate"/>
      </w:r>
      <w:r>
        <w:rPr>
          <w:rFonts w:ascii="Arial" w:cs="Arial" w:eastAsia="Arial" w:hAnsi="Arial"/>
          <w:color w:val="1155cc"/>
          <w:sz w:val="28"/>
          <w:szCs w:val="28"/>
          <w:u w:val="single"/>
        </w:rPr>
        <w:t>http://dx.doi.org/10.1136/bcr.12.2008.1303</w:t>
      </w:r>
      <w:r>
        <w:rPr/>
        <w:fldChar w:fldCharType="end"/>
      </w:r>
      <w:r>
        <w:rPr>
          <w:rFonts w:ascii="Arial" w:cs="Arial" w:eastAsia="Arial" w:hAnsi="Arial"/>
          <w:sz w:val="28"/>
          <w:szCs w:val="28"/>
        </w:rPr>
        <w: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Melton, T. and Holland, C., 2007. Routine forensic use of the mitochondrial 12S ribosomal RNA gene for species identification. </w:t>
      </w:r>
      <w:r>
        <w:rPr>
          <w:rFonts w:ascii="Arial" w:cs="Arial" w:eastAsia="Arial" w:hAnsi="Arial"/>
          <w:i/>
          <w:sz w:val="28"/>
          <w:szCs w:val="28"/>
        </w:rPr>
        <w:t>Journal of forensic sciences</w:t>
      </w:r>
      <w:r>
        <w:rPr>
          <w:rFonts w:ascii="Arial" w:cs="Arial" w:eastAsia="Arial" w:hAnsi="Arial"/>
          <w:sz w:val="28"/>
          <w:szCs w:val="28"/>
        </w:rPr>
        <w:t xml:space="preserve">, </w:t>
      </w:r>
      <w:r>
        <w:rPr>
          <w:rFonts w:ascii="Arial" w:cs="Arial" w:eastAsia="Arial" w:hAnsi="Arial"/>
          <w:i/>
          <w:sz w:val="28"/>
          <w:szCs w:val="28"/>
        </w:rPr>
        <w:t>52</w:t>
      </w:r>
      <w:r>
        <w:rPr>
          <w:rFonts w:ascii="Arial" w:cs="Arial" w:eastAsia="Arial" w:hAnsi="Arial"/>
          <w:sz w:val="28"/>
          <w:szCs w:val="28"/>
        </w:rPr>
        <w:t>(6), pp.1305-1307.</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Meunier, J. R. &amp; </w:t>
      </w:r>
      <w:r>
        <w:rPr>
          <w:rFonts w:ascii="Arial" w:cs="Arial" w:eastAsia="Arial" w:hAnsi="Arial"/>
          <w:sz w:val="28"/>
          <w:szCs w:val="28"/>
        </w:rPr>
        <w:t>Grimont</w:t>
      </w:r>
      <w:r>
        <w:rPr>
          <w:rFonts w:ascii="Arial" w:cs="Arial" w:eastAsia="Arial" w:hAnsi="Arial"/>
          <w:sz w:val="28"/>
          <w:szCs w:val="28"/>
        </w:rPr>
        <w:t>, P. (1993). Factors affecting reproducibility of Random amplified polymorphic DNA finger printing. Research in microbiology, 144(5), 373-379.</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Mitani</w:t>
      </w:r>
      <w:r>
        <w:rPr>
          <w:rFonts w:ascii="Arial" w:cs="Arial" w:eastAsia="Arial" w:hAnsi="Arial"/>
          <w:sz w:val="28"/>
          <w:szCs w:val="28"/>
        </w:rPr>
        <w:t xml:space="preserve">, T.; </w:t>
      </w:r>
      <w:r>
        <w:rPr>
          <w:rFonts w:ascii="Arial" w:cs="Arial" w:eastAsia="Arial" w:hAnsi="Arial"/>
          <w:sz w:val="28"/>
          <w:szCs w:val="28"/>
        </w:rPr>
        <w:t>Akane</w:t>
      </w:r>
      <w:r>
        <w:rPr>
          <w:rFonts w:ascii="Arial" w:cs="Arial" w:eastAsia="Arial" w:hAnsi="Arial"/>
          <w:sz w:val="28"/>
          <w:szCs w:val="28"/>
        </w:rPr>
        <w:t xml:space="preserve">, A.; </w:t>
      </w:r>
      <w:r>
        <w:rPr>
          <w:rFonts w:ascii="Arial" w:cs="Arial" w:eastAsia="Arial" w:hAnsi="Arial"/>
          <w:sz w:val="28"/>
          <w:szCs w:val="28"/>
        </w:rPr>
        <w:t>Tokiyasu</w:t>
      </w:r>
      <w:r>
        <w:rPr>
          <w:rFonts w:ascii="Arial" w:cs="Arial" w:eastAsia="Arial" w:hAnsi="Arial"/>
          <w:sz w:val="28"/>
          <w:szCs w:val="28"/>
        </w:rPr>
        <w:t xml:space="preserve">, T.; Yoshimura, S.; </w:t>
      </w:r>
      <w:r>
        <w:rPr>
          <w:rFonts w:ascii="Arial" w:cs="Arial" w:eastAsia="Arial" w:hAnsi="Arial"/>
          <w:sz w:val="28"/>
          <w:szCs w:val="28"/>
        </w:rPr>
        <w:t>Okii</w:t>
      </w:r>
      <w:r>
        <w:rPr>
          <w:rFonts w:ascii="Arial" w:cs="Arial" w:eastAsia="Arial" w:hAnsi="Arial"/>
          <w:sz w:val="28"/>
          <w:szCs w:val="28"/>
        </w:rPr>
        <w:t xml:space="preserve">, Y. and Yoshida, M., 2009. Identification of animal species using the partial sequences in the mitochondrial 16S rRNA gene. </w:t>
      </w:r>
      <w:r>
        <w:rPr>
          <w:rFonts w:ascii="Arial" w:cs="Arial" w:eastAsia="Arial" w:hAnsi="Arial"/>
          <w:i/>
          <w:sz w:val="28"/>
          <w:szCs w:val="28"/>
        </w:rPr>
        <w:t>Legal medicine</w:t>
      </w:r>
      <w:r>
        <w:rPr>
          <w:rFonts w:ascii="Arial" w:cs="Arial" w:eastAsia="Arial" w:hAnsi="Arial"/>
          <w:sz w:val="28"/>
          <w:szCs w:val="28"/>
        </w:rPr>
        <w:t xml:space="preserve">, </w:t>
      </w:r>
      <w:r>
        <w:rPr>
          <w:rFonts w:ascii="Arial" w:cs="Arial" w:eastAsia="Arial" w:hAnsi="Arial"/>
          <w:i/>
          <w:sz w:val="28"/>
          <w:szCs w:val="28"/>
        </w:rPr>
        <w:t>11</w:t>
      </w:r>
      <w:r>
        <w:rPr>
          <w:rFonts w:ascii="Arial" w:cs="Arial" w:eastAsia="Arial" w:hAnsi="Arial"/>
          <w:sz w:val="28"/>
          <w:szCs w:val="28"/>
        </w:rPr>
        <w:t>, pp.S449-S450.</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Nesheva</w:t>
      </w:r>
      <w:r>
        <w:rPr>
          <w:rFonts w:ascii="Arial" w:cs="Arial" w:eastAsia="Arial" w:hAnsi="Arial"/>
          <w:sz w:val="28"/>
          <w:szCs w:val="28"/>
        </w:rPr>
        <w:t xml:space="preserve">, D.V., 2014. Aspects of ancient mitochondrial DNA analysis in different populations for understanding human evolution. </w:t>
      </w:r>
      <w:r>
        <w:rPr>
          <w:rFonts w:ascii="Arial" w:cs="Arial" w:eastAsia="Arial" w:hAnsi="Arial"/>
          <w:i/>
          <w:sz w:val="28"/>
          <w:szCs w:val="28"/>
        </w:rPr>
        <w:t>Balkan journal of medical genetics</w:t>
      </w:r>
      <w:r>
        <w:rPr>
          <w:rFonts w:ascii="Arial" w:cs="Arial" w:eastAsia="Arial" w:hAnsi="Arial"/>
          <w:sz w:val="28"/>
          <w:szCs w:val="28"/>
        </w:rPr>
        <w:t xml:space="preserve">, </w:t>
      </w:r>
      <w:r>
        <w:rPr>
          <w:rFonts w:ascii="Arial" w:cs="Arial" w:eastAsia="Arial" w:hAnsi="Arial"/>
          <w:i/>
          <w:sz w:val="28"/>
          <w:szCs w:val="28"/>
        </w:rPr>
        <w:t>17</w:t>
      </w:r>
      <w:r>
        <w:rPr>
          <w:rFonts w:ascii="Arial" w:cs="Arial" w:eastAsia="Arial" w:hAnsi="Arial"/>
          <w:sz w:val="28"/>
          <w:szCs w:val="28"/>
        </w:rPr>
        <w:t>(1), pp.5-14. DOI: 10.2478/bjmg-2014-0019.</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Nicholls, D.G.; </w:t>
      </w:r>
      <w:r>
        <w:rPr>
          <w:rFonts w:ascii="Arial" w:cs="Arial" w:eastAsia="Arial" w:hAnsi="Arial"/>
          <w:sz w:val="28"/>
          <w:szCs w:val="28"/>
        </w:rPr>
        <w:t>Vesce</w:t>
      </w:r>
      <w:r>
        <w:rPr>
          <w:rFonts w:ascii="Arial" w:cs="Arial" w:eastAsia="Arial" w:hAnsi="Arial"/>
          <w:sz w:val="28"/>
          <w:szCs w:val="28"/>
        </w:rPr>
        <w:t xml:space="preserve">, S.; Kirk, L. and Chalmers, S., 2003. Interactions between mitochondrial bioenergetics and cytoplasmic calcium in cultured cerebellar granule cells. </w:t>
      </w:r>
      <w:r>
        <w:rPr>
          <w:rFonts w:ascii="Arial" w:cs="Arial" w:eastAsia="Arial" w:hAnsi="Arial"/>
          <w:i/>
          <w:sz w:val="28"/>
          <w:szCs w:val="28"/>
        </w:rPr>
        <w:t>Cell calcium</w:t>
      </w:r>
      <w:r>
        <w:rPr>
          <w:rFonts w:ascii="Arial" w:cs="Arial" w:eastAsia="Arial" w:hAnsi="Arial"/>
          <w:sz w:val="28"/>
          <w:szCs w:val="28"/>
        </w:rPr>
        <w:t xml:space="preserve">, </w:t>
      </w:r>
      <w:r>
        <w:rPr>
          <w:rFonts w:ascii="Arial" w:cs="Arial" w:eastAsia="Arial" w:hAnsi="Arial"/>
          <w:i/>
          <w:sz w:val="28"/>
          <w:szCs w:val="28"/>
        </w:rPr>
        <w:t>34</w:t>
      </w:r>
      <w:r>
        <w:rPr>
          <w:rFonts w:ascii="Arial" w:cs="Arial" w:eastAsia="Arial" w:hAnsi="Arial"/>
          <w:sz w:val="28"/>
          <w:szCs w:val="28"/>
        </w:rPr>
        <w:t>(4-5), pp.407-424.</w:t>
      </w:r>
      <w:r>
        <w:rPr/>
        <w:fldChar w:fldCharType="begin"/>
      </w:r>
      <w:r>
        <w:instrText xml:space="preserve"> HYPERLINK "https://doi.org/10.1016/S0143-4160(03)00144-1"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"https://doi.org/10.1016/S0143-4160(03)00144-1" </w:instrText>
      </w:r>
      <w:r>
        <w:rPr/>
        <w:fldChar w:fldCharType="separate"/>
      </w:r>
      <w:r>
        <w:rPr>
          <w:rFonts w:ascii="Arial" w:cs="Arial" w:eastAsia="Arial" w:hAnsi="Arial"/>
          <w:color w:val="1155cc"/>
          <w:sz w:val="28"/>
          <w:szCs w:val="28"/>
          <w:u w:val="single"/>
        </w:rPr>
        <w:t>https://doi.org/10.1016/S0143-4160(03)00144-1</w:t>
      </w:r>
      <w:r>
        <w:rPr/>
        <w:fldChar w:fldCharType="end"/>
      </w:r>
      <w:r>
        <w:rPr>
          <w:rFonts w:ascii="Arial" w:cs="Arial" w:eastAsia="Arial" w:hAnsi="Arial"/>
          <w:sz w:val="28"/>
          <w:szCs w:val="28"/>
        </w:rPr>
        <w:t>.</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Ochman</w:t>
      </w:r>
      <w:r>
        <w:rPr>
          <w:rFonts w:ascii="Arial" w:cs="Arial" w:eastAsia="Arial" w:hAnsi="Arial"/>
          <w:sz w:val="28"/>
          <w:szCs w:val="28"/>
        </w:rPr>
        <w:t xml:space="preserve">, H.; Gerber, A. S. &amp; </w:t>
      </w:r>
      <w:r>
        <w:rPr>
          <w:rFonts w:ascii="Arial" w:cs="Arial" w:eastAsia="Arial" w:hAnsi="Arial"/>
          <w:sz w:val="28"/>
          <w:szCs w:val="28"/>
        </w:rPr>
        <w:t>Hartl</w:t>
      </w:r>
      <w:r>
        <w:rPr>
          <w:rFonts w:ascii="Arial" w:cs="Arial" w:eastAsia="Arial" w:hAnsi="Arial"/>
          <w:sz w:val="28"/>
          <w:szCs w:val="28"/>
        </w:rPr>
        <w:t>, D. L., 1988. Genetic applications of an Inverse polymerase chain reaction. Genetics, 120(3), 621-623.</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Pakendorf</w:t>
      </w:r>
      <w:r>
        <w:rPr>
          <w:rFonts w:ascii="Arial" w:cs="Arial" w:eastAsia="Arial" w:hAnsi="Arial"/>
          <w:sz w:val="28"/>
          <w:szCs w:val="28"/>
        </w:rPr>
        <w:t xml:space="preserve">, B. and </w:t>
      </w:r>
      <w:r>
        <w:rPr>
          <w:rFonts w:ascii="Arial" w:cs="Arial" w:eastAsia="Arial" w:hAnsi="Arial"/>
          <w:sz w:val="28"/>
          <w:szCs w:val="28"/>
        </w:rPr>
        <w:t>Stoneking</w:t>
      </w:r>
      <w:r>
        <w:rPr>
          <w:rFonts w:ascii="Arial" w:cs="Arial" w:eastAsia="Arial" w:hAnsi="Arial"/>
          <w:sz w:val="28"/>
          <w:szCs w:val="28"/>
        </w:rPr>
        <w:t xml:space="preserve">, M., 2005. Mitochondrial DNA and human evolution. </w:t>
      </w:r>
      <w:r>
        <w:rPr>
          <w:rFonts w:ascii="Arial" w:cs="Arial" w:eastAsia="Arial" w:hAnsi="Arial"/>
          <w:i/>
          <w:sz w:val="28"/>
          <w:szCs w:val="28"/>
        </w:rPr>
        <w:t>Annu</w:t>
      </w:r>
      <w:r>
        <w:rPr>
          <w:rFonts w:ascii="Arial" w:cs="Arial" w:eastAsia="Arial" w:hAnsi="Arial"/>
          <w:i/>
          <w:sz w:val="28"/>
          <w:szCs w:val="28"/>
        </w:rPr>
        <w:t>. Rev. Genomics Hum. Genet.</w:t>
      </w:r>
      <w:r>
        <w:rPr>
          <w:rFonts w:ascii="Arial" w:cs="Arial" w:eastAsia="Arial" w:hAnsi="Arial"/>
          <w:sz w:val="28"/>
          <w:szCs w:val="28"/>
        </w:rPr>
        <w:t xml:space="preserve">, </w:t>
      </w:r>
      <w:r>
        <w:rPr>
          <w:rFonts w:ascii="Arial" w:cs="Arial" w:eastAsia="Arial" w:hAnsi="Arial"/>
          <w:i/>
          <w:sz w:val="28"/>
          <w:szCs w:val="28"/>
        </w:rPr>
        <w:t>6</w:t>
      </w:r>
      <w:r>
        <w:rPr>
          <w:rFonts w:ascii="Arial" w:cs="Arial" w:eastAsia="Arial" w:hAnsi="Arial"/>
          <w:sz w:val="28"/>
          <w:szCs w:val="28"/>
        </w:rPr>
        <w:t>, pp.165-183.</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Perry, G.H.; </w:t>
      </w:r>
      <w:r>
        <w:rPr>
          <w:rFonts w:ascii="Arial" w:cs="Arial" w:eastAsia="Arial" w:hAnsi="Arial"/>
          <w:sz w:val="28"/>
          <w:szCs w:val="28"/>
        </w:rPr>
        <w:t>Dominy</w:t>
      </w:r>
      <w:r>
        <w:rPr>
          <w:rFonts w:ascii="Arial" w:cs="Arial" w:eastAsia="Arial" w:hAnsi="Arial"/>
          <w:sz w:val="28"/>
          <w:szCs w:val="28"/>
        </w:rPr>
        <w:t xml:space="preserve">, N.J.; Claw, K.G.; Lee, A.S.; </w:t>
      </w:r>
      <w:r>
        <w:rPr>
          <w:rFonts w:ascii="Arial" w:cs="Arial" w:eastAsia="Arial" w:hAnsi="Arial"/>
          <w:sz w:val="28"/>
          <w:szCs w:val="28"/>
        </w:rPr>
        <w:t>Fiegler</w:t>
      </w:r>
      <w:r>
        <w:rPr>
          <w:rFonts w:ascii="Arial" w:cs="Arial" w:eastAsia="Arial" w:hAnsi="Arial"/>
          <w:sz w:val="28"/>
          <w:szCs w:val="28"/>
        </w:rPr>
        <w:t xml:space="preserve">, H.; Redon, R.; Werner, J.; </w:t>
      </w:r>
      <w:r>
        <w:rPr>
          <w:rFonts w:ascii="Arial" w:cs="Arial" w:eastAsia="Arial" w:hAnsi="Arial"/>
          <w:sz w:val="28"/>
          <w:szCs w:val="28"/>
        </w:rPr>
        <w:t>Villanea</w:t>
      </w:r>
      <w:r>
        <w:rPr>
          <w:rFonts w:ascii="Arial" w:cs="Arial" w:eastAsia="Arial" w:hAnsi="Arial"/>
          <w:sz w:val="28"/>
          <w:szCs w:val="28"/>
        </w:rPr>
        <w:t xml:space="preserve">, F.A.; Mountain, J.L.; </w:t>
      </w:r>
      <w:r>
        <w:rPr>
          <w:rFonts w:ascii="Arial" w:cs="Arial" w:eastAsia="Arial" w:hAnsi="Arial"/>
          <w:sz w:val="28"/>
          <w:szCs w:val="28"/>
        </w:rPr>
        <w:t>Misra</w:t>
      </w:r>
      <w:r>
        <w:rPr>
          <w:rFonts w:ascii="Arial" w:cs="Arial" w:eastAsia="Arial" w:hAnsi="Arial"/>
          <w:sz w:val="28"/>
          <w:szCs w:val="28"/>
        </w:rPr>
        <w:t xml:space="preserve">, R. and Carter, N.P., 2007. Diet and the evolution of human amylase gene copy number variation. </w:t>
      </w:r>
      <w:r>
        <w:rPr>
          <w:rFonts w:ascii="Arial" w:cs="Arial" w:eastAsia="Arial" w:hAnsi="Arial"/>
          <w:i/>
          <w:sz w:val="28"/>
          <w:szCs w:val="28"/>
        </w:rPr>
        <w:t>Nature genetics</w:t>
      </w:r>
      <w:r>
        <w:rPr>
          <w:rFonts w:ascii="Arial" w:cs="Arial" w:eastAsia="Arial" w:hAnsi="Arial"/>
          <w:sz w:val="28"/>
          <w:szCs w:val="28"/>
        </w:rPr>
        <w:t xml:space="preserve">, </w:t>
      </w:r>
      <w:r>
        <w:rPr>
          <w:rFonts w:ascii="Arial" w:cs="Arial" w:eastAsia="Arial" w:hAnsi="Arial"/>
          <w:i/>
          <w:sz w:val="28"/>
          <w:szCs w:val="28"/>
        </w:rPr>
        <w:t>39</w:t>
      </w:r>
      <w:r>
        <w:rPr>
          <w:rFonts w:ascii="Arial" w:cs="Arial" w:eastAsia="Arial" w:hAnsi="Arial"/>
          <w:sz w:val="28"/>
          <w:szCs w:val="28"/>
        </w:rPr>
        <w:t>(10), p.1256.</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 xml:space="preserve">Rebecca, S.; Irwin, J.A. and Parson, W., 2015. Mitochondrial DNA </w:t>
      </w:r>
      <w:r>
        <w:rPr>
          <w:rFonts w:ascii="Arial" w:cs="Arial" w:eastAsia="Arial" w:hAnsi="Arial"/>
          <w:sz w:val="28"/>
          <w:szCs w:val="28"/>
        </w:rPr>
        <w:t>heteroplasmy</w:t>
      </w:r>
      <w:r>
        <w:rPr>
          <w:rFonts w:ascii="Arial" w:cs="Arial" w:eastAsia="Arial" w:hAnsi="Arial"/>
          <w:sz w:val="28"/>
          <w:szCs w:val="28"/>
        </w:rPr>
        <w:t xml:space="preserve"> in the emerging field of massively parallel sequencing. Forensic Sci Int Genet 18:131-139. </w:t>
      </w:r>
      <w:r>
        <w:rPr>
          <w:rFonts w:ascii="Arial" w:cs="Arial" w:eastAsia="Arial" w:hAnsi="Arial"/>
          <w:sz w:val="28"/>
          <w:szCs w:val="28"/>
        </w:rPr>
        <w:t>doi</w:t>
      </w:r>
      <w:r>
        <w:rPr>
          <w:rFonts w:ascii="Arial" w:cs="Arial" w:eastAsia="Arial" w:hAnsi="Arial"/>
          <w:sz w:val="28"/>
          <w:szCs w:val="28"/>
        </w:rPr>
        <w:t>: 10.1016/j.fsigen.2015.05.003.</w:t>
      </w:r>
    </w:p>
    <w:p>
      <w:pPr>
        <w:pStyle w:val="style0"/>
        <w:widowControl w:val="false"/>
        <w:numPr>
          <w:ilvl w:val="0"/>
          <w:numId w:val="1"/>
        </w:numPr>
        <w:spacing w:after="0" w:lineRule="auto" w:line="276"/>
        <w:ind w:firstLine="360"/>
        <w:rPr>
          <w:rFonts w:ascii="Arial" w:cs="Arial" w:eastAsia="Arial" w:hAnsi="Arial"/>
          <w:sz w:val="28"/>
          <w:szCs w:val="28"/>
        </w:rPr>
      </w:pPr>
      <w:r>
        <w:rPr>
          <w:rFonts w:ascii="Arial" w:cs="Arial" w:eastAsia="Arial" w:hAnsi="Arial"/>
          <w:sz w:val="28"/>
          <w:szCs w:val="28"/>
        </w:rPr>
        <w:t>Richard, Li.; Norman, S. and Schober, J, 2015. '</w:t>
      </w:r>
      <w:r>
        <w:rPr>
          <w:rFonts w:ascii="Arial" w:cs="Arial" w:eastAsia="Arial" w:hAnsi="Arial"/>
          <w:i/>
          <w:sz w:val="28"/>
          <w:szCs w:val="28"/>
        </w:rPr>
        <w:t>Forensic biology</w:t>
      </w:r>
      <w:r>
        <w:rPr>
          <w:rFonts w:ascii="Arial" w:cs="Arial" w:eastAsia="Arial" w:hAnsi="Arial"/>
          <w:sz w:val="28"/>
          <w:szCs w:val="28"/>
        </w:rPr>
        <w:t>'. CRC Press.</w:t>
      </w:r>
      <w:r>
        <w:rPr/>
        <w:fldChar w:fldCharType="begin"/>
      </w:r>
      <w:r>
        <w:instrText xml:space="preserve"> HYPERLINK "https://doi.org/10.1201/b18209" </w:instrText>
      </w:r>
      <w:r>
        <w:rPr/>
        <w:fldChar w:fldCharType="separate"/>
      </w:r>
      <w:r>
        <w:rPr>
          <w:rFonts w:ascii="Arial" w:cs="Arial" w:eastAsia="Arial" w:hAnsi="Arial"/>
          <w:sz w:val="28"/>
          <w:szCs w:val="28"/>
        </w:rPr>
        <w:t xml:space="preserve"> </w:t>
      </w:r>
      <w:r>
        <w:rPr/>
        <w:fldChar w:fldCharType="end"/>
      </w:r>
      <w:r>
        <w:rPr/>
        <w:fldChar w:fldCharType="begin"/>
      </w:r>
      <w:r>
        <w:instrText xml:space="preserve"> HYPERLINK "https://doi.org/10.1201/b18209" </w:instrText>
      </w:r>
      <w:r>
        <w:rPr/>
        <w:fldChar w:fldCharType="separate"/>
      </w:r>
      <w:r>
        <w:rPr>
          <w:rFonts w:ascii="Arial" w:cs="Arial" w:eastAsia="Arial" w:hAnsi="Arial"/>
          <w:color w:val="1155cc"/>
          <w:sz w:val="28"/>
          <w:szCs w:val="28"/>
          <w:u w:val="single"/>
        </w:rPr>
        <w:t>https://doi.org/10.1201/b18209</w:t>
      </w:r>
      <w:r>
        <w:rPr/>
        <w:fldChar w:fldCharType="end"/>
      </w:r>
      <w:r>
        <w:rPr>
          <w:rFonts w:ascii="Arial" w:cs="Arial" w:eastAsia="Arial" w:hAnsi="Arial"/>
          <w:sz w:val="28"/>
          <w:szCs w:val="28"/>
        </w:rPr>
        <w:t>.</w:t>
      </w:r>
    </w:p>
    <w:p>
      <w:pPr>
        <w:pStyle w:val="style0"/>
        <w:widowControl w:val="false"/>
        <w:numPr>
          <w:ilvl w:val="0"/>
          <w:numId w:val="1"/>
        </w:numPr>
        <w:spacing w:after="240" w:lineRule="auto" w:line="276"/>
        <w:ind w:firstLine="360"/>
        <w:rPr>
          <w:rFonts w:ascii="Arial" w:cs="Arial" w:eastAsia="Arial" w:hAnsi="Arial"/>
          <w:sz w:val="28"/>
          <w:szCs w:val="28"/>
        </w:rPr>
      </w:pPr>
      <w:r>
        <w:rPr>
          <w:rFonts w:ascii="Arial" w:cs="Arial" w:eastAsia="Arial" w:hAnsi="Arial"/>
          <w:sz w:val="28"/>
          <w:szCs w:val="28"/>
        </w:rPr>
        <w:t>Rusecka</w:t>
      </w:r>
      <w:r>
        <w:rPr>
          <w:rFonts w:ascii="Arial" w:cs="Arial" w:eastAsia="Arial" w:hAnsi="Arial"/>
          <w:sz w:val="28"/>
          <w:szCs w:val="28"/>
        </w:rPr>
        <w:t xml:space="preserve">, J. </w:t>
      </w:r>
      <w:r>
        <w:rPr>
          <w:rFonts w:ascii="Arial" w:cs="Arial" w:eastAsia="Arial" w:hAnsi="Arial"/>
          <w:i/>
          <w:sz w:val="28"/>
          <w:szCs w:val="28"/>
        </w:rPr>
        <w:t>et al.</w:t>
      </w:r>
      <w:r>
        <w:rPr>
          <w:rFonts w:ascii="Arial" w:cs="Arial" w:eastAsia="Arial" w:hAnsi="Arial"/>
          <w:sz w:val="28"/>
          <w:szCs w:val="28"/>
        </w:rPr>
        <w:t xml:space="preserve"> 2018. ‘An association Study of Some Mitochondrial Genes Polymorphism with Type 2 Diabetic Patients in Babylon Province’ pp. 43–57.</w:t>
      </w:r>
    </w:p>
    <w:p>
      <w:pPr>
        <w:pStyle w:val="style0"/>
        <w:widowControl w:val="false"/>
        <w:spacing w:lineRule="auto" w:line="276"/>
        <w:ind w:left="-567" w:firstLine="0"/>
        <w:rPr>
          <w:b/>
          <w:sz w:val="28"/>
          <w:szCs w:val="28"/>
        </w:rPr>
      </w:pPr>
    </w:p>
    <w:p>
      <w:pPr>
        <w:pStyle w:val="style0"/>
        <w:rPr>
          <w:rFonts w:ascii="Arial" w:cs="Arial" w:eastAsia="Arial" w:hAnsi="Arial"/>
        </w:rPr>
      </w:pPr>
    </w:p>
    <w:sectPr>
      <w:headerReference w:type="even" r:id="rId6"/>
      <w:headerReference w:type="default" r:id="rId7"/>
      <w:footerReference w:type="even" r:id="rId8"/>
      <w:footerReference w:type="default" r:id="rId9"/>
      <w:headerReference w:type="first" r:id="rId10"/>
      <w:pgSz w:w="12240" w:h="15840" w:orient="portrait"/>
      <w:pgMar w:top="1440" w:right="1440" w:bottom="1440" w:left="1440" w:header="720" w:footer="720" w:gutter="0"/>
      <w:pgNumType w:start="1"/>
      <w:cols w:space="72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Mohammed Fuad" w:date="2025-11-09T13:25:00Z" w:initials="Mohammed ">
    <w:p w14:paraId="1">
      <w:r>
        <w:rPr/>
        <w:annotationRef/>
      </w:r>
      <w:r>
        <w:t>This could be done in a more organised way. You can split the aims into two sentences, or group the similar ones. You can also mention only the main ones instead.</w:t>
      </w:r>
    </w:p>
  </w:comment>
  <w:comment w:id="2" w:author="Mohammed Fuad" w:date="2025-11-09T15:37:00Z" w:initials="Mohammed ">
    <w:p w14:paraId="2">
      <w:r>
        <w:rPr/>
        <w:annotationRef/>
      </w:r>
      <w:r>
        <w:t xml:space="preserve">what sequence? please identify </w:t>
      </w:r>
    </w:p>
  </w:comment>
  <w:comment w:id="3" w:author="Mohammed Fuad" w:date="2025-11-09T15:40:00Z" w:initials="Mohammed ">
    <w:p w14:paraId="3">
      <w:r>
        <w:rPr/>
        <w:annotationRef/>
      </w:r>
      <w:r>
        <w:t>This was already mentioned in the introduction, so might be better not to repeat.</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ACF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444.6pt;height:50.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444.6pt;height:50.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444.6pt;height:50.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A8A3F14"/>
    <w:lvl w:ilvl="0">
      <w:start w:val="1"/>
      <w:numFmt w:val="decimal"/>
      <w:lvlText w:val="%1."/>
      <w:lvlJc w:val="left"/>
      <w:pPr>
        <w:ind w:left="720" w:hanging="360"/>
      </w:pPr>
      <w:rPr>
        <w:rFonts w:ascii="Arial" w:cs="Arial" w:eastAsia="Arial" w:hAnsi="Arial"/>
        <w:b w:val="false"/>
        <w:i w:val="false"/>
        <w:smallCaps w:val="false"/>
        <w:color w:val="000000"/>
        <w:sz w:val="22"/>
        <w:szCs w:val="22"/>
        <w:u w:val="none"/>
        <w:shd w:val="clear" w:color="auto" w:fill="auto"/>
        <w:vertAlign w:val="baseline"/>
      </w:rPr>
    </w:lvl>
    <w:lvl w:ilvl="1">
      <w:start w:val="1"/>
      <w:numFmt w:val="lowerLetter"/>
      <w:lvlText w:val="%2."/>
      <w:lvlJc w:val="left"/>
      <w:pPr>
        <w:ind w:left="1440" w:hanging="360"/>
      </w:pPr>
      <w:rPr>
        <w:rFonts w:ascii="Arial" w:cs="Arial" w:eastAsia="Arial" w:hAnsi="Arial"/>
        <w:b w:val="false"/>
        <w:i w:val="false"/>
        <w:smallCaps w:val="false"/>
        <w:color w:val="000000"/>
        <w:sz w:val="22"/>
        <w:szCs w:val="22"/>
        <w:u w:val="none"/>
        <w:shd w:val="clear" w:color="auto" w:fill="auto"/>
        <w:vertAlign w:val="baseline"/>
      </w:rPr>
    </w:lvl>
    <w:lvl w:ilvl="2">
      <w:start w:val="1"/>
      <w:numFmt w:val="lowerRoman"/>
      <w:lvlText w:val="%3."/>
      <w:lvlJc w:val="left"/>
      <w:pPr>
        <w:ind w:left="2160" w:hanging="360"/>
      </w:pPr>
      <w:rPr>
        <w:rFonts w:ascii="Arial" w:cs="Arial" w:eastAsia="Arial" w:hAnsi="Arial"/>
        <w:b w:val="false"/>
        <w:i w:val="false"/>
        <w:smallCaps w:val="false"/>
        <w:color w:val="000000"/>
        <w:sz w:val="22"/>
        <w:szCs w:val="22"/>
        <w:u w:val="none"/>
        <w:shd w:val="clear" w:color="auto" w:fill="auto"/>
        <w:vertAlign w:val="baseline"/>
      </w:rPr>
    </w:lvl>
    <w:lvl w:ilvl="3">
      <w:start w:val="1"/>
      <w:numFmt w:val="decimal"/>
      <w:lvlText w:val="%4."/>
      <w:lvlJc w:val="left"/>
      <w:pPr>
        <w:ind w:left="2880" w:hanging="360"/>
      </w:pPr>
      <w:rPr>
        <w:rFonts w:ascii="Arial" w:cs="Arial" w:eastAsia="Arial" w:hAnsi="Arial"/>
        <w:b w:val="false"/>
        <w:i w:val="false"/>
        <w:smallCaps w:val="false"/>
        <w:color w:val="000000"/>
        <w:sz w:val="22"/>
        <w:szCs w:val="22"/>
        <w:u w:val="none"/>
        <w:shd w:val="clear" w:color="auto" w:fill="auto"/>
        <w:vertAlign w:val="baseline"/>
      </w:rPr>
    </w:lvl>
    <w:lvl w:ilvl="4">
      <w:start w:val="1"/>
      <w:numFmt w:val="lowerLetter"/>
      <w:lvlText w:val="%5."/>
      <w:lvlJc w:val="left"/>
      <w:pPr>
        <w:ind w:left="3600" w:hanging="360"/>
      </w:pPr>
      <w:rPr>
        <w:rFonts w:ascii="Arial" w:cs="Arial" w:eastAsia="Arial" w:hAnsi="Arial"/>
        <w:b w:val="false"/>
        <w:i w:val="false"/>
        <w:smallCaps w:val="false"/>
        <w:color w:val="000000"/>
        <w:sz w:val="22"/>
        <w:szCs w:val="22"/>
        <w:u w:val="none"/>
        <w:shd w:val="clear" w:color="auto" w:fill="auto"/>
        <w:vertAlign w:val="baseline"/>
      </w:rPr>
    </w:lvl>
    <w:lvl w:ilvl="5">
      <w:start w:val="1"/>
      <w:numFmt w:val="lowerRoman"/>
      <w:lvlText w:val="%6."/>
      <w:lvlJc w:val="left"/>
      <w:pPr>
        <w:ind w:left="4320" w:hanging="360"/>
      </w:pPr>
      <w:rPr>
        <w:rFonts w:ascii="Arial" w:cs="Arial" w:eastAsia="Arial" w:hAnsi="Arial"/>
        <w:b w:val="false"/>
        <w:i w:val="false"/>
        <w:smallCaps w:val="false"/>
        <w:color w:val="000000"/>
        <w:sz w:val="22"/>
        <w:szCs w:val="22"/>
        <w:u w:val="none"/>
        <w:shd w:val="clear" w:color="auto" w:fill="auto"/>
        <w:vertAlign w:val="baseline"/>
      </w:rPr>
    </w:lvl>
    <w:lvl w:ilvl="6">
      <w:start w:val="1"/>
      <w:numFmt w:val="decimal"/>
      <w:lvlText w:val="%7."/>
      <w:lvlJc w:val="left"/>
      <w:pPr>
        <w:ind w:left="5040" w:hanging="360"/>
      </w:pPr>
      <w:rPr>
        <w:rFonts w:ascii="Arial" w:cs="Arial" w:eastAsia="Arial" w:hAnsi="Arial"/>
        <w:b w:val="false"/>
        <w:i w:val="false"/>
        <w:smallCaps w:val="false"/>
        <w:color w:val="000000"/>
        <w:sz w:val="22"/>
        <w:szCs w:val="22"/>
        <w:u w:val="none"/>
        <w:shd w:val="clear" w:color="auto" w:fill="auto"/>
        <w:vertAlign w:val="baseline"/>
      </w:rPr>
    </w:lvl>
    <w:lvl w:ilvl="7">
      <w:start w:val="1"/>
      <w:numFmt w:val="lowerLetter"/>
      <w:lvlText w:val="%8."/>
      <w:lvlJc w:val="left"/>
      <w:pPr>
        <w:ind w:left="5760" w:hanging="360"/>
      </w:pPr>
      <w:rPr>
        <w:rFonts w:ascii="Arial" w:cs="Arial" w:eastAsia="Arial" w:hAnsi="Arial"/>
        <w:b w:val="false"/>
        <w:i w:val="false"/>
        <w:smallCaps w:val="false"/>
        <w:color w:val="000000"/>
        <w:sz w:val="22"/>
        <w:szCs w:val="22"/>
        <w:u w:val="none"/>
        <w:shd w:val="clear" w:color="auto" w:fill="auto"/>
        <w:vertAlign w:val="baseline"/>
      </w:rPr>
    </w:lvl>
    <w:lvl w:ilvl="8">
      <w:start w:val="1"/>
      <w:numFmt w:val="lowerRoman"/>
      <w:lvlText w:val="%9."/>
      <w:lvlJc w:val="left"/>
      <w:pPr>
        <w:ind w:left="6480" w:hanging="360"/>
      </w:pPr>
      <w:rPr>
        <w:rFonts w:ascii="Arial" w:cs="Arial" w:eastAsia="Arial" w:hAnsi="Arial"/>
        <w:b w:val="false"/>
        <w:i w:val="false"/>
        <w:smallCaps w:val="false"/>
        <w:color w:val="000000"/>
        <w:sz w:val="22"/>
        <w:szCs w:val="22"/>
        <w:u w:val="none"/>
        <w:shd w:val="clear" w:color="auto" w:fill="auto"/>
        <w:vertAlign w:val="baseline"/>
      </w:rPr>
    </w:lvl>
  </w:abstractNum>
  <w:abstractNum w:abstractNumId="1">
    <w:nsid w:val="00000001"/>
    <w:multiLevelType w:val="multilevel"/>
    <w:tmpl w:val="06F2C89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0000002"/>
    <w:multiLevelType w:val="multilevel"/>
    <w:tmpl w:val="C8F040CA"/>
    <w:lvl w:ilvl="0">
      <w:start w:val="1"/>
      <w:numFmt w:val="decimal"/>
      <w:lvlText w:val="%1."/>
      <w:lvlJc w:val="left"/>
      <w:pPr>
        <w:ind w:left="720" w:hanging="360"/>
      </w:pPr>
      <w:rPr>
        <w:rFonts w:ascii="Arial" w:cs="Arial" w:eastAsia="Arial" w:hAnsi="Arial"/>
        <w:b w:val="false"/>
        <w:i w:val="false"/>
        <w:smallCaps w:val="false"/>
        <w:color w:val="000000"/>
        <w:sz w:val="22"/>
        <w:szCs w:val="22"/>
        <w:u w:val="none"/>
        <w:shd w:val="clear" w:color="auto" w:fill="auto"/>
        <w:vertAlign w:val="baseline"/>
      </w:rPr>
    </w:lvl>
    <w:lvl w:ilvl="1">
      <w:start w:val="1"/>
      <w:numFmt w:val="lowerLetter"/>
      <w:lvlText w:val="%2."/>
      <w:lvlJc w:val="left"/>
      <w:pPr>
        <w:ind w:left="1440" w:hanging="360"/>
      </w:pPr>
      <w:rPr>
        <w:rFonts w:ascii="Arial" w:cs="Arial" w:eastAsia="Arial" w:hAnsi="Arial"/>
        <w:b w:val="false"/>
        <w:i w:val="false"/>
        <w:smallCaps w:val="false"/>
        <w:color w:val="000000"/>
        <w:sz w:val="22"/>
        <w:szCs w:val="22"/>
        <w:u w:val="none"/>
        <w:shd w:val="clear" w:color="auto" w:fill="auto"/>
        <w:vertAlign w:val="baseline"/>
      </w:rPr>
    </w:lvl>
    <w:lvl w:ilvl="2">
      <w:start w:val="1"/>
      <w:numFmt w:val="lowerRoman"/>
      <w:lvlText w:val="%3."/>
      <w:lvlJc w:val="left"/>
      <w:pPr>
        <w:ind w:left="2160" w:hanging="360"/>
      </w:pPr>
      <w:rPr>
        <w:rFonts w:ascii="Arial" w:cs="Arial" w:eastAsia="Arial" w:hAnsi="Arial"/>
        <w:b w:val="false"/>
        <w:i w:val="false"/>
        <w:smallCaps w:val="false"/>
        <w:color w:val="000000"/>
        <w:sz w:val="22"/>
        <w:szCs w:val="22"/>
        <w:u w:val="none"/>
        <w:shd w:val="clear" w:color="auto" w:fill="auto"/>
        <w:vertAlign w:val="baseline"/>
      </w:rPr>
    </w:lvl>
    <w:lvl w:ilvl="3">
      <w:start w:val="1"/>
      <w:numFmt w:val="decimal"/>
      <w:lvlText w:val="%4."/>
      <w:lvlJc w:val="left"/>
      <w:pPr>
        <w:ind w:left="2880" w:hanging="360"/>
      </w:pPr>
      <w:rPr>
        <w:rFonts w:ascii="Arial" w:cs="Arial" w:eastAsia="Arial" w:hAnsi="Arial"/>
        <w:b w:val="false"/>
        <w:i w:val="false"/>
        <w:smallCaps w:val="false"/>
        <w:color w:val="000000"/>
        <w:sz w:val="22"/>
        <w:szCs w:val="22"/>
        <w:u w:val="none"/>
        <w:shd w:val="clear" w:color="auto" w:fill="auto"/>
        <w:vertAlign w:val="baseline"/>
      </w:rPr>
    </w:lvl>
    <w:lvl w:ilvl="4">
      <w:start w:val="1"/>
      <w:numFmt w:val="lowerLetter"/>
      <w:lvlText w:val="%5."/>
      <w:lvlJc w:val="left"/>
      <w:pPr>
        <w:ind w:left="3600" w:hanging="360"/>
      </w:pPr>
      <w:rPr>
        <w:rFonts w:ascii="Arial" w:cs="Arial" w:eastAsia="Arial" w:hAnsi="Arial"/>
        <w:b w:val="false"/>
        <w:i w:val="false"/>
        <w:smallCaps w:val="false"/>
        <w:color w:val="000000"/>
        <w:sz w:val="22"/>
        <w:szCs w:val="22"/>
        <w:u w:val="none"/>
        <w:shd w:val="clear" w:color="auto" w:fill="auto"/>
        <w:vertAlign w:val="baseline"/>
      </w:rPr>
    </w:lvl>
    <w:lvl w:ilvl="5">
      <w:start w:val="1"/>
      <w:numFmt w:val="lowerRoman"/>
      <w:lvlText w:val="%6."/>
      <w:lvlJc w:val="left"/>
      <w:pPr>
        <w:ind w:left="4320" w:hanging="360"/>
      </w:pPr>
      <w:rPr>
        <w:rFonts w:ascii="Arial" w:cs="Arial" w:eastAsia="Arial" w:hAnsi="Arial"/>
        <w:b w:val="false"/>
        <w:i w:val="false"/>
        <w:smallCaps w:val="false"/>
        <w:color w:val="000000"/>
        <w:sz w:val="22"/>
        <w:szCs w:val="22"/>
        <w:u w:val="none"/>
        <w:shd w:val="clear" w:color="auto" w:fill="auto"/>
        <w:vertAlign w:val="baseline"/>
      </w:rPr>
    </w:lvl>
    <w:lvl w:ilvl="6">
      <w:start w:val="1"/>
      <w:numFmt w:val="decimal"/>
      <w:lvlText w:val="%7."/>
      <w:lvlJc w:val="left"/>
      <w:pPr>
        <w:ind w:left="5040" w:hanging="360"/>
      </w:pPr>
      <w:rPr>
        <w:rFonts w:ascii="Arial" w:cs="Arial" w:eastAsia="Arial" w:hAnsi="Arial"/>
        <w:b w:val="false"/>
        <w:i w:val="false"/>
        <w:smallCaps w:val="false"/>
        <w:color w:val="000000"/>
        <w:sz w:val="22"/>
        <w:szCs w:val="22"/>
        <w:u w:val="none"/>
        <w:shd w:val="clear" w:color="auto" w:fill="auto"/>
        <w:vertAlign w:val="baseline"/>
      </w:rPr>
    </w:lvl>
    <w:lvl w:ilvl="7">
      <w:start w:val="1"/>
      <w:numFmt w:val="lowerLetter"/>
      <w:lvlText w:val="%8."/>
      <w:lvlJc w:val="left"/>
      <w:pPr>
        <w:ind w:left="5760" w:hanging="360"/>
      </w:pPr>
      <w:rPr>
        <w:rFonts w:ascii="Arial" w:cs="Arial" w:eastAsia="Arial" w:hAnsi="Arial"/>
        <w:b w:val="false"/>
        <w:i w:val="false"/>
        <w:smallCaps w:val="false"/>
        <w:color w:val="000000"/>
        <w:sz w:val="22"/>
        <w:szCs w:val="22"/>
        <w:u w:val="none"/>
        <w:shd w:val="clear" w:color="auto" w:fill="auto"/>
        <w:vertAlign w:val="baseline"/>
      </w:rPr>
    </w:lvl>
    <w:lvl w:ilvl="8">
      <w:start w:val="1"/>
      <w:numFmt w:val="lowerRoman"/>
      <w:lvlText w:val="%9."/>
      <w:lvlJc w:val="left"/>
      <w:pPr>
        <w:ind w:left="6480" w:hanging="360"/>
      </w:pPr>
      <w:rPr>
        <w:rFonts w:ascii="Arial" w:cs="Arial" w:eastAsia="Arial" w:hAnsi="Arial"/>
        <w:b w:val="false"/>
        <w:i w:val="false"/>
        <w:smallCaps w:val="false"/>
        <w:color w:val="000000"/>
        <w:sz w:val="22"/>
        <w:szCs w:val="22"/>
        <w:u w:val="none"/>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embedTrueTypeFont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2"/>
        <w:szCs w:val="22"/>
        <w:lang w:bidi="ar-SA" w:eastAsia="en-US"/>
      </w:rPr>
    </w:rPrDefault>
    <w:pPrDefault>
      <w:pPr>
        <w:spacing w:after="160" w:lineRule="auto" w:line="360"/>
        <w:ind w:left="720" w:firstLine="432"/>
        <w:jc w:val="both"/>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ind w:firstLine="720"/>
      <w:outlineLvl w:val="0"/>
    </w:pPr>
    <w:rPr>
      <w:b/>
      <w:sz w:val="36"/>
      <w:szCs w:val="36"/>
    </w:rPr>
  </w:style>
  <w:style w:type="paragraph" w:styleId="style2">
    <w:name w:val="heading 2"/>
    <w:basedOn w:val="style0"/>
    <w:next w:val="style0"/>
    <w:qFormat/>
    <w:uiPriority w:val="9"/>
    <w:pPr>
      <w:keepNext/>
      <w:keepLines/>
      <w:spacing w:before="360" w:after="80"/>
      <w:outlineLvl w:val="1"/>
    </w:pPr>
    <w:rPr>
      <w:b/>
      <w:sz w:val="32"/>
      <w:szCs w:val="32"/>
    </w:rPr>
  </w:style>
  <w:style w:type="paragraph" w:styleId="style3">
    <w:name w:val="heading 3"/>
    <w:basedOn w:val="style0"/>
    <w:next w:val="style0"/>
    <w:qFormat/>
    <w:uiPriority w:val="9"/>
    <w:pPr>
      <w:keepNext/>
      <w:keepLines/>
      <w:spacing w:before="280" w:after="80"/>
      <w:outlineLvl w:val="2"/>
    </w:pPr>
    <w:rPr>
      <w:b/>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styleId="style62">
    <w:name w:val="Title"/>
    <w:basedOn w:val="style0"/>
    <w:next w:val="style0"/>
    <w:qFormat/>
    <w:uiPriority w:val="10"/>
    <w:pPr>
      <w:keepNext/>
      <w:keepLines/>
      <w:spacing w:before="480" w:after="120"/>
    </w:pPr>
    <w:rPr>
      <w:b/>
      <w:sz w:val="72"/>
      <w:szCs w:val="72"/>
    </w:rPr>
  </w:style>
  <w:style w:type="paragraph" w:styleId="style74">
    <w:name w:val="Subtitle"/>
    <w:basedOn w:val="style0"/>
    <w:next w:val="style0"/>
    <w:qFormat/>
    <w:uiPriority w:val="11"/>
    <w:pPr>
      <w:keepNext/>
      <w:keepLines/>
      <w:spacing w:lineRule="auto" w:line="240"/>
      <w:ind w:left="0" w:right="142" w:firstLine="0"/>
      <w:jc w:val="center"/>
    </w:pPr>
    <w:rPr>
      <w:b/>
      <w:sz w:val="20"/>
      <w:szCs w:val="20"/>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0ceca3e-2483-48ce-b522-238d4414ee67"/>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808097ab-984e-4371-83f4-d0e538cce0d0"/>
    <w:basedOn w:val="style65"/>
    <w:next w:val="style4099"/>
    <w:link w:val="style32"/>
    <w:uiPriority w:val="99"/>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header" Target="header5.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footer" Target="footer4.xml"/><Relationship Id="rId15" Type="http://schemas.openxmlformats.org/officeDocument/2006/relationships/customXml" Target="../customXml/item1.xml"/><Relationship Id="rId14" Type="http://schemas.openxmlformats.org/officeDocument/2006/relationships/theme" Target="theme/theme1.xml"/><Relationship Id="rId17" Type="http://schemas.openxmlformats.org/officeDocument/2006/relationships/customXml" Target="../customXml/item3.xml"/><Relationship Id="rId16" Type="http://schemas.openxmlformats.org/officeDocument/2006/relationships/customXml" Target="../customXml/item2.xml"/><Relationship Id="rId5" Type="http://schemas.openxmlformats.org/officeDocument/2006/relationships/image" Target="media/image2.png"/><Relationship Id="rId19" Type="http://schemas.openxmlformats.org/officeDocument/2006/relationships/customXml" Target="../customXml/item5.xml"/><Relationship Id="rId6" Type="http://schemas.openxmlformats.org/officeDocument/2006/relationships/header" Target="header1.xml"/><Relationship Id="rId18" Type="http://schemas.openxmlformats.org/officeDocument/2006/relationships/customXml" Target="../customXml/item4.xml"/><Relationship Id="rId7" Type="http://schemas.openxmlformats.org/officeDocument/2006/relationships/header" Target="head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38cf7a2-d90c-42ed-818c-d235f1bc532a}">
  <ds:schemaRefs>
    <ds:schemaRef ds:uri="http://www.wps.cn/android/officeDocument/2013/mofficeCustomData"/>
  </ds:schemaRefs>
</ds:datastoreItem>
</file>

<file path=customXml/itemProps2.xml><?xml version="1.0" encoding="utf-8"?>
<ds:datastoreItem xmlns:ds="http://schemas.openxmlformats.org/officeDocument/2006/customXml" ds:itemID="{4b10b5de-a858-4a73-8e0c-3b81acfa1ab7}">
  <ds:schemaRefs>
    <ds:schemaRef ds:uri="http://www.wps.cn/android/officeDocument/2013/mofficeCustomData"/>
  </ds:schemaRefs>
</ds:datastoreItem>
</file>

<file path=customXml/itemProps3.xml><?xml version="1.0" encoding="utf-8"?>
<ds:datastoreItem xmlns:ds="http://schemas.openxmlformats.org/officeDocument/2006/customXml" ds:itemID="{07b66e4a-52d0-454d-b2b6-e1463493c6a3}">
  <ds:schemaRefs>
    <ds:schemaRef ds:uri="http://www.wps.cn/android/officeDocument/2013/mofficeCustomData"/>
  </ds:schemaRefs>
</ds:datastoreItem>
</file>

<file path=customXml/itemProps4.xml><?xml version="1.0" encoding="utf-8"?>
<ds:datastoreItem xmlns:ds="http://schemas.openxmlformats.org/officeDocument/2006/customXml" ds:itemID="{57bc975a-c4e6-48f9-95a7-0f99c74e335e}">
  <ds:schemaRefs>
    <ds:schemaRef ds:uri="http://www.wps.cn/android/officeDocument/2013/mofficeCustomData"/>
  </ds:schemaRefs>
</ds:datastoreItem>
</file>

<file path=customXml/itemProps5.xml><?xml version="1.0" encoding="utf-8"?>
<ds:datastoreItem xmlns:ds="http://schemas.openxmlformats.org/officeDocument/2006/customXml" ds:itemID="{469af736-1774-4696-8084-6278a1bf4f5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3974</Words>
  <Pages>1</Pages>
  <Characters>24061</Characters>
  <Application>WPS Office</Application>
  <DocSecurity>0</DocSecurity>
  <Paragraphs>149</Paragraphs>
  <ScaleCrop>false</ScaleCrop>
  <LinksUpToDate>false</LinksUpToDate>
  <CharactersWithSpaces>27963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2025-11-09T10:02:00Z</dcterms:created>
  <dc:creator>WPS Office</dc:creator>
  <lastModifiedBy>SM-A525F</lastModifiedBy>
  <dcterms:modified xsi:type="dcterms:W3CDTF">2025-11-09T12:57:11Z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7442dd333bb4412aa394e8f13f9db6f5</vt:lpwstr>
  </property>
</Properties>
</file>