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67FA1" w14:textId="6B2DB60D" w:rsidR="007B741A" w:rsidRPr="00117C0C" w:rsidRDefault="007B741A" w:rsidP="007B741A">
      <w:pPr>
        <w:rPr>
          <w:lang w:val="en-US"/>
        </w:rPr>
      </w:pPr>
    </w:p>
    <w:p w14:paraId="1B551666" w14:textId="6D326E31" w:rsidR="00E022DC" w:rsidRDefault="00E022DC" w:rsidP="007B741A">
      <w:pPr>
        <w:rPr>
          <w:rFonts w:ascii="Calibri" w:hAnsi="Calibri" w:cs="Calibri"/>
          <w:sz w:val="28"/>
          <w:szCs w:val="28"/>
        </w:rPr>
      </w:pPr>
      <w:r w:rsidRPr="00E022DC">
        <w:rPr>
          <w:rFonts w:ascii="Calibri" w:hAnsi="Calibri" w:cs="Calibri"/>
          <w:sz w:val="28"/>
          <w:szCs w:val="28"/>
        </w:rPr>
        <w:t>Investigation of Burnout Syndrome in Dentists</w:t>
      </w:r>
    </w:p>
    <w:p w14:paraId="6A9B4A3D" w14:textId="77777777" w:rsidR="00E022DC" w:rsidRPr="00E022DC" w:rsidRDefault="00E022DC" w:rsidP="007B741A">
      <w:pPr>
        <w:rPr>
          <w:sz w:val="28"/>
          <w:szCs w:val="28"/>
        </w:rPr>
      </w:pPr>
    </w:p>
    <w:p w14:paraId="4CBD2535" w14:textId="77777777" w:rsidR="00E022DC" w:rsidRDefault="00E022DC" w:rsidP="007B741A"/>
    <w:p w14:paraId="7CA90FB0" w14:textId="77777777" w:rsidR="00E022DC" w:rsidRDefault="00E022DC" w:rsidP="007B741A"/>
    <w:p w14:paraId="6B9BADD3" w14:textId="1EE5A668" w:rsidR="007B741A" w:rsidRDefault="007B741A" w:rsidP="007B741A">
      <w:pPr>
        <w:pStyle w:val="Heading3"/>
      </w:pPr>
      <w:r>
        <w:t xml:space="preserve">1. ABSTRACT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1"/>
        <w:gridCol w:w="14127"/>
      </w:tblGrid>
      <w:tr w:rsidR="007B741A" w14:paraId="28D1013B" w14:textId="77777777" w:rsidTr="00CF4C82">
        <w:trPr>
          <w:tblHeader/>
          <w:tblCellSpacing w:w="15" w:type="dxa"/>
        </w:trPr>
        <w:tc>
          <w:tcPr>
            <w:tcW w:w="0" w:type="auto"/>
            <w:vAlign w:val="center"/>
          </w:tcPr>
          <w:p w14:paraId="142A9397" w14:textId="50528759" w:rsidR="007B741A" w:rsidRDefault="007B741A"/>
        </w:tc>
        <w:tc>
          <w:tcPr>
            <w:tcW w:w="0" w:type="auto"/>
            <w:vAlign w:val="center"/>
          </w:tcPr>
          <w:p w14:paraId="406CCBBE" w14:textId="3AB5177A" w:rsidR="007B741A" w:rsidRDefault="007B741A"/>
        </w:tc>
      </w:tr>
      <w:tr w:rsidR="007B741A" w14:paraId="3130AFFB" w14:textId="77777777" w:rsidTr="007B741A">
        <w:trPr>
          <w:tblCellSpacing w:w="15" w:type="dxa"/>
        </w:trPr>
        <w:tc>
          <w:tcPr>
            <w:tcW w:w="0" w:type="auto"/>
            <w:vAlign w:val="center"/>
            <w:hideMark/>
          </w:tcPr>
          <w:p w14:paraId="7528F9AA" w14:textId="77777777" w:rsidR="007B741A" w:rsidRDefault="007B741A">
            <w:r>
              <w:rPr>
                <w:b/>
                <w:bCs/>
              </w:rPr>
              <w:t>Objective</w:t>
            </w:r>
          </w:p>
        </w:tc>
        <w:tc>
          <w:tcPr>
            <w:tcW w:w="0" w:type="auto"/>
            <w:vAlign w:val="center"/>
            <w:hideMark/>
          </w:tcPr>
          <w:p w14:paraId="3FFEE8AB" w14:textId="77777777" w:rsidR="007B741A" w:rsidRDefault="007B741A">
            <w:r>
              <w:t>This study was designed to evaluate the level of burnout syndrome among practicing dentists and to examine its relationship with key demographic and professional variables.</w:t>
            </w:r>
          </w:p>
        </w:tc>
      </w:tr>
      <w:tr w:rsidR="007B741A" w14:paraId="31E004BE" w14:textId="77777777" w:rsidTr="007B741A">
        <w:trPr>
          <w:tblCellSpacing w:w="15" w:type="dxa"/>
        </w:trPr>
        <w:tc>
          <w:tcPr>
            <w:tcW w:w="0" w:type="auto"/>
            <w:vAlign w:val="center"/>
            <w:hideMark/>
          </w:tcPr>
          <w:p w14:paraId="33DBEB14" w14:textId="77777777" w:rsidR="007B741A" w:rsidRDefault="007B741A">
            <w:r>
              <w:rPr>
                <w:b/>
                <w:bCs/>
              </w:rPr>
              <w:t>Basic research design</w:t>
            </w:r>
          </w:p>
        </w:tc>
        <w:tc>
          <w:tcPr>
            <w:tcW w:w="0" w:type="auto"/>
            <w:vAlign w:val="center"/>
            <w:hideMark/>
          </w:tcPr>
          <w:p w14:paraId="16D62F44" w14:textId="77777777" w:rsidR="007B741A" w:rsidRDefault="007B741A">
            <w:r>
              <w:t>A descriptive, cross-sectional study was conducted in Kayseri, Turkey.</w:t>
            </w:r>
          </w:p>
        </w:tc>
      </w:tr>
      <w:tr w:rsidR="007B741A" w14:paraId="0087B45A" w14:textId="77777777" w:rsidTr="007B741A">
        <w:trPr>
          <w:tblCellSpacing w:w="15" w:type="dxa"/>
        </w:trPr>
        <w:tc>
          <w:tcPr>
            <w:tcW w:w="0" w:type="auto"/>
            <w:vAlign w:val="center"/>
            <w:hideMark/>
          </w:tcPr>
          <w:p w14:paraId="7A22B9F9" w14:textId="77777777" w:rsidR="007B741A" w:rsidRDefault="007B741A">
            <w:r>
              <w:rPr>
                <w:b/>
                <w:bCs/>
              </w:rPr>
              <w:t>Participants</w:t>
            </w:r>
          </w:p>
        </w:tc>
        <w:tc>
          <w:tcPr>
            <w:tcW w:w="0" w:type="auto"/>
            <w:vAlign w:val="center"/>
            <w:hideMark/>
          </w:tcPr>
          <w:p w14:paraId="21457434" w14:textId="77777777" w:rsidR="007B741A" w:rsidRDefault="007B741A">
            <w:r>
              <w:t>The study included a convenience sample of 106 dentists working in public and private healthcare institutions.</w:t>
            </w:r>
          </w:p>
        </w:tc>
      </w:tr>
      <w:tr w:rsidR="007B741A" w14:paraId="22B213B7" w14:textId="77777777" w:rsidTr="007B741A">
        <w:trPr>
          <w:tblCellSpacing w:w="15" w:type="dxa"/>
        </w:trPr>
        <w:tc>
          <w:tcPr>
            <w:tcW w:w="0" w:type="auto"/>
            <w:vAlign w:val="center"/>
            <w:hideMark/>
          </w:tcPr>
          <w:p w14:paraId="711EA2C8" w14:textId="77777777" w:rsidR="007B741A" w:rsidRDefault="007B741A">
            <w:r>
              <w:rPr>
                <w:b/>
                <w:bCs/>
              </w:rPr>
              <w:t>Main outcome measures</w:t>
            </w:r>
          </w:p>
        </w:tc>
        <w:tc>
          <w:tcPr>
            <w:tcW w:w="0" w:type="auto"/>
            <w:vAlign w:val="center"/>
            <w:hideMark/>
          </w:tcPr>
          <w:p w14:paraId="3F57B470" w14:textId="77777777" w:rsidR="007B741A" w:rsidRDefault="007B741A">
            <w:r>
              <w:t>Data were collected using the Maslach Burnout Inventory (MBI) and a structured demographic questionnaire. Burnout levels were assessed across three dimensions: Emotional Exhaustion (EE), Depersonalization (DP), and Personal Accomplishment (PA).</w:t>
            </w:r>
          </w:p>
        </w:tc>
      </w:tr>
      <w:tr w:rsidR="007B741A" w14:paraId="127CF7ED" w14:textId="77777777" w:rsidTr="007B741A">
        <w:trPr>
          <w:tblCellSpacing w:w="15" w:type="dxa"/>
        </w:trPr>
        <w:tc>
          <w:tcPr>
            <w:tcW w:w="0" w:type="auto"/>
            <w:vAlign w:val="center"/>
            <w:hideMark/>
          </w:tcPr>
          <w:p w14:paraId="24AB23F5" w14:textId="77777777" w:rsidR="007B741A" w:rsidRDefault="007B741A">
            <w:r>
              <w:rPr>
                <w:b/>
                <w:bCs/>
              </w:rPr>
              <w:t>Results</w:t>
            </w:r>
          </w:p>
        </w:tc>
        <w:tc>
          <w:tcPr>
            <w:tcW w:w="0" w:type="auto"/>
            <w:vAlign w:val="center"/>
            <w:hideMark/>
          </w:tcPr>
          <w:p w14:paraId="548F24A0" w14:textId="77777777" w:rsidR="007B741A" w:rsidRDefault="007B741A">
            <w:r>
              <w:t>A moderate level of burnout was found among the participating dentists. Statistically significant differences were observed across variables: single and younger dentists reported higher overall burnout scores compared to their married and older colleagues. Work setting was also a predictor, with private sector dentists exhibiting higher levels of Emotional Exhaustion and Depersonalization. Furthermore, general dentists showed more signs of burnout than specialists.</w:t>
            </w:r>
          </w:p>
        </w:tc>
      </w:tr>
      <w:tr w:rsidR="007B741A" w14:paraId="4AEA769D" w14:textId="77777777" w:rsidTr="007B741A">
        <w:trPr>
          <w:tblCellSpacing w:w="15" w:type="dxa"/>
        </w:trPr>
        <w:tc>
          <w:tcPr>
            <w:tcW w:w="0" w:type="auto"/>
            <w:vAlign w:val="center"/>
            <w:hideMark/>
          </w:tcPr>
          <w:p w14:paraId="5F4004DB" w14:textId="77777777" w:rsidR="007B741A" w:rsidRDefault="007B741A">
            <w:r>
              <w:rPr>
                <w:b/>
                <w:bCs/>
              </w:rPr>
              <w:t>Conclusions</w:t>
            </w:r>
          </w:p>
        </w:tc>
        <w:tc>
          <w:tcPr>
            <w:tcW w:w="0" w:type="auto"/>
            <w:vAlign w:val="center"/>
            <w:hideMark/>
          </w:tcPr>
          <w:p w14:paraId="36072385" w14:textId="77777777" w:rsidR="007B741A" w:rsidRDefault="007B741A">
            <w:r>
              <w:t>The findings indicate that burnout in dentistry is a complex, multidimensional problem significantly influenced by professional status, age, and work conditions. We strongly recommend immediate interventions focused on improving work environments and strengthening psychosocial support mechanisms to mitigate occupational burnout in this profession.</w:t>
            </w:r>
          </w:p>
        </w:tc>
      </w:tr>
      <w:tr w:rsidR="007B741A" w14:paraId="36154044" w14:textId="77777777" w:rsidTr="007B741A">
        <w:trPr>
          <w:tblCellSpacing w:w="15" w:type="dxa"/>
        </w:trPr>
        <w:tc>
          <w:tcPr>
            <w:tcW w:w="0" w:type="auto"/>
            <w:vAlign w:val="center"/>
            <w:hideMark/>
          </w:tcPr>
          <w:p w14:paraId="1FD541F3" w14:textId="77777777" w:rsidR="007B741A" w:rsidRDefault="007B741A">
            <w:r>
              <w:rPr>
                <w:b/>
                <w:bCs/>
              </w:rPr>
              <w:t>Keywords</w:t>
            </w:r>
          </w:p>
        </w:tc>
        <w:tc>
          <w:tcPr>
            <w:tcW w:w="0" w:type="auto"/>
            <w:vAlign w:val="center"/>
            <w:hideMark/>
          </w:tcPr>
          <w:p w14:paraId="534FC3BE" w14:textId="77777777" w:rsidR="007B741A" w:rsidRDefault="007B741A">
            <w:r>
              <w:t>Dentistry, Burnout Syndrome, Maslach Burnout Inventory (MBI), Occupational Stress, Public Health, Turkey.</w:t>
            </w:r>
          </w:p>
        </w:tc>
      </w:tr>
    </w:tbl>
    <w:p w14:paraId="684F4E49" w14:textId="30B54831" w:rsidR="007B741A" w:rsidRDefault="007B741A" w:rsidP="007B741A"/>
    <w:p w14:paraId="29C48C70" w14:textId="246EA883" w:rsidR="006967F0" w:rsidRPr="006967F0" w:rsidRDefault="006967F0" w:rsidP="006967F0">
      <w:pPr>
        <w:spacing w:after="0" w:line="240" w:lineRule="auto"/>
        <w:rPr>
          <w:rFonts w:ascii="Times New Roman" w:eastAsia="Times New Roman" w:hAnsi="Times New Roman" w:cs="Times New Roman"/>
          <w:sz w:val="24"/>
          <w:szCs w:val="24"/>
          <w:lang w:eastAsia="tr-TR"/>
        </w:rPr>
      </w:pPr>
    </w:p>
    <w:p w14:paraId="744C6127" w14:textId="0A38D02B" w:rsidR="006967F0" w:rsidRPr="00117C0C" w:rsidRDefault="006967F0" w:rsidP="006967F0">
      <w:pPr>
        <w:spacing w:before="100" w:beforeAutospacing="1" w:after="100" w:afterAutospacing="1" w:line="240" w:lineRule="auto"/>
        <w:outlineLvl w:val="1"/>
        <w:rPr>
          <w:rFonts w:ascii="Times New Roman" w:eastAsia="Times New Roman" w:hAnsi="Times New Roman" w:cs="Times New Roman"/>
          <w:b/>
          <w:bCs/>
          <w:sz w:val="36"/>
          <w:szCs w:val="36"/>
          <w:lang w:val="en-US" w:eastAsia="tr-TR"/>
        </w:rPr>
      </w:pPr>
      <w:commentRangeStart w:id="0"/>
      <w:r w:rsidRPr="006967F0">
        <w:rPr>
          <w:rFonts w:ascii="Times New Roman" w:eastAsia="Times New Roman" w:hAnsi="Times New Roman" w:cs="Times New Roman"/>
          <w:b/>
          <w:bCs/>
          <w:sz w:val="36"/>
          <w:szCs w:val="36"/>
          <w:lang w:eastAsia="tr-TR"/>
        </w:rPr>
        <w:t>INTRODUCTION</w:t>
      </w:r>
      <w:commentRangeEnd w:id="0"/>
      <w:r w:rsidR="00117C0C">
        <w:rPr>
          <w:rStyle w:val="CommentReference"/>
        </w:rPr>
        <w:commentReference w:id="0"/>
      </w:r>
      <w:r w:rsidRPr="006967F0">
        <w:rPr>
          <w:rFonts w:ascii="Times New Roman" w:eastAsia="Times New Roman" w:hAnsi="Times New Roman" w:cs="Times New Roman"/>
          <w:b/>
          <w:bCs/>
          <w:sz w:val="36"/>
          <w:szCs w:val="36"/>
          <w:lang w:eastAsia="tr-TR"/>
        </w:rPr>
        <w:t xml:space="preserve"> </w:t>
      </w:r>
    </w:p>
    <w:p w14:paraId="25DC6925" w14:textId="1961237F" w:rsidR="006967F0" w:rsidRDefault="006967F0" w:rsidP="00103B22">
      <w:pPr>
        <w:spacing w:after="0"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 xml:space="preserve">Burnout syndrome, first described by Freudenberger </w:t>
      </w:r>
      <w:r w:rsidR="00103B22">
        <w:rPr>
          <w:rFonts w:ascii="Times New Roman" w:eastAsia="Times New Roman" w:hAnsi="Times New Roman" w:cs="Times New Roman"/>
          <w:sz w:val="24"/>
          <w:szCs w:val="24"/>
          <w:lang w:eastAsia="tr-TR"/>
        </w:rPr>
        <w:t>(1)</w:t>
      </w:r>
      <w:r w:rsidRPr="006967F0">
        <w:rPr>
          <w:rFonts w:ascii="Times New Roman" w:eastAsia="Times New Roman" w:hAnsi="Times New Roman" w:cs="Times New Roman"/>
          <w:sz w:val="24"/>
          <w:szCs w:val="24"/>
          <w:lang w:eastAsia="tr-TR"/>
        </w:rPr>
        <w:t xml:space="preserve"> , is a psychological syndrome resulting from prolonged occupational stress, primarily experienced in professions involving intensive interpersonal interactions, such as healthcare and education. It is formally characterized by three core dimensions: </w:t>
      </w:r>
      <w:r w:rsidRPr="006967F0">
        <w:rPr>
          <w:rFonts w:ascii="Times New Roman" w:eastAsia="Times New Roman" w:hAnsi="Times New Roman" w:cs="Times New Roman"/>
          <w:b/>
          <w:bCs/>
          <w:sz w:val="24"/>
          <w:szCs w:val="24"/>
          <w:lang w:eastAsia="tr-TR"/>
        </w:rPr>
        <w:t>Emotional Exhaustion (EE)</w:t>
      </w:r>
      <w:r w:rsidRPr="006967F0">
        <w:rPr>
          <w:rFonts w:ascii="Times New Roman" w:eastAsia="Times New Roman" w:hAnsi="Times New Roman" w:cs="Times New Roman"/>
          <w:sz w:val="24"/>
          <w:szCs w:val="24"/>
          <w:lang w:eastAsia="tr-TR"/>
        </w:rPr>
        <w:t xml:space="preserve">, a feeling of being depleted of emotional and physical resources; </w:t>
      </w:r>
      <w:r w:rsidRPr="006967F0">
        <w:rPr>
          <w:rFonts w:ascii="Times New Roman" w:eastAsia="Times New Roman" w:hAnsi="Times New Roman" w:cs="Times New Roman"/>
          <w:b/>
          <w:bCs/>
          <w:sz w:val="24"/>
          <w:szCs w:val="24"/>
          <w:lang w:eastAsia="tr-TR"/>
        </w:rPr>
        <w:t>Depersonalization (DP)</w:t>
      </w:r>
      <w:r w:rsidRPr="006967F0">
        <w:rPr>
          <w:rFonts w:ascii="Times New Roman" w:eastAsia="Times New Roman" w:hAnsi="Times New Roman" w:cs="Times New Roman"/>
          <w:sz w:val="24"/>
          <w:szCs w:val="24"/>
          <w:lang w:eastAsia="tr-TR"/>
        </w:rPr>
        <w:t xml:space="preserve">, the development of cynical and detached attitudes toward the recipients of one's service; and </w:t>
      </w:r>
      <w:r w:rsidRPr="006967F0">
        <w:rPr>
          <w:rFonts w:ascii="Times New Roman" w:eastAsia="Times New Roman" w:hAnsi="Times New Roman" w:cs="Times New Roman"/>
          <w:b/>
          <w:bCs/>
          <w:sz w:val="24"/>
          <w:szCs w:val="24"/>
          <w:lang w:eastAsia="tr-TR"/>
        </w:rPr>
        <w:t>reduced Personal Accomplishment (PA)</w:t>
      </w:r>
      <w:r w:rsidRPr="006967F0">
        <w:rPr>
          <w:rFonts w:ascii="Times New Roman" w:eastAsia="Times New Roman" w:hAnsi="Times New Roman" w:cs="Times New Roman"/>
          <w:sz w:val="24"/>
          <w:szCs w:val="24"/>
          <w:lang w:eastAsia="tr-TR"/>
        </w:rPr>
        <w:t xml:space="preserve">, a feeling of ineffectiveness and a lack of achievement in one's work (Maslach &amp; Jackson, 1981) . These dimensions are universally measured using the Maslach Burnout Inventory (MBI), which ensures global comparability of research findings in the field </w:t>
      </w:r>
      <w:r w:rsidR="00103B22">
        <w:rPr>
          <w:rFonts w:ascii="Times New Roman" w:eastAsia="Times New Roman" w:hAnsi="Times New Roman" w:cs="Times New Roman"/>
          <w:sz w:val="24"/>
          <w:szCs w:val="24"/>
          <w:lang w:eastAsia="tr-TR"/>
        </w:rPr>
        <w:t>(</w:t>
      </w:r>
      <w:r w:rsidR="00103B22" w:rsidRPr="006967F0">
        <w:rPr>
          <w:rFonts w:ascii="Times New Roman" w:eastAsia="Times New Roman" w:hAnsi="Times New Roman" w:cs="Times New Roman"/>
          <w:sz w:val="24"/>
          <w:szCs w:val="24"/>
          <w:lang w:eastAsia="tr-TR"/>
        </w:rPr>
        <w:t>2,3,4</w:t>
      </w:r>
      <w:r w:rsidR="00103B22">
        <w:rPr>
          <w:rFonts w:ascii="Times New Roman" w:eastAsia="Times New Roman" w:hAnsi="Times New Roman" w:cs="Times New Roman"/>
          <w:sz w:val="24"/>
          <w:szCs w:val="24"/>
          <w:lang w:eastAsia="tr-TR"/>
        </w:rPr>
        <w:t>)</w:t>
      </w:r>
    </w:p>
    <w:p w14:paraId="3E9B7084" w14:textId="77777777" w:rsidR="00103B22" w:rsidRPr="006967F0" w:rsidRDefault="00103B22" w:rsidP="00103B22">
      <w:pPr>
        <w:spacing w:after="0" w:line="240" w:lineRule="auto"/>
        <w:rPr>
          <w:rFonts w:ascii="Times New Roman" w:eastAsia="Times New Roman" w:hAnsi="Times New Roman" w:cs="Times New Roman"/>
          <w:sz w:val="24"/>
          <w:szCs w:val="24"/>
          <w:lang w:eastAsia="tr-TR"/>
        </w:rPr>
      </w:pPr>
    </w:p>
    <w:p w14:paraId="3FCAD90B" w14:textId="6DE34579" w:rsidR="006967F0" w:rsidRPr="006967F0" w:rsidRDefault="006967F0" w:rsidP="00103B22">
      <w:pPr>
        <w:spacing w:after="0"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 xml:space="preserve">In the field of dentistry, practitioners face a unique and demanding combination of high-demand factors. These include the requirement for extreme procedural precision in confined spaces, chronic exposure to physical strain from repetitive movements, the constant demand of patient anxiety management, and significant financial and administrative pressures. This sustained exposure to stress is compounded by the </w:t>
      </w:r>
      <w:r w:rsidRPr="006967F0">
        <w:rPr>
          <w:rFonts w:ascii="Times New Roman" w:eastAsia="Times New Roman" w:hAnsi="Times New Roman" w:cs="Times New Roman"/>
          <w:b/>
          <w:bCs/>
          <w:sz w:val="24"/>
          <w:szCs w:val="24"/>
          <w:lang w:eastAsia="tr-TR"/>
        </w:rPr>
        <w:t>isolated nature of the dental work setting</w:t>
      </w:r>
      <w:r w:rsidRPr="006967F0">
        <w:rPr>
          <w:rFonts w:ascii="Times New Roman" w:eastAsia="Times New Roman" w:hAnsi="Times New Roman" w:cs="Times New Roman"/>
          <w:sz w:val="24"/>
          <w:szCs w:val="24"/>
          <w:lang w:eastAsia="tr-TR"/>
        </w:rPr>
        <w:t xml:space="preserve"> </w:t>
      </w:r>
      <w:r w:rsidR="00103B22">
        <w:rPr>
          <w:rFonts w:ascii="Times New Roman" w:eastAsia="Times New Roman" w:hAnsi="Times New Roman" w:cs="Times New Roman"/>
          <w:sz w:val="24"/>
          <w:szCs w:val="24"/>
          <w:lang w:eastAsia="tr-TR"/>
        </w:rPr>
        <w:t>(</w:t>
      </w:r>
      <w:r w:rsidR="00103B22" w:rsidRPr="006967F0">
        <w:rPr>
          <w:rFonts w:ascii="Times New Roman" w:eastAsia="Times New Roman" w:hAnsi="Times New Roman" w:cs="Times New Roman"/>
          <w:sz w:val="24"/>
          <w:szCs w:val="24"/>
          <w:lang w:eastAsia="tr-TR"/>
        </w:rPr>
        <w:t>5,10,16</w:t>
      </w:r>
      <w:r w:rsidR="00103B22">
        <w:rPr>
          <w:rFonts w:ascii="Times New Roman" w:eastAsia="Times New Roman" w:hAnsi="Times New Roman" w:cs="Times New Roman"/>
          <w:sz w:val="24"/>
          <w:szCs w:val="24"/>
          <w:lang w:eastAsia="tr-TR"/>
        </w:rPr>
        <w:t>)</w:t>
      </w:r>
      <w:r w:rsidRPr="006967F0">
        <w:rPr>
          <w:rFonts w:ascii="Times New Roman" w:eastAsia="Times New Roman" w:hAnsi="Times New Roman" w:cs="Times New Roman"/>
          <w:sz w:val="24"/>
          <w:szCs w:val="24"/>
          <w:lang w:eastAsia="tr-TR"/>
        </w:rPr>
        <w:t xml:space="preserve">which often limits peer support, mentorship, and collaborative patient management, thereby reducing the buffering effect of social support known to mitigate burnout risk </w:t>
      </w:r>
    </w:p>
    <w:p w14:paraId="569EDD96" w14:textId="36A1F96C" w:rsidR="006967F0" w:rsidRPr="006967F0" w:rsidRDefault="00103B22" w:rsidP="00103B2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6967F0" w:rsidRPr="006967F0">
        <w:rPr>
          <w:rFonts w:ascii="Times New Roman" w:eastAsia="Times New Roman" w:hAnsi="Times New Roman" w:cs="Times New Roman"/>
          <w:sz w:val="24"/>
          <w:szCs w:val="24"/>
          <w:lang w:eastAsia="tr-TR"/>
        </w:rPr>
        <w:t>12,19</w:t>
      </w:r>
      <w:r>
        <w:rPr>
          <w:rFonts w:ascii="Times New Roman" w:eastAsia="Times New Roman" w:hAnsi="Times New Roman" w:cs="Times New Roman"/>
          <w:sz w:val="24"/>
          <w:szCs w:val="24"/>
          <w:lang w:eastAsia="tr-TR"/>
        </w:rPr>
        <w:t>)</w:t>
      </w:r>
    </w:p>
    <w:p w14:paraId="78212ADE" w14:textId="77777777" w:rsidR="00103B22" w:rsidRPr="006967F0" w:rsidRDefault="006967F0" w:rsidP="00103B22">
      <w:pPr>
        <w:spacing w:after="0"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 xml:space="preserve">The consequences of unaddressed burnout extend far beyond individual discomfort, translating into tangible organizational and public health costs. At the individual level, burnout is linked to psychosomatic health problems, substance abuse, and even suicidal ideation. Organizationally, it drives high rates of staff turnover, increased absenteeism, and, crucially, a deterioration in the quality and safety of patient care </w:t>
      </w:r>
      <w:r w:rsidR="00103B22">
        <w:rPr>
          <w:rFonts w:ascii="Times New Roman" w:eastAsia="Times New Roman" w:hAnsi="Times New Roman" w:cs="Times New Roman"/>
          <w:sz w:val="24"/>
          <w:szCs w:val="24"/>
          <w:lang w:eastAsia="tr-TR"/>
        </w:rPr>
        <w:t>(</w:t>
      </w:r>
      <w:r w:rsidR="00103B22" w:rsidRPr="006967F0">
        <w:rPr>
          <w:rFonts w:ascii="Times New Roman" w:eastAsia="Times New Roman" w:hAnsi="Times New Roman" w:cs="Times New Roman"/>
          <w:sz w:val="24"/>
          <w:szCs w:val="24"/>
          <w:lang w:eastAsia="tr-TR"/>
        </w:rPr>
        <w:t>10,11,20</w:t>
      </w:r>
      <w:r w:rsidR="00103B22">
        <w:rPr>
          <w:rFonts w:ascii="Times New Roman" w:eastAsia="Times New Roman" w:hAnsi="Times New Roman" w:cs="Times New Roman"/>
          <w:sz w:val="24"/>
          <w:szCs w:val="24"/>
          <w:lang w:eastAsia="tr-TR"/>
        </w:rPr>
        <w:t>)</w:t>
      </w:r>
    </w:p>
    <w:p w14:paraId="690D3D08" w14:textId="72ADBF98" w:rsidR="006967F0" w:rsidRPr="006967F0" w:rsidRDefault="006967F0" w:rsidP="00103B22">
      <w:pPr>
        <w:spacing w:before="100" w:beforeAutospacing="1" w:after="100" w:afterAutospacing="1"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Specifically in dentistry, burnout can manifest as reduced empathy, poorer communication, and an increase in clinical errors, fundamentally compromising the ethical delivery of oral healthcare services.</w:t>
      </w:r>
      <w:r w:rsidR="00103B22">
        <w:rPr>
          <w:rFonts w:ascii="Times New Roman" w:eastAsia="Times New Roman" w:hAnsi="Times New Roman" w:cs="Times New Roman"/>
          <w:sz w:val="24"/>
          <w:szCs w:val="24"/>
          <w:lang w:eastAsia="tr-TR"/>
        </w:rPr>
        <w:t xml:space="preserve"> g</w:t>
      </w:r>
      <w:r w:rsidRPr="006967F0">
        <w:rPr>
          <w:rFonts w:ascii="Times New Roman" w:eastAsia="Times New Roman" w:hAnsi="Times New Roman" w:cs="Times New Roman"/>
          <w:sz w:val="24"/>
          <w:szCs w:val="24"/>
          <w:lang w:eastAsia="tr-TR"/>
        </w:rPr>
        <w:t xml:space="preserve">lobally, studies indicate a high prevalence of burnout among dentists, often exceeding general population averages </w:t>
      </w:r>
      <w:r w:rsidR="00103B22">
        <w:rPr>
          <w:rFonts w:ascii="Times New Roman" w:eastAsia="Times New Roman" w:hAnsi="Times New Roman" w:cs="Times New Roman"/>
          <w:sz w:val="24"/>
          <w:szCs w:val="24"/>
          <w:lang w:eastAsia="tr-TR"/>
        </w:rPr>
        <w:t>(</w:t>
      </w:r>
      <w:r w:rsidRPr="006967F0">
        <w:rPr>
          <w:rFonts w:ascii="Times New Roman" w:eastAsia="Times New Roman" w:hAnsi="Times New Roman" w:cs="Times New Roman"/>
          <w:sz w:val="24"/>
          <w:szCs w:val="24"/>
          <w:lang w:eastAsia="tr-TR"/>
        </w:rPr>
        <w:t>11,18</w:t>
      </w:r>
      <w:r w:rsidR="00103B22">
        <w:rPr>
          <w:rFonts w:ascii="Times New Roman" w:eastAsia="Times New Roman" w:hAnsi="Times New Roman" w:cs="Times New Roman"/>
          <w:sz w:val="24"/>
          <w:szCs w:val="24"/>
          <w:lang w:eastAsia="tr-TR"/>
        </w:rPr>
        <w:t>)</w:t>
      </w:r>
    </w:p>
    <w:p w14:paraId="3BEB42DC" w14:textId="6B85FAA2" w:rsidR="006967F0" w:rsidRDefault="006967F0" w:rsidP="00B508FB">
      <w:pPr>
        <w:spacing w:after="0"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 xml:space="preserve">However, the exact prevalence and specific predictive factors are highly dependent on the structure of the local healthcare system and the cultural context of practice </w:t>
      </w:r>
      <w:r w:rsidR="00103B22">
        <w:rPr>
          <w:rFonts w:ascii="Times New Roman" w:eastAsia="Times New Roman" w:hAnsi="Times New Roman" w:cs="Times New Roman"/>
          <w:sz w:val="24"/>
          <w:szCs w:val="24"/>
          <w:lang w:eastAsia="tr-TR"/>
        </w:rPr>
        <w:t>(</w:t>
      </w:r>
      <w:r w:rsidR="00103B22" w:rsidRPr="006967F0">
        <w:rPr>
          <w:rFonts w:ascii="Times New Roman" w:eastAsia="Times New Roman" w:hAnsi="Times New Roman" w:cs="Times New Roman"/>
          <w:sz w:val="24"/>
          <w:szCs w:val="24"/>
          <w:lang w:eastAsia="tr-TR"/>
        </w:rPr>
        <w:t>9</w:t>
      </w:r>
      <w:r w:rsidR="00103B22">
        <w:rPr>
          <w:rFonts w:ascii="Times New Roman" w:eastAsia="Times New Roman" w:hAnsi="Times New Roman" w:cs="Times New Roman"/>
          <w:sz w:val="24"/>
          <w:szCs w:val="24"/>
          <w:lang w:eastAsia="tr-TR"/>
        </w:rPr>
        <w:t>)</w:t>
      </w:r>
    </w:p>
    <w:p w14:paraId="0DED0427" w14:textId="77777777" w:rsidR="00B508FB" w:rsidRPr="006967F0" w:rsidRDefault="00B508FB" w:rsidP="00B508FB">
      <w:pPr>
        <w:spacing w:after="0" w:line="240" w:lineRule="auto"/>
        <w:rPr>
          <w:rFonts w:ascii="Times New Roman" w:eastAsia="Times New Roman" w:hAnsi="Times New Roman" w:cs="Times New Roman"/>
          <w:sz w:val="24"/>
          <w:szCs w:val="24"/>
          <w:lang w:eastAsia="tr-TR"/>
        </w:rPr>
      </w:pPr>
    </w:p>
    <w:p w14:paraId="0DC449D4" w14:textId="43E5DEC6" w:rsidR="00103B22" w:rsidRPr="006967F0" w:rsidRDefault="006967F0" w:rsidP="00103B22">
      <w:pPr>
        <w:spacing w:after="0"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 xml:space="preserve"> In Turkey, the dental healthcare system is characterized by a rapidly growing private sector alongside an established public network (State Hospitals/ADSMs), leading to diverse work conditions, payment models, and administrative burdens that may differentially influence burnout dimensions. While previous local studies exist </w:t>
      </w:r>
      <w:r w:rsidR="00103B22">
        <w:rPr>
          <w:rFonts w:ascii="Times New Roman" w:eastAsia="Times New Roman" w:hAnsi="Times New Roman" w:cs="Times New Roman"/>
          <w:sz w:val="24"/>
          <w:szCs w:val="24"/>
          <w:lang w:eastAsia="tr-TR"/>
        </w:rPr>
        <w:t>(</w:t>
      </w:r>
      <w:r w:rsidR="00103B22" w:rsidRPr="006967F0">
        <w:rPr>
          <w:rFonts w:ascii="Times New Roman" w:eastAsia="Times New Roman" w:hAnsi="Times New Roman" w:cs="Times New Roman"/>
          <w:sz w:val="24"/>
          <w:szCs w:val="24"/>
          <w:lang w:eastAsia="tr-TR"/>
        </w:rPr>
        <w:t>7,8</w:t>
      </w:r>
      <w:r w:rsidR="00103B22">
        <w:rPr>
          <w:rFonts w:ascii="Times New Roman" w:eastAsia="Times New Roman" w:hAnsi="Times New Roman" w:cs="Times New Roman"/>
          <w:sz w:val="24"/>
          <w:szCs w:val="24"/>
          <w:lang w:eastAsia="tr-TR"/>
        </w:rPr>
        <w:t>)</w:t>
      </w:r>
      <w:r w:rsidRPr="006967F0">
        <w:rPr>
          <w:rFonts w:ascii="Times New Roman" w:eastAsia="Times New Roman" w:hAnsi="Times New Roman" w:cs="Times New Roman"/>
          <w:sz w:val="24"/>
          <w:szCs w:val="24"/>
          <w:lang w:eastAsia="tr-TR"/>
        </w:rPr>
        <w:t xml:space="preserve">there remains a critical need for recent, localized data to effectively profile the high-risk groups within the Turkish dental community, especially concerning how structural factors like </w:t>
      </w:r>
      <w:r w:rsidRPr="006967F0">
        <w:rPr>
          <w:rFonts w:ascii="Times New Roman" w:eastAsia="Times New Roman" w:hAnsi="Times New Roman" w:cs="Times New Roman"/>
          <w:b/>
          <w:bCs/>
          <w:sz w:val="24"/>
          <w:szCs w:val="24"/>
          <w:lang w:eastAsia="tr-TR"/>
        </w:rPr>
        <w:t>work setting (public vs. private), specialist status, age, and marital status</w:t>
      </w:r>
      <w:r w:rsidRPr="006967F0">
        <w:rPr>
          <w:rFonts w:ascii="Times New Roman" w:eastAsia="Times New Roman" w:hAnsi="Times New Roman" w:cs="Times New Roman"/>
          <w:sz w:val="24"/>
          <w:szCs w:val="24"/>
          <w:lang w:eastAsia="tr-TR"/>
        </w:rPr>
        <w:t xml:space="preserve"> interact with and predict the core MBI dimensions </w:t>
      </w:r>
      <w:r w:rsidR="00103B22">
        <w:rPr>
          <w:rFonts w:ascii="Times New Roman" w:eastAsia="Times New Roman" w:hAnsi="Times New Roman" w:cs="Times New Roman"/>
          <w:sz w:val="24"/>
          <w:szCs w:val="24"/>
          <w:lang w:eastAsia="tr-TR"/>
        </w:rPr>
        <w:t>(</w:t>
      </w:r>
      <w:r w:rsidR="00103B22" w:rsidRPr="006967F0">
        <w:rPr>
          <w:rFonts w:ascii="Times New Roman" w:eastAsia="Times New Roman" w:hAnsi="Times New Roman" w:cs="Times New Roman"/>
          <w:sz w:val="24"/>
          <w:szCs w:val="24"/>
          <w:lang w:eastAsia="tr-TR"/>
        </w:rPr>
        <w:t>6,10,18</w:t>
      </w:r>
      <w:r w:rsidR="00103B22">
        <w:rPr>
          <w:rFonts w:ascii="Times New Roman" w:eastAsia="Times New Roman" w:hAnsi="Times New Roman" w:cs="Times New Roman"/>
          <w:sz w:val="24"/>
          <w:szCs w:val="24"/>
          <w:lang w:eastAsia="tr-TR"/>
        </w:rPr>
        <w:t>)</w:t>
      </w:r>
    </w:p>
    <w:p w14:paraId="64E0D2ED" w14:textId="6F48FB69" w:rsidR="006967F0" w:rsidRPr="006967F0" w:rsidRDefault="006967F0" w:rsidP="006967F0">
      <w:pPr>
        <w:spacing w:before="100" w:beforeAutospacing="1" w:after="100" w:afterAutospacing="1"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Understanding these specific local nuances is vital for developing targeted and effective organizational and individual intervention strategies.</w:t>
      </w:r>
    </w:p>
    <w:p w14:paraId="2008BC9F" w14:textId="77777777" w:rsidR="006967F0" w:rsidRPr="006967F0" w:rsidRDefault="006967F0" w:rsidP="006967F0">
      <w:pPr>
        <w:spacing w:before="100" w:beforeAutospacing="1" w:after="100" w:afterAutospacing="1"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lastRenderedPageBreak/>
        <w:t xml:space="preserve">Therefore, the </w:t>
      </w:r>
      <w:r w:rsidRPr="006967F0">
        <w:rPr>
          <w:rFonts w:ascii="Times New Roman" w:eastAsia="Times New Roman" w:hAnsi="Times New Roman" w:cs="Times New Roman"/>
          <w:b/>
          <w:bCs/>
          <w:sz w:val="24"/>
          <w:szCs w:val="24"/>
          <w:lang w:eastAsia="tr-TR"/>
        </w:rPr>
        <w:t>objective</w:t>
      </w:r>
      <w:r w:rsidRPr="006967F0">
        <w:rPr>
          <w:rFonts w:ascii="Times New Roman" w:eastAsia="Times New Roman" w:hAnsi="Times New Roman" w:cs="Times New Roman"/>
          <w:sz w:val="24"/>
          <w:szCs w:val="24"/>
          <w:lang w:eastAsia="tr-TR"/>
        </w:rPr>
        <w:t xml:space="preserve"> of this study is two-fold: 1) to determine the current levels of Emotional Exhaustion, Depersonalization, and Personal Accomplishment among a convenience sample of practicing dentists in Kayseri, Turkey; and 2) to examine the association between these burnout dimensions and key demographic (age, marital status) and professional variables (work setting, specialist status). This research aims to fill the existing gap in the literature by providing specific data that can guide policy recommendations for the mitigation of occupational stress in the Turkish dental profession.</w:t>
      </w:r>
    </w:p>
    <w:p w14:paraId="67B31F4E" w14:textId="77777777" w:rsidR="007B741A" w:rsidRDefault="00D9334D" w:rsidP="007B741A">
      <w:r>
        <w:pict w14:anchorId="6B00F4D4">
          <v:rect id="_x0000_i1025" style="width:0;height:1.5pt" o:hralign="center" o:hrstd="t" o:hr="t" fillcolor="#a0a0a0" stroked="f"/>
        </w:pict>
      </w:r>
    </w:p>
    <w:p w14:paraId="5DC4ECB8" w14:textId="53ADFB7F" w:rsidR="007B741A" w:rsidRDefault="007B741A" w:rsidP="007B741A">
      <w:pPr>
        <w:pStyle w:val="Heading2"/>
      </w:pPr>
      <w:r>
        <w:t xml:space="preserve">MATERIALS AND </w:t>
      </w:r>
      <w:commentRangeStart w:id="1"/>
      <w:r>
        <w:t>METHODS</w:t>
      </w:r>
      <w:commentRangeEnd w:id="1"/>
      <w:r w:rsidR="00117C0C">
        <w:rPr>
          <w:rStyle w:val="CommentReference"/>
          <w:rFonts w:asciiTheme="minorHAnsi" w:eastAsiaTheme="minorHAnsi" w:hAnsiTheme="minorHAnsi" w:cstheme="minorBidi"/>
          <w:b w:val="0"/>
          <w:bCs w:val="0"/>
          <w:lang w:eastAsia="en-US"/>
        </w:rPr>
        <w:commentReference w:id="1"/>
      </w:r>
      <w:r>
        <w:t xml:space="preserve"> </w:t>
      </w:r>
    </w:p>
    <w:p w14:paraId="66BA3292" w14:textId="77777777" w:rsidR="007B741A" w:rsidRDefault="007B741A" w:rsidP="007B741A">
      <w:pPr>
        <w:pStyle w:val="Heading3"/>
      </w:pPr>
      <w:r>
        <w:t>3.1. Study Design and Aim</w:t>
      </w:r>
    </w:p>
    <w:p w14:paraId="1033022E" w14:textId="77777777" w:rsidR="007B741A" w:rsidRDefault="007B741A" w:rsidP="007B741A">
      <w:pPr>
        <w:pStyle w:val="NormalWeb"/>
      </w:pPr>
      <w:r>
        <w:t xml:space="preserve">This study was designed as a </w:t>
      </w:r>
      <w:r>
        <w:rPr>
          <w:b/>
          <w:bCs/>
        </w:rPr>
        <w:t>descriptive and cross-sectional</w:t>
      </w:r>
      <w:r>
        <w:t xml:space="preserve"> research. The primary objective was to determine the burnout levels among practicing dentists and to investigate the relationship between burnout levels and various demographic and professional variables.</w:t>
      </w:r>
    </w:p>
    <w:p w14:paraId="0FE74AD9" w14:textId="77777777" w:rsidR="007B741A" w:rsidRDefault="007B741A" w:rsidP="007B741A">
      <w:pPr>
        <w:pStyle w:val="Heading3"/>
      </w:pPr>
      <w:r>
        <w:t>3.2. Study Group (Sample)</w:t>
      </w:r>
    </w:p>
    <w:p w14:paraId="372F19C9" w14:textId="77777777" w:rsidR="007B741A" w:rsidRDefault="007B741A" w:rsidP="007B741A">
      <w:pPr>
        <w:pStyle w:val="NormalWeb"/>
      </w:pPr>
      <w:r>
        <w:t xml:space="preserve">The study sample consisted of </w:t>
      </w:r>
      <w:r>
        <w:rPr>
          <w:b/>
          <w:bCs/>
        </w:rPr>
        <w:t>106 dentists</w:t>
      </w:r>
      <w:r>
        <w:t xml:space="preserve"> working in various public and private healthcare institutions in </w:t>
      </w:r>
      <w:r>
        <w:rPr>
          <w:b/>
          <w:bCs/>
        </w:rPr>
        <w:t>Kayseri, Turkey</w:t>
      </w:r>
      <w:r>
        <w:t xml:space="preserve">. Participants were included in the study on a voluntary basis. A </w:t>
      </w:r>
      <w:r>
        <w:rPr>
          <w:b/>
          <w:bCs/>
        </w:rPr>
        <w:t>convenience sampling</w:t>
      </w:r>
      <w:r>
        <w:t xml:space="preserve"> technique was employed for sample selection.</w:t>
      </w:r>
    </w:p>
    <w:p w14:paraId="24FCFB47" w14:textId="77777777" w:rsidR="007B741A" w:rsidRDefault="007B741A" w:rsidP="007B741A">
      <w:pPr>
        <w:pStyle w:val="Heading3"/>
      </w:pPr>
      <w:r>
        <w:t>3.3. Data Collection Instrument</w:t>
      </w:r>
    </w:p>
    <w:p w14:paraId="1840A2AB" w14:textId="77777777" w:rsidR="007B741A" w:rsidRDefault="007B741A" w:rsidP="007B741A">
      <w:pPr>
        <w:pStyle w:val="NormalWeb"/>
      </w:pPr>
      <w:r>
        <w:t>Data were collected using a questionnaire form composed of two main sections:</w:t>
      </w:r>
    </w:p>
    <w:p w14:paraId="02AD45BA" w14:textId="77777777" w:rsidR="007B741A" w:rsidRDefault="007B741A" w:rsidP="007B741A">
      <w:pPr>
        <w:pStyle w:val="Heading4"/>
      </w:pPr>
      <w:r>
        <w:t>Section I: Demographic and Professional Information Questionnaire</w:t>
      </w:r>
    </w:p>
    <w:p w14:paraId="4C58AE9C" w14:textId="77777777" w:rsidR="007B741A" w:rsidRDefault="007B741A" w:rsidP="007B741A">
      <w:pPr>
        <w:pStyle w:val="NormalWeb"/>
      </w:pPr>
      <w:r>
        <w:t>This section included questions regarding participants' demographic and professional characteristics. The collected variables were:</w:t>
      </w:r>
    </w:p>
    <w:p w14:paraId="012F7FCE" w14:textId="77777777" w:rsidR="007B741A" w:rsidRDefault="007B741A" w:rsidP="007B741A">
      <w:pPr>
        <w:pStyle w:val="NormalWeb"/>
        <w:numPr>
          <w:ilvl w:val="0"/>
          <w:numId w:val="6"/>
        </w:numPr>
      </w:pPr>
      <w:r>
        <w:t>Gender</w:t>
      </w:r>
    </w:p>
    <w:p w14:paraId="16469FE3" w14:textId="77777777" w:rsidR="007B741A" w:rsidRDefault="007B741A" w:rsidP="007B741A">
      <w:pPr>
        <w:pStyle w:val="NormalWeb"/>
        <w:numPr>
          <w:ilvl w:val="0"/>
          <w:numId w:val="6"/>
        </w:numPr>
      </w:pPr>
      <w:r>
        <w:t>Age</w:t>
      </w:r>
    </w:p>
    <w:p w14:paraId="2E7074B9" w14:textId="77777777" w:rsidR="007B741A" w:rsidRDefault="007B741A" w:rsidP="007B741A">
      <w:pPr>
        <w:pStyle w:val="NormalWeb"/>
        <w:numPr>
          <w:ilvl w:val="0"/>
          <w:numId w:val="6"/>
        </w:numPr>
      </w:pPr>
      <w:r>
        <w:t>Marital Status</w:t>
      </w:r>
    </w:p>
    <w:p w14:paraId="2B3AB776" w14:textId="77777777" w:rsidR="007B741A" w:rsidRDefault="007B741A" w:rsidP="007B741A">
      <w:pPr>
        <w:pStyle w:val="NormalWeb"/>
        <w:numPr>
          <w:ilvl w:val="0"/>
          <w:numId w:val="6"/>
        </w:numPr>
      </w:pPr>
      <w:r>
        <w:t>Year of Graduation</w:t>
      </w:r>
    </w:p>
    <w:p w14:paraId="069CE853" w14:textId="77777777" w:rsidR="007B741A" w:rsidRDefault="007B741A" w:rsidP="007B741A">
      <w:pPr>
        <w:pStyle w:val="NormalWeb"/>
        <w:numPr>
          <w:ilvl w:val="0"/>
          <w:numId w:val="6"/>
        </w:numPr>
      </w:pPr>
      <w:r>
        <w:t>Type of Work Setting (e.g., private clinic, state hospital, etc.)</w:t>
      </w:r>
    </w:p>
    <w:p w14:paraId="4C8967B2" w14:textId="77777777" w:rsidR="007B741A" w:rsidRDefault="007B741A" w:rsidP="007B741A">
      <w:pPr>
        <w:pStyle w:val="NormalWeb"/>
        <w:numPr>
          <w:ilvl w:val="0"/>
          <w:numId w:val="6"/>
        </w:numPr>
      </w:pPr>
      <w:r>
        <w:t>Specialist Status</w:t>
      </w:r>
    </w:p>
    <w:p w14:paraId="4E5BE7F3" w14:textId="77777777" w:rsidR="007B741A" w:rsidRDefault="007B741A" w:rsidP="007B741A">
      <w:pPr>
        <w:pStyle w:val="NormalWeb"/>
        <w:numPr>
          <w:ilvl w:val="0"/>
          <w:numId w:val="6"/>
        </w:numPr>
      </w:pPr>
      <w:r>
        <w:t>Average Daily Patient Count</w:t>
      </w:r>
    </w:p>
    <w:p w14:paraId="36DE33FD" w14:textId="77777777" w:rsidR="007B741A" w:rsidRDefault="007B741A" w:rsidP="007B741A">
      <w:pPr>
        <w:pStyle w:val="NormalWeb"/>
        <w:numPr>
          <w:ilvl w:val="0"/>
          <w:numId w:val="6"/>
        </w:numPr>
      </w:pPr>
      <w:r>
        <w:lastRenderedPageBreak/>
        <w:t>Weekly Working Days and Day(s) Off</w:t>
      </w:r>
    </w:p>
    <w:p w14:paraId="057D3B2B" w14:textId="77777777" w:rsidR="007B741A" w:rsidRDefault="007B741A" w:rsidP="007B741A">
      <w:pPr>
        <w:pStyle w:val="NormalWeb"/>
        <w:numPr>
          <w:ilvl w:val="0"/>
          <w:numId w:val="6"/>
        </w:numPr>
      </w:pPr>
      <w:r>
        <w:t>Years of Professional Experience</w:t>
      </w:r>
    </w:p>
    <w:p w14:paraId="30539453" w14:textId="77777777" w:rsidR="007B741A" w:rsidRDefault="007B741A" w:rsidP="007B741A">
      <w:pPr>
        <w:pStyle w:val="NormalWeb"/>
        <w:numPr>
          <w:ilvl w:val="0"/>
          <w:numId w:val="6"/>
        </w:numPr>
      </w:pPr>
      <w:r>
        <w:t>Professional Satisfaction Level (Measured on a 1-5 scale)</w:t>
      </w:r>
    </w:p>
    <w:p w14:paraId="116DF45E" w14:textId="77777777" w:rsidR="007B741A" w:rsidRDefault="007B741A" w:rsidP="007B741A">
      <w:pPr>
        <w:pStyle w:val="NormalWeb"/>
        <w:numPr>
          <w:ilvl w:val="0"/>
          <w:numId w:val="6"/>
        </w:numPr>
      </w:pPr>
      <w:r>
        <w:t>Presence of Assistant/Auxiliary Staff</w:t>
      </w:r>
    </w:p>
    <w:p w14:paraId="4244872D" w14:textId="77777777" w:rsidR="007B741A" w:rsidRDefault="007B741A" w:rsidP="007B741A">
      <w:pPr>
        <w:pStyle w:val="NormalWeb"/>
        <w:numPr>
          <w:ilvl w:val="0"/>
          <w:numId w:val="6"/>
        </w:numPr>
      </w:pPr>
      <w:r>
        <w:t>Work-related Health Problems in the Last Year</w:t>
      </w:r>
    </w:p>
    <w:p w14:paraId="5A0298B2" w14:textId="77777777" w:rsidR="007B741A" w:rsidRDefault="007B741A" w:rsidP="007B741A">
      <w:pPr>
        <w:pStyle w:val="NormalWeb"/>
        <w:numPr>
          <w:ilvl w:val="0"/>
          <w:numId w:val="6"/>
        </w:numPr>
      </w:pPr>
      <w:r>
        <w:t>Intention to Change Profession (in the last 6 months)</w:t>
      </w:r>
    </w:p>
    <w:p w14:paraId="30A8CC37" w14:textId="77777777" w:rsidR="007B741A" w:rsidRDefault="007B741A" w:rsidP="007B741A">
      <w:pPr>
        <w:pStyle w:val="NormalWeb"/>
        <w:numPr>
          <w:ilvl w:val="0"/>
          <w:numId w:val="6"/>
        </w:numPr>
      </w:pPr>
      <w:r>
        <w:t>Impact of Communication Problems (Measured on a scale from 'none' to 'extreme')</w:t>
      </w:r>
    </w:p>
    <w:p w14:paraId="56AF34DE" w14:textId="77777777" w:rsidR="007B741A" w:rsidRDefault="007B741A" w:rsidP="007B741A">
      <w:pPr>
        <w:pStyle w:val="NormalWeb"/>
        <w:numPr>
          <w:ilvl w:val="0"/>
          <w:numId w:val="6"/>
        </w:numPr>
      </w:pPr>
      <w:r>
        <w:t>Number of Work-Related Training/Seminars Attended</w:t>
      </w:r>
    </w:p>
    <w:p w14:paraId="1A8C0F27" w14:textId="77777777" w:rsidR="007B741A" w:rsidRDefault="007B741A" w:rsidP="007B741A">
      <w:pPr>
        <w:pStyle w:val="NormalWeb"/>
        <w:numPr>
          <w:ilvl w:val="0"/>
          <w:numId w:val="6"/>
        </w:numPr>
      </w:pPr>
      <w:r>
        <w:t>Feeling of Professional Loneliness (Measured on a 1-5 scale)</w:t>
      </w:r>
    </w:p>
    <w:p w14:paraId="0A2E113B" w14:textId="77777777" w:rsidR="007B741A" w:rsidRDefault="007B741A" w:rsidP="007B741A">
      <w:pPr>
        <w:pStyle w:val="Heading4"/>
      </w:pPr>
      <w:r>
        <w:t>Section II: Maslach Burnout Inventory (MBI-Human Services Survey)</w:t>
      </w:r>
    </w:p>
    <w:p w14:paraId="2457B18B" w14:textId="77777777" w:rsidR="007B741A" w:rsidRDefault="007B741A" w:rsidP="007B741A">
      <w:pPr>
        <w:pStyle w:val="NormalWeb"/>
      </w:pPr>
      <w:r>
        <w:t>The second section utilized the Maslach Burnout Inventory (MBI-HSS), a widely accepted scale for measuring occupational burnout. The MBI is comprised of 22 items and assesses burnout across three sub-dimensions:</w:t>
      </w:r>
    </w:p>
    <w:p w14:paraId="5342E24F" w14:textId="77777777" w:rsidR="007B741A" w:rsidRDefault="007B741A" w:rsidP="007B741A">
      <w:pPr>
        <w:pStyle w:val="NormalWeb"/>
        <w:numPr>
          <w:ilvl w:val="0"/>
          <w:numId w:val="7"/>
        </w:numPr>
      </w:pPr>
      <w:r>
        <w:rPr>
          <w:b/>
          <w:bCs/>
        </w:rPr>
        <w:t>Emotional Exhaustion (EE):</w:t>
      </w:r>
      <w:r>
        <w:t xml:space="preserve"> 7 items</w:t>
      </w:r>
    </w:p>
    <w:p w14:paraId="47F0CF1C" w14:textId="77777777" w:rsidR="007B741A" w:rsidRDefault="007B741A" w:rsidP="007B741A">
      <w:pPr>
        <w:pStyle w:val="NormalWeb"/>
        <w:numPr>
          <w:ilvl w:val="0"/>
          <w:numId w:val="7"/>
        </w:numPr>
      </w:pPr>
      <w:r>
        <w:rPr>
          <w:b/>
          <w:bCs/>
        </w:rPr>
        <w:t>Depersonalization (DP):</w:t>
      </w:r>
      <w:r>
        <w:t xml:space="preserve"> 7 items</w:t>
      </w:r>
    </w:p>
    <w:p w14:paraId="7C4639EA" w14:textId="77777777" w:rsidR="007B741A" w:rsidRDefault="007B741A" w:rsidP="007B741A">
      <w:pPr>
        <w:pStyle w:val="NormalWeb"/>
        <w:numPr>
          <w:ilvl w:val="0"/>
          <w:numId w:val="7"/>
        </w:numPr>
      </w:pPr>
      <w:r>
        <w:rPr>
          <w:b/>
          <w:bCs/>
        </w:rPr>
        <w:t>Personal Accomplishment (PA):</w:t>
      </w:r>
      <w:r>
        <w:t xml:space="preserve"> 8 items</w:t>
      </w:r>
    </w:p>
    <w:p w14:paraId="2D28B08F" w14:textId="77777777" w:rsidR="007B741A" w:rsidRDefault="007B741A" w:rsidP="007B741A">
      <w:pPr>
        <w:pStyle w:val="Heading3"/>
      </w:pPr>
      <w:r>
        <w:t>3.4. Data Analysis</w:t>
      </w:r>
    </w:p>
    <w:p w14:paraId="0D0A1CD1" w14:textId="77777777" w:rsidR="007B741A" w:rsidRDefault="007B741A" w:rsidP="007B741A">
      <w:pPr>
        <w:pStyle w:val="NormalWeb"/>
      </w:pPr>
      <w:r>
        <w:t xml:space="preserve">The collected data were analyzed using the </w:t>
      </w:r>
      <w:r>
        <w:rPr>
          <w:b/>
          <w:bCs/>
        </w:rPr>
        <w:t>SPSS (Statistical Package for the Social Sciences) version 25.0</w:t>
      </w:r>
      <w:r>
        <w:t xml:space="preserve"> software. Descriptive statistics (mean, standard deviation, frequency, and percentage) were used to summarize the data. To determine differences between groups, the </w:t>
      </w:r>
      <w:r>
        <w:rPr>
          <w:b/>
          <w:bCs/>
        </w:rPr>
        <w:t>Independent Samples t-test</w:t>
      </w:r>
      <w:r>
        <w:t xml:space="preserve"> was applied for two-group comparisons, and </w:t>
      </w:r>
      <w:r>
        <w:rPr>
          <w:b/>
          <w:bCs/>
        </w:rPr>
        <w:t>One-Way Analysis of Variance (ANOVA)</w:t>
      </w:r>
      <w:r>
        <w:t xml:space="preserve"> was used for comparisons involving three or more groups.</w:t>
      </w:r>
    </w:p>
    <w:p w14:paraId="5B3B5B32" w14:textId="39554F81" w:rsidR="007B741A" w:rsidRDefault="007B741A" w:rsidP="00CF4C82"/>
    <w:p w14:paraId="4EFCC687" w14:textId="77777777" w:rsidR="007B741A" w:rsidRDefault="007B741A" w:rsidP="007B741A">
      <w:pPr>
        <w:pStyle w:val="Heading2"/>
      </w:pPr>
    </w:p>
    <w:p w14:paraId="3B2C9125" w14:textId="77777777" w:rsidR="007B741A" w:rsidRDefault="007B741A" w:rsidP="007B741A">
      <w:pPr>
        <w:pStyle w:val="Heading2"/>
      </w:pPr>
    </w:p>
    <w:p w14:paraId="297EE775" w14:textId="18D7E0A8" w:rsidR="007B741A" w:rsidRDefault="007B741A" w:rsidP="007B741A">
      <w:pPr>
        <w:pStyle w:val="Heading2"/>
      </w:pPr>
      <w:r>
        <w:t xml:space="preserve">4. </w:t>
      </w:r>
      <w:commentRangeStart w:id="3"/>
      <w:r>
        <w:t>RESULTS</w:t>
      </w:r>
      <w:commentRangeEnd w:id="3"/>
      <w:r w:rsidR="00117C0C">
        <w:rPr>
          <w:rStyle w:val="CommentReference"/>
          <w:rFonts w:asciiTheme="minorHAnsi" w:eastAsiaTheme="minorHAnsi" w:hAnsiTheme="minorHAnsi" w:cstheme="minorBidi"/>
          <w:b w:val="0"/>
          <w:bCs w:val="0"/>
          <w:lang w:eastAsia="en-US"/>
        </w:rPr>
        <w:commentReference w:id="3"/>
      </w:r>
      <w:r>
        <w:t xml:space="preserve"> </w:t>
      </w:r>
    </w:p>
    <w:p w14:paraId="04824D1F" w14:textId="77777777" w:rsidR="007B741A" w:rsidRDefault="007B741A" w:rsidP="007B741A">
      <w:pPr>
        <w:pStyle w:val="NormalWeb"/>
      </w:pPr>
      <w:r>
        <w:lastRenderedPageBreak/>
        <w:t xml:space="preserve">The study involved a total of </w:t>
      </w:r>
      <w:r>
        <w:rPr>
          <w:b/>
          <w:bCs/>
        </w:rPr>
        <w:t>106 participants</w:t>
      </w:r>
      <w:r>
        <w:t xml:space="preserve"> and the data analysis includes the frequency and percentage distributions of demographic variables, followed by descriptive statistics based on key subgroups (gender, age, marital status, and work setting).</w:t>
      </w:r>
    </w:p>
    <w:p w14:paraId="15D55B08" w14:textId="77777777" w:rsidR="007B741A" w:rsidRDefault="007B741A" w:rsidP="007B741A">
      <w:pPr>
        <w:pStyle w:val="Heading3"/>
      </w:pPr>
      <w:r>
        <w:t>4.1. Demographic Characteristics of the Sample</w:t>
      </w:r>
    </w:p>
    <w:p w14:paraId="3512014C" w14:textId="77777777" w:rsidR="007B741A" w:rsidRDefault="007B741A" w:rsidP="007B741A">
      <w:pPr>
        <w:pStyle w:val="NormalWeb"/>
      </w:pPr>
      <w:r>
        <w:t xml:space="preserve">The majority of the participants were female (55.7%), and the age distribution was concentrated in the younger groups (20-29 years: 38.7%; 30-39 years: 39.6%). Regarding the work setting, the largest group worked in a private hospital/clinic (35.8%), followed by private practice (31.1%). The sample was predominantly composed of general dentists (79.2%). The distribution of participants across different demographic and professional categories is detailed in </w:t>
      </w:r>
      <w:r>
        <w:rPr>
          <w:b/>
          <w:bCs/>
        </w:rPr>
        <w:t>Table 1</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1029"/>
      </w:tblGrid>
      <w:tr w:rsidR="007B741A" w14:paraId="4B6766C1" w14:textId="77777777" w:rsidTr="007B741A">
        <w:trPr>
          <w:tblHeader/>
          <w:tblCellSpacing w:w="15" w:type="dxa"/>
        </w:trPr>
        <w:tc>
          <w:tcPr>
            <w:tcW w:w="0" w:type="auto"/>
            <w:vAlign w:val="center"/>
            <w:hideMark/>
          </w:tcPr>
          <w:p w14:paraId="0EC88DB7" w14:textId="77777777" w:rsidR="007B741A" w:rsidRDefault="007B741A">
            <w:r>
              <w:t>Table 1. Demographic Characteristics of the Participants (N=106)</w:t>
            </w:r>
          </w:p>
        </w:tc>
        <w:tc>
          <w:tcPr>
            <w:tcW w:w="0" w:type="auto"/>
            <w:vAlign w:val="center"/>
            <w:hideMark/>
          </w:tcPr>
          <w:p w14:paraId="3EF1556F" w14:textId="77777777" w:rsidR="007B741A" w:rsidRDefault="007B741A"/>
        </w:tc>
      </w:tr>
      <w:tr w:rsidR="007B741A" w14:paraId="77C0F75F" w14:textId="77777777" w:rsidTr="007B741A">
        <w:trPr>
          <w:tblCellSpacing w:w="15" w:type="dxa"/>
        </w:trPr>
        <w:tc>
          <w:tcPr>
            <w:tcW w:w="0" w:type="auto"/>
            <w:vAlign w:val="center"/>
            <w:hideMark/>
          </w:tcPr>
          <w:p w14:paraId="58DDD560" w14:textId="77777777" w:rsidR="007B741A" w:rsidRDefault="007B741A">
            <w:pPr>
              <w:rPr>
                <w:sz w:val="24"/>
                <w:szCs w:val="24"/>
              </w:rPr>
            </w:pPr>
            <w:r>
              <w:rPr>
                <w:b/>
                <w:bCs/>
              </w:rPr>
              <w:t>Variable</w:t>
            </w:r>
          </w:p>
        </w:tc>
        <w:tc>
          <w:tcPr>
            <w:tcW w:w="0" w:type="auto"/>
            <w:vAlign w:val="center"/>
            <w:hideMark/>
          </w:tcPr>
          <w:p w14:paraId="514FA6DB" w14:textId="77777777" w:rsidR="007B741A" w:rsidRDefault="007B741A">
            <w:r>
              <w:rPr>
                <w:b/>
                <w:bCs/>
              </w:rPr>
              <w:t>n (%)</w:t>
            </w:r>
          </w:p>
        </w:tc>
      </w:tr>
      <w:tr w:rsidR="007B741A" w14:paraId="6DD234FC" w14:textId="77777777" w:rsidTr="007B741A">
        <w:trPr>
          <w:tblCellSpacing w:w="15" w:type="dxa"/>
        </w:trPr>
        <w:tc>
          <w:tcPr>
            <w:tcW w:w="0" w:type="auto"/>
            <w:vAlign w:val="center"/>
            <w:hideMark/>
          </w:tcPr>
          <w:p w14:paraId="40DEF338" w14:textId="77777777" w:rsidR="007B741A" w:rsidRDefault="007B741A">
            <w:r>
              <w:rPr>
                <w:b/>
                <w:bCs/>
              </w:rPr>
              <w:t>Gender</w:t>
            </w:r>
          </w:p>
        </w:tc>
        <w:tc>
          <w:tcPr>
            <w:tcW w:w="0" w:type="auto"/>
            <w:vAlign w:val="center"/>
            <w:hideMark/>
          </w:tcPr>
          <w:p w14:paraId="442580FD" w14:textId="77777777" w:rsidR="007B741A" w:rsidRDefault="007B741A"/>
        </w:tc>
      </w:tr>
      <w:tr w:rsidR="007B741A" w14:paraId="0DBFB647" w14:textId="77777777" w:rsidTr="007B741A">
        <w:trPr>
          <w:tblCellSpacing w:w="15" w:type="dxa"/>
        </w:trPr>
        <w:tc>
          <w:tcPr>
            <w:tcW w:w="0" w:type="auto"/>
            <w:vAlign w:val="center"/>
            <w:hideMark/>
          </w:tcPr>
          <w:p w14:paraId="3447A7E6" w14:textId="77777777" w:rsidR="007B741A" w:rsidRDefault="007B741A">
            <w:pPr>
              <w:rPr>
                <w:sz w:val="24"/>
                <w:szCs w:val="24"/>
              </w:rPr>
            </w:pPr>
            <w:r>
              <w:t>Female</w:t>
            </w:r>
          </w:p>
        </w:tc>
        <w:tc>
          <w:tcPr>
            <w:tcW w:w="0" w:type="auto"/>
            <w:vAlign w:val="center"/>
            <w:hideMark/>
          </w:tcPr>
          <w:p w14:paraId="3C01023D" w14:textId="77777777" w:rsidR="007B741A" w:rsidRDefault="007B741A">
            <w:r>
              <w:t>59 (55.7%)</w:t>
            </w:r>
          </w:p>
        </w:tc>
      </w:tr>
      <w:tr w:rsidR="007B741A" w14:paraId="3ED09EF0" w14:textId="77777777" w:rsidTr="007B741A">
        <w:trPr>
          <w:tblCellSpacing w:w="15" w:type="dxa"/>
        </w:trPr>
        <w:tc>
          <w:tcPr>
            <w:tcW w:w="0" w:type="auto"/>
            <w:vAlign w:val="center"/>
            <w:hideMark/>
          </w:tcPr>
          <w:p w14:paraId="0EC08CA6" w14:textId="77777777" w:rsidR="007B741A" w:rsidRDefault="007B741A">
            <w:r>
              <w:t>Male</w:t>
            </w:r>
          </w:p>
        </w:tc>
        <w:tc>
          <w:tcPr>
            <w:tcW w:w="0" w:type="auto"/>
            <w:vAlign w:val="center"/>
            <w:hideMark/>
          </w:tcPr>
          <w:p w14:paraId="0BE08164" w14:textId="77777777" w:rsidR="007B741A" w:rsidRDefault="007B741A">
            <w:r>
              <w:t>47 (44.3%)</w:t>
            </w:r>
          </w:p>
        </w:tc>
      </w:tr>
      <w:tr w:rsidR="007B741A" w14:paraId="522EBCB1" w14:textId="77777777" w:rsidTr="007B741A">
        <w:trPr>
          <w:tblCellSpacing w:w="15" w:type="dxa"/>
        </w:trPr>
        <w:tc>
          <w:tcPr>
            <w:tcW w:w="0" w:type="auto"/>
            <w:vAlign w:val="center"/>
            <w:hideMark/>
          </w:tcPr>
          <w:p w14:paraId="646E2D36" w14:textId="77777777" w:rsidR="007B741A" w:rsidRDefault="007B741A">
            <w:r>
              <w:rPr>
                <w:b/>
                <w:bCs/>
              </w:rPr>
              <w:t>Age Group</w:t>
            </w:r>
          </w:p>
        </w:tc>
        <w:tc>
          <w:tcPr>
            <w:tcW w:w="0" w:type="auto"/>
            <w:vAlign w:val="center"/>
            <w:hideMark/>
          </w:tcPr>
          <w:p w14:paraId="71C94A27" w14:textId="77777777" w:rsidR="007B741A" w:rsidRDefault="007B741A"/>
        </w:tc>
      </w:tr>
      <w:tr w:rsidR="007B741A" w14:paraId="45C8A186" w14:textId="77777777" w:rsidTr="007B741A">
        <w:trPr>
          <w:tblCellSpacing w:w="15" w:type="dxa"/>
        </w:trPr>
        <w:tc>
          <w:tcPr>
            <w:tcW w:w="0" w:type="auto"/>
            <w:vAlign w:val="center"/>
            <w:hideMark/>
          </w:tcPr>
          <w:p w14:paraId="6609BC53" w14:textId="77777777" w:rsidR="007B741A" w:rsidRDefault="007B741A">
            <w:pPr>
              <w:rPr>
                <w:sz w:val="24"/>
                <w:szCs w:val="24"/>
              </w:rPr>
            </w:pPr>
            <w:r>
              <w:t>20–29 years</w:t>
            </w:r>
          </w:p>
        </w:tc>
        <w:tc>
          <w:tcPr>
            <w:tcW w:w="0" w:type="auto"/>
            <w:vAlign w:val="center"/>
            <w:hideMark/>
          </w:tcPr>
          <w:p w14:paraId="1E8A96D1" w14:textId="77777777" w:rsidR="007B741A" w:rsidRDefault="007B741A">
            <w:r>
              <w:t>41 (38.7%)</w:t>
            </w:r>
          </w:p>
        </w:tc>
      </w:tr>
      <w:tr w:rsidR="007B741A" w14:paraId="297B3620" w14:textId="77777777" w:rsidTr="007B741A">
        <w:trPr>
          <w:tblCellSpacing w:w="15" w:type="dxa"/>
        </w:trPr>
        <w:tc>
          <w:tcPr>
            <w:tcW w:w="0" w:type="auto"/>
            <w:vAlign w:val="center"/>
            <w:hideMark/>
          </w:tcPr>
          <w:p w14:paraId="3CE9641A" w14:textId="77777777" w:rsidR="007B741A" w:rsidRDefault="007B741A">
            <w:r>
              <w:t>30–39 years</w:t>
            </w:r>
          </w:p>
        </w:tc>
        <w:tc>
          <w:tcPr>
            <w:tcW w:w="0" w:type="auto"/>
            <w:vAlign w:val="center"/>
            <w:hideMark/>
          </w:tcPr>
          <w:p w14:paraId="60B20BCA" w14:textId="77777777" w:rsidR="007B741A" w:rsidRDefault="007B741A">
            <w:r>
              <w:t>42 (39.6%)</w:t>
            </w:r>
          </w:p>
        </w:tc>
      </w:tr>
      <w:tr w:rsidR="007B741A" w14:paraId="06444B66" w14:textId="77777777" w:rsidTr="007B741A">
        <w:trPr>
          <w:tblCellSpacing w:w="15" w:type="dxa"/>
        </w:trPr>
        <w:tc>
          <w:tcPr>
            <w:tcW w:w="0" w:type="auto"/>
            <w:vAlign w:val="center"/>
            <w:hideMark/>
          </w:tcPr>
          <w:p w14:paraId="76D8391F" w14:textId="77777777" w:rsidR="007B741A" w:rsidRDefault="007B741A">
            <w:r>
              <w:t>40–49 years</w:t>
            </w:r>
          </w:p>
        </w:tc>
        <w:tc>
          <w:tcPr>
            <w:tcW w:w="0" w:type="auto"/>
            <w:vAlign w:val="center"/>
            <w:hideMark/>
          </w:tcPr>
          <w:p w14:paraId="60144FBF" w14:textId="77777777" w:rsidR="007B741A" w:rsidRDefault="007B741A">
            <w:r>
              <w:t>15 (14.2%)</w:t>
            </w:r>
          </w:p>
        </w:tc>
      </w:tr>
      <w:tr w:rsidR="007B741A" w14:paraId="3FDFBD16" w14:textId="77777777" w:rsidTr="007B741A">
        <w:trPr>
          <w:tblCellSpacing w:w="15" w:type="dxa"/>
        </w:trPr>
        <w:tc>
          <w:tcPr>
            <w:tcW w:w="0" w:type="auto"/>
            <w:vAlign w:val="center"/>
            <w:hideMark/>
          </w:tcPr>
          <w:p w14:paraId="050D48F2" w14:textId="77777777" w:rsidR="007B741A" w:rsidRDefault="007B741A">
            <w:r>
              <w:t>50–59 years</w:t>
            </w:r>
          </w:p>
        </w:tc>
        <w:tc>
          <w:tcPr>
            <w:tcW w:w="0" w:type="auto"/>
            <w:vAlign w:val="center"/>
            <w:hideMark/>
          </w:tcPr>
          <w:p w14:paraId="69B42AED" w14:textId="77777777" w:rsidR="007B741A" w:rsidRDefault="007B741A">
            <w:r>
              <w:t>7 (6.6%)</w:t>
            </w:r>
          </w:p>
        </w:tc>
      </w:tr>
      <w:tr w:rsidR="007B741A" w14:paraId="6044BA2A" w14:textId="77777777" w:rsidTr="007B741A">
        <w:trPr>
          <w:tblCellSpacing w:w="15" w:type="dxa"/>
        </w:trPr>
        <w:tc>
          <w:tcPr>
            <w:tcW w:w="0" w:type="auto"/>
            <w:vAlign w:val="center"/>
            <w:hideMark/>
          </w:tcPr>
          <w:p w14:paraId="0565B98E" w14:textId="77777777" w:rsidR="007B741A" w:rsidRDefault="007B741A">
            <w:r>
              <w:rPr>
                <w:b/>
                <w:bCs/>
              </w:rPr>
              <w:t>Work Setting</w:t>
            </w:r>
          </w:p>
        </w:tc>
        <w:tc>
          <w:tcPr>
            <w:tcW w:w="0" w:type="auto"/>
            <w:vAlign w:val="center"/>
            <w:hideMark/>
          </w:tcPr>
          <w:p w14:paraId="2A8C37C8" w14:textId="77777777" w:rsidR="007B741A" w:rsidRDefault="007B741A"/>
        </w:tc>
      </w:tr>
      <w:tr w:rsidR="007B741A" w14:paraId="78D4A2C4" w14:textId="77777777" w:rsidTr="007B741A">
        <w:trPr>
          <w:tblCellSpacing w:w="15" w:type="dxa"/>
        </w:trPr>
        <w:tc>
          <w:tcPr>
            <w:tcW w:w="0" w:type="auto"/>
            <w:vAlign w:val="center"/>
            <w:hideMark/>
          </w:tcPr>
          <w:p w14:paraId="47A6B42D" w14:textId="4BAEA0B1" w:rsidR="007B741A" w:rsidRDefault="007B741A">
            <w:pPr>
              <w:rPr>
                <w:sz w:val="24"/>
                <w:szCs w:val="24"/>
              </w:rPr>
            </w:pPr>
            <w:r>
              <w:t xml:space="preserve">Private Practice </w:t>
            </w:r>
          </w:p>
        </w:tc>
        <w:tc>
          <w:tcPr>
            <w:tcW w:w="0" w:type="auto"/>
            <w:vAlign w:val="center"/>
            <w:hideMark/>
          </w:tcPr>
          <w:p w14:paraId="615AF0CC" w14:textId="77777777" w:rsidR="007B741A" w:rsidRDefault="007B741A">
            <w:r>
              <w:t>33 (31.1%)</w:t>
            </w:r>
          </w:p>
        </w:tc>
      </w:tr>
      <w:tr w:rsidR="007B741A" w14:paraId="659681AB" w14:textId="77777777" w:rsidTr="007B741A">
        <w:trPr>
          <w:tblCellSpacing w:w="15" w:type="dxa"/>
        </w:trPr>
        <w:tc>
          <w:tcPr>
            <w:tcW w:w="0" w:type="auto"/>
            <w:vAlign w:val="center"/>
            <w:hideMark/>
          </w:tcPr>
          <w:p w14:paraId="10751F2F" w14:textId="77777777" w:rsidR="007B741A" w:rsidRDefault="007B741A">
            <w:r>
              <w:t>State Hospital / ADSM</w:t>
            </w:r>
          </w:p>
        </w:tc>
        <w:tc>
          <w:tcPr>
            <w:tcW w:w="0" w:type="auto"/>
            <w:vAlign w:val="center"/>
            <w:hideMark/>
          </w:tcPr>
          <w:p w14:paraId="783A09CA" w14:textId="77777777" w:rsidR="007B741A" w:rsidRDefault="007B741A">
            <w:r>
              <w:t>12 (11.3%)</w:t>
            </w:r>
          </w:p>
        </w:tc>
      </w:tr>
      <w:tr w:rsidR="007B741A" w14:paraId="278BD867" w14:textId="77777777" w:rsidTr="007B741A">
        <w:trPr>
          <w:tblCellSpacing w:w="15" w:type="dxa"/>
        </w:trPr>
        <w:tc>
          <w:tcPr>
            <w:tcW w:w="0" w:type="auto"/>
            <w:vAlign w:val="center"/>
            <w:hideMark/>
          </w:tcPr>
          <w:p w14:paraId="59F95D8D" w14:textId="77777777" w:rsidR="007B741A" w:rsidRDefault="007B741A">
            <w:r>
              <w:t>University Hospital</w:t>
            </w:r>
          </w:p>
        </w:tc>
        <w:tc>
          <w:tcPr>
            <w:tcW w:w="0" w:type="auto"/>
            <w:vAlign w:val="center"/>
            <w:hideMark/>
          </w:tcPr>
          <w:p w14:paraId="4E86E1A8" w14:textId="77777777" w:rsidR="007B741A" w:rsidRDefault="007B741A">
            <w:r>
              <w:t>22 (20.8%)</w:t>
            </w:r>
          </w:p>
        </w:tc>
      </w:tr>
      <w:tr w:rsidR="007B741A" w14:paraId="39691E84" w14:textId="77777777" w:rsidTr="007B741A">
        <w:trPr>
          <w:tblCellSpacing w:w="15" w:type="dxa"/>
        </w:trPr>
        <w:tc>
          <w:tcPr>
            <w:tcW w:w="0" w:type="auto"/>
            <w:vAlign w:val="center"/>
            <w:hideMark/>
          </w:tcPr>
          <w:p w14:paraId="3AF9B040" w14:textId="77777777" w:rsidR="007B741A" w:rsidRDefault="007B741A">
            <w:r>
              <w:lastRenderedPageBreak/>
              <w:t>Private Hospital / Clinic</w:t>
            </w:r>
          </w:p>
        </w:tc>
        <w:tc>
          <w:tcPr>
            <w:tcW w:w="0" w:type="auto"/>
            <w:vAlign w:val="center"/>
            <w:hideMark/>
          </w:tcPr>
          <w:p w14:paraId="17EB5002" w14:textId="77777777" w:rsidR="007B741A" w:rsidRDefault="007B741A">
            <w:r>
              <w:t>38 (35.8%)</w:t>
            </w:r>
          </w:p>
        </w:tc>
      </w:tr>
      <w:tr w:rsidR="007B741A" w14:paraId="4AAF0358" w14:textId="77777777" w:rsidTr="007B741A">
        <w:trPr>
          <w:tblCellSpacing w:w="15" w:type="dxa"/>
        </w:trPr>
        <w:tc>
          <w:tcPr>
            <w:tcW w:w="0" w:type="auto"/>
            <w:vAlign w:val="center"/>
            <w:hideMark/>
          </w:tcPr>
          <w:p w14:paraId="10C473DD" w14:textId="77777777" w:rsidR="007B741A" w:rsidRDefault="007B741A">
            <w:r>
              <w:t>Institutional Oral and Dental Health Center</w:t>
            </w:r>
          </w:p>
        </w:tc>
        <w:tc>
          <w:tcPr>
            <w:tcW w:w="0" w:type="auto"/>
            <w:vAlign w:val="center"/>
            <w:hideMark/>
          </w:tcPr>
          <w:p w14:paraId="5B9DAAD1" w14:textId="77777777" w:rsidR="007B741A" w:rsidRDefault="007B741A">
            <w:r>
              <w:t>1 (0.9%)</w:t>
            </w:r>
          </w:p>
        </w:tc>
      </w:tr>
      <w:tr w:rsidR="007B741A" w14:paraId="53BF3AD3" w14:textId="77777777" w:rsidTr="007B741A">
        <w:trPr>
          <w:tblCellSpacing w:w="15" w:type="dxa"/>
        </w:trPr>
        <w:tc>
          <w:tcPr>
            <w:tcW w:w="0" w:type="auto"/>
            <w:vAlign w:val="center"/>
            <w:hideMark/>
          </w:tcPr>
          <w:p w14:paraId="372024A1" w14:textId="77777777" w:rsidR="007B741A" w:rsidRDefault="007B741A">
            <w:r>
              <w:rPr>
                <w:b/>
                <w:bCs/>
              </w:rPr>
              <w:t>Specialist Status</w:t>
            </w:r>
          </w:p>
        </w:tc>
        <w:tc>
          <w:tcPr>
            <w:tcW w:w="0" w:type="auto"/>
            <w:vAlign w:val="center"/>
            <w:hideMark/>
          </w:tcPr>
          <w:p w14:paraId="672A1046" w14:textId="77777777" w:rsidR="007B741A" w:rsidRDefault="007B741A"/>
        </w:tc>
      </w:tr>
      <w:tr w:rsidR="007B741A" w14:paraId="4643ACDF" w14:textId="77777777" w:rsidTr="007B741A">
        <w:trPr>
          <w:tblCellSpacing w:w="15" w:type="dxa"/>
        </w:trPr>
        <w:tc>
          <w:tcPr>
            <w:tcW w:w="0" w:type="auto"/>
            <w:vAlign w:val="center"/>
            <w:hideMark/>
          </w:tcPr>
          <w:p w14:paraId="6A4091FB" w14:textId="77777777" w:rsidR="007B741A" w:rsidRDefault="007B741A">
            <w:pPr>
              <w:rPr>
                <w:sz w:val="24"/>
                <w:szCs w:val="24"/>
              </w:rPr>
            </w:pPr>
            <w:r>
              <w:t>General Dentist</w:t>
            </w:r>
          </w:p>
        </w:tc>
        <w:tc>
          <w:tcPr>
            <w:tcW w:w="0" w:type="auto"/>
            <w:vAlign w:val="center"/>
            <w:hideMark/>
          </w:tcPr>
          <w:p w14:paraId="4A2D4883" w14:textId="77777777" w:rsidR="007B741A" w:rsidRDefault="007B741A">
            <w:r>
              <w:t>84 (79.2%)</w:t>
            </w:r>
          </w:p>
        </w:tc>
      </w:tr>
      <w:tr w:rsidR="007B741A" w14:paraId="0866D64D" w14:textId="77777777" w:rsidTr="007B741A">
        <w:trPr>
          <w:tblCellSpacing w:w="15" w:type="dxa"/>
        </w:trPr>
        <w:tc>
          <w:tcPr>
            <w:tcW w:w="0" w:type="auto"/>
            <w:vAlign w:val="center"/>
            <w:hideMark/>
          </w:tcPr>
          <w:p w14:paraId="2D4BB457" w14:textId="77777777" w:rsidR="007B741A" w:rsidRDefault="007B741A">
            <w:r>
              <w:t>Specialist Dentist</w:t>
            </w:r>
          </w:p>
        </w:tc>
        <w:tc>
          <w:tcPr>
            <w:tcW w:w="0" w:type="auto"/>
            <w:vAlign w:val="center"/>
            <w:hideMark/>
          </w:tcPr>
          <w:p w14:paraId="4C523277" w14:textId="77777777" w:rsidR="007B741A" w:rsidRDefault="007B741A">
            <w:r>
              <w:t>20 (18.9%)</w:t>
            </w:r>
          </w:p>
        </w:tc>
      </w:tr>
    </w:tbl>
    <w:p w14:paraId="3B17F80D" w14:textId="77777777" w:rsidR="007B741A" w:rsidRDefault="007B741A" w:rsidP="007B741A">
      <w:pPr>
        <w:pStyle w:val="Heading3"/>
      </w:pPr>
      <w:r>
        <w:t>4.2. Analysis of Burnout Scores by Demographic Variables</w:t>
      </w:r>
    </w:p>
    <w:p w14:paraId="2193F174" w14:textId="77777777" w:rsidR="007B741A" w:rsidRDefault="007B741A" w:rsidP="007B741A">
      <w:pPr>
        <w:pStyle w:val="NormalWeb"/>
      </w:pPr>
      <w:r>
        <w:t>Descriptive statistics were calculated for the three MBI sub-dimensions: Emotional Exhaustion (EE), Depersonalization (DP), and Personal Accomplishment (PA), based on gender, age group, and marital status. (The MBI scores were presented on a 1-3 scale in the original analysis).</w:t>
      </w:r>
    </w:p>
    <w:p w14:paraId="43A2A3BE" w14:textId="77777777" w:rsidR="007B741A" w:rsidRDefault="007B741A" w:rsidP="007B741A">
      <w:pPr>
        <w:pStyle w:val="Heading4"/>
      </w:pPr>
      <w:r>
        <w:t>4.2.1. Burnout Scores by Gender</w:t>
      </w:r>
    </w:p>
    <w:p w14:paraId="51707721" w14:textId="77777777" w:rsidR="007B741A" w:rsidRDefault="007B741A" w:rsidP="007B741A">
      <w:pPr>
        <w:pStyle w:val="NormalWeb"/>
      </w:pPr>
      <w:r>
        <w:t>Descriptive statistics showed that female dentists reported slightly higher mean scores than male dentists across all three sub-dimensions, although the differences were small:</w:t>
      </w:r>
    </w:p>
    <w:p w14:paraId="62971549" w14:textId="77777777" w:rsidR="007B741A" w:rsidRDefault="007B741A" w:rsidP="007B741A">
      <w:pPr>
        <w:pStyle w:val="NormalWeb"/>
        <w:numPr>
          <w:ilvl w:val="0"/>
          <w:numId w:val="2"/>
        </w:numPr>
      </w:pPr>
      <w:r>
        <w:rPr>
          <w:b/>
          <w:bCs/>
        </w:rPr>
        <w:t>Emotional Exhaustion (EE / DT_düzey):</w:t>
      </w:r>
      <w:r>
        <w:t xml:space="preserve"> Females (</w:t>
      </w:r>
      <w:r>
        <w:rPr>
          <w:rStyle w:val="mord"/>
        </w:rPr>
        <w:t>Xˉ</w:t>
      </w:r>
      <w:r>
        <w:rPr>
          <w:rStyle w:val="mrel"/>
        </w:rPr>
        <w:t>=</w:t>
      </w:r>
      <w:r>
        <w:rPr>
          <w:rStyle w:val="mord"/>
        </w:rPr>
        <w:t>1.68</w:t>
      </w:r>
      <w:r>
        <w:t xml:space="preserve">, </w:t>
      </w:r>
      <w:r>
        <w:rPr>
          <w:rStyle w:val="mord"/>
        </w:rPr>
        <w:t>SD</w:t>
      </w:r>
      <w:r>
        <w:rPr>
          <w:rStyle w:val="mrel"/>
        </w:rPr>
        <w:t>=</w:t>
      </w:r>
      <w:r>
        <w:rPr>
          <w:rStyle w:val="mord"/>
        </w:rPr>
        <w:t>0.68</w:t>
      </w:r>
      <w:r>
        <w:t>) vs. Males (</w:t>
      </w:r>
      <w:r>
        <w:rPr>
          <w:rStyle w:val="mord"/>
        </w:rPr>
        <w:t>Xˉ</w:t>
      </w:r>
      <w:r>
        <w:rPr>
          <w:rStyle w:val="mrel"/>
        </w:rPr>
        <w:t>=</w:t>
      </w:r>
      <w:r>
        <w:rPr>
          <w:rStyle w:val="mord"/>
        </w:rPr>
        <w:t>1.55</w:t>
      </w:r>
      <w:r>
        <w:t xml:space="preserve">, </w:t>
      </w:r>
      <w:r>
        <w:rPr>
          <w:rStyle w:val="mord"/>
        </w:rPr>
        <w:t>SD</w:t>
      </w:r>
      <w:r>
        <w:rPr>
          <w:rStyle w:val="mrel"/>
        </w:rPr>
        <w:t>=</w:t>
      </w:r>
      <w:r>
        <w:rPr>
          <w:rStyle w:val="mord"/>
        </w:rPr>
        <w:t>0.72</w:t>
      </w:r>
      <w:r>
        <w:t>).</w:t>
      </w:r>
    </w:p>
    <w:p w14:paraId="59188BBA" w14:textId="77777777" w:rsidR="007B741A" w:rsidRDefault="007B741A" w:rsidP="007B741A">
      <w:pPr>
        <w:pStyle w:val="NormalWeb"/>
        <w:numPr>
          <w:ilvl w:val="0"/>
          <w:numId w:val="2"/>
        </w:numPr>
      </w:pPr>
      <w:r>
        <w:rPr>
          <w:b/>
          <w:bCs/>
        </w:rPr>
        <w:t>Depersonalization (DP / Duyarsız_düzey):</w:t>
      </w:r>
      <w:r>
        <w:t xml:space="preserve"> Females (</w:t>
      </w:r>
      <w:r>
        <w:rPr>
          <w:rStyle w:val="mord"/>
        </w:rPr>
        <w:t>Xˉ</w:t>
      </w:r>
      <w:r>
        <w:rPr>
          <w:rStyle w:val="mrel"/>
        </w:rPr>
        <w:t>=</w:t>
      </w:r>
      <w:r>
        <w:rPr>
          <w:rStyle w:val="mord"/>
        </w:rPr>
        <w:t>2.36</w:t>
      </w:r>
      <w:r>
        <w:t xml:space="preserve">, </w:t>
      </w:r>
      <w:r>
        <w:rPr>
          <w:rStyle w:val="mord"/>
        </w:rPr>
        <w:t>SD</w:t>
      </w:r>
      <w:r>
        <w:rPr>
          <w:rStyle w:val="mrel"/>
        </w:rPr>
        <w:t>=</w:t>
      </w:r>
      <w:r>
        <w:rPr>
          <w:rStyle w:val="mord"/>
        </w:rPr>
        <w:t>0.71</w:t>
      </w:r>
      <w:r>
        <w:t>) vs. Males (</w:t>
      </w:r>
      <w:r>
        <w:rPr>
          <w:rStyle w:val="mord"/>
        </w:rPr>
        <w:t>Xˉ</w:t>
      </w:r>
      <w:r>
        <w:rPr>
          <w:rStyle w:val="mrel"/>
        </w:rPr>
        <w:t>=</w:t>
      </w:r>
      <w:r>
        <w:rPr>
          <w:rStyle w:val="mord"/>
        </w:rPr>
        <w:t>2.21</w:t>
      </w:r>
      <w:r>
        <w:t xml:space="preserve">, </w:t>
      </w:r>
      <w:r>
        <w:rPr>
          <w:rStyle w:val="mord"/>
        </w:rPr>
        <w:t>SD</w:t>
      </w:r>
      <w:r>
        <w:rPr>
          <w:rStyle w:val="mrel"/>
        </w:rPr>
        <w:t>=</w:t>
      </w:r>
      <w:r>
        <w:rPr>
          <w:rStyle w:val="mord"/>
        </w:rPr>
        <w:t>0.78</w:t>
      </w:r>
      <w:r>
        <w:t>).</w:t>
      </w:r>
    </w:p>
    <w:p w14:paraId="1DB5423A" w14:textId="77777777" w:rsidR="007B741A" w:rsidRDefault="007B741A" w:rsidP="007B741A">
      <w:pPr>
        <w:pStyle w:val="NormalWeb"/>
        <w:numPr>
          <w:ilvl w:val="0"/>
          <w:numId w:val="2"/>
        </w:numPr>
      </w:pPr>
      <w:r>
        <w:rPr>
          <w:b/>
          <w:bCs/>
        </w:rPr>
        <w:t>Personal Accomplishment (PA / KB_düzey):</w:t>
      </w:r>
      <w:r>
        <w:t xml:space="preserve"> Females (</w:t>
      </w:r>
      <w:r>
        <w:rPr>
          <w:rStyle w:val="mord"/>
        </w:rPr>
        <w:t>Xˉ</w:t>
      </w:r>
      <w:r>
        <w:rPr>
          <w:rStyle w:val="mrel"/>
        </w:rPr>
        <w:t>=</w:t>
      </w:r>
      <w:r>
        <w:rPr>
          <w:rStyle w:val="mord"/>
        </w:rPr>
        <w:t>2.00</w:t>
      </w:r>
      <w:r>
        <w:t xml:space="preserve">, </w:t>
      </w:r>
      <w:r>
        <w:rPr>
          <w:rStyle w:val="mord"/>
        </w:rPr>
        <w:t>SD</w:t>
      </w:r>
      <w:r>
        <w:rPr>
          <w:rStyle w:val="mrel"/>
        </w:rPr>
        <w:t>=</w:t>
      </w:r>
      <w:r>
        <w:rPr>
          <w:rStyle w:val="mord"/>
        </w:rPr>
        <w:t>0.79</w:t>
      </w:r>
      <w:r>
        <w:t>) vs. Males (</w:t>
      </w:r>
      <w:r>
        <w:rPr>
          <w:rStyle w:val="mord"/>
        </w:rPr>
        <w:t>Xˉ</w:t>
      </w:r>
      <w:r>
        <w:rPr>
          <w:rStyle w:val="mrel"/>
        </w:rPr>
        <w:t>=</w:t>
      </w:r>
      <w:r>
        <w:rPr>
          <w:rStyle w:val="mord"/>
        </w:rPr>
        <w:t>1.96</w:t>
      </w:r>
      <w:r>
        <w:t xml:space="preserve">, </w:t>
      </w:r>
      <w:r>
        <w:rPr>
          <w:rStyle w:val="mord"/>
        </w:rPr>
        <w:t>SD</w:t>
      </w:r>
      <w:r>
        <w:rPr>
          <w:rStyle w:val="mrel"/>
        </w:rPr>
        <w:t>=</w:t>
      </w:r>
      <w:r>
        <w:rPr>
          <w:rStyle w:val="mord"/>
        </w:rPr>
        <w:t>0.81</w:t>
      </w:r>
      <w:r>
        <w:t>).</w:t>
      </w:r>
    </w:p>
    <w:p w14:paraId="05228BFF" w14:textId="77777777" w:rsidR="007B741A" w:rsidRDefault="007B741A" w:rsidP="007B741A">
      <w:pPr>
        <w:pStyle w:val="Heading4"/>
      </w:pPr>
      <w:r>
        <w:t>4.2.2. Burnout Scores by Age Group</w:t>
      </w:r>
    </w:p>
    <w:p w14:paraId="19616837" w14:textId="77777777" w:rsidR="007B741A" w:rsidRDefault="007B741A" w:rsidP="007B741A">
      <w:pPr>
        <w:pStyle w:val="NormalWeb"/>
      </w:pPr>
      <w:r>
        <w:t>Significant variations were observed across age groups, particularly in the Personal Accomplishment (PA) dimension:</w:t>
      </w:r>
    </w:p>
    <w:p w14:paraId="48E7D0C2" w14:textId="77777777" w:rsidR="007B741A" w:rsidRDefault="007B741A" w:rsidP="007B741A">
      <w:pPr>
        <w:pStyle w:val="NormalWeb"/>
        <w:numPr>
          <w:ilvl w:val="0"/>
          <w:numId w:val="3"/>
        </w:numPr>
      </w:pPr>
      <w:r>
        <w:rPr>
          <w:b/>
          <w:bCs/>
        </w:rPr>
        <w:t>Personal Accomplishment (PA / KB_düzey):</w:t>
      </w:r>
      <w:r>
        <w:t xml:space="preserve"> The highest PA mean score was observed in the youngest group (20–29 years: </w:t>
      </w:r>
      <w:r>
        <w:rPr>
          <w:rStyle w:val="mord"/>
        </w:rPr>
        <w:t>Xˉ</w:t>
      </w:r>
      <w:r>
        <w:rPr>
          <w:rStyle w:val="mrel"/>
        </w:rPr>
        <w:t>=</w:t>
      </w:r>
      <w:r>
        <w:rPr>
          <w:rStyle w:val="mord"/>
        </w:rPr>
        <w:t>2.46</w:t>
      </w:r>
      <w:r>
        <w:t xml:space="preserve">, </w:t>
      </w:r>
      <w:r>
        <w:rPr>
          <w:rStyle w:val="mord"/>
        </w:rPr>
        <w:t>SD</w:t>
      </w:r>
      <w:r>
        <w:rPr>
          <w:rStyle w:val="mrel"/>
        </w:rPr>
        <w:t>=</w:t>
      </w:r>
      <w:r>
        <w:rPr>
          <w:rStyle w:val="mord"/>
        </w:rPr>
        <w:t>0.64</w:t>
      </w:r>
      <w:r>
        <w:t>), while the lowest was in the 40–49 age group (</w:t>
      </w:r>
      <w:r>
        <w:rPr>
          <w:rStyle w:val="mord"/>
        </w:rPr>
        <w:t>Xˉ</w:t>
      </w:r>
      <w:r>
        <w:rPr>
          <w:rStyle w:val="mrel"/>
        </w:rPr>
        <w:t>=</w:t>
      </w:r>
      <w:r>
        <w:rPr>
          <w:rStyle w:val="mord"/>
        </w:rPr>
        <w:t>1.20</w:t>
      </w:r>
      <w:r>
        <w:t xml:space="preserve">, </w:t>
      </w:r>
      <w:r>
        <w:rPr>
          <w:rStyle w:val="mord"/>
        </w:rPr>
        <w:t>SD</w:t>
      </w:r>
      <w:r>
        <w:rPr>
          <w:rStyle w:val="mrel"/>
        </w:rPr>
        <w:t>=</w:t>
      </w:r>
      <w:r>
        <w:rPr>
          <w:rStyle w:val="mord"/>
        </w:rPr>
        <w:t>0.41</w:t>
      </w:r>
      <w:r>
        <w:t>).</w:t>
      </w:r>
    </w:p>
    <w:p w14:paraId="004086F6" w14:textId="77777777" w:rsidR="007B741A" w:rsidRDefault="007B741A" w:rsidP="007B741A">
      <w:pPr>
        <w:pStyle w:val="NormalWeb"/>
        <w:numPr>
          <w:ilvl w:val="0"/>
          <w:numId w:val="3"/>
        </w:numPr>
      </w:pPr>
      <w:r>
        <w:rPr>
          <w:b/>
          <w:bCs/>
        </w:rPr>
        <w:t>Depersonalization (DP / Duyarsız_düzey):</w:t>
      </w:r>
      <w:r>
        <w:t xml:space="preserve"> Depersonalization scores were generally close across all age groups, with the highest mean score also belonging to the 20–29 age group (</w:t>
      </w:r>
      <w:r>
        <w:rPr>
          <w:rStyle w:val="mord"/>
        </w:rPr>
        <w:t>Xˉ</w:t>
      </w:r>
      <w:r>
        <w:rPr>
          <w:rStyle w:val="mrel"/>
        </w:rPr>
        <w:t>=</w:t>
      </w:r>
      <w:r>
        <w:rPr>
          <w:rStyle w:val="mord"/>
        </w:rPr>
        <w:t>2.44</w:t>
      </w:r>
      <w:r>
        <w:t xml:space="preserve">, </w:t>
      </w:r>
      <w:r>
        <w:rPr>
          <w:rStyle w:val="mord"/>
        </w:rPr>
        <w:t>SD</w:t>
      </w:r>
      <w:r>
        <w:rPr>
          <w:rStyle w:val="mrel"/>
        </w:rPr>
        <w:t>=</w:t>
      </w:r>
      <w:r>
        <w:rPr>
          <w:rStyle w:val="mord"/>
        </w:rPr>
        <w:t>0.78</w:t>
      </w:r>
      <w:r>
        <w:t>).</w:t>
      </w:r>
    </w:p>
    <w:p w14:paraId="46862EBC" w14:textId="77777777" w:rsidR="007B741A" w:rsidRDefault="007B741A" w:rsidP="007B741A">
      <w:pPr>
        <w:pStyle w:val="NormalWeb"/>
        <w:numPr>
          <w:ilvl w:val="0"/>
          <w:numId w:val="3"/>
        </w:numPr>
      </w:pPr>
      <w:r>
        <w:rPr>
          <w:b/>
          <w:bCs/>
        </w:rPr>
        <w:lastRenderedPageBreak/>
        <w:t>Emotional Exhaustion (EE / DT_düzey):</w:t>
      </w:r>
      <w:r>
        <w:t xml:space="preserve"> EE mean scores were similar across all groups, with the lowest average found in the 50–59 age group (</w:t>
      </w:r>
      <w:r>
        <w:rPr>
          <w:rStyle w:val="mord"/>
        </w:rPr>
        <w:t>Xˉ</w:t>
      </w:r>
      <w:r>
        <w:rPr>
          <w:rStyle w:val="mrel"/>
        </w:rPr>
        <w:t>=</w:t>
      </w:r>
      <w:r>
        <w:rPr>
          <w:rStyle w:val="mord"/>
        </w:rPr>
        <w:t>1.43</w:t>
      </w:r>
      <w:r>
        <w:t xml:space="preserve">, </w:t>
      </w:r>
      <w:r>
        <w:rPr>
          <w:rStyle w:val="mord"/>
        </w:rPr>
        <w:t>SD</w:t>
      </w:r>
      <w:r>
        <w:rPr>
          <w:rStyle w:val="mrel"/>
        </w:rPr>
        <w:t>=</w:t>
      </w:r>
      <w:r>
        <w:rPr>
          <w:rStyle w:val="mord"/>
        </w:rPr>
        <w:t>0.79</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88"/>
        <w:gridCol w:w="284"/>
        <w:gridCol w:w="1057"/>
        <w:gridCol w:w="1077"/>
      </w:tblGrid>
      <w:tr w:rsidR="007B741A" w14:paraId="77F4B904" w14:textId="77777777" w:rsidTr="007B741A">
        <w:trPr>
          <w:tblHeader/>
          <w:tblCellSpacing w:w="15" w:type="dxa"/>
        </w:trPr>
        <w:tc>
          <w:tcPr>
            <w:tcW w:w="0" w:type="auto"/>
            <w:vAlign w:val="center"/>
            <w:hideMark/>
          </w:tcPr>
          <w:p w14:paraId="24BBB1F3" w14:textId="680DD65A" w:rsidR="007B741A" w:rsidRDefault="007B741A">
            <w:r>
              <w:t xml:space="preserve">Table </w:t>
            </w:r>
            <w:r w:rsidR="00BE2810">
              <w:t>2</w:t>
            </w:r>
            <w:r>
              <w:t xml:space="preserve">. Descriptive Statistics by Age Group (Mean </w:t>
            </w:r>
            <w:r>
              <w:rPr>
                <w:rStyle w:val="mord"/>
              </w:rPr>
              <w:t>±</w:t>
            </w:r>
            <w:r>
              <w:t xml:space="preserve"> SD)</w:t>
            </w:r>
          </w:p>
        </w:tc>
        <w:tc>
          <w:tcPr>
            <w:tcW w:w="0" w:type="auto"/>
            <w:vAlign w:val="center"/>
            <w:hideMark/>
          </w:tcPr>
          <w:p w14:paraId="4FA67C5C" w14:textId="77777777" w:rsidR="007B741A" w:rsidRDefault="007B741A"/>
        </w:tc>
        <w:tc>
          <w:tcPr>
            <w:tcW w:w="0" w:type="auto"/>
            <w:vAlign w:val="center"/>
            <w:hideMark/>
          </w:tcPr>
          <w:p w14:paraId="40FDC165" w14:textId="77777777" w:rsidR="007B741A" w:rsidRDefault="007B741A">
            <w:pPr>
              <w:rPr>
                <w:sz w:val="20"/>
                <w:szCs w:val="20"/>
              </w:rPr>
            </w:pPr>
          </w:p>
        </w:tc>
        <w:tc>
          <w:tcPr>
            <w:tcW w:w="0" w:type="auto"/>
            <w:vAlign w:val="center"/>
            <w:hideMark/>
          </w:tcPr>
          <w:p w14:paraId="61F10FB7" w14:textId="77777777" w:rsidR="007B741A" w:rsidRDefault="007B741A">
            <w:pPr>
              <w:rPr>
                <w:sz w:val="20"/>
                <w:szCs w:val="20"/>
              </w:rPr>
            </w:pPr>
          </w:p>
        </w:tc>
      </w:tr>
      <w:tr w:rsidR="007B741A" w14:paraId="5331CAFF" w14:textId="77777777" w:rsidTr="007B741A">
        <w:trPr>
          <w:tblCellSpacing w:w="15" w:type="dxa"/>
        </w:trPr>
        <w:tc>
          <w:tcPr>
            <w:tcW w:w="0" w:type="auto"/>
            <w:vAlign w:val="center"/>
            <w:hideMark/>
          </w:tcPr>
          <w:p w14:paraId="026AD0FB" w14:textId="77777777" w:rsidR="007B741A" w:rsidRDefault="007B741A">
            <w:pPr>
              <w:rPr>
                <w:sz w:val="24"/>
                <w:szCs w:val="24"/>
              </w:rPr>
            </w:pPr>
            <w:r>
              <w:rPr>
                <w:b/>
                <w:bCs/>
              </w:rPr>
              <w:t>Age Group (Years)</w:t>
            </w:r>
          </w:p>
        </w:tc>
        <w:tc>
          <w:tcPr>
            <w:tcW w:w="0" w:type="auto"/>
            <w:vAlign w:val="center"/>
            <w:hideMark/>
          </w:tcPr>
          <w:p w14:paraId="56DFF0D8" w14:textId="77777777" w:rsidR="007B741A" w:rsidRDefault="007B741A">
            <w:r>
              <w:rPr>
                <w:b/>
                <w:bCs/>
              </w:rPr>
              <w:t>N</w:t>
            </w:r>
          </w:p>
        </w:tc>
        <w:tc>
          <w:tcPr>
            <w:tcW w:w="0" w:type="auto"/>
            <w:vAlign w:val="center"/>
            <w:hideMark/>
          </w:tcPr>
          <w:p w14:paraId="68276922" w14:textId="77777777" w:rsidR="007B741A" w:rsidRDefault="007B741A">
            <w:r>
              <w:rPr>
                <w:b/>
                <w:bCs/>
              </w:rPr>
              <w:t>PA (</w:t>
            </w:r>
            <w:r>
              <w:rPr>
                <w:rStyle w:val="mord"/>
                <w:b/>
                <w:bCs/>
              </w:rPr>
              <w:t>Xˉ</w:t>
            </w:r>
            <w:r>
              <w:rPr>
                <w:rStyle w:val="mbin"/>
                <w:b/>
                <w:bCs/>
              </w:rPr>
              <w:t>±</w:t>
            </w:r>
            <w:r>
              <w:rPr>
                <w:rStyle w:val="mord"/>
                <w:b/>
                <w:bCs/>
              </w:rPr>
              <w:t>SD</w:t>
            </w:r>
            <w:r>
              <w:rPr>
                <w:b/>
                <w:bCs/>
              </w:rPr>
              <w:t>)</w:t>
            </w:r>
          </w:p>
        </w:tc>
        <w:tc>
          <w:tcPr>
            <w:tcW w:w="0" w:type="auto"/>
            <w:vAlign w:val="center"/>
            <w:hideMark/>
          </w:tcPr>
          <w:p w14:paraId="4AF925F3" w14:textId="77777777" w:rsidR="007B741A" w:rsidRDefault="007B741A">
            <w:r>
              <w:rPr>
                <w:b/>
                <w:bCs/>
              </w:rPr>
              <w:t>DP (</w:t>
            </w:r>
            <w:r>
              <w:rPr>
                <w:rStyle w:val="mord"/>
                <w:b/>
                <w:bCs/>
              </w:rPr>
              <w:t>Xˉ</w:t>
            </w:r>
            <w:r>
              <w:rPr>
                <w:rStyle w:val="mbin"/>
                <w:b/>
                <w:bCs/>
              </w:rPr>
              <w:t>±</w:t>
            </w:r>
            <w:r>
              <w:rPr>
                <w:rStyle w:val="mord"/>
                <w:b/>
                <w:bCs/>
              </w:rPr>
              <w:t>SD</w:t>
            </w:r>
            <w:r>
              <w:rPr>
                <w:b/>
                <w:bCs/>
              </w:rPr>
              <w:t>)</w:t>
            </w:r>
          </w:p>
        </w:tc>
      </w:tr>
      <w:tr w:rsidR="007B741A" w14:paraId="306AFA76" w14:textId="77777777" w:rsidTr="007B741A">
        <w:trPr>
          <w:tblCellSpacing w:w="15" w:type="dxa"/>
        </w:trPr>
        <w:tc>
          <w:tcPr>
            <w:tcW w:w="0" w:type="auto"/>
            <w:vAlign w:val="center"/>
            <w:hideMark/>
          </w:tcPr>
          <w:p w14:paraId="38456BCF" w14:textId="77777777" w:rsidR="007B741A" w:rsidRDefault="007B741A">
            <w:r>
              <w:t>20–29</w:t>
            </w:r>
          </w:p>
        </w:tc>
        <w:tc>
          <w:tcPr>
            <w:tcW w:w="0" w:type="auto"/>
            <w:vAlign w:val="center"/>
            <w:hideMark/>
          </w:tcPr>
          <w:p w14:paraId="5A45AF80" w14:textId="77777777" w:rsidR="007B741A" w:rsidRDefault="007B741A">
            <w:r>
              <w:t>41</w:t>
            </w:r>
          </w:p>
        </w:tc>
        <w:tc>
          <w:tcPr>
            <w:tcW w:w="0" w:type="auto"/>
            <w:vAlign w:val="center"/>
            <w:hideMark/>
          </w:tcPr>
          <w:p w14:paraId="3E6AB065" w14:textId="77777777" w:rsidR="007B741A" w:rsidRDefault="007B741A">
            <w:r>
              <w:rPr>
                <w:rStyle w:val="mord"/>
              </w:rPr>
              <w:t>2.46</w:t>
            </w:r>
            <w:r>
              <w:rPr>
                <w:rStyle w:val="mbin"/>
              </w:rPr>
              <w:t>±</w:t>
            </w:r>
            <w:r>
              <w:rPr>
                <w:rStyle w:val="mord"/>
              </w:rPr>
              <w:t>0.64</w:t>
            </w:r>
          </w:p>
        </w:tc>
        <w:tc>
          <w:tcPr>
            <w:tcW w:w="0" w:type="auto"/>
            <w:vAlign w:val="center"/>
            <w:hideMark/>
          </w:tcPr>
          <w:p w14:paraId="1DFDE5F0" w14:textId="77777777" w:rsidR="007B741A" w:rsidRDefault="007B741A">
            <w:r>
              <w:rPr>
                <w:rStyle w:val="mord"/>
              </w:rPr>
              <w:t>2.44</w:t>
            </w:r>
            <w:r>
              <w:rPr>
                <w:rStyle w:val="mbin"/>
              </w:rPr>
              <w:t>±</w:t>
            </w:r>
            <w:r>
              <w:rPr>
                <w:rStyle w:val="mord"/>
              </w:rPr>
              <w:t>0.78</w:t>
            </w:r>
          </w:p>
        </w:tc>
      </w:tr>
      <w:tr w:rsidR="007B741A" w14:paraId="5D5673CE" w14:textId="77777777" w:rsidTr="007B741A">
        <w:trPr>
          <w:tblCellSpacing w:w="15" w:type="dxa"/>
        </w:trPr>
        <w:tc>
          <w:tcPr>
            <w:tcW w:w="0" w:type="auto"/>
            <w:vAlign w:val="center"/>
            <w:hideMark/>
          </w:tcPr>
          <w:p w14:paraId="13174548" w14:textId="77777777" w:rsidR="007B741A" w:rsidRDefault="007B741A">
            <w:r>
              <w:t>30–39</w:t>
            </w:r>
          </w:p>
        </w:tc>
        <w:tc>
          <w:tcPr>
            <w:tcW w:w="0" w:type="auto"/>
            <w:vAlign w:val="center"/>
            <w:hideMark/>
          </w:tcPr>
          <w:p w14:paraId="7EC98869" w14:textId="77777777" w:rsidR="007B741A" w:rsidRDefault="007B741A">
            <w:r>
              <w:t>42</w:t>
            </w:r>
          </w:p>
        </w:tc>
        <w:tc>
          <w:tcPr>
            <w:tcW w:w="0" w:type="auto"/>
            <w:vAlign w:val="center"/>
            <w:hideMark/>
          </w:tcPr>
          <w:p w14:paraId="14831943" w14:textId="77777777" w:rsidR="007B741A" w:rsidRDefault="007B741A">
            <w:r>
              <w:rPr>
                <w:rStyle w:val="mord"/>
              </w:rPr>
              <w:t>1.79</w:t>
            </w:r>
            <w:r>
              <w:rPr>
                <w:rStyle w:val="mbin"/>
              </w:rPr>
              <w:t>±</w:t>
            </w:r>
            <w:r>
              <w:rPr>
                <w:rStyle w:val="mord"/>
              </w:rPr>
              <w:t>0.72</w:t>
            </w:r>
          </w:p>
        </w:tc>
        <w:tc>
          <w:tcPr>
            <w:tcW w:w="0" w:type="auto"/>
            <w:vAlign w:val="center"/>
            <w:hideMark/>
          </w:tcPr>
          <w:p w14:paraId="046CCF39" w14:textId="77777777" w:rsidR="007B741A" w:rsidRDefault="007B741A">
            <w:r>
              <w:rPr>
                <w:rStyle w:val="mord"/>
              </w:rPr>
              <w:t>2.33</w:t>
            </w:r>
            <w:r>
              <w:rPr>
                <w:rStyle w:val="mbin"/>
              </w:rPr>
              <w:t>±</w:t>
            </w:r>
            <w:r>
              <w:rPr>
                <w:rStyle w:val="mord"/>
              </w:rPr>
              <w:t>0.69</w:t>
            </w:r>
          </w:p>
        </w:tc>
      </w:tr>
      <w:tr w:rsidR="007B741A" w14:paraId="046E673F" w14:textId="77777777" w:rsidTr="007B741A">
        <w:trPr>
          <w:tblCellSpacing w:w="15" w:type="dxa"/>
        </w:trPr>
        <w:tc>
          <w:tcPr>
            <w:tcW w:w="0" w:type="auto"/>
            <w:vAlign w:val="center"/>
            <w:hideMark/>
          </w:tcPr>
          <w:p w14:paraId="58A58538" w14:textId="77777777" w:rsidR="007B741A" w:rsidRDefault="007B741A">
            <w:r>
              <w:t>40–49</w:t>
            </w:r>
          </w:p>
        </w:tc>
        <w:tc>
          <w:tcPr>
            <w:tcW w:w="0" w:type="auto"/>
            <w:vAlign w:val="center"/>
            <w:hideMark/>
          </w:tcPr>
          <w:p w14:paraId="60F497F3" w14:textId="77777777" w:rsidR="007B741A" w:rsidRDefault="007B741A">
            <w:r>
              <w:t>15</w:t>
            </w:r>
          </w:p>
        </w:tc>
        <w:tc>
          <w:tcPr>
            <w:tcW w:w="0" w:type="auto"/>
            <w:vAlign w:val="center"/>
            <w:hideMark/>
          </w:tcPr>
          <w:p w14:paraId="2276209E" w14:textId="77777777" w:rsidR="007B741A" w:rsidRDefault="007B741A">
            <w:r>
              <w:rPr>
                <w:rStyle w:val="mord"/>
              </w:rPr>
              <w:t>1.20</w:t>
            </w:r>
            <w:r>
              <w:rPr>
                <w:rStyle w:val="mbin"/>
              </w:rPr>
              <w:t>±</w:t>
            </w:r>
            <w:r>
              <w:rPr>
                <w:rStyle w:val="mord"/>
              </w:rPr>
              <w:t>0.41</w:t>
            </w:r>
          </w:p>
        </w:tc>
        <w:tc>
          <w:tcPr>
            <w:tcW w:w="0" w:type="auto"/>
            <w:vAlign w:val="center"/>
            <w:hideMark/>
          </w:tcPr>
          <w:p w14:paraId="28CE10FC" w14:textId="77777777" w:rsidR="007B741A" w:rsidRDefault="007B741A">
            <w:r>
              <w:rPr>
                <w:rStyle w:val="mord"/>
              </w:rPr>
              <w:t>2.00</w:t>
            </w:r>
            <w:r>
              <w:rPr>
                <w:rStyle w:val="mbin"/>
              </w:rPr>
              <w:t>±</w:t>
            </w:r>
            <w:r>
              <w:rPr>
                <w:rStyle w:val="mord"/>
              </w:rPr>
              <w:t>0.76</w:t>
            </w:r>
          </w:p>
        </w:tc>
      </w:tr>
      <w:tr w:rsidR="007B741A" w14:paraId="5B747F67" w14:textId="77777777" w:rsidTr="007B741A">
        <w:trPr>
          <w:tblCellSpacing w:w="15" w:type="dxa"/>
        </w:trPr>
        <w:tc>
          <w:tcPr>
            <w:tcW w:w="0" w:type="auto"/>
            <w:vAlign w:val="center"/>
            <w:hideMark/>
          </w:tcPr>
          <w:p w14:paraId="1A7B8B3E" w14:textId="77777777" w:rsidR="007B741A" w:rsidRDefault="007B741A">
            <w:r>
              <w:t>50–59</w:t>
            </w:r>
          </w:p>
        </w:tc>
        <w:tc>
          <w:tcPr>
            <w:tcW w:w="0" w:type="auto"/>
            <w:vAlign w:val="center"/>
            <w:hideMark/>
          </w:tcPr>
          <w:p w14:paraId="10999B93" w14:textId="77777777" w:rsidR="007B741A" w:rsidRDefault="007B741A">
            <w:r>
              <w:t>7</w:t>
            </w:r>
          </w:p>
        </w:tc>
        <w:tc>
          <w:tcPr>
            <w:tcW w:w="0" w:type="auto"/>
            <w:vAlign w:val="center"/>
            <w:hideMark/>
          </w:tcPr>
          <w:p w14:paraId="6FF205E7" w14:textId="77777777" w:rsidR="007B741A" w:rsidRDefault="007B741A">
            <w:r>
              <w:rPr>
                <w:rStyle w:val="mord"/>
              </w:rPr>
              <w:t>2.14</w:t>
            </w:r>
            <w:r>
              <w:rPr>
                <w:rStyle w:val="mbin"/>
              </w:rPr>
              <w:t>±</w:t>
            </w:r>
            <w:r>
              <w:rPr>
                <w:rStyle w:val="mord"/>
              </w:rPr>
              <w:t>0.90</w:t>
            </w:r>
          </w:p>
        </w:tc>
        <w:tc>
          <w:tcPr>
            <w:tcW w:w="0" w:type="auto"/>
            <w:vAlign w:val="center"/>
            <w:hideMark/>
          </w:tcPr>
          <w:p w14:paraId="32D97544" w14:textId="77777777" w:rsidR="007B741A" w:rsidRDefault="007B741A">
            <w:r>
              <w:rPr>
                <w:rStyle w:val="mord"/>
              </w:rPr>
              <w:t>2.00</w:t>
            </w:r>
            <w:r>
              <w:rPr>
                <w:rStyle w:val="mbin"/>
              </w:rPr>
              <w:t>±</w:t>
            </w:r>
            <w:r>
              <w:rPr>
                <w:rStyle w:val="mord"/>
              </w:rPr>
              <w:t>0.58</w:t>
            </w:r>
          </w:p>
        </w:tc>
      </w:tr>
    </w:tbl>
    <w:p w14:paraId="3A81B9B9" w14:textId="77777777" w:rsidR="007B741A" w:rsidRDefault="007B741A" w:rsidP="007B741A">
      <w:pPr>
        <w:pStyle w:val="Heading4"/>
      </w:pPr>
      <w:r>
        <w:t>4.2.3. Burnout Scores by Marital Status</w:t>
      </w:r>
    </w:p>
    <w:p w14:paraId="1DBECC78" w14:textId="77777777" w:rsidR="007B741A" w:rsidRDefault="007B741A" w:rsidP="007B741A">
      <w:pPr>
        <w:pStyle w:val="NormalWeb"/>
      </w:pPr>
      <w:r>
        <w:t>Participants were equally divided into single (</w:t>
      </w:r>
      <w:r>
        <w:rPr>
          <w:rStyle w:val="mord"/>
        </w:rPr>
        <w:t>N</w:t>
      </w:r>
      <w:r>
        <w:rPr>
          <w:rStyle w:val="mrel"/>
        </w:rPr>
        <w:t>=</w:t>
      </w:r>
      <w:r>
        <w:rPr>
          <w:rStyle w:val="mord"/>
        </w:rPr>
        <w:t>53</w:t>
      </w:r>
      <w:r>
        <w:t>) and married (</w:t>
      </w:r>
      <w:r>
        <w:rPr>
          <w:rStyle w:val="mord"/>
        </w:rPr>
        <w:t>N</w:t>
      </w:r>
      <w:r>
        <w:rPr>
          <w:rStyle w:val="mrel"/>
        </w:rPr>
        <w:t>=</w:t>
      </w:r>
      <w:r>
        <w:rPr>
          <w:rStyle w:val="mord"/>
        </w:rPr>
        <w:t>53</w:t>
      </w:r>
      <w:r>
        <w:t>) groups.</w:t>
      </w:r>
    </w:p>
    <w:p w14:paraId="3BB6DE67" w14:textId="77777777" w:rsidR="007B741A" w:rsidRDefault="007B741A" w:rsidP="007B741A">
      <w:pPr>
        <w:pStyle w:val="NormalWeb"/>
        <w:numPr>
          <w:ilvl w:val="0"/>
          <w:numId w:val="4"/>
        </w:numPr>
      </w:pPr>
      <w:r>
        <w:rPr>
          <w:b/>
          <w:bCs/>
        </w:rPr>
        <w:t>Marital Status Comparison:</w:t>
      </w:r>
      <w:r>
        <w:t xml:space="preserve"> Single dentists displayed higher mean scores than married dentists across all three sub-dimensions:</w:t>
      </w:r>
    </w:p>
    <w:p w14:paraId="717EE1D8" w14:textId="77777777" w:rsidR="007B741A" w:rsidRDefault="007B741A" w:rsidP="007B741A">
      <w:pPr>
        <w:pStyle w:val="NormalWeb"/>
        <w:numPr>
          <w:ilvl w:val="1"/>
          <w:numId w:val="4"/>
        </w:numPr>
      </w:pPr>
      <w:r>
        <w:rPr>
          <w:b/>
          <w:bCs/>
        </w:rPr>
        <w:t>PA:</w:t>
      </w:r>
      <w:r>
        <w:t xml:space="preserve"> Single (</w:t>
      </w:r>
      <w:r>
        <w:rPr>
          <w:rStyle w:val="mord"/>
        </w:rPr>
        <w:t>Xˉ</w:t>
      </w:r>
      <w:r>
        <w:rPr>
          <w:rStyle w:val="mrel"/>
        </w:rPr>
        <w:t>=</w:t>
      </w:r>
      <w:r>
        <w:rPr>
          <w:rStyle w:val="mord"/>
        </w:rPr>
        <w:t>2.25</w:t>
      </w:r>
      <w:r>
        <w:t>) vs. Married (</w:t>
      </w:r>
      <w:r>
        <w:rPr>
          <w:rStyle w:val="mord"/>
        </w:rPr>
        <w:t>Xˉ</w:t>
      </w:r>
      <w:r>
        <w:rPr>
          <w:rStyle w:val="mrel"/>
        </w:rPr>
        <w:t>=</w:t>
      </w:r>
      <w:r>
        <w:rPr>
          <w:rStyle w:val="mord"/>
        </w:rPr>
        <w:t>1.72</w:t>
      </w:r>
      <w:r>
        <w:t>)</w:t>
      </w:r>
    </w:p>
    <w:p w14:paraId="2BAAFFCD" w14:textId="77777777" w:rsidR="007B741A" w:rsidRDefault="007B741A" w:rsidP="007B741A">
      <w:pPr>
        <w:pStyle w:val="NormalWeb"/>
        <w:numPr>
          <w:ilvl w:val="1"/>
          <w:numId w:val="4"/>
        </w:numPr>
      </w:pPr>
      <w:r>
        <w:rPr>
          <w:b/>
          <w:bCs/>
        </w:rPr>
        <w:t>DP:</w:t>
      </w:r>
      <w:r>
        <w:t xml:space="preserve"> Single (</w:t>
      </w:r>
      <w:r>
        <w:rPr>
          <w:rStyle w:val="mord"/>
        </w:rPr>
        <w:t>Xˉ</w:t>
      </w:r>
      <w:r>
        <w:rPr>
          <w:rStyle w:val="mrel"/>
        </w:rPr>
        <w:t>=</w:t>
      </w:r>
      <w:r>
        <w:rPr>
          <w:rStyle w:val="mord"/>
        </w:rPr>
        <w:t>2.38</w:t>
      </w:r>
      <w:r>
        <w:t>) vs. Married (</w:t>
      </w:r>
      <w:r>
        <w:rPr>
          <w:rStyle w:val="mord"/>
        </w:rPr>
        <w:t>Xˉ</w:t>
      </w:r>
      <w:r>
        <w:rPr>
          <w:rStyle w:val="mrel"/>
        </w:rPr>
        <w:t>=</w:t>
      </w:r>
      <w:r>
        <w:rPr>
          <w:rStyle w:val="mord"/>
        </w:rPr>
        <w:t>2.21</w:t>
      </w:r>
      <w:r>
        <w:t>)</w:t>
      </w:r>
    </w:p>
    <w:p w14:paraId="5A241757" w14:textId="77777777" w:rsidR="007B741A" w:rsidRDefault="007B741A" w:rsidP="007B741A">
      <w:pPr>
        <w:pStyle w:val="NormalWeb"/>
        <w:numPr>
          <w:ilvl w:val="1"/>
          <w:numId w:val="4"/>
        </w:numPr>
      </w:pPr>
      <w:r>
        <w:rPr>
          <w:b/>
          <w:bCs/>
        </w:rPr>
        <w:t>EE:</w:t>
      </w:r>
      <w:r>
        <w:t xml:space="preserve"> Single (</w:t>
      </w:r>
      <w:r>
        <w:rPr>
          <w:rStyle w:val="mord"/>
        </w:rPr>
        <w:t>Xˉ</w:t>
      </w:r>
      <w:r>
        <w:rPr>
          <w:rStyle w:val="mrel"/>
        </w:rPr>
        <w:t>=</w:t>
      </w:r>
      <w:r>
        <w:rPr>
          <w:rStyle w:val="mord"/>
        </w:rPr>
        <w:t>1.75</w:t>
      </w:r>
      <w:r>
        <w:t>) vs. Married (</w:t>
      </w:r>
      <w:r>
        <w:rPr>
          <w:rStyle w:val="mord"/>
        </w:rPr>
        <w:t>Xˉ</w:t>
      </w:r>
      <w:r>
        <w:rPr>
          <w:rStyle w:val="mrel"/>
        </w:rPr>
        <w:t>=</w:t>
      </w:r>
      <w:r>
        <w:rPr>
          <w:rStyle w:val="mord"/>
        </w:rPr>
        <w:t>1.49</w:t>
      </w:r>
      <w:r>
        <w:t>)</w:t>
      </w:r>
    </w:p>
    <w:p w14:paraId="35A04377" w14:textId="77777777" w:rsidR="007B741A" w:rsidRDefault="007B741A" w:rsidP="007B741A">
      <w:pPr>
        <w:pStyle w:val="NormalWeb"/>
      </w:pPr>
      <w:r>
        <w:t>This suggests that single individuals experience a higher level of burnout and depersonalization, along with higher levels of personal accomplishment, compared to their married counterparts.</w:t>
      </w:r>
    </w:p>
    <w:p w14:paraId="6049046B" w14:textId="77777777" w:rsidR="007B741A" w:rsidRDefault="007B741A" w:rsidP="007B741A">
      <w:pPr>
        <w:pStyle w:val="Heading3"/>
      </w:pPr>
      <w:r>
        <w:t>4.3. Analysis of Burnout Scores by Work Setting</w:t>
      </w:r>
    </w:p>
    <w:p w14:paraId="6C3B750E" w14:textId="77777777" w:rsidR="007B741A" w:rsidRDefault="007B741A" w:rsidP="007B741A">
      <w:pPr>
        <w:pStyle w:val="NormalWeb"/>
      </w:pPr>
      <w:r>
        <w:t>Significant differences in MBI sub-dimension scores were observed across the five identified work settings:</w:t>
      </w:r>
    </w:p>
    <w:p w14:paraId="4006816A" w14:textId="77777777" w:rsidR="007B741A" w:rsidRDefault="007B741A" w:rsidP="007B741A">
      <w:pPr>
        <w:pStyle w:val="NormalWeb"/>
        <w:numPr>
          <w:ilvl w:val="0"/>
          <w:numId w:val="5"/>
        </w:numPr>
      </w:pPr>
      <w:r>
        <w:rPr>
          <w:b/>
          <w:bCs/>
        </w:rPr>
        <w:t>Personal Accomplishment (PA / KB_düzey):</w:t>
      </w:r>
      <w:r>
        <w:t xml:space="preserve"> The highest PA mean score was observed in the State Hospital/ADSM group (</w:t>
      </w:r>
      <w:r>
        <w:rPr>
          <w:rStyle w:val="mord"/>
        </w:rPr>
        <w:t>Xˉ</w:t>
      </w:r>
      <w:r>
        <w:rPr>
          <w:rStyle w:val="mrel"/>
        </w:rPr>
        <w:t>=</w:t>
      </w:r>
      <w:r>
        <w:rPr>
          <w:rStyle w:val="mord"/>
        </w:rPr>
        <w:t>2.42</w:t>
      </w:r>
      <w:r>
        <w:t xml:space="preserve">, </w:t>
      </w:r>
      <w:r>
        <w:rPr>
          <w:rStyle w:val="mord"/>
        </w:rPr>
        <w:t>SD</w:t>
      </w:r>
      <w:r>
        <w:rPr>
          <w:rStyle w:val="mrel"/>
        </w:rPr>
        <w:t>=</w:t>
      </w:r>
      <w:r>
        <w:rPr>
          <w:rStyle w:val="mord"/>
        </w:rPr>
        <w:t>0.79</w:t>
      </w:r>
      <w:r>
        <w:t>).</w:t>
      </w:r>
    </w:p>
    <w:p w14:paraId="549F8591" w14:textId="77777777" w:rsidR="007B741A" w:rsidRDefault="007B741A" w:rsidP="007B741A">
      <w:pPr>
        <w:pStyle w:val="NormalWeb"/>
        <w:numPr>
          <w:ilvl w:val="0"/>
          <w:numId w:val="5"/>
        </w:numPr>
      </w:pPr>
      <w:r>
        <w:rPr>
          <w:b/>
          <w:bCs/>
        </w:rPr>
        <w:t>Depersonalization (DP / Duyarsız_düzey):</w:t>
      </w:r>
      <w:r>
        <w:t xml:space="preserve"> The highest DP mean score was reported by dentists working in </w:t>
      </w:r>
      <w:r>
        <w:rPr>
          <w:b/>
          <w:bCs/>
        </w:rPr>
        <w:t>Private Hospitals/Clinics</w:t>
      </w:r>
      <w:r>
        <w:t xml:space="preserve"> (</w:t>
      </w:r>
      <w:r>
        <w:rPr>
          <w:rStyle w:val="mord"/>
        </w:rPr>
        <w:t>Xˉ</w:t>
      </w:r>
      <w:r>
        <w:rPr>
          <w:rStyle w:val="mrel"/>
        </w:rPr>
        <w:t>=</w:t>
      </w:r>
      <w:r>
        <w:rPr>
          <w:rStyle w:val="mord"/>
        </w:rPr>
        <w:t>2.39</w:t>
      </w:r>
      <w:r>
        <w:t xml:space="preserve">, </w:t>
      </w:r>
      <w:r>
        <w:rPr>
          <w:rStyle w:val="mord"/>
        </w:rPr>
        <w:t>SD</w:t>
      </w:r>
      <w:r>
        <w:rPr>
          <w:rStyle w:val="mrel"/>
        </w:rPr>
        <w:t>=</w:t>
      </w:r>
      <w:r>
        <w:rPr>
          <w:rStyle w:val="mord"/>
        </w:rPr>
        <w:t>0.72</w:t>
      </w:r>
      <w:r>
        <w:t>).</w:t>
      </w:r>
    </w:p>
    <w:p w14:paraId="06D3DF26" w14:textId="77777777" w:rsidR="007B741A" w:rsidRDefault="007B741A" w:rsidP="007B741A">
      <w:pPr>
        <w:pStyle w:val="NormalWeb"/>
        <w:numPr>
          <w:ilvl w:val="0"/>
          <w:numId w:val="5"/>
        </w:numPr>
      </w:pPr>
      <w:r>
        <w:rPr>
          <w:b/>
          <w:bCs/>
        </w:rPr>
        <w:t>Emotional Exhaustion (EE / DT_düzey):</w:t>
      </w:r>
      <w:r>
        <w:t xml:space="preserve"> The highest EE mean score was also observed in </w:t>
      </w:r>
      <w:r>
        <w:rPr>
          <w:b/>
          <w:bCs/>
        </w:rPr>
        <w:t>Private Hospitals/Clinics</w:t>
      </w:r>
      <w:r>
        <w:t xml:space="preserve"> (</w:t>
      </w:r>
      <w:r>
        <w:rPr>
          <w:rStyle w:val="mord"/>
        </w:rPr>
        <w:t>Xˉ</w:t>
      </w:r>
      <w:r>
        <w:rPr>
          <w:rStyle w:val="mrel"/>
        </w:rPr>
        <w:t>=</w:t>
      </w:r>
      <w:r>
        <w:rPr>
          <w:rStyle w:val="mord"/>
        </w:rPr>
        <w:t>1.82</w:t>
      </w:r>
      <w:r>
        <w:t xml:space="preserve">, </w:t>
      </w:r>
      <w:r>
        <w:rPr>
          <w:rStyle w:val="mord"/>
        </w:rPr>
        <w:t>SD</w:t>
      </w:r>
      <w:r>
        <w:rPr>
          <w:rStyle w:val="mrel"/>
        </w:rPr>
        <w:t>=</w:t>
      </w:r>
      <w:r>
        <w:rPr>
          <w:rStyle w:val="mord"/>
        </w:rPr>
        <w:t>0.80</w:t>
      </w:r>
      <w:r>
        <w:t>). The lowest EE score was recorded in private practices (</w:t>
      </w:r>
      <w:r>
        <w:rPr>
          <w:rStyle w:val="mord"/>
        </w:rPr>
        <w:t>Xˉ</w:t>
      </w:r>
      <w:r>
        <w:rPr>
          <w:rStyle w:val="mrel"/>
        </w:rPr>
        <w:t>=</w:t>
      </w:r>
      <w:r>
        <w:rPr>
          <w:rStyle w:val="mord"/>
        </w:rPr>
        <w:t>1.39</w:t>
      </w:r>
      <w:r>
        <w:t xml:space="preserve">, </w:t>
      </w:r>
      <w:r>
        <w:rPr>
          <w:rStyle w:val="mord"/>
        </w:rPr>
        <w:t>SD</w:t>
      </w:r>
      <w:r>
        <w:rPr>
          <w:rStyle w:val="mrel"/>
        </w:rPr>
        <w:t>=</w:t>
      </w:r>
      <w:r>
        <w:rPr>
          <w:rStyle w:val="mord"/>
        </w:rPr>
        <w:t>0.50</w:t>
      </w:r>
      <w:r>
        <w:t>).</w:t>
      </w:r>
    </w:p>
    <w:p w14:paraId="0924759F" w14:textId="77777777" w:rsidR="007B741A" w:rsidRDefault="007B741A" w:rsidP="007B741A">
      <w:pPr>
        <w:pStyle w:val="NormalWeb"/>
      </w:pPr>
      <w:r>
        <w:lastRenderedPageBreak/>
        <w:t>The results indicate that work setting is a factor influencing burnout, with the private hospital/clinic setting exhibiting the highest emotional strain and detachment.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1"/>
        <w:gridCol w:w="284"/>
        <w:gridCol w:w="1057"/>
        <w:gridCol w:w="1077"/>
      </w:tblGrid>
      <w:tr w:rsidR="007B741A" w14:paraId="10AFE503" w14:textId="77777777" w:rsidTr="007B741A">
        <w:trPr>
          <w:tblHeader/>
          <w:tblCellSpacing w:w="15" w:type="dxa"/>
        </w:trPr>
        <w:tc>
          <w:tcPr>
            <w:tcW w:w="0" w:type="auto"/>
            <w:vAlign w:val="center"/>
            <w:hideMark/>
          </w:tcPr>
          <w:p w14:paraId="56C10CCF" w14:textId="6C986177" w:rsidR="007B741A" w:rsidRDefault="007B741A">
            <w:r>
              <w:t xml:space="preserve">Table </w:t>
            </w:r>
            <w:r w:rsidR="00BE2810">
              <w:t>3</w:t>
            </w:r>
            <w:r>
              <w:t xml:space="preserve">. Descriptive Statistics by Work Setting (Mean </w:t>
            </w:r>
            <w:r>
              <w:rPr>
                <w:rStyle w:val="mord"/>
              </w:rPr>
              <w:t>±</w:t>
            </w:r>
            <w:r>
              <w:t xml:space="preserve"> SD)</w:t>
            </w:r>
          </w:p>
        </w:tc>
        <w:tc>
          <w:tcPr>
            <w:tcW w:w="0" w:type="auto"/>
            <w:vAlign w:val="center"/>
            <w:hideMark/>
          </w:tcPr>
          <w:p w14:paraId="471535F1" w14:textId="77777777" w:rsidR="007B741A" w:rsidRDefault="007B741A"/>
        </w:tc>
        <w:tc>
          <w:tcPr>
            <w:tcW w:w="0" w:type="auto"/>
            <w:vAlign w:val="center"/>
            <w:hideMark/>
          </w:tcPr>
          <w:p w14:paraId="13C3491A" w14:textId="77777777" w:rsidR="007B741A" w:rsidRDefault="007B741A">
            <w:pPr>
              <w:rPr>
                <w:sz w:val="20"/>
                <w:szCs w:val="20"/>
              </w:rPr>
            </w:pPr>
          </w:p>
        </w:tc>
        <w:tc>
          <w:tcPr>
            <w:tcW w:w="0" w:type="auto"/>
            <w:vAlign w:val="center"/>
            <w:hideMark/>
          </w:tcPr>
          <w:p w14:paraId="45D82929" w14:textId="77777777" w:rsidR="007B741A" w:rsidRDefault="007B741A">
            <w:pPr>
              <w:rPr>
                <w:sz w:val="20"/>
                <w:szCs w:val="20"/>
              </w:rPr>
            </w:pPr>
          </w:p>
        </w:tc>
      </w:tr>
      <w:tr w:rsidR="007B741A" w14:paraId="50024B76" w14:textId="77777777" w:rsidTr="007B741A">
        <w:trPr>
          <w:tblCellSpacing w:w="15" w:type="dxa"/>
        </w:trPr>
        <w:tc>
          <w:tcPr>
            <w:tcW w:w="0" w:type="auto"/>
            <w:vAlign w:val="center"/>
            <w:hideMark/>
          </w:tcPr>
          <w:p w14:paraId="46F152C5" w14:textId="77777777" w:rsidR="007B741A" w:rsidRDefault="007B741A">
            <w:pPr>
              <w:rPr>
                <w:sz w:val="24"/>
                <w:szCs w:val="24"/>
              </w:rPr>
            </w:pPr>
            <w:r>
              <w:rPr>
                <w:b/>
                <w:bCs/>
              </w:rPr>
              <w:t>Work Setting</w:t>
            </w:r>
          </w:p>
        </w:tc>
        <w:tc>
          <w:tcPr>
            <w:tcW w:w="0" w:type="auto"/>
            <w:vAlign w:val="center"/>
            <w:hideMark/>
          </w:tcPr>
          <w:p w14:paraId="33012FA0" w14:textId="77777777" w:rsidR="007B741A" w:rsidRDefault="007B741A">
            <w:r>
              <w:rPr>
                <w:b/>
                <w:bCs/>
              </w:rPr>
              <w:t>N</w:t>
            </w:r>
          </w:p>
        </w:tc>
        <w:tc>
          <w:tcPr>
            <w:tcW w:w="0" w:type="auto"/>
            <w:vAlign w:val="center"/>
            <w:hideMark/>
          </w:tcPr>
          <w:p w14:paraId="4F8CE1B8" w14:textId="77777777" w:rsidR="007B741A" w:rsidRDefault="007B741A">
            <w:r>
              <w:rPr>
                <w:b/>
                <w:bCs/>
              </w:rPr>
              <w:t>PA (</w:t>
            </w:r>
            <w:r>
              <w:rPr>
                <w:rStyle w:val="mord"/>
                <w:b/>
                <w:bCs/>
              </w:rPr>
              <w:t>Xˉ</w:t>
            </w:r>
            <w:r>
              <w:rPr>
                <w:rStyle w:val="mbin"/>
                <w:b/>
                <w:bCs/>
              </w:rPr>
              <w:t>±</w:t>
            </w:r>
            <w:r>
              <w:rPr>
                <w:rStyle w:val="mord"/>
                <w:b/>
                <w:bCs/>
              </w:rPr>
              <w:t>SD</w:t>
            </w:r>
            <w:r>
              <w:rPr>
                <w:b/>
                <w:bCs/>
              </w:rPr>
              <w:t>)</w:t>
            </w:r>
          </w:p>
        </w:tc>
        <w:tc>
          <w:tcPr>
            <w:tcW w:w="0" w:type="auto"/>
            <w:vAlign w:val="center"/>
            <w:hideMark/>
          </w:tcPr>
          <w:p w14:paraId="6ABC2C74" w14:textId="77777777" w:rsidR="007B741A" w:rsidRDefault="007B741A">
            <w:r>
              <w:rPr>
                <w:b/>
                <w:bCs/>
              </w:rPr>
              <w:t>DP (</w:t>
            </w:r>
            <w:r>
              <w:rPr>
                <w:rStyle w:val="mord"/>
                <w:b/>
                <w:bCs/>
              </w:rPr>
              <w:t>Xˉ</w:t>
            </w:r>
            <w:r>
              <w:rPr>
                <w:rStyle w:val="mbin"/>
                <w:b/>
                <w:bCs/>
              </w:rPr>
              <w:t>±</w:t>
            </w:r>
            <w:r>
              <w:rPr>
                <w:rStyle w:val="mord"/>
                <w:b/>
                <w:bCs/>
              </w:rPr>
              <w:t>SD</w:t>
            </w:r>
            <w:r>
              <w:rPr>
                <w:b/>
                <w:bCs/>
              </w:rPr>
              <w:t>)</w:t>
            </w:r>
          </w:p>
        </w:tc>
      </w:tr>
      <w:tr w:rsidR="007B741A" w14:paraId="63716837" w14:textId="77777777" w:rsidTr="007B741A">
        <w:trPr>
          <w:tblCellSpacing w:w="15" w:type="dxa"/>
        </w:trPr>
        <w:tc>
          <w:tcPr>
            <w:tcW w:w="0" w:type="auto"/>
            <w:vAlign w:val="center"/>
            <w:hideMark/>
          </w:tcPr>
          <w:p w14:paraId="0315C83C" w14:textId="77777777" w:rsidR="007B741A" w:rsidRDefault="007B741A">
            <w:r>
              <w:t>Private Practice</w:t>
            </w:r>
          </w:p>
        </w:tc>
        <w:tc>
          <w:tcPr>
            <w:tcW w:w="0" w:type="auto"/>
            <w:vAlign w:val="center"/>
            <w:hideMark/>
          </w:tcPr>
          <w:p w14:paraId="75AF5B84" w14:textId="77777777" w:rsidR="007B741A" w:rsidRDefault="007B741A">
            <w:r>
              <w:t>33</w:t>
            </w:r>
          </w:p>
        </w:tc>
        <w:tc>
          <w:tcPr>
            <w:tcW w:w="0" w:type="auto"/>
            <w:vAlign w:val="center"/>
            <w:hideMark/>
          </w:tcPr>
          <w:p w14:paraId="6356E039" w14:textId="77777777" w:rsidR="007B741A" w:rsidRDefault="007B741A">
            <w:r>
              <w:rPr>
                <w:rStyle w:val="mord"/>
              </w:rPr>
              <w:t>1.91</w:t>
            </w:r>
            <w:r>
              <w:rPr>
                <w:rStyle w:val="mbin"/>
              </w:rPr>
              <w:t>±</w:t>
            </w:r>
            <w:r>
              <w:rPr>
                <w:rStyle w:val="mord"/>
              </w:rPr>
              <w:t>0.77</w:t>
            </w:r>
          </w:p>
        </w:tc>
        <w:tc>
          <w:tcPr>
            <w:tcW w:w="0" w:type="auto"/>
            <w:vAlign w:val="center"/>
            <w:hideMark/>
          </w:tcPr>
          <w:p w14:paraId="16E4D2A3" w14:textId="77777777" w:rsidR="007B741A" w:rsidRDefault="007B741A">
            <w:r>
              <w:rPr>
                <w:rStyle w:val="mord"/>
              </w:rPr>
              <w:t>2.18</w:t>
            </w:r>
            <w:r>
              <w:rPr>
                <w:rStyle w:val="mbin"/>
              </w:rPr>
              <w:t>±</w:t>
            </w:r>
            <w:r>
              <w:rPr>
                <w:rStyle w:val="mord"/>
              </w:rPr>
              <w:t>0.77</w:t>
            </w:r>
          </w:p>
        </w:tc>
      </w:tr>
      <w:tr w:rsidR="007B741A" w14:paraId="57D7F6D3" w14:textId="77777777" w:rsidTr="007B741A">
        <w:trPr>
          <w:tblCellSpacing w:w="15" w:type="dxa"/>
        </w:trPr>
        <w:tc>
          <w:tcPr>
            <w:tcW w:w="0" w:type="auto"/>
            <w:vAlign w:val="center"/>
            <w:hideMark/>
          </w:tcPr>
          <w:p w14:paraId="10B7FE3E" w14:textId="77777777" w:rsidR="007B741A" w:rsidRDefault="007B741A">
            <w:r>
              <w:t>State Hospital / ADSM</w:t>
            </w:r>
          </w:p>
        </w:tc>
        <w:tc>
          <w:tcPr>
            <w:tcW w:w="0" w:type="auto"/>
            <w:vAlign w:val="center"/>
            <w:hideMark/>
          </w:tcPr>
          <w:p w14:paraId="7DA15873" w14:textId="77777777" w:rsidR="007B741A" w:rsidRDefault="007B741A">
            <w:r>
              <w:t>12</w:t>
            </w:r>
          </w:p>
        </w:tc>
        <w:tc>
          <w:tcPr>
            <w:tcW w:w="0" w:type="auto"/>
            <w:vAlign w:val="center"/>
            <w:hideMark/>
          </w:tcPr>
          <w:p w14:paraId="31CB425E" w14:textId="77777777" w:rsidR="007B741A" w:rsidRDefault="007B741A">
            <w:r>
              <w:rPr>
                <w:rStyle w:val="mord"/>
              </w:rPr>
              <w:t>2.42</w:t>
            </w:r>
            <w:r>
              <w:rPr>
                <w:rStyle w:val="mbin"/>
              </w:rPr>
              <w:t>±</w:t>
            </w:r>
            <w:r>
              <w:rPr>
                <w:rStyle w:val="mord"/>
              </w:rPr>
              <w:t>0.79</w:t>
            </w:r>
          </w:p>
        </w:tc>
        <w:tc>
          <w:tcPr>
            <w:tcW w:w="0" w:type="auto"/>
            <w:vAlign w:val="center"/>
            <w:hideMark/>
          </w:tcPr>
          <w:p w14:paraId="5DBDDD19" w14:textId="77777777" w:rsidR="007B741A" w:rsidRDefault="007B741A">
            <w:r>
              <w:rPr>
                <w:rStyle w:val="mord"/>
              </w:rPr>
              <w:t>2.33</w:t>
            </w:r>
            <w:r>
              <w:rPr>
                <w:rStyle w:val="mbin"/>
              </w:rPr>
              <w:t>±</w:t>
            </w:r>
            <w:r>
              <w:rPr>
                <w:rStyle w:val="mord"/>
              </w:rPr>
              <w:t>0.65</w:t>
            </w:r>
          </w:p>
        </w:tc>
      </w:tr>
      <w:tr w:rsidR="007B741A" w14:paraId="1BFC5763" w14:textId="77777777" w:rsidTr="007B741A">
        <w:trPr>
          <w:tblCellSpacing w:w="15" w:type="dxa"/>
        </w:trPr>
        <w:tc>
          <w:tcPr>
            <w:tcW w:w="0" w:type="auto"/>
            <w:vAlign w:val="center"/>
            <w:hideMark/>
          </w:tcPr>
          <w:p w14:paraId="1324E854" w14:textId="77777777" w:rsidR="007B741A" w:rsidRDefault="007B741A">
            <w:r>
              <w:t>University Hospital</w:t>
            </w:r>
          </w:p>
        </w:tc>
        <w:tc>
          <w:tcPr>
            <w:tcW w:w="0" w:type="auto"/>
            <w:vAlign w:val="center"/>
            <w:hideMark/>
          </w:tcPr>
          <w:p w14:paraId="09F192AB" w14:textId="77777777" w:rsidR="007B741A" w:rsidRDefault="007B741A">
            <w:r>
              <w:t>22</w:t>
            </w:r>
          </w:p>
        </w:tc>
        <w:tc>
          <w:tcPr>
            <w:tcW w:w="0" w:type="auto"/>
            <w:vAlign w:val="center"/>
            <w:hideMark/>
          </w:tcPr>
          <w:p w14:paraId="13946DC9" w14:textId="77777777" w:rsidR="007B741A" w:rsidRDefault="007B741A">
            <w:r>
              <w:rPr>
                <w:rStyle w:val="mord"/>
              </w:rPr>
              <w:t>2.09</w:t>
            </w:r>
            <w:r>
              <w:rPr>
                <w:rStyle w:val="mbin"/>
              </w:rPr>
              <w:t>±</w:t>
            </w:r>
            <w:r>
              <w:rPr>
                <w:rStyle w:val="mord"/>
              </w:rPr>
              <w:t>0.81</w:t>
            </w:r>
          </w:p>
        </w:tc>
        <w:tc>
          <w:tcPr>
            <w:tcW w:w="0" w:type="auto"/>
            <w:vAlign w:val="center"/>
            <w:hideMark/>
          </w:tcPr>
          <w:p w14:paraId="40446C52" w14:textId="77777777" w:rsidR="007B741A" w:rsidRDefault="007B741A">
            <w:r>
              <w:rPr>
                <w:rStyle w:val="mord"/>
              </w:rPr>
              <w:t>2.27</w:t>
            </w:r>
            <w:r>
              <w:rPr>
                <w:rStyle w:val="mbin"/>
              </w:rPr>
              <w:t>±</w:t>
            </w:r>
            <w:r>
              <w:rPr>
                <w:rStyle w:val="mord"/>
              </w:rPr>
              <w:t>0.83</w:t>
            </w:r>
          </w:p>
        </w:tc>
      </w:tr>
      <w:tr w:rsidR="007B741A" w14:paraId="60B7F96C" w14:textId="77777777" w:rsidTr="007B741A">
        <w:trPr>
          <w:tblCellSpacing w:w="15" w:type="dxa"/>
        </w:trPr>
        <w:tc>
          <w:tcPr>
            <w:tcW w:w="0" w:type="auto"/>
            <w:vAlign w:val="center"/>
            <w:hideMark/>
          </w:tcPr>
          <w:p w14:paraId="3AB14363" w14:textId="77777777" w:rsidR="007B741A" w:rsidRDefault="007B741A">
            <w:r>
              <w:rPr>
                <w:b/>
                <w:bCs/>
              </w:rPr>
              <w:t>Private Hospital / Clinic</w:t>
            </w:r>
          </w:p>
        </w:tc>
        <w:tc>
          <w:tcPr>
            <w:tcW w:w="0" w:type="auto"/>
            <w:vAlign w:val="center"/>
            <w:hideMark/>
          </w:tcPr>
          <w:p w14:paraId="3D72FF50" w14:textId="77777777" w:rsidR="007B741A" w:rsidRDefault="007B741A">
            <w:r>
              <w:rPr>
                <w:b/>
                <w:bCs/>
              </w:rPr>
              <w:t>38</w:t>
            </w:r>
          </w:p>
        </w:tc>
        <w:tc>
          <w:tcPr>
            <w:tcW w:w="0" w:type="auto"/>
            <w:vAlign w:val="center"/>
            <w:hideMark/>
          </w:tcPr>
          <w:p w14:paraId="7FB96B70" w14:textId="77777777" w:rsidR="007B741A" w:rsidRDefault="007B741A">
            <w:r>
              <w:rPr>
                <w:rStyle w:val="mord"/>
                <w:b/>
                <w:bCs/>
              </w:rPr>
              <w:t>1.87</w:t>
            </w:r>
            <w:r>
              <w:rPr>
                <w:rStyle w:val="mbin"/>
                <w:b/>
                <w:bCs/>
              </w:rPr>
              <w:t>±</w:t>
            </w:r>
            <w:r>
              <w:rPr>
                <w:rStyle w:val="mord"/>
                <w:b/>
                <w:bCs/>
              </w:rPr>
              <w:t>0.78</w:t>
            </w:r>
          </w:p>
        </w:tc>
        <w:tc>
          <w:tcPr>
            <w:tcW w:w="0" w:type="auto"/>
            <w:vAlign w:val="center"/>
            <w:hideMark/>
          </w:tcPr>
          <w:p w14:paraId="075B9D8E" w14:textId="77777777" w:rsidR="007B741A" w:rsidRDefault="007B741A">
            <w:r>
              <w:rPr>
                <w:rStyle w:val="mord"/>
                <w:b/>
                <w:bCs/>
              </w:rPr>
              <w:t>2.39</w:t>
            </w:r>
            <w:r>
              <w:rPr>
                <w:rStyle w:val="mbin"/>
                <w:b/>
                <w:bCs/>
              </w:rPr>
              <w:t>±</w:t>
            </w:r>
            <w:r>
              <w:rPr>
                <w:rStyle w:val="mord"/>
                <w:b/>
                <w:bCs/>
              </w:rPr>
              <w:t>0.72</w:t>
            </w:r>
          </w:p>
        </w:tc>
      </w:tr>
      <w:tr w:rsidR="007B741A" w14:paraId="34DA5B1B" w14:textId="77777777" w:rsidTr="007B741A">
        <w:trPr>
          <w:tblCellSpacing w:w="15" w:type="dxa"/>
        </w:trPr>
        <w:tc>
          <w:tcPr>
            <w:tcW w:w="0" w:type="auto"/>
            <w:vAlign w:val="center"/>
            <w:hideMark/>
          </w:tcPr>
          <w:p w14:paraId="0CE87DDA" w14:textId="77777777" w:rsidR="007B741A" w:rsidRDefault="007B741A">
            <w:r>
              <w:t>Institutional Center</w:t>
            </w:r>
          </w:p>
        </w:tc>
        <w:tc>
          <w:tcPr>
            <w:tcW w:w="0" w:type="auto"/>
            <w:vAlign w:val="center"/>
            <w:hideMark/>
          </w:tcPr>
          <w:p w14:paraId="4E30D0F6" w14:textId="77777777" w:rsidR="007B741A" w:rsidRDefault="007B741A">
            <w:r>
              <w:t>1</w:t>
            </w:r>
          </w:p>
        </w:tc>
        <w:tc>
          <w:tcPr>
            <w:tcW w:w="0" w:type="auto"/>
            <w:vAlign w:val="center"/>
            <w:hideMark/>
          </w:tcPr>
          <w:p w14:paraId="41CD531F" w14:textId="77777777" w:rsidR="007B741A" w:rsidRDefault="007B741A">
            <w:r>
              <w:rPr>
                <w:rStyle w:val="mord"/>
              </w:rPr>
              <w:t>1.00</w:t>
            </w:r>
            <w:r>
              <w:rPr>
                <w:rStyle w:val="mbin"/>
              </w:rPr>
              <w:t>±</w:t>
            </w:r>
            <w:r>
              <w:rPr>
                <w:rStyle w:val="mord"/>
              </w:rPr>
              <w:t>−</w:t>
            </w:r>
          </w:p>
        </w:tc>
        <w:tc>
          <w:tcPr>
            <w:tcW w:w="0" w:type="auto"/>
            <w:vAlign w:val="center"/>
            <w:hideMark/>
          </w:tcPr>
          <w:p w14:paraId="7CFA995C" w14:textId="77777777" w:rsidR="007B741A" w:rsidRDefault="007B741A">
            <w:r>
              <w:rPr>
                <w:rStyle w:val="mord"/>
              </w:rPr>
              <w:t>2.00</w:t>
            </w:r>
            <w:r>
              <w:rPr>
                <w:rStyle w:val="mbin"/>
              </w:rPr>
              <w:t>±</w:t>
            </w:r>
            <w:r>
              <w:rPr>
                <w:rStyle w:val="mord"/>
              </w:rPr>
              <w:t>−</w:t>
            </w:r>
          </w:p>
        </w:tc>
      </w:tr>
    </w:tbl>
    <w:p w14:paraId="4C7C7A7B" w14:textId="1570C840" w:rsidR="00CF4C82" w:rsidRPr="00CF4C82" w:rsidRDefault="00CF4C82" w:rsidP="00CF4C82">
      <w:pPr>
        <w:spacing w:after="0" w:line="240" w:lineRule="auto"/>
        <w:rPr>
          <w:rFonts w:ascii="Times New Roman" w:eastAsia="Times New Roman" w:hAnsi="Times New Roman" w:cs="Times New Roman"/>
          <w:sz w:val="24"/>
          <w:szCs w:val="24"/>
          <w:lang w:eastAsia="tr-TR"/>
        </w:rPr>
      </w:pPr>
    </w:p>
    <w:p w14:paraId="5E7391E8" w14:textId="22BF059C" w:rsidR="00CF4C82" w:rsidRPr="00CF4C82" w:rsidRDefault="00CF4C82" w:rsidP="00CF4C8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F4C82">
        <w:rPr>
          <w:rFonts w:ascii="Times New Roman" w:eastAsia="Times New Roman" w:hAnsi="Times New Roman" w:cs="Times New Roman"/>
          <w:b/>
          <w:bCs/>
          <w:sz w:val="36"/>
          <w:szCs w:val="36"/>
          <w:lang w:eastAsia="tr-TR"/>
        </w:rPr>
        <w:t xml:space="preserve">5. </w:t>
      </w:r>
      <w:commentRangeStart w:id="4"/>
      <w:r w:rsidRPr="00CF4C82">
        <w:rPr>
          <w:rFonts w:ascii="Times New Roman" w:eastAsia="Times New Roman" w:hAnsi="Times New Roman" w:cs="Times New Roman"/>
          <w:b/>
          <w:bCs/>
          <w:sz w:val="36"/>
          <w:szCs w:val="36"/>
          <w:lang w:eastAsia="tr-TR"/>
        </w:rPr>
        <w:t>DISCUSSION</w:t>
      </w:r>
      <w:commentRangeEnd w:id="4"/>
      <w:r w:rsidR="00117C0C">
        <w:rPr>
          <w:rStyle w:val="CommentReference"/>
        </w:rPr>
        <w:commentReference w:id="4"/>
      </w:r>
      <w:r w:rsidRPr="00CF4C82">
        <w:rPr>
          <w:rFonts w:ascii="Times New Roman" w:eastAsia="Times New Roman" w:hAnsi="Times New Roman" w:cs="Times New Roman"/>
          <w:b/>
          <w:bCs/>
          <w:sz w:val="36"/>
          <w:szCs w:val="36"/>
          <w:lang w:eastAsia="tr-TR"/>
        </w:rPr>
        <w:t xml:space="preserve"> </w:t>
      </w:r>
    </w:p>
    <w:p w14:paraId="12B1473A"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In this study, the relationship between burnout levels and demographic and professional variables among dentists was investigated. The data obtained show that factors such as work environment, age, marital status, and specialization significantly influence burnout levels.</w:t>
      </w:r>
    </w:p>
    <w:p w14:paraId="36063CA9"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 xml:space="preserve">A majority of the participants were young dentists in the </w:t>
      </w:r>
      <w:r w:rsidRPr="00CF4C82">
        <w:rPr>
          <w:rFonts w:ascii="Times New Roman" w:eastAsia="Times New Roman" w:hAnsi="Times New Roman" w:cs="Times New Roman"/>
          <w:b/>
          <w:bCs/>
          <w:sz w:val="24"/>
          <w:szCs w:val="24"/>
          <w:lang w:eastAsia="tr-TR"/>
        </w:rPr>
        <w:t>20–39 age range</w:t>
      </w:r>
      <w:r w:rsidRPr="00CF4C82">
        <w:rPr>
          <w:rFonts w:ascii="Times New Roman" w:eastAsia="Times New Roman" w:hAnsi="Times New Roman" w:cs="Times New Roman"/>
          <w:sz w:val="24"/>
          <w:szCs w:val="24"/>
          <w:lang w:eastAsia="tr-TR"/>
        </w:rPr>
        <w:t>. The analysis revealed a higher Personal Accomplishment (PA) level in this group, which tended to decrease with advancing age. This suggests that younger practitioners may have higher initial career motivation, which subsequently diminishes as burnout symptoms potentially increase over time.</w:t>
      </w:r>
    </w:p>
    <w:p w14:paraId="2851E8E7"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 xml:space="preserve">The analysis of </w:t>
      </w:r>
      <w:r w:rsidRPr="00CF4C82">
        <w:rPr>
          <w:rFonts w:ascii="Times New Roman" w:eastAsia="Times New Roman" w:hAnsi="Times New Roman" w:cs="Times New Roman"/>
          <w:b/>
          <w:bCs/>
          <w:sz w:val="24"/>
          <w:szCs w:val="24"/>
          <w:lang w:eastAsia="tr-TR"/>
        </w:rPr>
        <w:t>marital status</w:t>
      </w:r>
      <w:r w:rsidRPr="00CF4C82">
        <w:rPr>
          <w:rFonts w:ascii="Times New Roman" w:eastAsia="Times New Roman" w:hAnsi="Times New Roman" w:cs="Times New Roman"/>
          <w:sz w:val="24"/>
          <w:szCs w:val="24"/>
          <w:lang w:eastAsia="tr-TR"/>
        </w:rPr>
        <w:t xml:space="preserve"> indicated that </w:t>
      </w:r>
      <w:r w:rsidRPr="00CF4C82">
        <w:rPr>
          <w:rFonts w:ascii="Times New Roman" w:eastAsia="Times New Roman" w:hAnsi="Times New Roman" w:cs="Times New Roman"/>
          <w:b/>
          <w:bCs/>
          <w:sz w:val="24"/>
          <w:szCs w:val="24"/>
          <w:lang w:eastAsia="tr-TR"/>
        </w:rPr>
        <w:t>single dentists</w:t>
      </w:r>
      <w:r w:rsidRPr="00CF4C82">
        <w:rPr>
          <w:rFonts w:ascii="Times New Roman" w:eastAsia="Times New Roman" w:hAnsi="Times New Roman" w:cs="Times New Roman"/>
          <w:sz w:val="24"/>
          <w:szCs w:val="24"/>
          <w:lang w:eastAsia="tr-TR"/>
        </w:rPr>
        <w:t xml:space="preserve"> had higher burnout scores compared to their married counterparts. This finding suggests that married individuals may benefit more from social support mechanisms, which could play a mitigating role against burnout. Indeed, the literature frequently reports that a lack of social support increases the risk of burnout.</w:t>
      </w:r>
    </w:p>
    <w:p w14:paraId="6960A0A9"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 xml:space="preserve">Data concerning the </w:t>
      </w:r>
      <w:r w:rsidRPr="00CF4C82">
        <w:rPr>
          <w:rFonts w:ascii="Times New Roman" w:eastAsia="Times New Roman" w:hAnsi="Times New Roman" w:cs="Times New Roman"/>
          <w:b/>
          <w:bCs/>
          <w:sz w:val="24"/>
          <w:szCs w:val="24"/>
          <w:lang w:eastAsia="tr-TR"/>
        </w:rPr>
        <w:t>type of work setting</w:t>
      </w:r>
      <w:r w:rsidRPr="00CF4C82">
        <w:rPr>
          <w:rFonts w:ascii="Times New Roman" w:eastAsia="Times New Roman" w:hAnsi="Times New Roman" w:cs="Times New Roman"/>
          <w:sz w:val="24"/>
          <w:szCs w:val="24"/>
          <w:lang w:eastAsia="tr-TR"/>
        </w:rPr>
        <w:t xml:space="preserve"> showed that dentists working in </w:t>
      </w:r>
      <w:r w:rsidRPr="00CF4C82">
        <w:rPr>
          <w:rFonts w:ascii="Times New Roman" w:eastAsia="Times New Roman" w:hAnsi="Times New Roman" w:cs="Times New Roman"/>
          <w:b/>
          <w:bCs/>
          <w:sz w:val="24"/>
          <w:szCs w:val="24"/>
          <w:lang w:eastAsia="tr-TR"/>
        </w:rPr>
        <w:t>State Hospitals/ADSM</w:t>
      </w:r>
      <w:r w:rsidRPr="00CF4C82">
        <w:rPr>
          <w:rFonts w:ascii="Times New Roman" w:eastAsia="Times New Roman" w:hAnsi="Times New Roman" w:cs="Times New Roman"/>
          <w:sz w:val="24"/>
          <w:szCs w:val="24"/>
          <w:lang w:eastAsia="tr-TR"/>
        </w:rPr>
        <w:t xml:space="preserve"> reported the highest Personal Accomplishment levels. Conversely, the elevated scores for Depersonalization (DP) and Emotional Exhaustion (EE) observed in the </w:t>
      </w:r>
      <w:r w:rsidRPr="00CF4C82">
        <w:rPr>
          <w:rFonts w:ascii="Times New Roman" w:eastAsia="Times New Roman" w:hAnsi="Times New Roman" w:cs="Times New Roman"/>
          <w:b/>
          <w:bCs/>
          <w:sz w:val="24"/>
          <w:szCs w:val="24"/>
          <w:lang w:eastAsia="tr-TR"/>
        </w:rPr>
        <w:t>Private Hospital/Clinic</w:t>
      </w:r>
      <w:r w:rsidRPr="00CF4C82">
        <w:rPr>
          <w:rFonts w:ascii="Times New Roman" w:eastAsia="Times New Roman" w:hAnsi="Times New Roman" w:cs="Times New Roman"/>
          <w:sz w:val="24"/>
          <w:szCs w:val="24"/>
          <w:lang w:eastAsia="tr-TR"/>
        </w:rPr>
        <w:t xml:space="preserve"> group suggest that performance pressures and high patient loads in the private sector contribute significantly to burnout. Due to the insufficient sample size in the Institutional Oral and Dental Health Center group, generalization for this category is not appropriate.</w:t>
      </w:r>
    </w:p>
    <w:p w14:paraId="3B005CD2"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lastRenderedPageBreak/>
        <w:t xml:space="preserve">Regarding </w:t>
      </w:r>
      <w:r w:rsidRPr="00CF4C82">
        <w:rPr>
          <w:rFonts w:ascii="Times New Roman" w:eastAsia="Times New Roman" w:hAnsi="Times New Roman" w:cs="Times New Roman"/>
          <w:b/>
          <w:bCs/>
          <w:sz w:val="24"/>
          <w:szCs w:val="24"/>
          <w:lang w:eastAsia="tr-TR"/>
        </w:rPr>
        <w:t>specialist status</w:t>
      </w:r>
      <w:r w:rsidRPr="00CF4C82">
        <w:rPr>
          <w:rFonts w:ascii="Times New Roman" w:eastAsia="Times New Roman" w:hAnsi="Times New Roman" w:cs="Times New Roman"/>
          <w:sz w:val="24"/>
          <w:szCs w:val="24"/>
          <w:lang w:eastAsia="tr-TR"/>
        </w:rPr>
        <w:t xml:space="preserve">, </w:t>
      </w:r>
      <w:r w:rsidRPr="00CF4C82">
        <w:rPr>
          <w:rFonts w:ascii="Times New Roman" w:eastAsia="Times New Roman" w:hAnsi="Times New Roman" w:cs="Times New Roman"/>
          <w:b/>
          <w:bCs/>
          <w:sz w:val="24"/>
          <w:szCs w:val="24"/>
          <w:lang w:eastAsia="tr-TR"/>
        </w:rPr>
        <w:t>general dentists (GDs)</w:t>
      </w:r>
      <w:r w:rsidRPr="00CF4C82">
        <w:rPr>
          <w:rFonts w:ascii="Times New Roman" w:eastAsia="Times New Roman" w:hAnsi="Times New Roman" w:cs="Times New Roman"/>
          <w:sz w:val="24"/>
          <w:szCs w:val="24"/>
          <w:lang w:eastAsia="tr-TR"/>
        </w:rPr>
        <w:t xml:space="preserve"> were found to experience higher levels of burnout compared to specialists. This indicates that GDs may be more affected by professional workload and stress factors. Factors such as the clearer definition of roles and increased professional competence gained through specialist training may account for this difference.</w:t>
      </w:r>
    </w:p>
    <w:p w14:paraId="17F5AD92"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In conclusion, variables such as working conditions, age, marital status, and professional status significantly influence burnout levels among dentists. These findings highlight the necessity for interventions at both the individual and organizational levels.</w:t>
      </w:r>
    </w:p>
    <w:p w14:paraId="4710863E" w14:textId="77777777" w:rsidR="00CF4C82" w:rsidRPr="00CF4C82" w:rsidRDefault="00D9334D" w:rsidP="00CF4C8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7CDC2C72">
          <v:rect id="_x0000_i1026" style="width:0;height:1.5pt" o:hralign="center" o:hrstd="t" o:hr="t" fillcolor="#a0a0a0" stroked="f"/>
        </w:pict>
      </w:r>
    </w:p>
    <w:p w14:paraId="5FFAC7F2" w14:textId="1546FAA8" w:rsidR="00CF4C82" w:rsidRPr="00CF4C82" w:rsidRDefault="00CF4C82" w:rsidP="00CF4C8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F4C82">
        <w:rPr>
          <w:rFonts w:ascii="Times New Roman" w:eastAsia="Times New Roman" w:hAnsi="Times New Roman" w:cs="Times New Roman"/>
          <w:b/>
          <w:bCs/>
          <w:sz w:val="36"/>
          <w:szCs w:val="36"/>
          <w:lang w:eastAsia="tr-TR"/>
        </w:rPr>
        <w:t xml:space="preserve">6. CONCLUSION </w:t>
      </w:r>
    </w:p>
    <w:p w14:paraId="32D57D6F"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This research aimed to determine the burnout levels of 106 dentists working in Kayseri and analyze these levels according to specific variables using the Maslach Burnout Inventory. The following key findings were reached:</w:t>
      </w:r>
    </w:p>
    <w:p w14:paraId="4339E217" w14:textId="77777777" w:rsidR="00CF4C82" w:rsidRPr="00CF4C82" w:rsidRDefault="00CF4C82" w:rsidP="00CF4C8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 xml:space="preserve">A </w:t>
      </w:r>
      <w:r w:rsidRPr="00CF4C82">
        <w:rPr>
          <w:rFonts w:ascii="Times New Roman" w:eastAsia="Times New Roman" w:hAnsi="Times New Roman" w:cs="Times New Roman"/>
          <w:b/>
          <w:bCs/>
          <w:sz w:val="24"/>
          <w:szCs w:val="24"/>
          <w:lang w:eastAsia="tr-TR"/>
        </w:rPr>
        <w:t>moderate level of burnout</w:t>
      </w:r>
      <w:r w:rsidRPr="00CF4C82">
        <w:rPr>
          <w:rFonts w:ascii="Times New Roman" w:eastAsia="Times New Roman" w:hAnsi="Times New Roman" w:cs="Times New Roman"/>
          <w:sz w:val="24"/>
          <w:szCs w:val="24"/>
          <w:lang w:eastAsia="tr-TR"/>
        </w:rPr>
        <w:t xml:space="preserve"> was observed among the participating dentists.</w:t>
      </w:r>
    </w:p>
    <w:p w14:paraId="1EA3733C" w14:textId="77777777" w:rsidR="00CF4C82" w:rsidRPr="00CF4C82" w:rsidRDefault="00CF4C82" w:rsidP="00CF4C8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b/>
          <w:bCs/>
          <w:sz w:val="24"/>
          <w:szCs w:val="24"/>
          <w:lang w:eastAsia="tr-TR"/>
        </w:rPr>
        <w:t>Younger dentists</w:t>
      </w:r>
      <w:r w:rsidRPr="00CF4C82">
        <w:rPr>
          <w:rFonts w:ascii="Times New Roman" w:eastAsia="Times New Roman" w:hAnsi="Times New Roman" w:cs="Times New Roman"/>
          <w:sz w:val="24"/>
          <w:szCs w:val="24"/>
          <w:lang w:eastAsia="tr-TR"/>
        </w:rPr>
        <w:t xml:space="preserve"> showed higher Personal Accomplishment scores.</w:t>
      </w:r>
    </w:p>
    <w:p w14:paraId="7F888754" w14:textId="77777777" w:rsidR="00CF4C82" w:rsidRPr="00CF4C82" w:rsidRDefault="00CF4C82" w:rsidP="00CF4C8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b/>
          <w:bCs/>
          <w:sz w:val="24"/>
          <w:szCs w:val="24"/>
          <w:lang w:eastAsia="tr-TR"/>
        </w:rPr>
        <w:t>Single individuals</w:t>
      </w:r>
      <w:r w:rsidRPr="00CF4C82">
        <w:rPr>
          <w:rFonts w:ascii="Times New Roman" w:eastAsia="Times New Roman" w:hAnsi="Times New Roman" w:cs="Times New Roman"/>
          <w:sz w:val="24"/>
          <w:szCs w:val="24"/>
          <w:lang w:eastAsia="tr-TR"/>
        </w:rPr>
        <w:t xml:space="preserve"> exhibited more burnout symptoms compared to married individuals.</w:t>
      </w:r>
    </w:p>
    <w:p w14:paraId="33BCAD1C" w14:textId="77777777" w:rsidR="00CF4C82" w:rsidRPr="00CF4C82" w:rsidRDefault="00CF4C82" w:rsidP="00CF4C8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 xml:space="preserve">Dentists working in </w:t>
      </w:r>
      <w:r w:rsidRPr="00CF4C82">
        <w:rPr>
          <w:rFonts w:ascii="Times New Roman" w:eastAsia="Times New Roman" w:hAnsi="Times New Roman" w:cs="Times New Roman"/>
          <w:b/>
          <w:bCs/>
          <w:sz w:val="24"/>
          <w:szCs w:val="24"/>
          <w:lang w:eastAsia="tr-TR"/>
        </w:rPr>
        <w:t>State Hospitals/ADSM</w:t>
      </w:r>
      <w:r w:rsidRPr="00CF4C82">
        <w:rPr>
          <w:rFonts w:ascii="Times New Roman" w:eastAsia="Times New Roman" w:hAnsi="Times New Roman" w:cs="Times New Roman"/>
          <w:sz w:val="24"/>
          <w:szCs w:val="24"/>
          <w:lang w:eastAsia="tr-TR"/>
        </w:rPr>
        <w:t xml:space="preserve"> had higher levels of Personal Accomplishment.</w:t>
      </w:r>
    </w:p>
    <w:p w14:paraId="6849CDEE" w14:textId="77777777" w:rsidR="00CF4C82" w:rsidRPr="00CF4C82" w:rsidRDefault="00CF4C82" w:rsidP="00CF4C8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 xml:space="preserve">Dentists in the </w:t>
      </w:r>
      <w:r w:rsidRPr="00CF4C82">
        <w:rPr>
          <w:rFonts w:ascii="Times New Roman" w:eastAsia="Times New Roman" w:hAnsi="Times New Roman" w:cs="Times New Roman"/>
          <w:b/>
          <w:bCs/>
          <w:sz w:val="24"/>
          <w:szCs w:val="24"/>
          <w:lang w:eastAsia="tr-TR"/>
        </w:rPr>
        <w:t>private sector</w:t>
      </w:r>
      <w:r w:rsidRPr="00CF4C82">
        <w:rPr>
          <w:rFonts w:ascii="Times New Roman" w:eastAsia="Times New Roman" w:hAnsi="Times New Roman" w:cs="Times New Roman"/>
          <w:sz w:val="24"/>
          <w:szCs w:val="24"/>
          <w:lang w:eastAsia="tr-TR"/>
        </w:rPr>
        <w:t xml:space="preserve"> experienced higher levels of Emotional Exhaustion and Depersonalization.</w:t>
      </w:r>
    </w:p>
    <w:p w14:paraId="726E1D97" w14:textId="77777777" w:rsidR="00CF4C82" w:rsidRPr="00CF4C82" w:rsidRDefault="00CF4C82" w:rsidP="00CF4C8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b/>
          <w:bCs/>
          <w:sz w:val="24"/>
          <w:szCs w:val="24"/>
          <w:lang w:eastAsia="tr-TR"/>
        </w:rPr>
        <w:t>General dentists</w:t>
      </w:r>
      <w:r w:rsidRPr="00CF4C82">
        <w:rPr>
          <w:rFonts w:ascii="Times New Roman" w:eastAsia="Times New Roman" w:hAnsi="Times New Roman" w:cs="Times New Roman"/>
          <w:sz w:val="24"/>
          <w:szCs w:val="24"/>
          <w:lang w:eastAsia="tr-TR"/>
        </w:rPr>
        <w:t xml:space="preserve"> experienced more burnout compared to specialists.</w:t>
      </w:r>
    </w:p>
    <w:p w14:paraId="61E88D72" w14:textId="11AC4890" w:rsidR="00166E57" w:rsidRDefault="00CF4C82" w:rsidP="00166E57">
      <w:pPr>
        <w:spacing w:before="100" w:beforeAutospacing="1" w:after="100" w:afterAutospacing="1" w:line="240" w:lineRule="auto"/>
        <w:rPr>
          <w:rFonts w:ascii="Times New Roman" w:eastAsia="Times New Roman" w:hAnsi="Times New Roman" w:cs="Times New Roman"/>
          <w:b/>
          <w:bCs/>
          <w:sz w:val="24"/>
          <w:szCs w:val="24"/>
          <w:lang w:eastAsia="tr-TR"/>
        </w:rPr>
      </w:pPr>
      <w:r w:rsidRPr="00CF4C82">
        <w:rPr>
          <w:rFonts w:ascii="Times New Roman" w:eastAsia="Times New Roman" w:hAnsi="Times New Roman" w:cs="Times New Roman"/>
          <w:sz w:val="24"/>
          <w:szCs w:val="24"/>
          <w:lang w:eastAsia="tr-TR"/>
        </w:rPr>
        <w:t xml:space="preserve">These findings reveal the necessity of improving working environments, increasing psychosocial support mechanisms, and providing professional development opportunities to mitigate occupational burnout among dentists. Furthermore, it should be recognized that burnout is not merely an individual problem but a </w:t>
      </w:r>
      <w:r w:rsidRPr="00CF4C82">
        <w:rPr>
          <w:rFonts w:ascii="Times New Roman" w:eastAsia="Times New Roman" w:hAnsi="Times New Roman" w:cs="Times New Roman"/>
          <w:b/>
          <w:bCs/>
          <w:sz w:val="24"/>
          <w:szCs w:val="24"/>
          <w:lang w:eastAsia="tr-TR"/>
        </w:rPr>
        <w:t>multidimensional issue linked to systemic and organizational structures.</w:t>
      </w:r>
    </w:p>
    <w:p w14:paraId="51B17BC5" w14:textId="1C19C52F" w:rsidR="00166E57" w:rsidRDefault="00166E57" w:rsidP="00166E57">
      <w:pPr>
        <w:pStyle w:val="Heading2"/>
      </w:pPr>
      <w:commentRangeStart w:id="5"/>
      <w:r>
        <w:t>REFERENCES</w:t>
      </w:r>
      <w:commentRangeEnd w:id="5"/>
      <w:r w:rsidR="00117C0C">
        <w:rPr>
          <w:rStyle w:val="CommentReference"/>
          <w:rFonts w:asciiTheme="minorHAnsi" w:eastAsiaTheme="minorHAnsi" w:hAnsiTheme="minorHAnsi" w:cstheme="minorBidi"/>
          <w:b w:val="0"/>
          <w:bCs w:val="0"/>
          <w:lang w:eastAsia="en-US"/>
        </w:rPr>
        <w:commentReference w:id="5"/>
      </w:r>
      <w:r>
        <w:t xml:space="preserve"> </w:t>
      </w:r>
    </w:p>
    <w:p w14:paraId="3478C0D1" w14:textId="77777777" w:rsidR="00166E57" w:rsidRDefault="00166E57" w:rsidP="00166E57">
      <w:pPr>
        <w:pStyle w:val="NormalWeb"/>
        <w:numPr>
          <w:ilvl w:val="0"/>
          <w:numId w:val="12"/>
        </w:numPr>
      </w:pPr>
      <w:r>
        <w:t>Freudenberger HJ. Staff burn‐out. J Soc Issues. 1974;30(1):159-65.</w:t>
      </w:r>
    </w:p>
    <w:p w14:paraId="1789E360" w14:textId="77777777" w:rsidR="00166E57" w:rsidRDefault="00166E57" w:rsidP="00166E57">
      <w:pPr>
        <w:pStyle w:val="NormalWeb"/>
        <w:numPr>
          <w:ilvl w:val="0"/>
          <w:numId w:val="12"/>
        </w:numPr>
      </w:pPr>
      <w:r>
        <w:t>Maslach C, Jackson SE. The measurement of experienced burnout. J Organ Behav. 1981;2(2):99-113.</w:t>
      </w:r>
    </w:p>
    <w:p w14:paraId="1FE49E5D" w14:textId="77777777" w:rsidR="00166E57" w:rsidRDefault="00166E57" w:rsidP="00166E57">
      <w:pPr>
        <w:pStyle w:val="NormalWeb"/>
        <w:numPr>
          <w:ilvl w:val="0"/>
          <w:numId w:val="12"/>
        </w:numPr>
      </w:pPr>
      <w:r>
        <w:t>Maslach C, Jackson SE, Leiter MP. Maslach Burnout Inventory: Third edition. In: Zalaquett CP, Wood RJ, editors. Evaluating stress: A book of resources. Scarecrow Education; 1997. p. 191–218.</w:t>
      </w:r>
    </w:p>
    <w:p w14:paraId="209C0A03" w14:textId="77777777" w:rsidR="00166E57" w:rsidRDefault="00166E57" w:rsidP="00166E57">
      <w:pPr>
        <w:pStyle w:val="NormalWeb"/>
        <w:numPr>
          <w:ilvl w:val="0"/>
          <w:numId w:val="12"/>
        </w:numPr>
      </w:pPr>
      <w:r>
        <w:t>Maslach C, Jackson SE, Leiter MP. Maslach Burnout Inventory Manual. Palo Alto: Consulting Psychologists Press; 1996.</w:t>
      </w:r>
    </w:p>
    <w:p w14:paraId="1D38DFB9" w14:textId="77777777" w:rsidR="00166E57" w:rsidRDefault="00166E57" w:rsidP="00166E57">
      <w:pPr>
        <w:pStyle w:val="NormalWeb"/>
        <w:numPr>
          <w:ilvl w:val="0"/>
          <w:numId w:val="12"/>
        </w:numPr>
      </w:pPr>
      <w:r>
        <w:t>Gürses G, Koyuncu Ş, Aktı A, Kalaycı A, Durmuş E. Burnout Syndrome Among Dentists in Turkey. Selcuk Dent J. 2023;10(3):522-5.</w:t>
      </w:r>
    </w:p>
    <w:p w14:paraId="29EB6C63" w14:textId="77777777" w:rsidR="00166E57" w:rsidRDefault="00166E57" w:rsidP="00166E57">
      <w:pPr>
        <w:pStyle w:val="NormalWeb"/>
        <w:numPr>
          <w:ilvl w:val="0"/>
          <w:numId w:val="12"/>
        </w:numPr>
      </w:pPr>
      <w:r>
        <w:lastRenderedPageBreak/>
        <w:t>Huri M, Bağiş N, Eren H, Başibüyük O, Şahin S, Umaroğlu M, et al. Burnout and occupational participation among dentists with teaching responsibilities in universities. Psychol Health Med. 2017 Jul;22(6):693–700.</w:t>
      </w:r>
    </w:p>
    <w:p w14:paraId="47A9E3F0" w14:textId="77777777" w:rsidR="00166E57" w:rsidRDefault="00166E57" w:rsidP="00166E57">
      <w:pPr>
        <w:pStyle w:val="NormalWeb"/>
        <w:numPr>
          <w:ilvl w:val="0"/>
          <w:numId w:val="12"/>
        </w:numPr>
      </w:pPr>
      <w:r>
        <w:t>Yıldırım MH, İçerli L. Tükenmişlik Sendromu: Maslach ve Kopenhag Tükenmişlik Ölçeklerinin Karşılaştırmalı Analizi. Organizasyon Ve Yönetim Bilimleri Dergisi. 2010;2(1):123-31.</w:t>
      </w:r>
    </w:p>
    <w:p w14:paraId="5B9A3D16" w14:textId="77777777" w:rsidR="00166E57" w:rsidRDefault="00166E57" w:rsidP="00166E57">
      <w:pPr>
        <w:pStyle w:val="NormalWeb"/>
        <w:numPr>
          <w:ilvl w:val="0"/>
          <w:numId w:val="12"/>
        </w:numPr>
      </w:pPr>
      <w:r>
        <w:t>Te Brake JH, Bouman AM, Gorter RC, Hoogstraten J, Eijkman MA. Using the Maslach Burnout Inventory among dentists: Burnout measurement and trends. Community Dent Oral Epidemiol. 2008;36(1):69-75.</w:t>
      </w:r>
    </w:p>
    <w:p w14:paraId="47265919" w14:textId="77777777" w:rsidR="00166E57" w:rsidRDefault="00166E57" w:rsidP="00166E57">
      <w:pPr>
        <w:pStyle w:val="NormalWeb"/>
        <w:numPr>
          <w:ilvl w:val="0"/>
          <w:numId w:val="12"/>
        </w:numPr>
      </w:pPr>
      <w:r>
        <w:rPr>
          <w:b/>
          <w:bCs/>
        </w:rPr>
        <w:t>Calvo JM, Kwatra J, Yansane A, Tokede O, Gorter RC, Kalenderian E. Burnout and work engagement among US dentists. J Patient Saf. 2021;17(5):398-404.</w:t>
      </w:r>
      <w:r>
        <w:t xml:space="preserve"> </w:t>
      </w:r>
      <w:r>
        <w:rPr>
          <w:i/>
          <w:iCs/>
        </w:rPr>
        <w:t>(ABD'deki diş hekimleri üzerine güncel çalışma, Tartışma bölümünü güçlendirir.)</w:t>
      </w:r>
    </w:p>
    <w:p w14:paraId="2534E156" w14:textId="77777777" w:rsidR="00166E57" w:rsidRDefault="00166E57" w:rsidP="00166E57">
      <w:pPr>
        <w:pStyle w:val="NormalWeb"/>
        <w:numPr>
          <w:ilvl w:val="0"/>
          <w:numId w:val="12"/>
        </w:numPr>
      </w:pPr>
      <w:r>
        <w:rPr>
          <w:b/>
          <w:bCs/>
        </w:rPr>
        <w:t>Amoafo G, Hanif M, Eajazi A, Pawa R. Systematic review: factors contributing to burnout in dentistry. Occup Med (Lond). 2016;66(1):27-31.</w:t>
      </w:r>
      <w:r>
        <w:t xml:space="preserve"> </w:t>
      </w:r>
      <w:r>
        <w:rPr>
          <w:i/>
          <w:iCs/>
        </w:rPr>
        <w:t>(Diş hekimliğinde tükenmişliğe katkıda bulunan faktörleri özetleyen sistematik inceleme.)</w:t>
      </w:r>
    </w:p>
    <w:p w14:paraId="78B55E21" w14:textId="77777777" w:rsidR="00166E57" w:rsidRDefault="00166E57" w:rsidP="00166E57">
      <w:pPr>
        <w:pStyle w:val="NormalWeb"/>
        <w:numPr>
          <w:ilvl w:val="0"/>
          <w:numId w:val="12"/>
        </w:numPr>
      </w:pPr>
      <w:r>
        <w:rPr>
          <w:b/>
          <w:bCs/>
        </w:rPr>
        <w:t>Rêgo F, Lira S, Santos S, Matos A, Albuquerque L, Rêgo R. Burnout syndrome among dentists: a systematic review and meta-analysis. Cad Saude Publica. 2021;37(8):e00266020.</w:t>
      </w:r>
      <w:r>
        <w:t xml:space="preserve"> </w:t>
      </w:r>
      <w:r>
        <w:rPr>
          <w:i/>
          <w:iCs/>
        </w:rPr>
        <w:t>(Tükenmişlik yaygınlığına dair meta-analiz, Bulgular ve Tartışma bölümlerine ek veri sağlar.)</w:t>
      </w:r>
    </w:p>
    <w:p w14:paraId="60E9198A" w14:textId="77777777" w:rsidR="00166E57" w:rsidRDefault="00166E57" w:rsidP="00166E57">
      <w:pPr>
        <w:pStyle w:val="NormalWeb"/>
        <w:numPr>
          <w:ilvl w:val="0"/>
          <w:numId w:val="12"/>
        </w:numPr>
      </w:pPr>
      <w:r>
        <w:t>Kristensen TS, Borritz M, Villadsen E, Christensen KB. The Copenhagen Burnout Inventory: A new tool for the assessment of burnout. Work &amp; Stress. 2005;19(3):192–207.</w:t>
      </w:r>
    </w:p>
    <w:p w14:paraId="69859F38" w14:textId="77777777" w:rsidR="00166E57" w:rsidRDefault="00166E57" w:rsidP="00166E57">
      <w:pPr>
        <w:pStyle w:val="NormalWeb"/>
        <w:numPr>
          <w:ilvl w:val="0"/>
          <w:numId w:val="12"/>
        </w:numPr>
      </w:pPr>
      <w:r>
        <w:t>Porto GG, Kliemann C, Fregapani L. Burnout syndrome in oral and maxillofacial surgeons: a critical analysis. Int J Oral Maxillofac Surg. 2014;43(5):543-548.</w:t>
      </w:r>
    </w:p>
    <w:p w14:paraId="463A0A40" w14:textId="77777777" w:rsidR="00166E57" w:rsidRDefault="00166E57" w:rsidP="00166E57">
      <w:pPr>
        <w:pStyle w:val="NormalWeb"/>
        <w:numPr>
          <w:ilvl w:val="0"/>
          <w:numId w:val="12"/>
        </w:numPr>
      </w:pPr>
      <w:r>
        <w:t>Pirillo F, Sfondrini MF. The orthodontist burnout. Prog Orthod. 2011;12(1):14-19.</w:t>
      </w:r>
    </w:p>
    <w:p w14:paraId="1968854C" w14:textId="77777777" w:rsidR="00166E57" w:rsidRPr="00166E57" w:rsidRDefault="00166E57" w:rsidP="00166E57">
      <w:pPr>
        <w:spacing w:before="100" w:beforeAutospacing="1" w:after="100" w:afterAutospacing="1" w:line="240" w:lineRule="auto"/>
        <w:rPr>
          <w:rFonts w:ascii="Times New Roman" w:eastAsia="Times New Roman" w:hAnsi="Times New Roman" w:cs="Times New Roman"/>
          <w:b/>
          <w:bCs/>
          <w:sz w:val="24"/>
          <w:szCs w:val="24"/>
          <w:lang w:eastAsia="tr-TR"/>
        </w:rPr>
      </w:pPr>
    </w:p>
    <w:p w14:paraId="02FC21EB" w14:textId="77777777" w:rsidR="00166E57" w:rsidRPr="00CF4C82" w:rsidRDefault="00166E57" w:rsidP="00CF4C82">
      <w:pPr>
        <w:spacing w:before="100" w:beforeAutospacing="1" w:after="100" w:afterAutospacing="1" w:line="240" w:lineRule="auto"/>
        <w:rPr>
          <w:rFonts w:ascii="Times New Roman" w:eastAsia="Times New Roman" w:hAnsi="Times New Roman" w:cs="Times New Roman"/>
          <w:sz w:val="24"/>
          <w:szCs w:val="24"/>
          <w:lang w:eastAsia="tr-TR"/>
        </w:rPr>
      </w:pPr>
    </w:p>
    <w:p w14:paraId="08318E49" w14:textId="2073F3C0" w:rsidR="00CF4C82" w:rsidRPr="00CF4C82" w:rsidRDefault="00CF4C82" w:rsidP="00CF4C82">
      <w:pPr>
        <w:spacing w:after="0" w:line="240" w:lineRule="auto"/>
        <w:rPr>
          <w:rFonts w:ascii="Times New Roman" w:eastAsia="Times New Roman" w:hAnsi="Times New Roman" w:cs="Times New Roman"/>
          <w:sz w:val="24"/>
          <w:szCs w:val="24"/>
          <w:lang w:eastAsia="tr-TR"/>
        </w:rPr>
      </w:pPr>
    </w:p>
    <w:p w14:paraId="4326D9B7" w14:textId="77777777" w:rsidR="00CF4C82" w:rsidRPr="003424B8" w:rsidRDefault="00CF4C82" w:rsidP="00CF4C82">
      <w:pPr>
        <w:pStyle w:val="ListParagraph"/>
        <w:rPr>
          <w:color w:val="1F1F1F"/>
          <w:kern w:val="0"/>
          <w:sz w:val="24"/>
          <w14:ligatures w14:val="none"/>
        </w:rPr>
      </w:pPr>
    </w:p>
    <w:p w14:paraId="37E5D7E0" w14:textId="54DF850C" w:rsidR="007B741A" w:rsidRDefault="007B741A" w:rsidP="007B741A"/>
    <w:sectPr w:rsidR="007B741A" w:rsidSect="000A67BA">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34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mi" w:date="2025-10-17T23:30:00Z" w:initials="k">
    <w:p w14:paraId="7DF92F96" w14:textId="77777777" w:rsidR="00117C0C" w:rsidRDefault="00117C0C">
      <w:pPr>
        <w:pStyle w:val="CommentText"/>
      </w:pPr>
      <w:r>
        <w:rPr>
          <w:rStyle w:val="CommentReference"/>
        </w:rPr>
        <w:annotationRef/>
      </w:r>
      <w:r w:rsidRPr="00117C0C">
        <w:t>Clear explanation of burnout dimensions and relevance to dentistry</w:t>
      </w:r>
    </w:p>
    <w:p w14:paraId="3C8B5743" w14:textId="267AB5AB" w:rsidR="00117C0C" w:rsidRPr="00117C0C" w:rsidRDefault="00117C0C">
      <w:pPr>
        <w:pStyle w:val="CommentText"/>
        <w:rPr>
          <w:lang w:val="en-US" w:bidi="fa-IR"/>
        </w:rPr>
      </w:pPr>
      <w:r w:rsidRPr="00117C0C">
        <w:rPr>
          <w:lang w:val="en-US" w:bidi="fa-IR"/>
        </w:rPr>
        <w:t>The research gap could be highlighted more clearly and concisely to emphasize the need for this study</w:t>
      </w:r>
    </w:p>
  </w:comment>
  <w:comment w:id="1" w:author="kami" w:date="2025-10-17T23:23:00Z" w:initials="k">
    <w:p w14:paraId="357D7E00" w14:textId="77777777" w:rsidR="00117C0C" w:rsidRDefault="00117C0C" w:rsidP="00117C0C">
      <w:pPr>
        <w:pStyle w:val="NormalWeb"/>
        <w:numPr>
          <w:ilvl w:val="0"/>
          <w:numId w:val="13"/>
        </w:numPr>
      </w:pPr>
      <w:r>
        <w:rPr>
          <w:rStyle w:val="CommentReference"/>
        </w:rPr>
        <w:annotationRef/>
      </w:r>
      <w:r>
        <w:t>The study uses a convenience sample of 106 dentists. While the sample provides initial insights, the small sample size and non-random sampling limit the generalizability of the findings. This should be explicitly acknowledged in the limitations section.</w:t>
      </w:r>
    </w:p>
    <w:p w14:paraId="2A579ABF" w14:textId="77777777" w:rsidR="00117C0C" w:rsidRDefault="00117C0C" w:rsidP="00117C0C">
      <w:pPr>
        <w:pStyle w:val="NormalWeb"/>
        <w:numPr>
          <w:ilvl w:val="0"/>
          <w:numId w:val="13"/>
        </w:numPr>
      </w:pPr>
      <w:r>
        <w:t>While descriptive statistics and t-tests/ANOVA are presented, no effect sizes or confidence intervals are reported. Including these would strengthen the statistical interpretation.</w:t>
      </w:r>
    </w:p>
    <w:p w14:paraId="7DD85591" w14:textId="77777777" w:rsidR="00117C0C" w:rsidRDefault="00117C0C" w:rsidP="00117C0C">
      <w:pPr>
        <w:pStyle w:val="NormalWeb"/>
        <w:numPr>
          <w:ilvl w:val="0"/>
          <w:numId w:val="13"/>
        </w:numPr>
      </w:pPr>
      <w:r>
        <w:t>The study’s design does not allow for causal inferences. This limitation should be emphasized, especially when discussing predictors of burnout.</w:t>
      </w:r>
    </w:p>
    <w:p w14:paraId="444FCCBB" w14:textId="7DA27A95" w:rsidR="00117C0C" w:rsidRDefault="00117C0C" w:rsidP="005506D6">
      <w:pPr>
        <w:pStyle w:val="NormalWeb"/>
        <w:numPr>
          <w:ilvl w:val="0"/>
          <w:numId w:val="13"/>
        </w:numPr>
      </w:pPr>
      <w:r>
        <w:t xml:space="preserve">Some factors that may influence burnout (e.g., personality traits, coping strategies, organizational support) are not controlled for, potentially </w:t>
      </w:r>
      <w:r>
        <w:t>confounding the observed associations.</w:t>
      </w:r>
      <w:bookmarkStart w:id="2" w:name="_GoBack"/>
      <w:bookmarkEnd w:id="2"/>
    </w:p>
  </w:comment>
  <w:comment w:id="3" w:author="kami" w:date="2025-10-17T23:26:00Z" w:initials="k">
    <w:p w14:paraId="4D55342A" w14:textId="77777777" w:rsidR="00117C0C" w:rsidRDefault="00117C0C" w:rsidP="00117C0C">
      <w:pPr>
        <w:pStyle w:val="CommentText"/>
        <w:numPr>
          <w:ilvl w:val="0"/>
          <w:numId w:val="15"/>
        </w:numPr>
      </w:pPr>
      <w:r>
        <w:rPr>
          <w:rStyle w:val="CommentReference"/>
        </w:rPr>
        <w:annotationRef/>
      </w:r>
      <w:r>
        <w:t xml:space="preserve"> </w:t>
      </w:r>
      <w:r w:rsidRPr="00117C0C">
        <w:t>The manuscript mentions a 1–3 scale for MBI scores, while standard MBI-HSS scoring uses a 0–6 scale. This discrepancy should be clarified, as it may affect interpretation and comparability.</w:t>
      </w:r>
    </w:p>
    <w:p w14:paraId="78EC08D9" w14:textId="2BFA3B5F" w:rsidR="00117C0C" w:rsidRDefault="00117C0C" w:rsidP="00117C0C">
      <w:pPr>
        <w:pStyle w:val="CommentText"/>
        <w:numPr>
          <w:ilvl w:val="0"/>
          <w:numId w:val="15"/>
        </w:numPr>
      </w:pPr>
      <w:r w:rsidRPr="00117C0C">
        <w:t>Some conclusions, such as younger dentists showing higher Personal Accomplishment, are not clearly explained in relation to burnout theory. The discussion could better integrate theoretical reasoning behind unexpected findings</w:t>
      </w:r>
    </w:p>
  </w:comment>
  <w:comment w:id="4" w:author="kami" w:date="2025-10-17T23:32:00Z" w:initials="k">
    <w:p w14:paraId="12CB40DE" w14:textId="413A6445" w:rsidR="00117C0C" w:rsidRDefault="00117C0C">
      <w:pPr>
        <w:pStyle w:val="CommentText"/>
      </w:pPr>
      <w:r>
        <w:rPr>
          <w:rStyle w:val="CommentReference"/>
        </w:rPr>
        <w:annotationRef/>
      </w:r>
      <w:r>
        <w:t>The discussion clearly interprets findings, but could better link results to existing literature and practical implications</w:t>
      </w:r>
    </w:p>
  </w:comment>
  <w:comment w:id="5" w:author="kami" w:date="2025-10-17T23:28:00Z" w:initials="k">
    <w:p w14:paraId="3CD98E04" w14:textId="77777777" w:rsidR="00117C0C" w:rsidRDefault="00117C0C" w:rsidP="00117C0C">
      <w:pPr>
        <w:pStyle w:val="NormalWeb"/>
      </w:pPr>
      <w:r>
        <w:rPr>
          <w:rStyle w:val="CommentReference"/>
        </w:rPr>
        <w:annotationRef/>
      </w:r>
      <w:r>
        <w:t>Some references are outdated. Including more recent studies, particularly from 2020–2025, would enhance the discussion and demonstrate awareness of the current literature.</w:t>
      </w:r>
    </w:p>
    <w:p w14:paraId="5E201BB8" w14:textId="012A12E3" w:rsidR="00117C0C" w:rsidRDefault="00117C0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8B5743" w15:done="0"/>
  <w15:commentEx w15:paraId="444FCCBB" w15:done="0"/>
  <w15:commentEx w15:paraId="78EC08D9" w15:done="0"/>
  <w15:commentEx w15:paraId="12CB40DE" w15:done="0"/>
  <w15:commentEx w15:paraId="5E201B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9D5007" w16cex:dateUtc="2025-10-17T20:00:00Z"/>
  <w16cex:commentExtensible w16cex:durableId="2C9D4E74" w16cex:dateUtc="2025-10-17T19:53:00Z"/>
  <w16cex:commentExtensible w16cex:durableId="2C9D4F41" w16cex:dateUtc="2025-10-17T19:56:00Z"/>
  <w16cex:commentExtensible w16cex:durableId="2C9D5097" w16cex:dateUtc="2025-10-17T20:02:00Z"/>
  <w16cex:commentExtensible w16cex:durableId="2C9D4F84" w16cex:dateUtc="2025-10-1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8B5743" w16cid:durableId="2C9D5007"/>
  <w16cid:commentId w16cid:paraId="444FCCBB" w16cid:durableId="2C9D4E74"/>
  <w16cid:commentId w16cid:paraId="78EC08D9" w16cid:durableId="2C9D4F41"/>
  <w16cid:commentId w16cid:paraId="12CB40DE" w16cid:durableId="2C9D5097"/>
  <w16cid:commentId w16cid:paraId="5E201BB8" w16cid:durableId="2C9D4F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2ADFA" w14:textId="77777777" w:rsidR="00D9334D" w:rsidRDefault="00D9334D" w:rsidP="00FF2AC6">
      <w:pPr>
        <w:spacing w:after="0" w:line="240" w:lineRule="auto"/>
      </w:pPr>
      <w:r>
        <w:separator/>
      </w:r>
    </w:p>
  </w:endnote>
  <w:endnote w:type="continuationSeparator" w:id="0">
    <w:p w14:paraId="5198EBE4" w14:textId="77777777" w:rsidR="00D9334D" w:rsidRDefault="00D9334D" w:rsidP="00FF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63C5" w14:textId="77777777" w:rsidR="00FF2AC6" w:rsidRDefault="00FF2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E40DF" w14:textId="77777777" w:rsidR="00FF2AC6" w:rsidRDefault="00FF2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EB1F" w14:textId="77777777" w:rsidR="00FF2AC6" w:rsidRDefault="00FF2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87953" w14:textId="77777777" w:rsidR="00D9334D" w:rsidRDefault="00D9334D" w:rsidP="00FF2AC6">
      <w:pPr>
        <w:spacing w:after="0" w:line="240" w:lineRule="auto"/>
      </w:pPr>
      <w:r>
        <w:separator/>
      </w:r>
    </w:p>
  </w:footnote>
  <w:footnote w:type="continuationSeparator" w:id="0">
    <w:p w14:paraId="79520EDA" w14:textId="77777777" w:rsidR="00D9334D" w:rsidRDefault="00D9334D" w:rsidP="00FF2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30DAA" w14:textId="3F158991" w:rsidR="00FF2AC6" w:rsidRDefault="00D9334D">
    <w:pPr>
      <w:pStyle w:val="Header"/>
    </w:pPr>
    <w:r>
      <w:rPr>
        <w:noProof/>
      </w:rPr>
      <w:pict w14:anchorId="41D26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50844"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B2EEA" w14:textId="2821E4EF" w:rsidR="00FF2AC6" w:rsidRDefault="00D9334D">
    <w:pPr>
      <w:pStyle w:val="Header"/>
    </w:pPr>
    <w:r>
      <w:rPr>
        <w:noProof/>
      </w:rPr>
      <w:pict w14:anchorId="0291A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50845"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C0A6" w14:textId="3C605427" w:rsidR="00FF2AC6" w:rsidRDefault="00D9334D">
    <w:pPr>
      <w:pStyle w:val="Header"/>
    </w:pPr>
    <w:r>
      <w:rPr>
        <w:noProof/>
      </w:rPr>
      <w:pict w14:anchorId="27DF4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50843"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5C95"/>
    <w:multiLevelType w:val="hybridMultilevel"/>
    <w:tmpl w:val="197AC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320DE"/>
    <w:multiLevelType w:val="multilevel"/>
    <w:tmpl w:val="3DFE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0453D"/>
    <w:multiLevelType w:val="multilevel"/>
    <w:tmpl w:val="F1D4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944D7"/>
    <w:multiLevelType w:val="hybridMultilevel"/>
    <w:tmpl w:val="31C83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86848"/>
    <w:multiLevelType w:val="multilevel"/>
    <w:tmpl w:val="A1CC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830B8"/>
    <w:multiLevelType w:val="multilevel"/>
    <w:tmpl w:val="714C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82023"/>
    <w:multiLevelType w:val="multilevel"/>
    <w:tmpl w:val="0A28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4B646A"/>
    <w:multiLevelType w:val="hybridMultilevel"/>
    <w:tmpl w:val="B14AD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A39CE"/>
    <w:multiLevelType w:val="multilevel"/>
    <w:tmpl w:val="8C1C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65C8F"/>
    <w:multiLevelType w:val="multilevel"/>
    <w:tmpl w:val="5550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F40753"/>
    <w:multiLevelType w:val="multilevel"/>
    <w:tmpl w:val="63D8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177A2"/>
    <w:multiLevelType w:val="multilevel"/>
    <w:tmpl w:val="9F88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701B2"/>
    <w:multiLevelType w:val="hybridMultilevel"/>
    <w:tmpl w:val="148ED17E"/>
    <w:lvl w:ilvl="0" w:tplc="DEFA9E64">
      <w:start w:val="1"/>
      <w:numFmt w:val="decimal"/>
      <w:lvlText w:val="%1."/>
      <w:lvlJc w:val="left"/>
      <w:pPr>
        <w:ind w:left="501" w:hanging="360"/>
      </w:pPr>
      <w:rPr>
        <w:rFonts w:hint="default"/>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3" w15:restartNumberingAfterBreak="0">
    <w:nsid w:val="64BA015B"/>
    <w:multiLevelType w:val="multilevel"/>
    <w:tmpl w:val="44BA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A0336"/>
    <w:multiLevelType w:val="multilevel"/>
    <w:tmpl w:val="D598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2"/>
  </w:num>
  <w:num w:numId="4">
    <w:abstractNumId w:val="10"/>
  </w:num>
  <w:num w:numId="5">
    <w:abstractNumId w:val="14"/>
  </w:num>
  <w:num w:numId="6">
    <w:abstractNumId w:val="5"/>
  </w:num>
  <w:num w:numId="7">
    <w:abstractNumId w:val="9"/>
  </w:num>
  <w:num w:numId="8">
    <w:abstractNumId w:val="1"/>
  </w:num>
  <w:num w:numId="9">
    <w:abstractNumId w:val="8"/>
  </w:num>
  <w:num w:numId="10">
    <w:abstractNumId w:val="11"/>
  </w:num>
  <w:num w:numId="11">
    <w:abstractNumId w:val="12"/>
  </w:num>
  <w:num w:numId="12">
    <w:abstractNumId w:val="6"/>
  </w:num>
  <w:num w:numId="13">
    <w:abstractNumId w:val="0"/>
  </w:num>
  <w:num w:numId="14">
    <w:abstractNumId w:val="3"/>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mi">
    <w15:presenceInfo w15:providerId="None" w15:userId="k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32"/>
    <w:rsid w:val="0002252E"/>
    <w:rsid w:val="000A67BA"/>
    <w:rsid w:val="000E0E17"/>
    <w:rsid w:val="00103B22"/>
    <w:rsid w:val="00117C0C"/>
    <w:rsid w:val="00166E57"/>
    <w:rsid w:val="0020248D"/>
    <w:rsid w:val="005506D6"/>
    <w:rsid w:val="006967F0"/>
    <w:rsid w:val="007B741A"/>
    <w:rsid w:val="008359B5"/>
    <w:rsid w:val="00891622"/>
    <w:rsid w:val="00A1600E"/>
    <w:rsid w:val="00B508FB"/>
    <w:rsid w:val="00BE2810"/>
    <w:rsid w:val="00C0236F"/>
    <w:rsid w:val="00C14232"/>
    <w:rsid w:val="00CC7B85"/>
    <w:rsid w:val="00CF4C82"/>
    <w:rsid w:val="00D521FE"/>
    <w:rsid w:val="00D9334D"/>
    <w:rsid w:val="00E022DC"/>
    <w:rsid w:val="00E1428F"/>
    <w:rsid w:val="00ED4BE2"/>
    <w:rsid w:val="00FF08D7"/>
    <w:rsid w:val="00FF2AC6"/>
  </w:rsids>
  <m:mathPr>
    <m:mathFont m:val="Cambria Math"/>
    <m:brkBin m:val="before"/>
    <m:brkBinSub m:val="--"/>
    <m:smallFrac m:val="0"/>
    <m:dispDef/>
    <m:lMargin m:val="0"/>
    <m:rMargin m:val="0"/>
    <m:defJc m:val="centerGroup"/>
    <m:wrapIndent m:val="1440"/>
    <m:intLim m:val="subSup"/>
    <m:naryLim m:val="undOvr"/>
  </m:mathPr>
  <w:themeFontLang w:val="tr-TR"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F0B25"/>
  <w15:chartTrackingRefBased/>
  <w15:docId w15:val="{6266A161-03E0-4509-A1E4-E9A0A027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D4BE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3">
    <w:name w:val="heading 3"/>
    <w:basedOn w:val="Normal"/>
    <w:link w:val="Heading3Char"/>
    <w:uiPriority w:val="9"/>
    <w:qFormat/>
    <w:rsid w:val="00ED4BE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Heading4">
    <w:name w:val="heading 4"/>
    <w:basedOn w:val="Normal"/>
    <w:next w:val="Normal"/>
    <w:link w:val="Heading4Char"/>
    <w:uiPriority w:val="9"/>
    <w:semiHidden/>
    <w:unhideWhenUsed/>
    <w:qFormat/>
    <w:rsid w:val="007B74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4BE2"/>
    <w:rPr>
      <w:rFonts w:ascii="Times New Roman" w:eastAsia="Times New Roman" w:hAnsi="Times New Roman" w:cs="Times New Roman"/>
      <w:b/>
      <w:bCs/>
      <w:sz w:val="36"/>
      <w:szCs w:val="36"/>
      <w:lang w:eastAsia="tr-TR"/>
    </w:rPr>
  </w:style>
  <w:style w:type="character" w:customStyle="1" w:styleId="Heading3Char">
    <w:name w:val="Heading 3 Char"/>
    <w:basedOn w:val="DefaultParagraphFont"/>
    <w:link w:val="Heading3"/>
    <w:uiPriority w:val="9"/>
    <w:rsid w:val="00ED4BE2"/>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ED4B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xport-sheets-button">
    <w:name w:val="export-sheets-button"/>
    <w:basedOn w:val="DefaultParagraphFont"/>
    <w:rsid w:val="00ED4BE2"/>
  </w:style>
  <w:style w:type="character" w:customStyle="1" w:styleId="Heading4Char">
    <w:name w:val="Heading 4 Char"/>
    <w:basedOn w:val="DefaultParagraphFont"/>
    <w:link w:val="Heading4"/>
    <w:uiPriority w:val="9"/>
    <w:semiHidden/>
    <w:rsid w:val="007B741A"/>
    <w:rPr>
      <w:rFonts w:asciiTheme="majorHAnsi" w:eastAsiaTheme="majorEastAsia" w:hAnsiTheme="majorHAnsi" w:cstheme="majorBidi"/>
      <w:i/>
      <w:iCs/>
      <w:color w:val="2F5496" w:themeColor="accent1" w:themeShade="BF"/>
    </w:rPr>
  </w:style>
  <w:style w:type="character" w:customStyle="1" w:styleId="mord">
    <w:name w:val="mord"/>
    <w:basedOn w:val="DefaultParagraphFont"/>
    <w:rsid w:val="007B741A"/>
  </w:style>
  <w:style w:type="character" w:customStyle="1" w:styleId="mrel">
    <w:name w:val="mrel"/>
    <w:basedOn w:val="DefaultParagraphFont"/>
    <w:rsid w:val="007B741A"/>
  </w:style>
  <w:style w:type="character" w:customStyle="1" w:styleId="mbin">
    <w:name w:val="mbin"/>
    <w:basedOn w:val="DefaultParagraphFont"/>
    <w:rsid w:val="007B741A"/>
  </w:style>
  <w:style w:type="paragraph" w:styleId="ListParagraph">
    <w:name w:val="List Paragraph"/>
    <w:basedOn w:val="Normal"/>
    <w:uiPriority w:val="1"/>
    <w:qFormat/>
    <w:rsid w:val="00CF4C82"/>
    <w:pPr>
      <w:spacing w:after="11" w:line="249" w:lineRule="auto"/>
      <w:ind w:left="720" w:right="268" w:hanging="10"/>
      <w:contextualSpacing/>
    </w:pPr>
    <w:rPr>
      <w:rFonts w:ascii="Times New Roman" w:eastAsia="Times New Roman" w:hAnsi="Times New Roman" w:cs="Times New Roman"/>
      <w:color w:val="000000"/>
      <w:kern w:val="2"/>
      <w:sz w:val="26"/>
      <w:szCs w:val="24"/>
      <w:lang w:eastAsia="tr-TR"/>
      <w14:ligatures w14:val="standardContextual"/>
    </w:rPr>
  </w:style>
  <w:style w:type="character" w:styleId="Hyperlink">
    <w:name w:val="Hyperlink"/>
    <w:basedOn w:val="DefaultParagraphFont"/>
    <w:uiPriority w:val="99"/>
    <w:unhideWhenUsed/>
    <w:rsid w:val="00CF4C82"/>
    <w:rPr>
      <w:color w:val="0000FF"/>
      <w:u w:val="single"/>
    </w:rPr>
  </w:style>
  <w:style w:type="character" w:customStyle="1" w:styleId="author">
    <w:name w:val="author"/>
    <w:basedOn w:val="DefaultParagraphFont"/>
    <w:rsid w:val="00CF4C82"/>
  </w:style>
  <w:style w:type="character" w:styleId="HTMLCode">
    <w:name w:val="HTML Code"/>
    <w:basedOn w:val="DefaultParagraphFont"/>
    <w:uiPriority w:val="99"/>
    <w:semiHidden/>
    <w:unhideWhenUsed/>
    <w:rsid w:val="006967F0"/>
    <w:rPr>
      <w:rFonts w:ascii="Courier New" w:eastAsia="Times New Roman" w:hAnsi="Courier New" w:cs="Courier New"/>
      <w:sz w:val="20"/>
      <w:szCs w:val="20"/>
    </w:rPr>
  </w:style>
  <w:style w:type="character" w:customStyle="1" w:styleId="mpunct">
    <w:name w:val="mpunct"/>
    <w:basedOn w:val="DefaultParagraphFont"/>
    <w:rsid w:val="006967F0"/>
  </w:style>
  <w:style w:type="character" w:customStyle="1" w:styleId="UnresolvedMention">
    <w:name w:val="Unresolved Mention"/>
    <w:basedOn w:val="DefaultParagraphFont"/>
    <w:uiPriority w:val="99"/>
    <w:semiHidden/>
    <w:unhideWhenUsed/>
    <w:rsid w:val="00E022DC"/>
    <w:rPr>
      <w:color w:val="605E5C"/>
      <w:shd w:val="clear" w:color="auto" w:fill="E1DFDD"/>
    </w:rPr>
  </w:style>
  <w:style w:type="paragraph" w:styleId="Header">
    <w:name w:val="header"/>
    <w:basedOn w:val="Normal"/>
    <w:link w:val="HeaderChar"/>
    <w:uiPriority w:val="99"/>
    <w:unhideWhenUsed/>
    <w:rsid w:val="00FF2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AC6"/>
  </w:style>
  <w:style w:type="paragraph" w:styleId="Footer">
    <w:name w:val="footer"/>
    <w:basedOn w:val="Normal"/>
    <w:link w:val="FooterChar"/>
    <w:uiPriority w:val="99"/>
    <w:unhideWhenUsed/>
    <w:rsid w:val="00FF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AC6"/>
  </w:style>
  <w:style w:type="character" w:styleId="CommentReference">
    <w:name w:val="annotation reference"/>
    <w:basedOn w:val="DefaultParagraphFont"/>
    <w:uiPriority w:val="99"/>
    <w:semiHidden/>
    <w:unhideWhenUsed/>
    <w:rsid w:val="00117C0C"/>
    <w:rPr>
      <w:sz w:val="16"/>
      <w:szCs w:val="16"/>
    </w:rPr>
  </w:style>
  <w:style w:type="paragraph" w:styleId="CommentText">
    <w:name w:val="annotation text"/>
    <w:basedOn w:val="Normal"/>
    <w:link w:val="CommentTextChar"/>
    <w:uiPriority w:val="99"/>
    <w:semiHidden/>
    <w:unhideWhenUsed/>
    <w:rsid w:val="00117C0C"/>
    <w:pPr>
      <w:spacing w:line="240" w:lineRule="auto"/>
    </w:pPr>
    <w:rPr>
      <w:sz w:val="20"/>
      <w:szCs w:val="20"/>
    </w:rPr>
  </w:style>
  <w:style w:type="character" w:customStyle="1" w:styleId="CommentTextChar">
    <w:name w:val="Comment Text Char"/>
    <w:basedOn w:val="DefaultParagraphFont"/>
    <w:link w:val="CommentText"/>
    <w:uiPriority w:val="99"/>
    <w:semiHidden/>
    <w:rsid w:val="00117C0C"/>
    <w:rPr>
      <w:sz w:val="20"/>
      <w:szCs w:val="20"/>
    </w:rPr>
  </w:style>
  <w:style w:type="paragraph" w:styleId="CommentSubject">
    <w:name w:val="annotation subject"/>
    <w:basedOn w:val="CommentText"/>
    <w:next w:val="CommentText"/>
    <w:link w:val="CommentSubjectChar"/>
    <w:uiPriority w:val="99"/>
    <w:semiHidden/>
    <w:unhideWhenUsed/>
    <w:rsid w:val="00117C0C"/>
    <w:rPr>
      <w:b/>
      <w:bCs/>
    </w:rPr>
  </w:style>
  <w:style w:type="character" w:customStyle="1" w:styleId="CommentSubjectChar">
    <w:name w:val="Comment Subject Char"/>
    <w:basedOn w:val="CommentTextChar"/>
    <w:link w:val="CommentSubject"/>
    <w:uiPriority w:val="99"/>
    <w:semiHidden/>
    <w:rsid w:val="00117C0C"/>
    <w:rPr>
      <w:b/>
      <w:bCs/>
      <w:sz w:val="20"/>
      <w:szCs w:val="20"/>
    </w:rPr>
  </w:style>
  <w:style w:type="paragraph" w:styleId="BalloonText">
    <w:name w:val="Balloon Text"/>
    <w:basedOn w:val="Normal"/>
    <w:link w:val="BalloonTextChar"/>
    <w:uiPriority w:val="99"/>
    <w:semiHidden/>
    <w:unhideWhenUsed/>
    <w:rsid w:val="00117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00180">
      <w:bodyDiv w:val="1"/>
      <w:marLeft w:val="0"/>
      <w:marRight w:val="0"/>
      <w:marTop w:val="0"/>
      <w:marBottom w:val="0"/>
      <w:divBdr>
        <w:top w:val="none" w:sz="0" w:space="0" w:color="auto"/>
        <w:left w:val="none" w:sz="0" w:space="0" w:color="auto"/>
        <w:bottom w:val="none" w:sz="0" w:space="0" w:color="auto"/>
        <w:right w:val="none" w:sz="0" w:space="0" w:color="auto"/>
      </w:divBdr>
    </w:div>
    <w:div w:id="100271346">
      <w:bodyDiv w:val="1"/>
      <w:marLeft w:val="0"/>
      <w:marRight w:val="0"/>
      <w:marTop w:val="0"/>
      <w:marBottom w:val="0"/>
      <w:divBdr>
        <w:top w:val="none" w:sz="0" w:space="0" w:color="auto"/>
        <w:left w:val="none" w:sz="0" w:space="0" w:color="auto"/>
        <w:bottom w:val="none" w:sz="0" w:space="0" w:color="auto"/>
        <w:right w:val="none" w:sz="0" w:space="0" w:color="auto"/>
      </w:divBdr>
    </w:div>
    <w:div w:id="112944924">
      <w:bodyDiv w:val="1"/>
      <w:marLeft w:val="0"/>
      <w:marRight w:val="0"/>
      <w:marTop w:val="0"/>
      <w:marBottom w:val="0"/>
      <w:divBdr>
        <w:top w:val="none" w:sz="0" w:space="0" w:color="auto"/>
        <w:left w:val="none" w:sz="0" w:space="0" w:color="auto"/>
        <w:bottom w:val="none" w:sz="0" w:space="0" w:color="auto"/>
        <w:right w:val="none" w:sz="0" w:space="0" w:color="auto"/>
      </w:divBdr>
      <w:divsChild>
        <w:div w:id="2072387746">
          <w:marLeft w:val="0"/>
          <w:marRight w:val="0"/>
          <w:marTop w:val="0"/>
          <w:marBottom w:val="0"/>
          <w:divBdr>
            <w:top w:val="none" w:sz="0" w:space="0" w:color="auto"/>
            <w:left w:val="none" w:sz="0" w:space="0" w:color="auto"/>
            <w:bottom w:val="none" w:sz="0" w:space="0" w:color="auto"/>
            <w:right w:val="none" w:sz="0" w:space="0" w:color="auto"/>
          </w:divBdr>
          <w:divsChild>
            <w:div w:id="1781603560">
              <w:marLeft w:val="0"/>
              <w:marRight w:val="0"/>
              <w:marTop w:val="0"/>
              <w:marBottom w:val="0"/>
              <w:divBdr>
                <w:top w:val="none" w:sz="0" w:space="0" w:color="auto"/>
                <w:left w:val="none" w:sz="0" w:space="0" w:color="auto"/>
                <w:bottom w:val="none" w:sz="0" w:space="0" w:color="auto"/>
                <w:right w:val="none" w:sz="0" w:space="0" w:color="auto"/>
              </w:divBdr>
              <w:divsChild>
                <w:div w:id="1520269847">
                  <w:marLeft w:val="0"/>
                  <w:marRight w:val="0"/>
                  <w:marTop w:val="0"/>
                  <w:marBottom w:val="0"/>
                  <w:divBdr>
                    <w:top w:val="none" w:sz="0" w:space="0" w:color="auto"/>
                    <w:left w:val="none" w:sz="0" w:space="0" w:color="auto"/>
                    <w:bottom w:val="none" w:sz="0" w:space="0" w:color="auto"/>
                    <w:right w:val="none" w:sz="0" w:space="0" w:color="auto"/>
                  </w:divBdr>
                  <w:divsChild>
                    <w:div w:id="1134835569">
                      <w:marLeft w:val="0"/>
                      <w:marRight w:val="0"/>
                      <w:marTop w:val="0"/>
                      <w:marBottom w:val="0"/>
                      <w:divBdr>
                        <w:top w:val="none" w:sz="0" w:space="0" w:color="auto"/>
                        <w:left w:val="none" w:sz="0" w:space="0" w:color="auto"/>
                        <w:bottom w:val="none" w:sz="0" w:space="0" w:color="auto"/>
                        <w:right w:val="none" w:sz="0" w:space="0" w:color="auto"/>
                      </w:divBdr>
                    </w:div>
                    <w:div w:id="19052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2891">
      <w:bodyDiv w:val="1"/>
      <w:marLeft w:val="0"/>
      <w:marRight w:val="0"/>
      <w:marTop w:val="0"/>
      <w:marBottom w:val="0"/>
      <w:divBdr>
        <w:top w:val="none" w:sz="0" w:space="0" w:color="auto"/>
        <w:left w:val="none" w:sz="0" w:space="0" w:color="auto"/>
        <w:bottom w:val="none" w:sz="0" w:space="0" w:color="auto"/>
        <w:right w:val="none" w:sz="0" w:space="0" w:color="auto"/>
      </w:divBdr>
    </w:div>
    <w:div w:id="479227498">
      <w:bodyDiv w:val="1"/>
      <w:marLeft w:val="0"/>
      <w:marRight w:val="0"/>
      <w:marTop w:val="0"/>
      <w:marBottom w:val="0"/>
      <w:divBdr>
        <w:top w:val="none" w:sz="0" w:space="0" w:color="auto"/>
        <w:left w:val="none" w:sz="0" w:space="0" w:color="auto"/>
        <w:bottom w:val="none" w:sz="0" w:space="0" w:color="auto"/>
        <w:right w:val="none" w:sz="0" w:space="0" w:color="auto"/>
      </w:divBdr>
      <w:divsChild>
        <w:div w:id="1436900343">
          <w:marLeft w:val="0"/>
          <w:marRight w:val="0"/>
          <w:marTop w:val="0"/>
          <w:marBottom w:val="0"/>
          <w:divBdr>
            <w:top w:val="none" w:sz="0" w:space="0" w:color="auto"/>
            <w:left w:val="none" w:sz="0" w:space="0" w:color="auto"/>
            <w:bottom w:val="none" w:sz="0" w:space="0" w:color="auto"/>
            <w:right w:val="none" w:sz="0" w:space="0" w:color="auto"/>
          </w:divBdr>
        </w:div>
        <w:div w:id="754211160">
          <w:marLeft w:val="0"/>
          <w:marRight w:val="0"/>
          <w:marTop w:val="0"/>
          <w:marBottom w:val="0"/>
          <w:divBdr>
            <w:top w:val="none" w:sz="0" w:space="0" w:color="auto"/>
            <w:left w:val="none" w:sz="0" w:space="0" w:color="auto"/>
            <w:bottom w:val="none" w:sz="0" w:space="0" w:color="auto"/>
            <w:right w:val="none" w:sz="0" w:space="0" w:color="auto"/>
          </w:divBdr>
        </w:div>
        <w:div w:id="402028742">
          <w:marLeft w:val="0"/>
          <w:marRight w:val="0"/>
          <w:marTop w:val="0"/>
          <w:marBottom w:val="0"/>
          <w:divBdr>
            <w:top w:val="none" w:sz="0" w:space="0" w:color="auto"/>
            <w:left w:val="none" w:sz="0" w:space="0" w:color="auto"/>
            <w:bottom w:val="none" w:sz="0" w:space="0" w:color="auto"/>
            <w:right w:val="none" w:sz="0" w:space="0" w:color="auto"/>
          </w:divBdr>
        </w:div>
        <w:div w:id="31999206">
          <w:marLeft w:val="0"/>
          <w:marRight w:val="0"/>
          <w:marTop w:val="0"/>
          <w:marBottom w:val="0"/>
          <w:divBdr>
            <w:top w:val="none" w:sz="0" w:space="0" w:color="auto"/>
            <w:left w:val="none" w:sz="0" w:space="0" w:color="auto"/>
            <w:bottom w:val="none" w:sz="0" w:space="0" w:color="auto"/>
            <w:right w:val="none" w:sz="0" w:space="0" w:color="auto"/>
          </w:divBdr>
        </w:div>
        <w:div w:id="1251232388">
          <w:marLeft w:val="0"/>
          <w:marRight w:val="0"/>
          <w:marTop w:val="0"/>
          <w:marBottom w:val="0"/>
          <w:divBdr>
            <w:top w:val="none" w:sz="0" w:space="0" w:color="auto"/>
            <w:left w:val="none" w:sz="0" w:space="0" w:color="auto"/>
            <w:bottom w:val="none" w:sz="0" w:space="0" w:color="auto"/>
            <w:right w:val="none" w:sz="0" w:space="0" w:color="auto"/>
          </w:divBdr>
        </w:div>
        <w:div w:id="1199047968">
          <w:marLeft w:val="0"/>
          <w:marRight w:val="0"/>
          <w:marTop w:val="0"/>
          <w:marBottom w:val="0"/>
          <w:divBdr>
            <w:top w:val="none" w:sz="0" w:space="0" w:color="auto"/>
            <w:left w:val="none" w:sz="0" w:space="0" w:color="auto"/>
            <w:bottom w:val="none" w:sz="0" w:space="0" w:color="auto"/>
            <w:right w:val="none" w:sz="0" w:space="0" w:color="auto"/>
          </w:divBdr>
        </w:div>
        <w:div w:id="878399246">
          <w:marLeft w:val="0"/>
          <w:marRight w:val="0"/>
          <w:marTop w:val="0"/>
          <w:marBottom w:val="0"/>
          <w:divBdr>
            <w:top w:val="none" w:sz="0" w:space="0" w:color="auto"/>
            <w:left w:val="none" w:sz="0" w:space="0" w:color="auto"/>
            <w:bottom w:val="none" w:sz="0" w:space="0" w:color="auto"/>
            <w:right w:val="none" w:sz="0" w:space="0" w:color="auto"/>
          </w:divBdr>
        </w:div>
        <w:div w:id="2011332165">
          <w:marLeft w:val="0"/>
          <w:marRight w:val="0"/>
          <w:marTop w:val="0"/>
          <w:marBottom w:val="0"/>
          <w:divBdr>
            <w:top w:val="none" w:sz="0" w:space="0" w:color="auto"/>
            <w:left w:val="none" w:sz="0" w:space="0" w:color="auto"/>
            <w:bottom w:val="none" w:sz="0" w:space="0" w:color="auto"/>
            <w:right w:val="none" w:sz="0" w:space="0" w:color="auto"/>
          </w:divBdr>
        </w:div>
        <w:div w:id="1222251188">
          <w:marLeft w:val="0"/>
          <w:marRight w:val="0"/>
          <w:marTop w:val="0"/>
          <w:marBottom w:val="0"/>
          <w:divBdr>
            <w:top w:val="none" w:sz="0" w:space="0" w:color="auto"/>
            <w:left w:val="none" w:sz="0" w:space="0" w:color="auto"/>
            <w:bottom w:val="none" w:sz="0" w:space="0" w:color="auto"/>
            <w:right w:val="none" w:sz="0" w:space="0" w:color="auto"/>
          </w:divBdr>
        </w:div>
        <w:div w:id="387803781">
          <w:marLeft w:val="0"/>
          <w:marRight w:val="0"/>
          <w:marTop w:val="0"/>
          <w:marBottom w:val="0"/>
          <w:divBdr>
            <w:top w:val="none" w:sz="0" w:space="0" w:color="auto"/>
            <w:left w:val="none" w:sz="0" w:space="0" w:color="auto"/>
            <w:bottom w:val="none" w:sz="0" w:space="0" w:color="auto"/>
            <w:right w:val="none" w:sz="0" w:space="0" w:color="auto"/>
          </w:divBdr>
        </w:div>
      </w:divsChild>
    </w:div>
    <w:div w:id="682784845">
      <w:bodyDiv w:val="1"/>
      <w:marLeft w:val="0"/>
      <w:marRight w:val="0"/>
      <w:marTop w:val="0"/>
      <w:marBottom w:val="0"/>
      <w:divBdr>
        <w:top w:val="none" w:sz="0" w:space="0" w:color="auto"/>
        <w:left w:val="none" w:sz="0" w:space="0" w:color="auto"/>
        <w:bottom w:val="none" w:sz="0" w:space="0" w:color="auto"/>
        <w:right w:val="none" w:sz="0" w:space="0" w:color="auto"/>
      </w:divBdr>
    </w:div>
    <w:div w:id="697587293">
      <w:bodyDiv w:val="1"/>
      <w:marLeft w:val="0"/>
      <w:marRight w:val="0"/>
      <w:marTop w:val="0"/>
      <w:marBottom w:val="0"/>
      <w:divBdr>
        <w:top w:val="none" w:sz="0" w:space="0" w:color="auto"/>
        <w:left w:val="none" w:sz="0" w:space="0" w:color="auto"/>
        <w:bottom w:val="none" w:sz="0" w:space="0" w:color="auto"/>
        <w:right w:val="none" w:sz="0" w:space="0" w:color="auto"/>
      </w:divBdr>
    </w:div>
    <w:div w:id="775752553">
      <w:bodyDiv w:val="1"/>
      <w:marLeft w:val="0"/>
      <w:marRight w:val="0"/>
      <w:marTop w:val="0"/>
      <w:marBottom w:val="0"/>
      <w:divBdr>
        <w:top w:val="none" w:sz="0" w:space="0" w:color="auto"/>
        <w:left w:val="none" w:sz="0" w:space="0" w:color="auto"/>
        <w:bottom w:val="none" w:sz="0" w:space="0" w:color="auto"/>
        <w:right w:val="none" w:sz="0" w:space="0" w:color="auto"/>
      </w:divBdr>
    </w:div>
    <w:div w:id="807162088">
      <w:bodyDiv w:val="1"/>
      <w:marLeft w:val="0"/>
      <w:marRight w:val="0"/>
      <w:marTop w:val="0"/>
      <w:marBottom w:val="0"/>
      <w:divBdr>
        <w:top w:val="none" w:sz="0" w:space="0" w:color="auto"/>
        <w:left w:val="none" w:sz="0" w:space="0" w:color="auto"/>
        <w:bottom w:val="none" w:sz="0" w:space="0" w:color="auto"/>
        <w:right w:val="none" w:sz="0" w:space="0" w:color="auto"/>
      </w:divBdr>
    </w:div>
    <w:div w:id="817769206">
      <w:bodyDiv w:val="1"/>
      <w:marLeft w:val="0"/>
      <w:marRight w:val="0"/>
      <w:marTop w:val="0"/>
      <w:marBottom w:val="0"/>
      <w:divBdr>
        <w:top w:val="none" w:sz="0" w:space="0" w:color="auto"/>
        <w:left w:val="none" w:sz="0" w:space="0" w:color="auto"/>
        <w:bottom w:val="none" w:sz="0" w:space="0" w:color="auto"/>
        <w:right w:val="none" w:sz="0" w:space="0" w:color="auto"/>
      </w:divBdr>
    </w:div>
    <w:div w:id="1024818805">
      <w:bodyDiv w:val="1"/>
      <w:marLeft w:val="0"/>
      <w:marRight w:val="0"/>
      <w:marTop w:val="0"/>
      <w:marBottom w:val="0"/>
      <w:divBdr>
        <w:top w:val="none" w:sz="0" w:space="0" w:color="auto"/>
        <w:left w:val="none" w:sz="0" w:space="0" w:color="auto"/>
        <w:bottom w:val="none" w:sz="0" w:space="0" w:color="auto"/>
        <w:right w:val="none" w:sz="0" w:space="0" w:color="auto"/>
      </w:divBdr>
      <w:divsChild>
        <w:div w:id="1269043693">
          <w:marLeft w:val="0"/>
          <w:marRight w:val="0"/>
          <w:marTop w:val="0"/>
          <w:marBottom w:val="0"/>
          <w:divBdr>
            <w:top w:val="none" w:sz="0" w:space="0" w:color="auto"/>
            <w:left w:val="none" w:sz="0" w:space="0" w:color="auto"/>
            <w:bottom w:val="none" w:sz="0" w:space="0" w:color="auto"/>
            <w:right w:val="none" w:sz="0" w:space="0" w:color="auto"/>
          </w:divBdr>
          <w:divsChild>
            <w:div w:id="1706786346">
              <w:marLeft w:val="0"/>
              <w:marRight w:val="0"/>
              <w:marTop w:val="0"/>
              <w:marBottom w:val="0"/>
              <w:divBdr>
                <w:top w:val="none" w:sz="0" w:space="0" w:color="auto"/>
                <w:left w:val="none" w:sz="0" w:space="0" w:color="auto"/>
                <w:bottom w:val="none" w:sz="0" w:space="0" w:color="auto"/>
                <w:right w:val="none" w:sz="0" w:space="0" w:color="auto"/>
              </w:divBdr>
              <w:divsChild>
                <w:div w:id="298074793">
                  <w:marLeft w:val="0"/>
                  <w:marRight w:val="0"/>
                  <w:marTop w:val="0"/>
                  <w:marBottom w:val="0"/>
                  <w:divBdr>
                    <w:top w:val="none" w:sz="0" w:space="0" w:color="auto"/>
                    <w:left w:val="none" w:sz="0" w:space="0" w:color="auto"/>
                    <w:bottom w:val="none" w:sz="0" w:space="0" w:color="auto"/>
                    <w:right w:val="none" w:sz="0" w:space="0" w:color="auto"/>
                  </w:divBdr>
                  <w:divsChild>
                    <w:div w:id="948388994">
                      <w:marLeft w:val="0"/>
                      <w:marRight w:val="0"/>
                      <w:marTop w:val="0"/>
                      <w:marBottom w:val="0"/>
                      <w:divBdr>
                        <w:top w:val="none" w:sz="0" w:space="0" w:color="auto"/>
                        <w:left w:val="none" w:sz="0" w:space="0" w:color="auto"/>
                        <w:bottom w:val="none" w:sz="0" w:space="0" w:color="auto"/>
                        <w:right w:val="none" w:sz="0" w:space="0" w:color="auto"/>
                      </w:divBdr>
                    </w:div>
                    <w:div w:id="13112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47903">
          <w:marLeft w:val="0"/>
          <w:marRight w:val="0"/>
          <w:marTop w:val="0"/>
          <w:marBottom w:val="0"/>
          <w:divBdr>
            <w:top w:val="none" w:sz="0" w:space="0" w:color="auto"/>
            <w:left w:val="none" w:sz="0" w:space="0" w:color="auto"/>
            <w:bottom w:val="none" w:sz="0" w:space="0" w:color="auto"/>
            <w:right w:val="none" w:sz="0" w:space="0" w:color="auto"/>
          </w:divBdr>
          <w:divsChild>
            <w:div w:id="55708225">
              <w:marLeft w:val="0"/>
              <w:marRight w:val="0"/>
              <w:marTop w:val="0"/>
              <w:marBottom w:val="0"/>
              <w:divBdr>
                <w:top w:val="none" w:sz="0" w:space="0" w:color="auto"/>
                <w:left w:val="none" w:sz="0" w:space="0" w:color="auto"/>
                <w:bottom w:val="none" w:sz="0" w:space="0" w:color="auto"/>
                <w:right w:val="none" w:sz="0" w:space="0" w:color="auto"/>
              </w:divBdr>
              <w:divsChild>
                <w:div w:id="1488744566">
                  <w:marLeft w:val="0"/>
                  <w:marRight w:val="0"/>
                  <w:marTop w:val="0"/>
                  <w:marBottom w:val="0"/>
                  <w:divBdr>
                    <w:top w:val="none" w:sz="0" w:space="0" w:color="auto"/>
                    <w:left w:val="none" w:sz="0" w:space="0" w:color="auto"/>
                    <w:bottom w:val="none" w:sz="0" w:space="0" w:color="auto"/>
                    <w:right w:val="none" w:sz="0" w:space="0" w:color="auto"/>
                  </w:divBdr>
                  <w:divsChild>
                    <w:div w:id="1133210444">
                      <w:marLeft w:val="0"/>
                      <w:marRight w:val="0"/>
                      <w:marTop w:val="0"/>
                      <w:marBottom w:val="0"/>
                      <w:divBdr>
                        <w:top w:val="none" w:sz="0" w:space="0" w:color="auto"/>
                        <w:left w:val="none" w:sz="0" w:space="0" w:color="auto"/>
                        <w:bottom w:val="none" w:sz="0" w:space="0" w:color="auto"/>
                        <w:right w:val="none" w:sz="0" w:space="0" w:color="auto"/>
                      </w:divBdr>
                    </w:div>
                    <w:div w:id="18226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18872">
          <w:marLeft w:val="0"/>
          <w:marRight w:val="0"/>
          <w:marTop w:val="0"/>
          <w:marBottom w:val="0"/>
          <w:divBdr>
            <w:top w:val="none" w:sz="0" w:space="0" w:color="auto"/>
            <w:left w:val="none" w:sz="0" w:space="0" w:color="auto"/>
            <w:bottom w:val="none" w:sz="0" w:space="0" w:color="auto"/>
            <w:right w:val="none" w:sz="0" w:space="0" w:color="auto"/>
          </w:divBdr>
          <w:divsChild>
            <w:div w:id="881525414">
              <w:marLeft w:val="0"/>
              <w:marRight w:val="0"/>
              <w:marTop w:val="0"/>
              <w:marBottom w:val="0"/>
              <w:divBdr>
                <w:top w:val="none" w:sz="0" w:space="0" w:color="auto"/>
                <w:left w:val="none" w:sz="0" w:space="0" w:color="auto"/>
                <w:bottom w:val="none" w:sz="0" w:space="0" w:color="auto"/>
                <w:right w:val="none" w:sz="0" w:space="0" w:color="auto"/>
              </w:divBdr>
              <w:divsChild>
                <w:div w:id="1736081018">
                  <w:marLeft w:val="0"/>
                  <w:marRight w:val="0"/>
                  <w:marTop w:val="0"/>
                  <w:marBottom w:val="0"/>
                  <w:divBdr>
                    <w:top w:val="none" w:sz="0" w:space="0" w:color="auto"/>
                    <w:left w:val="none" w:sz="0" w:space="0" w:color="auto"/>
                    <w:bottom w:val="none" w:sz="0" w:space="0" w:color="auto"/>
                    <w:right w:val="none" w:sz="0" w:space="0" w:color="auto"/>
                  </w:divBdr>
                  <w:divsChild>
                    <w:div w:id="1443572168">
                      <w:marLeft w:val="0"/>
                      <w:marRight w:val="0"/>
                      <w:marTop w:val="0"/>
                      <w:marBottom w:val="0"/>
                      <w:divBdr>
                        <w:top w:val="none" w:sz="0" w:space="0" w:color="auto"/>
                        <w:left w:val="none" w:sz="0" w:space="0" w:color="auto"/>
                        <w:bottom w:val="none" w:sz="0" w:space="0" w:color="auto"/>
                        <w:right w:val="none" w:sz="0" w:space="0" w:color="auto"/>
                      </w:divBdr>
                    </w:div>
                    <w:div w:id="19592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50008">
      <w:bodyDiv w:val="1"/>
      <w:marLeft w:val="0"/>
      <w:marRight w:val="0"/>
      <w:marTop w:val="0"/>
      <w:marBottom w:val="0"/>
      <w:divBdr>
        <w:top w:val="none" w:sz="0" w:space="0" w:color="auto"/>
        <w:left w:val="none" w:sz="0" w:space="0" w:color="auto"/>
        <w:bottom w:val="none" w:sz="0" w:space="0" w:color="auto"/>
        <w:right w:val="none" w:sz="0" w:space="0" w:color="auto"/>
      </w:divBdr>
      <w:divsChild>
        <w:div w:id="506482773">
          <w:marLeft w:val="0"/>
          <w:marRight w:val="0"/>
          <w:marTop w:val="0"/>
          <w:marBottom w:val="0"/>
          <w:divBdr>
            <w:top w:val="none" w:sz="0" w:space="0" w:color="auto"/>
            <w:left w:val="none" w:sz="0" w:space="0" w:color="auto"/>
            <w:bottom w:val="none" w:sz="0" w:space="0" w:color="auto"/>
            <w:right w:val="none" w:sz="0" w:space="0" w:color="auto"/>
          </w:divBdr>
          <w:divsChild>
            <w:div w:id="1497376011">
              <w:marLeft w:val="0"/>
              <w:marRight w:val="0"/>
              <w:marTop w:val="0"/>
              <w:marBottom w:val="0"/>
              <w:divBdr>
                <w:top w:val="none" w:sz="0" w:space="0" w:color="auto"/>
                <w:left w:val="none" w:sz="0" w:space="0" w:color="auto"/>
                <w:bottom w:val="none" w:sz="0" w:space="0" w:color="auto"/>
                <w:right w:val="none" w:sz="0" w:space="0" w:color="auto"/>
              </w:divBdr>
              <w:divsChild>
                <w:div w:id="2014674915">
                  <w:marLeft w:val="0"/>
                  <w:marRight w:val="0"/>
                  <w:marTop w:val="0"/>
                  <w:marBottom w:val="0"/>
                  <w:divBdr>
                    <w:top w:val="none" w:sz="0" w:space="0" w:color="auto"/>
                    <w:left w:val="none" w:sz="0" w:space="0" w:color="auto"/>
                    <w:bottom w:val="none" w:sz="0" w:space="0" w:color="auto"/>
                    <w:right w:val="none" w:sz="0" w:space="0" w:color="auto"/>
                  </w:divBdr>
                  <w:divsChild>
                    <w:div w:id="1602297951">
                      <w:marLeft w:val="0"/>
                      <w:marRight w:val="0"/>
                      <w:marTop w:val="0"/>
                      <w:marBottom w:val="0"/>
                      <w:divBdr>
                        <w:top w:val="none" w:sz="0" w:space="0" w:color="auto"/>
                        <w:left w:val="none" w:sz="0" w:space="0" w:color="auto"/>
                        <w:bottom w:val="none" w:sz="0" w:space="0" w:color="auto"/>
                        <w:right w:val="none" w:sz="0" w:space="0" w:color="auto"/>
                      </w:divBdr>
                    </w:div>
                    <w:div w:id="17382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2727</Words>
  <Characters>15545</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CAcik</dc:creator>
  <cp:keywords/>
  <dc:description/>
  <cp:lastModifiedBy>SDI CPU 1130</cp:lastModifiedBy>
  <cp:revision>17</cp:revision>
  <dcterms:created xsi:type="dcterms:W3CDTF">2025-10-13T05:05:00Z</dcterms:created>
  <dcterms:modified xsi:type="dcterms:W3CDTF">2025-10-18T08:51:00Z</dcterms:modified>
</cp:coreProperties>
</file>