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2EA" w:rsidRPr="006B0B0C" w:rsidRDefault="00F455CC" w:rsidP="002A6517">
      <w:pPr>
        <w:bidi w:val="0"/>
        <w:jc w:val="center"/>
        <w:rPr>
          <w:rFonts w:cs="Times New Roman"/>
          <w:b/>
          <w:bCs/>
          <w:color w:val="000000"/>
          <w:sz w:val="28"/>
          <w:szCs w:val="28"/>
          <w:rtl/>
          <w:lang w:bidi="ar-SA"/>
        </w:rPr>
      </w:pPr>
      <w:r>
        <w:rPr>
          <w:rFonts w:cs="Times New Roman"/>
          <w:b/>
          <w:bCs/>
          <w:color w:val="000000"/>
          <w:sz w:val="28"/>
          <w:szCs w:val="28"/>
          <w:lang w:bidi="ar-SA"/>
        </w:rPr>
        <w:t xml:space="preserve">                                                                                                                                                                                                                                                                                                                                                                                                                                                                                                                                                                                                                                                                                                                                                                                                                                                                                                                                                                                                                                                                                                                                                                                                                                                                                                                                                                                                                                                                                                                                                                                                                                                                                                                                                                                                                                                                                                                                                                                                                                                                                                                                                                                                                                                                                                                                                                                                                                                                                                                                                                                                                                                                                                                                                                                                                                                                                                                                                                                                                                                                                                                                                                                                                                                                                                                                                                                                                                                                                                                                                                                                                                                                                                                                                                                                                                                                                                                                                                                                                                                                                                                                                                                                                                                                                                                                                                                                                                                                                                                                                                                                                                                                                                                                                                                                                                                                                                                                                                                                                                                                                                                                                                                                                                                                                                                                                                                                                                                                                                                                                                               </w:t>
      </w:r>
      <w:r w:rsidR="000D05E6">
        <w:rPr>
          <w:rFonts w:cs="Times New Roman"/>
          <w:b/>
          <w:bCs/>
          <w:color w:val="000000"/>
          <w:sz w:val="28"/>
          <w:szCs w:val="28"/>
          <w:lang w:bidi="ar-SA"/>
        </w:rPr>
        <w:t xml:space="preserve"> </w:t>
      </w:r>
      <w:r>
        <w:rPr>
          <w:rFonts w:cs="Times New Roman"/>
          <w:b/>
          <w:bCs/>
          <w:color w:val="000000"/>
          <w:sz w:val="28"/>
          <w:szCs w:val="28"/>
          <w:lang w:bidi="ar-SA"/>
        </w:rPr>
        <w:t xml:space="preserve"> </w:t>
      </w:r>
    </w:p>
    <w:p w:rsidR="002852EA" w:rsidRDefault="009039ED" w:rsidP="009039ED">
      <w:pPr>
        <w:bidi w:val="0"/>
        <w:jc w:val="center"/>
        <w:rPr>
          <w:rFonts w:cs="Times New Roman"/>
          <w:b/>
          <w:bCs/>
          <w:color w:val="000000"/>
          <w:sz w:val="28"/>
          <w:szCs w:val="28"/>
          <w:rtl/>
          <w:lang w:bidi="ar-SA"/>
        </w:rPr>
      </w:pPr>
      <w:r w:rsidRPr="009039ED">
        <w:rPr>
          <w:rFonts w:cs="Times New Roman"/>
          <w:b/>
          <w:bCs/>
          <w:color w:val="000000"/>
          <w:sz w:val="28"/>
          <w:szCs w:val="28"/>
          <w:lang w:bidi="ar-SA"/>
        </w:rPr>
        <w:t>Assessment of Suitable Areas for Physical Development of Residential Zones: A Case Study of the Makran Coastal Strip, Southern Iran</w:t>
      </w:r>
      <w:r w:rsidR="00F455CC">
        <w:rPr>
          <w:rFonts w:cs="Times New Roman"/>
          <w:b/>
          <w:bCs/>
          <w:color w:val="000000"/>
          <w:sz w:val="28"/>
          <w:szCs w:val="28"/>
          <w:lang w:bidi="ar-SA"/>
        </w:rPr>
        <w:t xml:space="preserve">  </w:t>
      </w:r>
    </w:p>
    <w:p w:rsidR="0002366B" w:rsidRDefault="00F455CC" w:rsidP="00387FA5">
      <w:pPr>
        <w:suppressAutoHyphens/>
        <w:bidi w:val="0"/>
        <w:ind w:right="254"/>
        <w:rPr>
          <w:rFonts w:cs="Times New Roman"/>
          <w:color w:val="000000"/>
          <w:sz w:val="18"/>
          <w:szCs w:val="18"/>
          <w:lang w:bidi="ar-SA"/>
        </w:rPr>
      </w:pPr>
      <w:r>
        <w:rPr>
          <w:rFonts w:cs="Times New Roman"/>
          <w:color w:val="000000"/>
          <w:sz w:val="18"/>
          <w:szCs w:val="18"/>
          <w:lang w:bidi="ar-SA"/>
        </w:rPr>
        <w:t xml:space="preserve">      </w:t>
      </w:r>
    </w:p>
    <w:p w:rsidR="00A51367" w:rsidRPr="006B0B0C" w:rsidRDefault="00F455CC" w:rsidP="00A51367">
      <w:pPr>
        <w:suppressAutoHyphens/>
        <w:bidi w:val="0"/>
        <w:ind w:right="254"/>
        <w:rPr>
          <w:rFonts w:cs="Times New Roman"/>
          <w:color w:val="000000"/>
          <w:sz w:val="18"/>
          <w:szCs w:val="18"/>
          <w:lang w:bidi="ar-SA"/>
        </w:rPr>
      </w:pPr>
      <w:r>
        <w:rPr>
          <w:rFonts w:cs="Times New Roman"/>
          <w:color w:val="000000"/>
          <w:sz w:val="18"/>
          <w:szCs w:val="18"/>
          <w:lang w:bidi="ar-SA"/>
        </w:rPr>
        <w:t xml:space="preserve">                                                  </w:t>
      </w:r>
    </w:p>
    <w:p w:rsidR="000E6ABE" w:rsidRPr="006B0B0C" w:rsidRDefault="00F455CC" w:rsidP="00335B20">
      <w:pPr>
        <w:bidi w:val="0"/>
        <w:rPr>
          <w:rFonts w:cs="Times New Roman"/>
          <w:b/>
          <w:bCs/>
          <w:color w:val="000000"/>
          <w:kern w:val="2"/>
          <w:sz w:val="28"/>
          <w:szCs w:val="28"/>
          <w:rtl/>
          <w:lang w:bidi="ar-SA"/>
        </w:rPr>
      </w:pPr>
      <w:r>
        <w:rPr>
          <w:rFonts w:cs="Times New Roman"/>
          <w:b/>
          <w:bCs/>
          <w:color w:val="000000"/>
          <w:kern w:val="2"/>
          <w:sz w:val="28"/>
          <w:szCs w:val="28"/>
          <w:lang w:bidi="ar-SA"/>
        </w:rPr>
        <w:t xml:space="preserve">           </w:t>
      </w:r>
    </w:p>
    <w:p w:rsidR="00AE0165" w:rsidRPr="006B0B0C" w:rsidRDefault="00AE0165" w:rsidP="002A6517">
      <w:pPr>
        <w:bidi w:val="0"/>
        <w:ind w:left="142" w:right="237" w:hanging="142"/>
        <w:rPr>
          <w:rFonts w:cs="Times New Roman"/>
          <w:b/>
          <w:bCs/>
          <w:color w:val="000000"/>
          <w:kern w:val="2"/>
          <w:sz w:val="24"/>
          <w:lang w:bidi="ar-SA"/>
        </w:rPr>
      </w:pPr>
      <w:r w:rsidRPr="006B0B0C">
        <w:rPr>
          <w:rFonts w:cs="Times New Roman"/>
          <w:b/>
          <w:bCs/>
          <w:color w:val="000000"/>
          <w:kern w:val="2"/>
          <w:sz w:val="24"/>
          <w:lang w:bidi="ar-SA"/>
        </w:rPr>
        <w:t>Abstract</w:t>
      </w:r>
    </w:p>
    <w:p w:rsidR="00AE0165" w:rsidRPr="006B0B0C" w:rsidRDefault="00AE0165" w:rsidP="009E1796">
      <w:pPr>
        <w:bidi w:val="0"/>
        <w:ind w:right="-2"/>
        <w:jc w:val="both"/>
        <w:rPr>
          <w:rFonts w:cs="Times New Roman"/>
          <w:color w:val="000000"/>
          <w:kern w:val="2"/>
          <w:sz w:val="24"/>
          <w:lang w:bidi="ar-SA"/>
        </w:rPr>
      </w:pPr>
      <w:r w:rsidRPr="006B0B0C">
        <w:rPr>
          <w:rFonts w:cs="Times New Roman"/>
          <w:color w:val="000000"/>
          <w:kern w:val="2"/>
          <w:sz w:val="24"/>
          <w:lang w:bidi="ar-SA"/>
        </w:rPr>
        <w:t>The geographical position of the Makran coasts has led this region to face an increasing population and physical development of residential areas in recent years. Considering that the Makran coasts face many natural limitations for the physical development of residential areas, identifying areas suitable for the development of settlements in this region is very important, which is addressed in this research. In this study, the 30-meter SRTM DEM, a 1:100,000 geological map, data related to earthquake epicenters occurring in the region from 1907 to 2024, MODIS and Google Earth images have been used as the main research data. The main research tools were Google Earth Engine, ArcGIS, and TerrSet. In this research, using 10 natural and human parameters, the relative weighting method, and the WLC model, areas suitable for the physical development of residential areas along the Makran coasts were identified. Based on the results, 34.1% of the area is classified as prohibited areas and lacks potential for the development of residential zones, while only 6.9% of the area, which mainly includes the outskirts of the cities of Negour, Chabahar, Konarak, and Jask, is suitable for urban development objectives. Given the obtained results, the Makran coasts face significant limitations for urban development goals, and therefore, special attention should be paid to the natural potentials of this region in the planning of residential area development.</w:t>
      </w:r>
    </w:p>
    <w:p w:rsidR="00AE0165" w:rsidRPr="006B0B0C" w:rsidRDefault="00AE0165" w:rsidP="009E1796">
      <w:pPr>
        <w:bidi w:val="0"/>
        <w:jc w:val="both"/>
        <w:rPr>
          <w:rFonts w:cs="Times New Roman"/>
          <w:color w:val="000000"/>
          <w:kern w:val="2"/>
          <w:sz w:val="24"/>
          <w:lang w:bidi="ar-SA"/>
        </w:rPr>
      </w:pPr>
      <w:r w:rsidRPr="006B0B0C">
        <w:rPr>
          <w:rFonts w:cs="Times New Roman"/>
          <w:b/>
          <w:bCs/>
          <w:color w:val="000000"/>
          <w:kern w:val="2"/>
          <w:sz w:val="24"/>
          <w:lang w:bidi="ar-SA"/>
        </w:rPr>
        <w:t>Keywords:</w:t>
      </w:r>
      <w:r w:rsidRPr="006B0B0C">
        <w:rPr>
          <w:rFonts w:cs="Times New Roman"/>
          <w:color w:val="000000"/>
          <w:kern w:val="2"/>
          <w:sz w:val="24"/>
          <w:lang w:bidi="ar-SA"/>
        </w:rPr>
        <w:t xml:space="preserve"> Population growth, physical development of settlements, </w:t>
      </w:r>
      <w:r w:rsidR="000A44CC">
        <w:rPr>
          <w:rFonts w:cs="Times New Roman"/>
          <w:color w:val="000000"/>
          <w:kern w:val="2"/>
          <w:sz w:val="24"/>
          <w:lang w:bidi="ar-SA"/>
        </w:rPr>
        <w:t xml:space="preserve">Makran coasts, prohibited areas, </w:t>
      </w:r>
      <w:r w:rsidR="00782337">
        <w:rPr>
          <w:rFonts w:cs="Times New Roman"/>
          <w:color w:val="000000"/>
          <w:kern w:val="2"/>
          <w:sz w:val="24"/>
          <w:highlight w:val="yellow"/>
          <w:lang w:bidi="ar-SA"/>
        </w:rPr>
        <w:t>WLC method</w:t>
      </w:r>
      <w:r w:rsidR="00845DA4">
        <w:rPr>
          <w:rFonts w:cs="Times New Roman"/>
          <w:color w:val="000000"/>
          <w:kern w:val="2"/>
          <w:sz w:val="24"/>
          <w:highlight w:val="yellow"/>
          <w:lang w:bidi="ar-SA"/>
        </w:rPr>
        <w:t xml:space="preserve">, </w:t>
      </w:r>
      <w:r w:rsidR="008803CB">
        <w:rPr>
          <w:rFonts w:cs="Times New Roman"/>
          <w:color w:val="000000"/>
          <w:kern w:val="2"/>
          <w:sz w:val="24"/>
          <w:highlight w:val="yellow"/>
          <w:lang w:bidi="ar-SA"/>
        </w:rPr>
        <w:t xml:space="preserve">remote sensing </w:t>
      </w:r>
      <w:r w:rsidR="000A44CC" w:rsidRPr="000A44CC">
        <w:rPr>
          <w:rFonts w:cs="Times New Roman"/>
          <w:color w:val="000000"/>
          <w:kern w:val="2"/>
          <w:sz w:val="24"/>
          <w:highlight w:val="yellow"/>
          <w:lang w:bidi="ar-SA"/>
        </w:rPr>
        <w:t>.</w:t>
      </w:r>
      <w:r w:rsidR="00F455CC">
        <w:rPr>
          <w:rFonts w:cs="Times New Roman"/>
          <w:color w:val="000000"/>
          <w:kern w:val="2"/>
          <w:sz w:val="24"/>
          <w:lang w:bidi="ar-SA"/>
        </w:rPr>
        <w:t xml:space="preserve">                                                                                                                                                                                                                                                                                                                                                                                                                                                                                                                                                                                                                                                                                                                                                                                                                                                                                                                                                                                                                                                                                                                                                                                                                                                                                                                                                                                                                                                                                                                                                                                                                                                                                                                                                                                                                                                                                                                                                                                                                                                                                                                                                                                                                                                                                                                                                                                                                                                                                                                                                                                                                                                                                                                                                                                                                                                                                                                                                                                                                                                                                                                                                                                                                                                                                                                                                                                                                                                                                                                                                                                                                                                                                                                                                                                                                                                                                                                                                                                                                                                                                                                                                                                                                                                                                                                                                                                                                                                                                                                                                                                                                                                                                                                                                                                                                                                                                                                                                                                                                                                                                                                                                                                                                                                                                                                                                                                                                                                                                                                                                                                                                                                                                                                                                                                                                                                                                                                                                                                                                                                                                                                                                                                                                                                                                                                                                                                                                                                                                                                                                                                                                                                                                                                 </w:t>
      </w:r>
    </w:p>
    <w:p w:rsidR="00AE0165" w:rsidRPr="006B0B0C" w:rsidRDefault="00AE0165" w:rsidP="002A6517">
      <w:pPr>
        <w:bidi w:val="0"/>
        <w:jc w:val="center"/>
        <w:rPr>
          <w:rFonts w:cs="Times New Roman"/>
          <w:b/>
          <w:bCs/>
          <w:color w:val="000000"/>
          <w:kern w:val="2"/>
          <w:sz w:val="28"/>
          <w:szCs w:val="28"/>
          <w:rtl/>
          <w:lang w:bidi="ar-SA"/>
        </w:rPr>
      </w:pPr>
    </w:p>
    <w:p w:rsidR="00AE0165" w:rsidRPr="006B0B0C" w:rsidRDefault="00AE0165" w:rsidP="002A6517">
      <w:pPr>
        <w:bidi w:val="0"/>
        <w:jc w:val="center"/>
        <w:rPr>
          <w:rFonts w:cs="Times New Roman"/>
          <w:b/>
          <w:bCs/>
          <w:color w:val="000000"/>
          <w:kern w:val="2"/>
          <w:sz w:val="28"/>
          <w:szCs w:val="28"/>
          <w:rtl/>
          <w:lang w:bidi="ar-SA"/>
        </w:rPr>
      </w:pPr>
    </w:p>
    <w:p w:rsidR="00AE0165" w:rsidRPr="006B0B0C" w:rsidRDefault="00AE0165" w:rsidP="002A6517">
      <w:pPr>
        <w:bidi w:val="0"/>
        <w:jc w:val="center"/>
        <w:rPr>
          <w:rFonts w:cs="Times New Roman"/>
          <w:b/>
          <w:bCs/>
          <w:color w:val="000000"/>
          <w:kern w:val="2"/>
          <w:sz w:val="28"/>
          <w:szCs w:val="28"/>
          <w:rtl/>
          <w:lang w:bidi="ar-SA"/>
        </w:rPr>
      </w:pPr>
    </w:p>
    <w:p w:rsidR="002A6517" w:rsidRPr="006B0B0C" w:rsidRDefault="002A6517" w:rsidP="002A6517">
      <w:pPr>
        <w:bidi w:val="0"/>
        <w:jc w:val="center"/>
        <w:rPr>
          <w:rFonts w:cs="Times New Roman"/>
          <w:b/>
          <w:bCs/>
          <w:color w:val="000000"/>
          <w:kern w:val="2"/>
          <w:sz w:val="28"/>
          <w:szCs w:val="28"/>
          <w:rtl/>
          <w:lang w:bidi="ar-SA"/>
        </w:rPr>
      </w:pPr>
    </w:p>
    <w:p w:rsidR="00AE0165" w:rsidRPr="006B0B0C" w:rsidRDefault="00AE0165" w:rsidP="002A6517">
      <w:pPr>
        <w:bidi w:val="0"/>
        <w:rPr>
          <w:rFonts w:cs="Times New Roman"/>
          <w:b/>
          <w:bCs/>
          <w:color w:val="000000"/>
          <w:kern w:val="2"/>
          <w:sz w:val="24"/>
          <w:lang w:bidi="ar-SA"/>
        </w:rPr>
      </w:pPr>
      <w:r w:rsidRPr="006B0B0C">
        <w:rPr>
          <w:rFonts w:cs="Times New Roman"/>
          <w:b/>
          <w:bCs/>
          <w:color w:val="000000"/>
          <w:kern w:val="2"/>
          <w:sz w:val="24"/>
          <w:lang w:bidi="ar-SA"/>
        </w:rPr>
        <w:t>1. Introduction</w:t>
      </w:r>
    </w:p>
    <w:p w:rsidR="00AE0165" w:rsidRPr="006B0B0C"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t>The establishment and emergence of a city are primarily dependent on its geographical conditions and location, as natural features and phenomena have a decisive impact on site selection, sphere of influence, physical development, and urban morphology (Ugenti et al., 2025). Natural phenomena can sometimes act as positive factors and at other times as negative and deterrent factors (Zhu et al., 2023; Mohammadzadeh et al., 2024). In fact, the establishment and growth of cities without consideration of the land’s capabilities and potentials can lead to numerous destructive and harmful effects, resulting in a multiplicative increase in human and financial losses during critical times (Nayyeri et al., 2018; Shi et al., 2023).</w:t>
      </w:r>
    </w:p>
    <w:p w:rsidR="00AE0165"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t>In recent years, with the increase in population and urbanization, the trend of expanding residential areas has been increasing (Aarthi et al., 2018; Bharath et al., 2018; Deb et al., 2024; Pireh &amp; Ganjaeian, 2024). This expansion has led to an unplanned movement of population centers towards hazardous areas, which can pose significant risks (Gibson et al., 2016; Fekete, 2022). In fact, the unlimited and unplanned expansion of cities has led to encroachment on the environment and its destruction (Ghosh et al., 2022; Osman &amp; Das, 2023), resulting in many residential areas being exposed to hazards and facing not only billions in financial losses annually but also human casualties (Safari Namivandi et al., 2024).</w:t>
      </w:r>
      <w:r w:rsidR="00F455CC">
        <w:rPr>
          <w:rFonts w:cs="Times New Roman"/>
          <w:color w:val="000000"/>
          <w:kern w:val="2"/>
          <w:sz w:val="24"/>
          <w:lang w:bidi="ar-SA"/>
        </w:rPr>
        <w:t xml:space="preserve">                                                                                                                                                                                                                                                                                                                                                                                                                                                                                                                                                                                                                                                                                                                                                                                                                                                                                                                       </w:t>
      </w:r>
    </w:p>
    <w:p w:rsidR="000A44CC" w:rsidRPr="006B0B0C" w:rsidRDefault="000A44CC" w:rsidP="000A44CC">
      <w:pPr>
        <w:bidi w:val="0"/>
        <w:ind w:right="-46"/>
        <w:jc w:val="both"/>
        <w:rPr>
          <w:rFonts w:cs="Times New Roman"/>
          <w:color w:val="000000"/>
          <w:kern w:val="2"/>
          <w:sz w:val="24"/>
          <w:lang w:bidi="ar-SA"/>
        </w:rPr>
      </w:pPr>
    </w:p>
    <w:p w:rsidR="00AE0165" w:rsidRPr="006B0B0C"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t>Different regions are influenced by geological, geomorphological, and hydroclimatic conditions, resulting in varying potentials for urban development, with some areas facing significant limitations (Ganjaeian et al., 2024; Negahban et al., 2025). As previous research has shown, approximately 60 percent of the world population lives in coastal areas (Hosseini &amp; Ashournejad, 2018). The Makran coast in southern Iran faces significant limitations for the development of residential areas due to the influence of natural factors. Due to its geographical position, the Makran coast has high potential for the development of economic activities, trade, tourism, and more, leading to repeated attention towards residential development plans in this area. In fact, the limitation of water resources in many parts of Kerman and Sistan &amp; Baluchestan provinces has prompted numerous proposals for residential development along the Makran coastal strip. However, considering that the Makran coastal strip also has high geomorphological potential for various hazards, including floods and dust storms, assessing the coastal strip and identifying areas suitable for residential development in this region is of great importance, which is addressed in this research.</w:t>
      </w:r>
    </w:p>
    <w:p w:rsidR="00AE0165" w:rsidRPr="006B0B0C" w:rsidRDefault="00AE0165" w:rsidP="002B587F">
      <w:pPr>
        <w:bidi w:val="0"/>
        <w:ind w:right="-46"/>
        <w:jc w:val="both"/>
        <w:rPr>
          <w:rFonts w:cs="Times New Roman"/>
          <w:color w:val="000000"/>
          <w:kern w:val="2"/>
          <w:sz w:val="24"/>
          <w:lang w:bidi="ar-SA"/>
        </w:rPr>
      </w:pPr>
      <w:r w:rsidRPr="006B0B0C">
        <w:rPr>
          <w:rFonts w:cs="Times New Roman"/>
          <w:color w:val="000000"/>
          <w:kern w:val="2"/>
          <w:sz w:val="24"/>
          <w:lang w:bidi="ar-SA"/>
        </w:rPr>
        <w:t>Various studies have been conducted in relation to the subject. Many of these studies have focused on locating areas suitable for the physical development of residential zones using various zoning and weighting methods (Alberico et al., 2020; Ramadan &amp; Effat, 2021; Fan &amp; Ma, 2024; Fu et al., 2024; Qi et al., 2024; Rahman Shah et al., 2025). Some studies have assessed the natural hazards in urban areas using remote sensing, field methods, and zoning techniques (Lee, 2015; El Jazouli et al., 2019; Negahban et al., 2021; Jiang &amp; Yu, 2022; Pinskwar et al., 2023). Other research has evaluated the trend of physical development in residential areas in relation to hazardous zones using remote sensing methods (Shooshtarian et al., 2018; Negahban et al., 2019; Pérez-Molina et al., 2025). Additionally, some studies have focused on predicting the trend of physical development in residential areas using remote sensing and various modeling methods (Negahban et al., 2019; Salari et al., 2020; Beyene et al., 2023; Kumar et al., 2025).</w:t>
      </w:r>
    </w:p>
    <w:p w:rsidR="00AE0165" w:rsidRPr="006B0B0C"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t>In line with previous research, the goal of this study is to identify areas suitable for the physical development of residential zones along the Makran coast. This research not only employs zoning methods but also defines prohibited areas, allowing for the obtaining of final results with high accuracy.</w:t>
      </w:r>
    </w:p>
    <w:p w:rsidR="00AE0165" w:rsidRPr="006B0B0C" w:rsidRDefault="00AE0165" w:rsidP="002A6517">
      <w:pPr>
        <w:bidi w:val="0"/>
        <w:ind w:right="-46"/>
        <w:jc w:val="both"/>
        <w:rPr>
          <w:rFonts w:cs="Times New Roman"/>
          <w:color w:val="000000"/>
          <w:kern w:val="2"/>
          <w:sz w:val="24"/>
          <w:lang w:bidi="ar-SA"/>
        </w:rPr>
      </w:pPr>
      <w:r w:rsidRPr="006B0B0C">
        <w:rPr>
          <w:rFonts w:cs="Arial"/>
          <w:b/>
          <w:bCs/>
          <w:color w:val="000000"/>
          <w:kern w:val="2"/>
          <w:sz w:val="24"/>
          <w:lang w:bidi="ar-SA"/>
        </w:rPr>
        <w:t>2. Study Area</w:t>
      </w:r>
    </w:p>
    <w:p w:rsidR="00AE0165" w:rsidRPr="006B0B0C"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t>The study area encompasses the coastal counties of Makran in southern Iran. In the Makran coast, there are five counties: Jask, Zarabad, Konarak, Chabahar, and Dashtyari. Jask County is part of Hormozgan Province, while Zarabad, Konarak, Chabahar, and Dashtyari Counties belong to Sistan &amp; Baluchestan Province. The study area is bordered to the south by the Oman Sea, to the west by the Strait of Hormuz, and to the east by Pakistan (Figure 1). The length of the coastline in the study area exceeds 600 km, and the total area of the study region is approximately 26,900 km</w:t>
      </w:r>
      <w:r w:rsidRPr="006B0B0C">
        <w:rPr>
          <w:rFonts w:cs="Times New Roman"/>
          <w:color w:val="000000"/>
          <w:kern w:val="2"/>
          <w:sz w:val="24"/>
          <w:vertAlign w:val="superscript"/>
          <w:lang w:bidi="ar-SA"/>
        </w:rPr>
        <w:t>2</w:t>
      </w:r>
      <w:r w:rsidRPr="006B0B0C">
        <w:rPr>
          <w:rFonts w:cs="Times New Roman"/>
          <w:color w:val="000000"/>
          <w:kern w:val="2"/>
          <w:sz w:val="24"/>
          <w:lang w:bidi="ar-SA"/>
        </w:rPr>
        <w:t>.</w:t>
      </w:r>
    </w:p>
    <w:p w:rsidR="00AE0165" w:rsidRPr="006B0B0C" w:rsidRDefault="00AE0165" w:rsidP="002A6517">
      <w:pPr>
        <w:bidi w:val="0"/>
        <w:ind w:right="-46"/>
        <w:jc w:val="both"/>
        <w:rPr>
          <w:rFonts w:cs="Times New Roman"/>
          <w:color w:val="000000"/>
          <w:kern w:val="2"/>
          <w:sz w:val="24"/>
          <w:rtl/>
          <w:lang w:bidi="ar-SA"/>
        </w:rPr>
      </w:pPr>
      <w:r w:rsidRPr="006B0B0C">
        <w:rPr>
          <w:rFonts w:cs="Times New Roman"/>
          <w:color w:val="000000"/>
          <w:kern w:val="2"/>
          <w:sz w:val="24"/>
          <w:lang w:bidi="ar-SA"/>
        </w:rPr>
        <w:t xml:space="preserve">The study area exhibits significant topographical diversity, with an overall increasing elevation trend from south to north. Climatically, due to its location in the subtropical high-pressure region, it has an average annual rainfall of about 100 mm and an average annual temperature of approximately 27 °C. Additionally, considering the climatic and </w:t>
      </w:r>
      <w:r w:rsidRPr="00782337">
        <w:rPr>
          <w:rFonts w:cs="Times New Roman"/>
          <w:color w:val="000000"/>
          <w:kern w:val="2"/>
          <w:sz w:val="24"/>
          <w:highlight w:val="yellow"/>
          <w:lang w:bidi="ar-SA"/>
        </w:rPr>
        <w:t>hydro</w:t>
      </w:r>
      <w:r w:rsidR="00895EFD" w:rsidRPr="00782337">
        <w:rPr>
          <w:rFonts w:cs="Times New Roman"/>
          <w:color w:val="000000"/>
          <w:kern w:val="2"/>
          <w:sz w:val="24"/>
          <w:highlight w:val="yellow"/>
          <w:lang w:bidi="ar-SA"/>
        </w:rPr>
        <w:t>-</w:t>
      </w:r>
      <w:r w:rsidR="00782337" w:rsidRPr="00782337">
        <w:rPr>
          <w:rFonts w:cs="Times New Roman"/>
          <w:color w:val="000000"/>
          <w:kern w:val="2"/>
          <w:sz w:val="24"/>
          <w:highlight w:val="yellow"/>
          <w:lang w:bidi="ar-SA"/>
        </w:rPr>
        <w:t>geomorphologic</w:t>
      </w:r>
      <w:r w:rsidRPr="006B0B0C">
        <w:rPr>
          <w:rFonts w:cs="Times New Roman"/>
          <w:color w:val="000000"/>
          <w:kern w:val="2"/>
          <w:sz w:val="24"/>
          <w:lang w:bidi="ar-SA"/>
        </w:rPr>
        <w:t xml:space="preserve"> conditions, this region lacks permanent rivers.</w:t>
      </w:r>
    </w:p>
    <w:p w:rsidR="002A6517" w:rsidRPr="006B0B0C" w:rsidRDefault="002A6517" w:rsidP="002A6517">
      <w:pPr>
        <w:bidi w:val="0"/>
        <w:ind w:right="-46"/>
        <w:jc w:val="both"/>
        <w:rPr>
          <w:rFonts w:cs="Times New Roman"/>
          <w:color w:val="000000"/>
          <w:kern w:val="2"/>
          <w:sz w:val="24"/>
          <w:lang w:bidi="ar-SA"/>
        </w:rPr>
      </w:pPr>
    </w:p>
    <w:p w:rsidR="00AE0165" w:rsidRPr="006B0B0C" w:rsidRDefault="00E06F7E" w:rsidP="002A6517">
      <w:pPr>
        <w:bidi w:val="0"/>
        <w:ind w:right="-46"/>
        <w:jc w:val="center"/>
        <w:rPr>
          <w:rFonts w:cs="Times New Roman"/>
          <w:color w:val="000000"/>
          <w:kern w:val="2"/>
          <w:sz w:val="24"/>
          <w:lang w:bidi="ar-SA"/>
        </w:rPr>
      </w:pPr>
      <w:r w:rsidRPr="00FE7F0A">
        <w:rPr>
          <w:rFonts w:ascii="Calibri" w:hAnsi="Calibri" w:cs="Arial"/>
          <w:noProof/>
          <w:color w:val="000000"/>
          <w:kern w:val="2"/>
          <w:sz w:val="24"/>
          <w:lang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40.15pt;height:360.65pt;visibility:visible">
            <v:imagedata r:id="rId8" o:title=""/>
          </v:shape>
        </w:pict>
      </w:r>
    </w:p>
    <w:p w:rsidR="00AE0165" w:rsidRPr="006B0B0C" w:rsidRDefault="009978F5" w:rsidP="002A6517">
      <w:pPr>
        <w:bidi w:val="0"/>
        <w:ind w:right="-46"/>
        <w:jc w:val="center"/>
        <w:rPr>
          <w:rFonts w:cs="Times New Roman"/>
          <w:color w:val="000000"/>
          <w:kern w:val="2"/>
          <w:sz w:val="20"/>
          <w:szCs w:val="20"/>
          <w:rtl/>
          <w:lang w:bidi="ar-SA"/>
        </w:rPr>
      </w:pPr>
      <w:r w:rsidRPr="005808D2">
        <w:rPr>
          <w:rFonts w:cs="Times New Roman"/>
          <w:b/>
          <w:bCs/>
          <w:color w:val="000000"/>
          <w:kern w:val="2"/>
          <w:sz w:val="20"/>
          <w:szCs w:val="20"/>
          <w:highlight w:val="yellow"/>
          <w:lang w:bidi="ar-SA"/>
        </w:rPr>
        <w:t>Figure:</w:t>
      </w:r>
      <w:r w:rsidR="00AE0165" w:rsidRPr="006B0B0C">
        <w:rPr>
          <w:rFonts w:cs="Times New Roman"/>
          <w:b/>
          <w:bCs/>
          <w:color w:val="000000"/>
          <w:kern w:val="2"/>
          <w:sz w:val="20"/>
          <w:szCs w:val="20"/>
          <w:lang w:bidi="ar-SA"/>
        </w:rPr>
        <w:t xml:space="preserve"> 1.</w:t>
      </w:r>
      <w:r w:rsidR="00AE0165" w:rsidRPr="006B0B0C">
        <w:rPr>
          <w:rFonts w:cs="Times New Roman"/>
          <w:color w:val="000000"/>
          <w:kern w:val="2"/>
          <w:sz w:val="20"/>
          <w:szCs w:val="20"/>
          <w:lang w:bidi="ar-SA"/>
        </w:rPr>
        <w:t xml:space="preserve"> Location of the Study Area</w:t>
      </w:r>
    </w:p>
    <w:p w:rsidR="002A6517" w:rsidRPr="006B0B0C" w:rsidRDefault="002A6517" w:rsidP="002A6517">
      <w:pPr>
        <w:bidi w:val="0"/>
        <w:ind w:right="-46"/>
        <w:jc w:val="center"/>
        <w:rPr>
          <w:rFonts w:cs="Times New Roman"/>
          <w:color w:val="000000"/>
          <w:kern w:val="2"/>
          <w:sz w:val="20"/>
          <w:szCs w:val="20"/>
          <w:rtl/>
          <w:lang w:bidi="ar-SA"/>
        </w:rPr>
      </w:pPr>
    </w:p>
    <w:p w:rsidR="002A6517" w:rsidRPr="006B0B0C" w:rsidRDefault="002A6517" w:rsidP="002A6517">
      <w:pPr>
        <w:bidi w:val="0"/>
        <w:ind w:right="-46"/>
        <w:jc w:val="center"/>
        <w:rPr>
          <w:rFonts w:cs="Times New Roman"/>
          <w:color w:val="000000"/>
          <w:kern w:val="2"/>
          <w:sz w:val="20"/>
          <w:szCs w:val="20"/>
          <w:lang w:bidi="ar-SA"/>
        </w:rPr>
      </w:pPr>
    </w:p>
    <w:p w:rsidR="00AE0165" w:rsidRPr="006B0B0C" w:rsidRDefault="00AE0165" w:rsidP="002A6517">
      <w:pPr>
        <w:bidi w:val="0"/>
        <w:ind w:right="-46"/>
        <w:jc w:val="both"/>
        <w:rPr>
          <w:rFonts w:cs="Times New Roman"/>
          <w:b/>
          <w:bCs/>
          <w:color w:val="000000"/>
          <w:kern w:val="2"/>
          <w:sz w:val="24"/>
          <w:lang w:bidi="ar-SA"/>
        </w:rPr>
      </w:pPr>
      <w:r w:rsidRPr="006B0B0C">
        <w:rPr>
          <w:rFonts w:cs="Times New Roman"/>
          <w:b/>
          <w:bCs/>
          <w:color w:val="000000"/>
          <w:kern w:val="2"/>
          <w:sz w:val="24"/>
          <w:lang w:bidi="ar-SA"/>
        </w:rPr>
        <w:t>3. Methodology</w:t>
      </w:r>
    </w:p>
    <w:p w:rsidR="00AE0165" w:rsidRPr="006B0B0C"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t>In this study, the 30-meter SRTM DEM, a digital geological map layer at a scale of 1:100,000, data regarding the epicenters of earthquakes that occurred in the region from 1907 to 2024 (sourced from the USGS website), MODIS satellite imagery, and Google Earth images were utilized as the primary data sources. The main research tools employed included Google Earth Engine, ArcGIS, and TerrSet. Considering the subject and objectives of the study, the research was conducted in several stages, which are detailed below:</w:t>
      </w:r>
    </w:p>
    <w:p w:rsidR="00AE0165" w:rsidRPr="006B0B0C" w:rsidRDefault="00AE0165" w:rsidP="002A6517">
      <w:pPr>
        <w:bidi w:val="0"/>
        <w:ind w:right="-46"/>
        <w:jc w:val="both"/>
        <w:rPr>
          <w:rFonts w:cs="Times New Roman"/>
          <w:b/>
          <w:bCs/>
          <w:color w:val="000000"/>
          <w:kern w:val="2"/>
          <w:sz w:val="24"/>
          <w:lang w:bidi="ar-SA"/>
        </w:rPr>
      </w:pPr>
      <w:r w:rsidRPr="006B0B0C">
        <w:rPr>
          <w:rFonts w:cs="Times New Roman"/>
          <w:b/>
          <w:bCs/>
          <w:color w:val="000000"/>
          <w:kern w:val="2"/>
          <w:sz w:val="24"/>
          <w:lang w:bidi="ar-SA"/>
        </w:rPr>
        <w:t>Step 1. Identification of Parameters and Preparation of Data Layers for Each Parameter</w:t>
      </w:r>
    </w:p>
    <w:p w:rsidR="00AE0165" w:rsidRPr="006B0B0C"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t>In this step, parameters were selected based on library studies and the condition of the area to identify regions suitable for the physical development of residential zones in the study area (Table 1). After selecting the relevant parameters, data layers for each parameter were prepared.</w:t>
      </w:r>
    </w:p>
    <w:p w:rsidR="00AE0165" w:rsidRPr="006B0B0C" w:rsidRDefault="00AE0165" w:rsidP="002A6517">
      <w:pPr>
        <w:bidi w:val="0"/>
        <w:ind w:right="-46"/>
        <w:jc w:val="both"/>
        <w:rPr>
          <w:rFonts w:cs="Times New Roman"/>
          <w:color w:val="000000"/>
          <w:kern w:val="2"/>
          <w:sz w:val="24"/>
          <w:rtl/>
          <w:lang w:bidi="ar-SA"/>
        </w:rPr>
      </w:pPr>
      <w:r w:rsidRPr="006B0B0C">
        <w:rPr>
          <w:rFonts w:cs="Times New Roman"/>
          <w:color w:val="000000"/>
          <w:kern w:val="2"/>
          <w:sz w:val="24"/>
          <w:lang w:bidi="ar-SA"/>
        </w:rPr>
        <w:t>To create the layers related to elevation, slope, and rivers, the 30-meter DEM was utilized. For the preparation of lithology and fault layers, the 1:100,000 geological map of the area was employed. To generate layers concerning urban points, communication lines, and the coastline, Google Earth images were used. Additionally, to create a vegetation cover density map for the region, MODIS satellite imagery, Google Earth Engine, and the NDVI index were utilized.</w:t>
      </w:r>
    </w:p>
    <w:p w:rsidR="002A6517" w:rsidRDefault="002A6517" w:rsidP="002A6517">
      <w:pPr>
        <w:bidi w:val="0"/>
        <w:ind w:right="-46"/>
        <w:jc w:val="both"/>
        <w:rPr>
          <w:rFonts w:cs="Times New Roman"/>
          <w:color w:val="000000"/>
          <w:kern w:val="2"/>
          <w:sz w:val="24"/>
          <w:lang w:bidi="ar-SA"/>
        </w:rPr>
      </w:pPr>
    </w:p>
    <w:p w:rsidR="00A51367" w:rsidRDefault="00A51367" w:rsidP="00A51367">
      <w:pPr>
        <w:bidi w:val="0"/>
        <w:ind w:right="-46"/>
        <w:jc w:val="both"/>
        <w:rPr>
          <w:rFonts w:cs="Times New Roman"/>
          <w:color w:val="000000"/>
          <w:kern w:val="2"/>
          <w:sz w:val="24"/>
          <w:lang w:bidi="ar-SA"/>
        </w:rPr>
      </w:pPr>
    </w:p>
    <w:p w:rsidR="00A51367" w:rsidRPr="006B0B0C" w:rsidRDefault="00A51367" w:rsidP="00A51367">
      <w:pPr>
        <w:bidi w:val="0"/>
        <w:ind w:right="-46"/>
        <w:jc w:val="both"/>
        <w:rPr>
          <w:rFonts w:cs="Times New Roman"/>
          <w:color w:val="000000"/>
          <w:kern w:val="2"/>
          <w:sz w:val="24"/>
          <w:lang w:bidi="ar-SA"/>
        </w:rPr>
      </w:pPr>
    </w:p>
    <w:p w:rsidR="00AE0165" w:rsidRPr="006B0B0C" w:rsidRDefault="00AE0165" w:rsidP="002A6517">
      <w:pPr>
        <w:bidi w:val="0"/>
        <w:ind w:right="-46"/>
        <w:jc w:val="center"/>
        <w:rPr>
          <w:rFonts w:cs="Times New Roman"/>
          <w:color w:val="000000"/>
          <w:kern w:val="2"/>
          <w:sz w:val="20"/>
          <w:szCs w:val="20"/>
          <w:lang w:bidi="ar-SA"/>
        </w:rPr>
      </w:pPr>
      <w:r w:rsidRPr="006B0B0C">
        <w:rPr>
          <w:rFonts w:cs="Times New Roman"/>
          <w:b/>
          <w:bCs/>
          <w:color w:val="000000"/>
          <w:kern w:val="2"/>
          <w:sz w:val="20"/>
          <w:szCs w:val="20"/>
          <w:lang w:bidi="ar-SA"/>
        </w:rPr>
        <w:t xml:space="preserve">Table 1: </w:t>
      </w:r>
      <w:r w:rsidRPr="006B0B0C">
        <w:rPr>
          <w:rFonts w:cs="Times New Roman"/>
          <w:color w:val="000000"/>
          <w:kern w:val="2"/>
          <w:sz w:val="20"/>
          <w:szCs w:val="20"/>
          <w:lang w:bidi="ar-SA"/>
        </w:rPr>
        <w:t>Parameters Used and Methods for Preparing Data Layers</w:t>
      </w:r>
    </w:p>
    <w:tbl>
      <w:tblPr>
        <w:tblW w:w="0" w:type="auto"/>
        <w:jc w:val="center"/>
        <w:tblBorders>
          <w:top w:val="single" w:sz="4" w:space="0" w:color="auto"/>
          <w:bottom w:val="single" w:sz="4" w:space="0" w:color="auto"/>
        </w:tblBorders>
        <w:tblLook w:val="04A0"/>
      </w:tblPr>
      <w:tblGrid>
        <w:gridCol w:w="2045"/>
        <w:gridCol w:w="2646"/>
        <w:gridCol w:w="4536"/>
      </w:tblGrid>
      <w:tr w:rsidR="00AE0165" w:rsidRPr="006B0B0C" w:rsidTr="00D346AD">
        <w:trPr>
          <w:jc w:val="center"/>
        </w:trPr>
        <w:tc>
          <w:tcPr>
            <w:tcW w:w="1323" w:type="dxa"/>
            <w:tcBorders>
              <w:bottom w:val="single" w:sz="4" w:space="0" w:color="auto"/>
            </w:tcBorders>
            <w:vAlign w:val="center"/>
          </w:tcPr>
          <w:p w:rsidR="00AE0165" w:rsidRPr="006B0B0C" w:rsidRDefault="00AE0165" w:rsidP="002A6517">
            <w:pPr>
              <w:bidi w:val="0"/>
              <w:ind w:right="-46"/>
              <w:jc w:val="center"/>
              <w:rPr>
                <w:rFonts w:cs="Times New Roman"/>
                <w:color w:val="000000"/>
                <w:kern w:val="2"/>
                <w:sz w:val="20"/>
                <w:szCs w:val="20"/>
                <w:lang w:bidi="ar-SA"/>
              </w:rPr>
            </w:pPr>
            <w:r w:rsidRPr="006B0B0C">
              <w:rPr>
                <w:rFonts w:cs="Times New Roman"/>
                <w:b/>
                <w:bCs/>
                <w:color w:val="000000"/>
                <w:kern w:val="2"/>
                <w:sz w:val="20"/>
                <w:szCs w:val="20"/>
                <w:lang w:bidi="ar-SA"/>
              </w:rPr>
              <w:t>Index</w:t>
            </w:r>
          </w:p>
        </w:tc>
        <w:tc>
          <w:tcPr>
            <w:tcW w:w="2646" w:type="dxa"/>
            <w:tcBorders>
              <w:bottom w:val="single" w:sz="4" w:space="0" w:color="auto"/>
            </w:tcBorders>
            <w:vAlign w:val="center"/>
          </w:tcPr>
          <w:p w:rsidR="00AE0165" w:rsidRPr="006B0B0C" w:rsidRDefault="00AE0165" w:rsidP="002A6517">
            <w:pPr>
              <w:bidi w:val="0"/>
              <w:ind w:right="-46"/>
              <w:jc w:val="center"/>
              <w:rPr>
                <w:rFonts w:cs="Times New Roman"/>
                <w:color w:val="000000"/>
                <w:kern w:val="2"/>
                <w:sz w:val="20"/>
                <w:szCs w:val="20"/>
                <w:lang w:bidi="ar-SA"/>
              </w:rPr>
            </w:pPr>
            <w:r w:rsidRPr="006B0B0C">
              <w:rPr>
                <w:rFonts w:cs="Times New Roman"/>
                <w:b/>
                <w:bCs/>
                <w:color w:val="000000"/>
                <w:kern w:val="2"/>
                <w:sz w:val="20"/>
                <w:szCs w:val="20"/>
                <w:lang w:bidi="ar-SA"/>
              </w:rPr>
              <w:t>Parameter</w:t>
            </w:r>
          </w:p>
        </w:tc>
        <w:tc>
          <w:tcPr>
            <w:tcW w:w="4536" w:type="dxa"/>
            <w:tcBorders>
              <w:bottom w:val="single" w:sz="4" w:space="0" w:color="auto"/>
            </w:tcBorders>
            <w:vAlign w:val="center"/>
          </w:tcPr>
          <w:p w:rsidR="00AE0165" w:rsidRPr="006B0B0C" w:rsidRDefault="00AE0165" w:rsidP="002A6517">
            <w:pPr>
              <w:bidi w:val="0"/>
              <w:ind w:right="-46"/>
              <w:jc w:val="center"/>
              <w:rPr>
                <w:rFonts w:cs="Times New Roman"/>
                <w:color w:val="000000"/>
                <w:kern w:val="2"/>
                <w:sz w:val="20"/>
                <w:szCs w:val="20"/>
                <w:lang w:bidi="ar-SA"/>
              </w:rPr>
            </w:pPr>
            <w:r w:rsidRPr="006B0B0C">
              <w:rPr>
                <w:rFonts w:cs="Times New Roman"/>
                <w:b/>
                <w:bCs/>
                <w:color w:val="000000"/>
                <w:kern w:val="2"/>
                <w:sz w:val="20"/>
                <w:szCs w:val="20"/>
                <w:lang w:bidi="ar-SA"/>
              </w:rPr>
              <w:t>Method for Preparing Data Layers</w:t>
            </w:r>
          </w:p>
        </w:tc>
      </w:tr>
      <w:tr w:rsidR="00AE0165" w:rsidRPr="006B0B0C" w:rsidTr="00D346AD">
        <w:trPr>
          <w:jc w:val="center"/>
        </w:trPr>
        <w:tc>
          <w:tcPr>
            <w:tcW w:w="1323" w:type="dxa"/>
            <w:vMerge w:val="restart"/>
            <w:tcBorders>
              <w:top w:val="single" w:sz="4" w:space="0" w:color="auto"/>
            </w:tcBorders>
            <w:vAlign w:val="center"/>
          </w:tcPr>
          <w:p w:rsidR="00AE0165" w:rsidRPr="006B0B0C" w:rsidRDefault="00AE0165" w:rsidP="002A6517">
            <w:pPr>
              <w:bidi w:val="0"/>
              <w:ind w:right="-46"/>
              <w:jc w:val="center"/>
              <w:rPr>
                <w:rFonts w:cs="Times New Roman"/>
                <w:b/>
                <w:bCs/>
                <w:color w:val="000000"/>
                <w:kern w:val="2"/>
                <w:sz w:val="20"/>
                <w:szCs w:val="20"/>
                <w:lang w:bidi="ar-SA"/>
              </w:rPr>
            </w:pPr>
            <w:r w:rsidRPr="006B0B0C">
              <w:rPr>
                <w:rFonts w:cs="Times New Roman"/>
                <w:b/>
                <w:bCs/>
                <w:color w:val="000000"/>
                <w:kern w:val="2"/>
                <w:sz w:val="20"/>
                <w:szCs w:val="20"/>
                <w:lang w:bidi="ar-SA"/>
              </w:rPr>
              <w:t>Hydrogeomorphology</w:t>
            </w:r>
          </w:p>
          <w:p w:rsidR="00AE0165" w:rsidRPr="006B0B0C" w:rsidRDefault="00AE0165" w:rsidP="002A6517">
            <w:pPr>
              <w:bidi w:val="0"/>
              <w:ind w:right="-46"/>
              <w:jc w:val="center"/>
              <w:rPr>
                <w:rFonts w:cs="Times New Roman"/>
                <w:b/>
                <w:bCs/>
                <w:color w:val="000000"/>
                <w:kern w:val="2"/>
                <w:sz w:val="20"/>
                <w:szCs w:val="20"/>
                <w:lang w:bidi="ar-SA"/>
              </w:rPr>
            </w:pPr>
          </w:p>
        </w:tc>
        <w:tc>
          <w:tcPr>
            <w:tcW w:w="2646" w:type="dxa"/>
            <w:tcBorders>
              <w:top w:val="single" w:sz="4" w:space="0" w:color="auto"/>
            </w:tcBorders>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Elevation</w:t>
            </w:r>
          </w:p>
        </w:tc>
        <w:tc>
          <w:tcPr>
            <w:tcW w:w="4536" w:type="dxa"/>
            <w:tcBorders>
              <w:top w:val="single" w:sz="4" w:space="0" w:color="auto"/>
            </w:tcBorders>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Prepared based on the 30-meter DEM</w:t>
            </w:r>
          </w:p>
        </w:tc>
      </w:tr>
      <w:tr w:rsidR="00AE0165" w:rsidRPr="006B0B0C" w:rsidTr="00D346AD">
        <w:trPr>
          <w:jc w:val="center"/>
        </w:trPr>
        <w:tc>
          <w:tcPr>
            <w:tcW w:w="1323" w:type="dxa"/>
            <w:vMerge/>
            <w:vAlign w:val="center"/>
          </w:tcPr>
          <w:p w:rsidR="00AE0165" w:rsidRPr="006B0B0C" w:rsidRDefault="00AE0165" w:rsidP="002A6517">
            <w:pPr>
              <w:bidi w:val="0"/>
              <w:ind w:right="-46"/>
              <w:jc w:val="center"/>
              <w:rPr>
                <w:rFonts w:cs="Times New Roman"/>
                <w:b/>
                <w:bCs/>
                <w:color w:val="000000"/>
                <w:kern w:val="2"/>
                <w:sz w:val="20"/>
                <w:szCs w:val="20"/>
                <w:lang w:bidi="ar-SA"/>
              </w:rPr>
            </w:pPr>
          </w:p>
        </w:tc>
        <w:tc>
          <w:tcPr>
            <w:tcW w:w="264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Slope</w:t>
            </w:r>
          </w:p>
        </w:tc>
        <w:tc>
          <w:tcPr>
            <w:tcW w:w="453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Prepared based on the 30-meter DEM</w:t>
            </w:r>
          </w:p>
        </w:tc>
      </w:tr>
      <w:tr w:rsidR="00AE0165" w:rsidRPr="006B0B0C" w:rsidTr="00D346AD">
        <w:trPr>
          <w:jc w:val="center"/>
        </w:trPr>
        <w:tc>
          <w:tcPr>
            <w:tcW w:w="1323" w:type="dxa"/>
            <w:vMerge/>
            <w:vAlign w:val="center"/>
          </w:tcPr>
          <w:p w:rsidR="00AE0165" w:rsidRPr="006B0B0C" w:rsidRDefault="00AE0165" w:rsidP="002A6517">
            <w:pPr>
              <w:bidi w:val="0"/>
              <w:ind w:right="-46"/>
              <w:jc w:val="center"/>
              <w:rPr>
                <w:rFonts w:cs="Times New Roman"/>
                <w:b/>
                <w:bCs/>
                <w:color w:val="000000"/>
                <w:kern w:val="2"/>
                <w:sz w:val="20"/>
                <w:szCs w:val="20"/>
                <w:lang w:bidi="ar-SA"/>
              </w:rPr>
            </w:pPr>
          </w:p>
        </w:tc>
        <w:tc>
          <w:tcPr>
            <w:tcW w:w="264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Distance from River</w:t>
            </w:r>
          </w:p>
        </w:tc>
        <w:tc>
          <w:tcPr>
            <w:tcW w:w="453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Prepared based on the 30-meter DEM</w:t>
            </w:r>
          </w:p>
        </w:tc>
      </w:tr>
      <w:tr w:rsidR="00AE0165" w:rsidRPr="006B0B0C" w:rsidTr="00D346AD">
        <w:trPr>
          <w:jc w:val="center"/>
        </w:trPr>
        <w:tc>
          <w:tcPr>
            <w:tcW w:w="1323" w:type="dxa"/>
            <w:vMerge/>
            <w:vAlign w:val="center"/>
          </w:tcPr>
          <w:p w:rsidR="00AE0165" w:rsidRPr="006B0B0C" w:rsidRDefault="00AE0165" w:rsidP="002A6517">
            <w:pPr>
              <w:bidi w:val="0"/>
              <w:ind w:right="-46"/>
              <w:jc w:val="center"/>
              <w:rPr>
                <w:rFonts w:cs="Times New Roman"/>
                <w:b/>
                <w:bCs/>
                <w:color w:val="000000"/>
                <w:kern w:val="2"/>
                <w:sz w:val="20"/>
                <w:szCs w:val="20"/>
                <w:lang w:bidi="ar-SA"/>
              </w:rPr>
            </w:pPr>
          </w:p>
        </w:tc>
        <w:tc>
          <w:tcPr>
            <w:tcW w:w="2646"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Distance from Coastline</w:t>
            </w:r>
          </w:p>
        </w:tc>
        <w:tc>
          <w:tcPr>
            <w:tcW w:w="453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Prepared based on Google Earth images</w:t>
            </w:r>
          </w:p>
        </w:tc>
      </w:tr>
      <w:tr w:rsidR="00AE0165" w:rsidRPr="006B0B0C" w:rsidTr="00D346AD">
        <w:trPr>
          <w:jc w:val="center"/>
        </w:trPr>
        <w:tc>
          <w:tcPr>
            <w:tcW w:w="1323" w:type="dxa"/>
            <w:vMerge w:val="restart"/>
            <w:vAlign w:val="center"/>
          </w:tcPr>
          <w:p w:rsidR="00AE0165" w:rsidRPr="006B0B0C" w:rsidRDefault="00AE0165" w:rsidP="002A6517">
            <w:pPr>
              <w:bidi w:val="0"/>
              <w:ind w:right="-46"/>
              <w:jc w:val="center"/>
              <w:rPr>
                <w:rFonts w:cs="Times New Roman"/>
                <w:b/>
                <w:bCs/>
                <w:color w:val="000000"/>
                <w:kern w:val="2"/>
                <w:sz w:val="20"/>
                <w:szCs w:val="20"/>
                <w:lang w:bidi="ar-SA"/>
              </w:rPr>
            </w:pPr>
            <w:r w:rsidRPr="006B0B0C">
              <w:rPr>
                <w:rFonts w:cs="Times New Roman"/>
                <w:b/>
                <w:bCs/>
                <w:color w:val="000000"/>
                <w:kern w:val="2"/>
                <w:sz w:val="20"/>
                <w:szCs w:val="20"/>
                <w:lang w:bidi="ar-SA"/>
              </w:rPr>
              <w:t>Geology</w:t>
            </w:r>
          </w:p>
          <w:p w:rsidR="00AE0165" w:rsidRPr="006B0B0C" w:rsidRDefault="00AE0165" w:rsidP="002A6517">
            <w:pPr>
              <w:bidi w:val="0"/>
              <w:ind w:right="-46"/>
              <w:jc w:val="center"/>
              <w:rPr>
                <w:rFonts w:cs="Times New Roman"/>
                <w:b/>
                <w:bCs/>
                <w:color w:val="000000"/>
                <w:kern w:val="2"/>
                <w:sz w:val="20"/>
                <w:szCs w:val="20"/>
                <w:lang w:bidi="ar-SA"/>
              </w:rPr>
            </w:pPr>
          </w:p>
        </w:tc>
        <w:tc>
          <w:tcPr>
            <w:tcW w:w="264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Lithology</w:t>
            </w:r>
          </w:p>
        </w:tc>
        <w:tc>
          <w:tcPr>
            <w:tcW w:w="453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Prepared based on the 1:100,000 geological map</w:t>
            </w:r>
          </w:p>
        </w:tc>
      </w:tr>
      <w:tr w:rsidR="00AE0165" w:rsidRPr="006B0B0C" w:rsidTr="00D346AD">
        <w:trPr>
          <w:jc w:val="center"/>
        </w:trPr>
        <w:tc>
          <w:tcPr>
            <w:tcW w:w="1323" w:type="dxa"/>
            <w:vMerge/>
            <w:vAlign w:val="center"/>
          </w:tcPr>
          <w:p w:rsidR="00AE0165" w:rsidRPr="006B0B0C" w:rsidRDefault="00AE0165" w:rsidP="002A6517">
            <w:pPr>
              <w:bidi w:val="0"/>
              <w:ind w:right="-46"/>
              <w:jc w:val="center"/>
              <w:rPr>
                <w:rFonts w:cs="Times New Roman"/>
                <w:b/>
                <w:bCs/>
                <w:color w:val="000000"/>
                <w:kern w:val="2"/>
                <w:sz w:val="20"/>
                <w:szCs w:val="20"/>
                <w:lang w:bidi="ar-SA"/>
              </w:rPr>
            </w:pPr>
          </w:p>
        </w:tc>
        <w:tc>
          <w:tcPr>
            <w:tcW w:w="264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Distance from Fault</w:t>
            </w:r>
          </w:p>
        </w:tc>
        <w:tc>
          <w:tcPr>
            <w:tcW w:w="453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Prepared based on the 1:100,000 geological map</w:t>
            </w:r>
          </w:p>
        </w:tc>
      </w:tr>
      <w:tr w:rsidR="00AE0165" w:rsidRPr="006B0B0C" w:rsidTr="00D346AD">
        <w:trPr>
          <w:jc w:val="center"/>
        </w:trPr>
        <w:tc>
          <w:tcPr>
            <w:tcW w:w="1323" w:type="dxa"/>
            <w:vMerge/>
            <w:vAlign w:val="center"/>
          </w:tcPr>
          <w:p w:rsidR="00AE0165" w:rsidRPr="006B0B0C" w:rsidRDefault="00AE0165" w:rsidP="002A6517">
            <w:pPr>
              <w:bidi w:val="0"/>
              <w:ind w:right="-46"/>
              <w:jc w:val="center"/>
              <w:rPr>
                <w:rFonts w:cs="Times New Roman"/>
                <w:b/>
                <w:bCs/>
                <w:color w:val="000000"/>
                <w:kern w:val="2"/>
                <w:sz w:val="20"/>
                <w:szCs w:val="20"/>
                <w:lang w:bidi="ar-SA"/>
              </w:rPr>
            </w:pPr>
          </w:p>
        </w:tc>
        <w:tc>
          <w:tcPr>
            <w:tcW w:w="264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Distance from Earthquake Epicenters</w:t>
            </w:r>
          </w:p>
        </w:tc>
        <w:tc>
          <w:tcPr>
            <w:tcW w:w="453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Obtained from the USGS website</w:t>
            </w:r>
          </w:p>
        </w:tc>
      </w:tr>
      <w:tr w:rsidR="00AE0165" w:rsidRPr="006B0B0C" w:rsidTr="00D346AD">
        <w:trPr>
          <w:jc w:val="center"/>
        </w:trPr>
        <w:tc>
          <w:tcPr>
            <w:tcW w:w="1323" w:type="dxa"/>
            <w:vMerge w:val="restart"/>
            <w:vAlign w:val="center"/>
          </w:tcPr>
          <w:p w:rsidR="00AE0165" w:rsidRPr="006B0B0C" w:rsidRDefault="00AE0165" w:rsidP="002A6517">
            <w:pPr>
              <w:bidi w:val="0"/>
              <w:ind w:right="-46"/>
              <w:jc w:val="center"/>
              <w:rPr>
                <w:rFonts w:cs="Times New Roman"/>
                <w:b/>
                <w:bCs/>
                <w:color w:val="000000"/>
                <w:kern w:val="2"/>
                <w:sz w:val="20"/>
                <w:szCs w:val="20"/>
                <w:lang w:bidi="ar-SA"/>
              </w:rPr>
            </w:pPr>
            <w:r w:rsidRPr="006B0B0C">
              <w:rPr>
                <w:rFonts w:cs="Times New Roman"/>
                <w:b/>
                <w:bCs/>
                <w:color w:val="000000"/>
                <w:kern w:val="2"/>
                <w:sz w:val="20"/>
                <w:szCs w:val="20"/>
                <w:lang w:bidi="ar-SA"/>
              </w:rPr>
              <w:t>Human Factors</w:t>
            </w:r>
          </w:p>
          <w:p w:rsidR="00AE0165" w:rsidRPr="006B0B0C" w:rsidRDefault="00AE0165" w:rsidP="002A6517">
            <w:pPr>
              <w:bidi w:val="0"/>
              <w:ind w:right="-46"/>
              <w:jc w:val="center"/>
              <w:rPr>
                <w:rFonts w:cs="Times New Roman"/>
                <w:b/>
                <w:bCs/>
                <w:color w:val="000000"/>
                <w:kern w:val="2"/>
                <w:sz w:val="20"/>
                <w:szCs w:val="20"/>
                <w:lang w:bidi="ar-SA"/>
              </w:rPr>
            </w:pPr>
          </w:p>
        </w:tc>
        <w:tc>
          <w:tcPr>
            <w:tcW w:w="264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Distance from Urban Points</w:t>
            </w:r>
          </w:p>
        </w:tc>
        <w:tc>
          <w:tcPr>
            <w:tcW w:w="453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Prepared based on Google Earth images</w:t>
            </w:r>
          </w:p>
        </w:tc>
      </w:tr>
      <w:tr w:rsidR="00AE0165" w:rsidRPr="006B0B0C" w:rsidTr="00D346AD">
        <w:trPr>
          <w:jc w:val="center"/>
        </w:trPr>
        <w:tc>
          <w:tcPr>
            <w:tcW w:w="1323" w:type="dxa"/>
            <w:vMerge/>
            <w:vAlign w:val="center"/>
          </w:tcPr>
          <w:p w:rsidR="00AE0165" w:rsidRPr="006B0B0C" w:rsidRDefault="00AE0165" w:rsidP="002A6517">
            <w:pPr>
              <w:bidi w:val="0"/>
              <w:ind w:right="-46"/>
              <w:jc w:val="center"/>
              <w:rPr>
                <w:rFonts w:cs="Times New Roman"/>
                <w:b/>
                <w:bCs/>
                <w:color w:val="000000"/>
                <w:kern w:val="2"/>
                <w:sz w:val="20"/>
                <w:szCs w:val="20"/>
                <w:lang w:bidi="ar-SA"/>
              </w:rPr>
            </w:pPr>
          </w:p>
        </w:tc>
        <w:tc>
          <w:tcPr>
            <w:tcW w:w="264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Distance from Main Road</w:t>
            </w:r>
          </w:p>
        </w:tc>
        <w:tc>
          <w:tcPr>
            <w:tcW w:w="453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Prepared based on Google Earth images</w:t>
            </w:r>
          </w:p>
        </w:tc>
      </w:tr>
      <w:tr w:rsidR="00AE0165" w:rsidRPr="006B0B0C" w:rsidTr="00D346AD">
        <w:trPr>
          <w:jc w:val="center"/>
        </w:trPr>
        <w:tc>
          <w:tcPr>
            <w:tcW w:w="1323" w:type="dxa"/>
            <w:vAlign w:val="center"/>
          </w:tcPr>
          <w:p w:rsidR="00AE0165" w:rsidRPr="006B0B0C" w:rsidRDefault="00AE0165" w:rsidP="002A6517">
            <w:pPr>
              <w:bidi w:val="0"/>
              <w:ind w:right="-46"/>
              <w:jc w:val="center"/>
              <w:rPr>
                <w:rFonts w:cs="Times New Roman"/>
                <w:b/>
                <w:bCs/>
                <w:color w:val="000000"/>
                <w:kern w:val="2"/>
                <w:sz w:val="20"/>
                <w:szCs w:val="20"/>
                <w:lang w:bidi="ar-SA"/>
              </w:rPr>
            </w:pPr>
            <w:r w:rsidRPr="006B0B0C">
              <w:rPr>
                <w:rFonts w:cs="Times New Roman"/>
                <w:b/>
                <w:bCs/>
                <w:color w:val="000000"/>
                <w:kern w:val="2"/>
                <w:sz w:val="20"/>
                <w:szCs w:val="20"/>
                <w:lang w:bidi="ar-SA"/>
              </w:rPr>
              <w:t>Vegetation Cover</w:t>
            </w:r>
          </w:p>
        </w:tc>
        <w:tc>
          <w:tcPr>
            <w:tcW w:w="264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Vegetation Density</w:t>
            </w:r>
          </w:p>
        </w:tc>
        <w:tc>
          <w:tcPr>
            <w:tcW w:w="4536"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Prepared based on MODIS satellite imagery and Google Earth Engine</w:t>
            </w:r>
          </w:p>
        </w:tc>
      </w:tr>
    </w:tbl>
    <w:p w:rsidR="00AE0165" w:rsidRPr="006B0B0C" w:rsidRDefault="00AE0165" w:rsidP="002A6517">
      <w:pPr>
        <w:bidi w:val="0"/>
        <w:ind w:right="-46"/>
        <w:jc w:val="both"/>
        <w:rPr>
          <w:rFonts w:cs="Times New Roman"/>
          <w:color w:val="000000"/>
          <w:kern w:val="2"/>
          <w:sz w:val="20"/>
          <w:szCs w:val="20"/>
          <w:lang w:bidi="ar-SA"/>
        </w:rPr>
      </w:pPr>
    </w:p>
    <w:p w:rsidR="00AE0165" w:rsidRPr="006B0B0C" w:rsidRDefault="00AE0165" w:rsidP="002A6517">
      <w:pPr>
        <w:bidi w:val="0"/>
        <w:ind w:right="-46"/>
        <w:jc w:val="both"/>
        <w:rPr>
          <w:rFonts w:cs="Times New Roman"/>
          <w:b/>
          <w:bCs/>
          <w:color w:val="000000"/>
          <w:kern w:val="2"/>
          <w:sz w:val="24"/>
          <w:lang w:bidi="ar-SA"/>
        </w:rPr>
      </w:pPr>
      <w:r w:rsidRPr="006B0B0C">
        <w:rPr>
          <w:rFonts w:cs="Times New Roman"/>
          <w:b/>
          <w:bCs/>
          <w:color w:val="000000"/>
          <w:kern w:val="2"/>
          <w:sz w:val="24"/>
          <w:lang w:bidi="ar-SA"/>
        </w:rPr>
        <w:t>Step 2. Standardization of Data Layers</w:t>
      </w:r>
    </w:p>
    <w:p w:rsidR="00AE0165" w:rsidRPr="006B0B0C" w:rsidRDefault="00AE0165" w:rsidP="002A6517">
      <w:pPr>
        <w:bidi w:val="0"/>
        <w:ind w:right="-46"/>
        <w:jc w:val="both"/>
        <w:rPr>
          <w:rFonts w:cs="Times New Roman"/>
          <w:color w:val="000000"/>
          <w:kern w:val="2"/>
          <w:sz w:val="24"/>
          <w:rtl/>
          <w:lang w:bidi="ar-SA"/>
        </w:rPr>
      </w:pPr>
      <w:r w:rsidRPr="006B0B0C">
        <w:rPr>
          <w:rFonts w:cs="Times New Roman"/>
          <w:color w:val="000000"/>
          <w:kern w:val="2"/>
          <w:sz w:val="24"/>
          <w:lang w:bidi="ar-SA"/>
        </w:rPr>
        <w:t>After preparing, the layers were standardized to make them evaluable. The standardization of the layers was conducted based on intra-layer weighting and according to the potential they have for the development of residential areas (Table 2).</w:t>
      </w:r>
    </w:p>
    <w:p w:rsidR="002A6517" w:rsidRPr="006B0B0C" w:rsidRDefault="002A6517" w:rsidP="002A6517">
      <w:pPr>
        <w:bidi w:val="0"/>
        <w:ind w:right="-46"/>
        <w:jc w:val="both"/>
        <w:rPr>
          <w:rFonts w:cs="Times New Roman"/>
          <w:color w:val="000000"/>
          <w:kern w:val="2"/>
          <w:sz w:val="24"/>
          <w:lang w:bidi="ar-SA"/>
        </w:rPr>
      </w:pPr>
    </w:p>
    <w:p w:rsidR="00AE0165" w:rsidRPr="006B0B0C" w:rsidRDefault="00AE0165" w:rsidP="002A6517">
      <w:pPr>
        <w:bidi w:val="0"/>
        <w:ind w:right="-46"/>
        <w:jc w:val="center"/>
        <w:rPr>
          <w:rFonts w:cs="Times New Roman"/>
          <w:color w:val="000000"/>
          <w:kern w:val="2"/>
          <w:sz w:val="20"/>
          <w:szCs w:val="20"/>
          <w:lang w:bidi="ar-SA"/>
        </w:rPr>
      </w:pPr>
      <w:r w:rsidRPr="006B0B0C">
        <w:rPr>
          <w:rFonts w:cs="Times New Roman"/>
          <w:b/>
          <w:bCs/>
          <w:color w:val="000000"/>
          <w:kern w:val="2"/>
          <w:sz w:val="20"/>
          <w:szCs w:val="20"/>
          <w:lang w:bidi="ar-SA"/>
        </w:rPr>
        <w:t xml:space="preserve">Table 2: </w:t>
      </w:r>
      <w:r w:rsidRPr="006B0B0C">
        <w:rPr>
          <w:rFonts w:cs="Times New Roman"/>
          <w:color w:val="000000"/>
          <w:kern w:val="2"/>
          <w:sz w:val="20"/>
          <w:szCs w:val="20"/>
          <w:lang w:bidi="ar-SA"/>
        </w:rPr>
        <w:t>Method of Standardizing Data Layers</w:t>
      </w:r>
    </w:p>
    <w:tbl>
      <w:tblPr>
        <w:tblW w:w="8784" w:type="dxa"/>
        <w:jc w:val="center"/>
        <w:tblBorders>
          <w:top w:val="single" w:sz="4" w:space="0" w:color="auto"/>
          <w:bottom w:val="single" w:sz="4" w:space="0" w:color="auto"/>
        </w:tblBorders>
        <w:tblLook w:val="04A0"/>
      </w:tblPr>
      <w:tblGrid>
        <w:gridCol w:w="704"/>
        <w:gridCol w:w="2268"/>
        <w:gridCol w:w="5812"/>
      </w:tblGrid>
      <w:tr w:rsidR="00AE0165" w:rsidRPr="006B0B0C" w:rsidTr="00D346AD">
        <w:trPr>
          <w:jc w:val="center"/>
        </w:trPr>
        <w:tc>
          <w:tcPr>
            <w:tcW w:w="704" w:type="dxa"/>
            <w:tcBorders>
              <w:bottom w:val="single" w:sz="4" w:space="0" w:color="auto"/>
            </w:tcBorders>
            <w:vAlign w:val="center"/>
          </w:tcPr>
          <w:p w:rsidR="00AE0165" w:rsidRPr="006B0B0C" w:rsidRDefault="00AE0165" w:rsidP="002A6517">
            <w:pPr>
              <w:bidi w:val="0"/>
              <w:ind w:right="-46"/>
              <w:jc w:val="center"/>
              <w:rPr>
                <w:rFonts w:cs="Times New Roman"/>
                <w:b/>
                <w:bCs/>
                <w:color w:val="000000"/>
                <w:kern w:val="2"/>
                <w:sz w:val="20"/>
                <w:szCs w:val="20"/>
                <w:rtl/>
                <w:lang w:bidi="ar-SA"/>
              </w:rPr>
            </w:pPr>
            <w:r w:rsidRPr="006B0B0C">
              <w:rPr>
                <w:rFonts w:cs="Times New Roman"/>
                <w:b/>
                <w:bCs/>
                <w:color w:val="000000"/>
                <w:kern w:val="2"/>
                <w:sz w:val="20"/>
                <w:szCs w:val="20"/>
                <w:lang w:bidi="ar-SA"/>
              </w:rPr>
              <w:t>Row</w:t>
            </w:r>
          </w:p>
        </w:tc>
        <w:tc>
          <w:tcPr>
            <w:tcW w:w="2268" w:type="dxa"/>
            <w:tcBorders>
              <w:bottom w:val="single" w:sz="4" w:space="0" w:color="auto"/>
            </w:tcBorders>
            <w:vAlign w:val="center"/>
          </w:tcPr>
          <w:p w:rsidR="00AE0165" w:rsidRPr="006B0B0C" w:rsidRDefault="00AE0165" w:rsidP="002A6517">
            <w:pPr>
              <w:bidi w:val="0"/>
              <w:ind w:right="-46"/>
              <w:jc w:val="center"/>
              <w:rPr>
                <w:rFonts w:cs="Times New Roman"/>
                <w:b/>
                <w:bCs/>
                <w:color w:val="000000"/>
                <w:kern w:val="2"/>
                <w:sz w:val="20"/>
                <w:szCs w:val="20"/>
                <w:lang w:bidi="ar-SA"/>
              </w:rPr>
            </w:pPr>
            <w:r w:rsidRPr="006B0B0C">
              <w:rPr>
                <w:rFonts w:cs="Times New Roman"/>
                <w:b/>
                <w:bCs/>
                <w:color w:val="000000"/>
                <w:kern w:val="2"/>
                <w:sz w:val="20"/>
                <w:szCs w:val="20"/>
                <w:lang w:bidi="ar-SA"/>
              </w:rPr>
              <w:t>Parameter</w:t>
            </w:r>
          </w:p>
        </w:tc>
        <w:tc>
          <w:tcPr>
            <w:tcW w:w="5812" w:type="dxa"/>
            <w:tcBorders>
              <w:bottom w:val="single" w:sz="4" w:space="0" w:color="auto"/>
            </w:tcBorders>
            <w:vAlign w:val="center"/>
          </w:tcPr>
          <w:p w:rsidR="00AE0165" w:rsidRPr="006B0B0C" w:rsidRDefault="00AE0165" w:rsidP="002A6517">
            <w:pPr>
              <w:bidi w:val="0"/>
              <w:ind w:right="-46"/>
              <w:jc w:val="center"/>
              <w:rPr>
                <w:rFonts w:cs="Times New Roman"/>
                <w:b/>
                <w:bCs/>
                <w:color w:val="000000"/>
                <w:kern w:val="2"/>
                <w:sz w:val="20"/>
                <w:szCs w:val="20"/>
                <w:lang w:bidi="ar-SA"/>
              </w:rPr>
            </w:pPr>
            <w:r w:rsidRPr="006B0B0C">
              <w:rPr>
                <w:rFonts w:cs="Times New Roman"/>
                <w:b/>
                <w:bCs/>
                <w:color w:val="000000"/>
                <w:kern w:val="2"/>
                <w:sz w:val="20"/>
                <w:szCs w:val="20"/>
                <w:lang w:bidi="ar-SA"/>
              </w:rPr>
              <w:t>Method of Standardizing Data Layers</w:t>
            </w:r>
          </w:p>
        </w:tc>
      </w:tr>
      <w:tr w:rsidR="00AE0165" w:rsidRPr="006B0B0C" w:rsidTr="00D346AD">
        <w:trPr>
          <w:jc w:val="center"/>
        </w:trPr>
        <w:tc>
          <w:tcPr>
            <w:tcW w:w="704" w:type="dxa"/>
            <w:tcBorders>
              <w:top w:val="single" w:sz="4" w:space="0" w:color="auto"/>
            </w:tcBorders>
          </w:tcPr>
          <w:p w:rsidR="00AE0165" w:rsidRPr="006B0B0C" w:rsidRDefault="00AE0165" w:rsidP="002A6517">
            <w:pPr>
              <w:bidi w:val="0"/>
              <w:ind w:right="-46"/>
              <w:jc w:val="center"/>
              <w:rPr>
                <w:rFonts w:cs="Times New Roman"/>
                <w:color w:val="000000"/>
                <w:kern w:val="2"/>
                <w:sz w:val="20"/>
                <w:szCs w:val="20"/>
                <w:rtl/>
                <w:lang w:bidi="ar-SA"/>
              </w:rPr>
            </w:pPr>
            <w:r w:rsidRPr="006B0B0C">
              <w:rPr>
                <w:rFonts w:cs="Times New Roman"/>
                <w:color w:val="000000"/>
                <w:kern w:val="2"/>
                <w:sz w:val="20"/>
                <w:szCs w:val="20"/>
                <w:lang w:bidi="ar-SA"/>
              </w:rPr>
              <w:t>1</w:t>
            </w:r>
          </w:p>
        </w:tc>
        <w:tc>
          <w:tcPr>
            <w:tcW w:w="2268" w:type="dxa"/>
            <w:tcBorders>
              <w:top w:val="single" w:sz="4" w:space="0" w:color="auto"/>
            </w:tcBorders>
          </w:tcPr>
          <w:p w:rsidR="00AE0165" w:rsidRPr="006B0B0C" w:rsidRDefault="00AE0165" w:rsidP="002A6517">
            <w:pPr>
              <w:bidi w:val="0"/>
              <w:ind w:right="-46"/>
              <w:jc w:val="center"/>
              <w:rPr>
                <w:rFonts w:cs="Times New Roman"/>
                <w:color w:val="000000"/>
                <w:kern w:val="2"/>
                <w:sz w:val="20"/>
                <w:szCs w:val="20"/>
                <w:lang w:bidi="ar-SA"/>
              </w:rPr>
            </w:pPr>
            <w:r w:rsidRPr="006B0B0C">
              <w:rPr>
                <w:rFonts w:cs="Times New Roman"/>
                <w:color w:val="000000"/>
                <w:kern w:val="2"/>
                <w:sz w:val="20"/>
                <w:szCs w:val="20"/>
                <w:lang w:bidi="ar-SA"/>
              </w:rPr>
              <w:t>Elevation</w:t>
            </w:r>
          </w:p>
        </w:tc>
        <w:tc>
          <w:tcPr>
            <w:tcW w:w="5812" w:type="dxa"/>
            <w:tcBorders>
              <w:top w:val="single" w:sz="4" w:space="0" w:color="auto"/>
            </w:tcBorders>
          </w:tcPr>
          <w:p w:rsidR="00AE0165" w:rsidRPr="006B0B0C" w:rsidRDefault="00AE0165" w:rsidP="002A6517">
            <w:pPr>
              <w:bidi w:val="0"/>
              <w:jc w:val="both"/>
              <w:rPr>
                <w:rFonts w:cs="Times New Roman"/>
                <w:color w:val="000000"/>
                <w:kern w:val="2"/>
                <w:sz w:val="20"/>
                <w:szCs w:val="20"/>
                <w:lang w:bidi="ar-SA"/>
              </w:rPr>
            </w:pPr>
            <w:r w:rsidRPr="006B0B0C">
              <w:rPr>
                <w:rFonts w:cs="Times New Roman"/>
                <w:color w:val="000000"/>
                <w:kern w:val="2"/>
                <w:sz w:val="20"/>
                <w:szCs w:val="20"/>
                <w:lang w:bidi="ar-SA"/>
              </w:rPr>
              <w:t>Areas with low elevation are given a value close to 1, and areas with high elevation are given a value close to 0.</w:t>
            </w:r>
          </w:p>
        </w:tc>
      </w:tr>
      <w:tr w:rsidR="00AE0165" w:rsidRPr="006B0B0C" w:rsidTr="00D346AD">
        <w:trPr>
          <w:jc w:val="center"/>
        </w:trPr>
        <w:tc>
          <w:tcPr>
            <w:tcW w:w="704" w:type="dxa"/>
          </w:tcPr>
          <w:p w:rsidR="00AE0165" w:rsidRPr="006B0B0C" w:rsidRDefault="00AE0165" w:rsidP="002A6517">
            <w:pPr>
              <w:bidi w:val="0"/>
              <w:ind w:right="-46"/>
              <w:jc w:val="center"/>
              <w:rPr>
                <w:rFonts w:cs="Times New Roman"/>
                <w:color w:val="000000"/>
                <w:kern w:val="2"/>
                <w:sz w:val="20"/>
                <w:szCs w:val="20"/>
                <w:rtl/>
                <w:lang w:bidi="ar-SA"/>
              </w:rPr>
            </w:pPr>
            <w:r w:rsidRPr="006B0B0C">
              <w:rPr>
                <w:rFonts w:cs="Times New Roman"/>
                <w:color w:val="000000"/>
                <w:kern w:val="2"/>
                <w:sz w:val="20"/>
                <w:szCs w:val="20"/>
                <w:lang w:bidi="ar-SA"/>
              </w:rPr>
              <w:t>2</w:t>
            </w:r>
          </w:p>
        </w:tc>
        <w:tc>
          <w:tcPr>
            <w:tcW w:w="2268" w:type="dxa"/>
          </w:tcPr>
          <w:p w:rsidR="00AE0165" w:rsidRPr="006B0B0C" w:rsidRDefault="00AE0165" w:rsidP="002A6517">
            <w:pPr>
              <w:bidi w:val="0"/>
              <w:ind w:right="-46"/>
              <w:jc w:val="center"/>
              <w:rPr>
                <w:rFonts w:cs="Times New Roman"/>
                <w:color w:val="000000"/>
                <w:kern w:val="2"/>
                <w:sz w:val="20"/>
                <w:szCs w:val="20"/>
                <w:lang w:bidi="ar-SA"/>
              </w:rPr>
            </w:pPr>
            <w:r w:rsidRPr="006B0B0C">
              <w:rPr>
                <w:rFonts w:cs="Times New Roman"/>
                <w:color w:val="000000"/>
                <w:kern w:val="2"/>
                <w:sz w:val="20"/>
                <w:szCs w:val="20"/>
                <w:lang w:bidi="ar-SA"/>
              </w:rPr>
              <w:t>Slope</w:t>
            </w:r>
          </w:p>
        </w:tc>
        <w:tc>
          <w:tcPr>
            <w:tcW w:w="5812" w:type="dxa"/>
          </w:tcPr>
          <w:p w:rsidR="00AE0165" w:rsidRPr="006B0B0C" w:rsidRDefault="00AE0165" w:rsidP="002A6517">
            <w:pPr>
              <w:bidi w:val="0"/>
              <w:jc w:val="both"/>
              <w:rPr>
                <w:rFonts w:cs="Times New Roman"/>
                <w:color w:val="000000"/>
                <w:kern w:val="2"/>
                <w:sz w:val="20"/>
                <w:szCs w:val="20"/>
                <w:lang w:bidi="ar-SA"/>
              </w:rPr>
            </w:pPr>
            <w:r w:rsidRPr="006B0B0C">
              <w:rPr>
                <w:rFonts w:cs="Times New Roman"/>
                <w:color w:val="000000"/>
                <w:kern w:val="2"/>
                <w:sz w:val="20"/>
                <w:szCs w:val="20"/>
                <w:lang w:bidi="ar-SA"/>
              </w:rPr>
              <w:t>Areas with low slope are given a value close to 1, and areas with steep slope are given a value close to 0.</w:t>
            </w:r>
          </w:p>
        </w:tc>
      </w:tr>
      <w:tr w:rsidR="00AE0165" w:rsidRPr="006B0B0C" w:rsidTr="00D346AD">
        <w:trPr>
          <w:jc w:val="center"/>
        </w:trPr>
        <w:tc>
          <w:tcPr>
            <w:tcW w:w="704" w:type="dxa"/>
          </w:tcPr>
          <w:p w:rsidR="00AE0165" w:rsidRPr="006B0B0C" w:rsidRDefault="00AE0165" w:rsidP="002A6517">
            <w:pPr>
              <w:bidi w:val="0"/>
              <w:ind w:right="-46"/>
              <w:jc w:val="center"/>
              <w:rPr>
                <w:rFonts w:cs="Times New Roman"/>
                <w:color w:val="000000"/>
                <w:kern w:val="2"/>
                <w:sz w:val="20"/>
                <w:szCs w:val="20"/>
                <w:rtl/>
                <w:lang w:bidi="ar-SA"/>
              </w:rPr>
            </w:pPr>
            <w:r w:rsidRPr="006B0B0C">
              <w:rPr>
                <w:rFonts w:cs="Times New Roman"/>
                <w:color w:val="000000"/>
                <w:kern w:val="2"/>
                <w:sz w:val="20"/>
                <w:szCs w:val="20"/>
                <w:lang w:bidi="ar-SA"/>
              </w:rPr>
              <w:t>3</w:t>
            </w:r>
          </w:p>
        </w:tc>
        <w:tc>
          <w:tcPr>
            <w:tcW w:w="2268" w:type="dxa"/>
          </w:tcPr>
          <w:p w:rsidR="00AE0165" w:rsidRPr="006B0B0C" w:rsidRDefault="00AE0165" w:rsidP="002A6517">
            <w:pPr>
              <w:bidi w:val="0"/>
              <w:ind w:right="-46"/>
              <w:jc w:val="center"/>
              <w:rPr>
                <w:rFonts w:cs="Times New Roman"/>
                <w:color w:val="000000"/>
                <w:kern w:val="2"/>
                <w:sz w:val="20"/>
                <w:szCs w:val="20"/>
                <w:lang w:bidi="ar-SA"/>
              </w:rPr>
            </w:pPr>
            <w:r w:rsidRPr="006B0B0C">
              <w:rPr>
                <w:rFonts w:cs="Times New Roman"/>
                <w:color w:val="000000"/>
                <w:kern w:val="2"/>
                <w:sz w:val="20"/>
                <w:szCs w:val="20"/>
                <w:lang w:bidi="ar-SA"/>
              </w:rPr>
              <w:t>Distance from River</w:t>
            </w:r>
          </w:p>
        </w:tc>
        <w:tc>
          <w:tcPr>
            <w:tcW w:w="5812" w:type="dxa"/>
          </w:tcPr>
          <w:p w:rsidR="00AE0165" w:rsidRPr="006B0B0C" w:rsidRDefault="00AE0165" w:rsidP="002A6517">
            <w:pPr>
              <w:bidi w:val="0"/>
              <w:jc w:val="both"/>
              <w:rPr>
                <w:rFonts w:cs="Times New Roman"/>
                <w:color w:val="000000"/>
                <w:kern w:val="2"/>
                <w:sz w:val="20"/>
                <w:szCs w:val="20"/>
                <w:lang w:bidi="ar-SA"/>
              </w:rPr>
            </w:pPr>
            <w:r w:rsidRPr="006B0B0C">
              <w:rPr>
                <w:rFonts w:cs="Times New Roman"/>
                <w:color w:val="000000"/>
                <w:kern w:val="2"/>
                <w:sz w:val="20"/>
                <w:szCs w:val="20"/>
                <w:lang w:bidi="ar-SA"/>
              </w:rPr>
              <w:t>Areas far from the river are given a value close to 1, and areas close to the river are given a value close to 0.</w:t>
            </w:r>
          </w:p>
        </w:tc>
      </w:tr>
      <w:tr w:rsidR="00AE0165" w:rsidRPr="006B0B0C" w:rsidTr="00D346AD">
        <w:trPr>
          <w:jc w:val="center"/>
        </w:trPr>
        <w:tc>
          <w:tcPr>
            <w:tcW w:w="704" w:type="dxa"/>
          </w:tcPr>
          <w:p w:rsidR="00AE0165" w:rsidRPr="006B0B0C" w:rsidRDefault="00AE0165" w:rsidP="002A6517">
            <w:pPr>
              <w:bidi w:val="0"/>
              <w:ind w:right="-46"/>
              <w:jc w:val="center"/>
              <w:rPr>
                <w:rFonts w:cs="Times New Roman"/>
                <w:color w:val="000000"/>
                <w:kern w:val="2"/>
                <w:sz w:val="20"/>
                <w:szCs w:val="20"/>
                <w:rtl/>
                <w:lang w:bidi="ar-SA"/>
              </w:rPr>
            </w:pPr>
            <w:r w:rsidRPr="006B0B0C">
              <w:rPr>
                <w:rFonts w:cs="Times New Roman"/>
                <w:color w:val="000000"/>
                <w:kern w:val="2"/>
                <w:sz w:val="20"/>
                <w:szCs w:val="20"/>
                <w:lang w:bidi="ar-SA"/>
              </w:rPr>
              <w:t>4</w:t>
            </w:r>
          </w:p>
        </w:tc>
        <w:tc>
          <w:tcPr>
            <w:tcW w:w="2268" w:type="dxa"/>
          </w:tcPr>
          <w:p w:rsidR="00AE0165" w:rsidRPr="006B0B0C" w:rsidRDefault="00AE0165" w:rsidP="002A6517">
            <w:pPr>
              <w:bidi w:val="0"/>
              <w:ind w:right="-46"/>
              <w:jc w:val="center"/>
              <w:rPr>
                <w:rFonts w:cs="Times New Roman"/>
                <w:color w:val="000000"/>
                <w:kern w:val="2"/>
                <w:sz w:val="20"/>
                <w:szCs w:val="20"/>
                <w:rtl/>
                <w:lang w:bidi="ar-SA"/>
              </w:rPr>
            </w:pPr>
            <w:r w:rsidRPr="006B0B0C">
              <w:rPr>
                <w:rFonts w:cs="Times New Roman"/>
                <w:color w:val="000000"/>
                <w:kern w:val="2"/>
                <w:sz w:val="20"/>
                <w:szCs w:val="20"/>
                <w:lang w:bidi="ar-SA"/>
              </w:rPr>
              <w:t>Distance from Coastline</w:t>
            </w:r>
          </w:p>
        </w:tc>
        <w:tc>
          <w:tcPr>
            <w:tcW w:w="5812" w:type="dxa"/>
          </w:tcPr>
          <w:p w:rsidR="00AE0165" w:rsidRPr="006B0B0C" w:rsidRDefault="00AE0165" w:rsidP="002A6517">
            <w:pPr>
              <w:bidi w:val="0"/>
              <w:jc w:val="both"/>
              <w:rPr>
                <w:rFonts w:cs="Times New Roman"/>
                <w:color w:val="000000"/>
                <w:kern w:val="2"/>
                <w:sz w:val="20"/>
                <w:szCs w:val="20"/>
                <w:lang w:bidi="ar-SA"/>
              </w:rPr>
            </w:pPr>
            <w:r w:rsidRPr="006B0B0C">
              <w:rPr>
                <w:rFonts w:cs="Times New Roman"/>
                <w:color w:val="000000"/>
                <w:kern w:val="2"/>
                <w:sz w:val="20"/>
                <w:szCs w:val="20"/>
                <w:lang w:bidi="ar-SA"/>
              </w:rPr>
              <w:t>Areas close to the coastline are given a value close to 1, and areas far from the coastline are given a value close to 0.</w:t>
            </w:r>
          </w:p>
        </w:tc>
      </w:tr>
      <w:tr w:rsidR="00AE0165" w:rsidRPr="006B0B0C" w:rsidTr="00D346AD">
        <w:trPr>
          <w:jc w:val="center"/>
        </w:trPr>
        <w:tc>
          <w:tcPr>
            <w:tcW w:w="704" w:type="dxa"/>
          </w:tcPr>
          <w:p w:rsidR="00AE0165" w:rsidRPr="006B0B0C" w:rsidRDefault="00AE0165" w:rsidP="002A6517">
            <w:pPr>
              <w:bidi w:val="0"/>
              <w:ind w:right="-46"/>
              <w:jc w:val="center"/>
              <w:rPr>
                <w:rFonts w:cs="Times New Roman"/>
                <w:color w:val="000000"/>
                <w:kern w:val="2"/>
                <w:sz w:val="20"/>
                <w:szCs w:val="20"/>
                <w:rtl/>
                <w:lang w:bidi="ar-SA"/>
              </w:rPr>
            </w:pPr>
            <w:r w:rsidRPr="006B0B0C">
              <w:rPr>
                <w:rFonts w:cs="Times New Roman"/>
                <w:color w:val="000000"/>
                <w:kern w:val="2"/>
                <w:sz w:val="20"/>
                <w:szCs w:val="20"/>
                <w:lang w:bidi="ar-SA"/>
              </w:rPr>
              <w:t>5</w:t>
            </w:r>
          </w:p>
        </w:tc>
        <w:tc>
          <w:tcPr>
            <w:tcW w:w="2268" w:type="dxa"/>
          </w:tcPr>
          <w:p w:rsidR="00AE0165" w:rsidRPr="006B0B0C" w:rsidRDefault="00AE0165" w:rsidP="002A6517">
            <w:pPr>
              <w:bidi w:val="0"/>
              <w:ind w:right="-46"/>
              <w:jc w:val="center"/>
              <w:rPr>
                <w:rFonts w:cs="Times New Roman"/>
                <w:color w:val="000000"/>
                <w:kern w:val="2"/>
                <w:sz w:val="20"/>
                <w:szCs w:val="20"/>
                <w:lang w:bidi="ar-SA"/>
              </w:rPr>
            </w:pPr>
            <w:r w:rsidRPr="006B0B0C">
              <w:rPr>
                <w:rFonts w:cs="Times New Roman"/>
                <w:color w:val="000000"/>
                <w:kern w:val="2"/>
                <w:sz w:val="20"/>
                <w:szCs w:val="20"/>
                <w:lang w:bidi="ar-SA"/>
              </w:rPr>
              <w:t>Lithology</w:t>
            </w:r>
          </w:p>
        </w:tc>
        <w:tc>
          <w:tcPr>
            <w:tcW w:w="5812" w:type="dxa"/>
          </w:tcPr>
          <w:p w:rsidR="00AE0165" w:rsidRPr="006B0B0C" w:rsidRDefault="00AE0165" w:rsidP="002A6517">
            <w:pPr>
              <w:bidi w:val="0"/>
              <w:rPr>
                <w:rFonts w:cs="Times New Roman"/>
                <w:color w:val="000000"/>
                <w:kern w:val="2"/>
                <w:sz w:val="20"/>
                <w:szCs w:val="20"/>
                <w:lang w:bidi="ar-SA"/>
              </w:rPr>
            </w:pPr>
            <w:r w:rsidRPr="006B0B0C">
              <w:rPr>
                <w:rFonts w:cs="Times New Roman"/>
                <w:color w:val="000000"/>
                <w:kern w:val="2"/>
                <w:sz w:val="20"/>
                <w:szCs w:val="20"/>
                <w:lang w:bidi="ar-SA"/>
              </w:rPr>
              <w:t>Conglomerate and sandstone: value 0.9</w:t>
            </w:r>
            <w:r w:rsidRPr="006B0B0C">
              <w:rPr>
                <w:rFonts w:cs="Times New Roman"/>
                <w:color w:val="000000"/>
                <w:kern w:val="2"/>
                <w:sz w:val="20"/>
                <w:szCs w:val="20"/>
                <w:lang w:bidi="ar-SA"/>
              </w:rPr>
              <w:br/>
              <w:t>Sandstone and marl: value 0.8</w:t>
            </w:r>
            <w:r w:rsidRPr="006B0B0C">
              <w:rPr>
                <w:rFonts w:cs="Times New Roman"/>
                <w:color w:val="000000"/>
                <w:kern w:val="2"/>
                <w:sz w:val="20"/>
                <w:szCs w:val="20"/>
                <w:lang w:bidi="ar-SA"/>
              </w:rPr>
              <w:br/>
              <w:t>Shale, marl, and sandstone: value 0.7</w:t>
            </w:r>
            <w:r w:rsidRPr="006B0B0C">
              <w:rPr>
                <w:rFonts w:cs="Times New Roman"/>
                <w:color w:val="000000"/>
                <w:kern w:val="2"/>
                <w:sz w:val="20"/>
                <w:szCs w:val="20"/>
                <w:lang w:bidi="ar-SA"/>
              </w:rPr>
              <w:br/>
              <w:t>Limestone and marl: value 0.6</w:t>
            </w:r>
            <w:r w:rsidRPr="006B0B0C">
              <w:rPr>
                <w:rFonts w:cs="Times New Roman"/>
                <w:color w:val="000000"/>
                <w:kern w:val="2"/>
                <w:sz w:val="20"/>
                <w:szCs w:val="20"/>
                <w:lang w:bidi="ar-SA"/>
              </w:rPr>
              <w:br/>
              <w:t>Alluvial materials: value 0.5</w:t>
            </w:r>
            <w:r w:rsidRPr="006B0B0C">
              <w:rPr>
                <w:rFonts w:cs="Times New Roman"/>
                <w:color w:val="000000"/>
                <w:kern w:val="2"/>
                <w:sz w:val="20"/>
                <w:szCs w:val="20"/>
                <w:lang w:bidi="ar-SA"/>
              </w:rPr>
              <w:br/>
              <w:t>Salt flats: value 0.3</w:t>
            </w:r>
            <w:r w:rsidRPr="006B0B0C">
              <w:rPr>
                <w:rFonts w:cs="Times New Roman"/>
                <w:color w:val="000000"/>
                <w:kern w:val="2"/>
                <w:sz w:val="20"/>
                <w:szCs w:val="20"/>
                <w:lang w:bidi="ar-SA"/>
              </w:rPr>
              <w:br/>
              <w:t>Coastal and swamp sediments: value 0.2</w:t>
            </w:r>
            <w:r w:rsidRPr="006B0B0C">
              <w:rPr>
                <w:rFonts w:cs="Times New Roman"/>
                <w:color w:val="000000"/>
                <w:kern w:val="2"/>
                <w:sz w:val="20"/>
                <w:szCs w:val="20"/>
                <w:lang w:bidi="ar-SA"/>
              </w:rPr>
              <w:br/>
              <w:t>Sand dunes: value 0.1</w:t>
            </w:r>
          </w:p>
        </w:tc>
      </w:tr>
      <w:tr w:rsidR="00AE0165" w:rsidRPr="006B0B0C" w:rsidTr="00D346AD">
        <w:trPr>
          <w:jc w:val="center"/>
        </w:trPr>
        <w:tc>
          <w:tcPr>
            <w:tcW w:w="704" w:type="dxa"/>
          </w:tcPr>
          <w:p w:rsidR="00AE0165" w:rsidRPr="006B0B0C" w:rsidRDefault="00AE0165" w:rsidP="002A6517">
            <w:pPr>
              <w:bidi w:val="0"/>
              <w:ind w:right="-46"/>
              <w:jc w:val="center"/>
              <w:rPr>
                <w:rFonts w:cs="Times New Roman"/>
                <w:color w:val="000000"/>
                <w:kern w:val="2"/>
                <w:sz w:val="20"/>
                <w:szCs w:val="20"/>
                <w:rtl/>
                <w:lang w:bidi="ar-SA"/>
              </w:rPr>
            </w:pPr>
            <w:r w:rsidRPr="006B0B0C">
              <w:rPr>
                <w:rFonts w:cs="Times New Roman"/>
                <w:color w:val="000000"/>
                <w:kern w:val="2"/>
                <w:sz w:val="20"/>
                <w:szCs w:val="20"/>
                <w:lang w:bidi="ar-SA"/>
              </w:rPr>
              <w:t>6</w:t>
            </w:r>
          </w:p>
        </w:tc>
        <w:tc>
          <w:tcPr>
            <w:tcW w:w="2268" w:type="dxa"/>
          </w:tcPr>
          <w:p w:rsidR="00AE0165" w:rsidRPr="006B0B0C" w:rsidRDefault="00AE0165" w:rsidP="002A6517">
            <w:pPr>
              <w:bidi w:val="0"/>
              <w:ind w:right="-46"/>
              <w:jc w:val="center"/>
              <w:rPr>
                <w:rFonts w:cs="Times New Roman"/>
                <w:color w:val="000000"/>
                <w:kern w:val="2"/>
                <w:sz w:val="20"/>
                <w:szCs w:val="20"/>
                <w:lang w:bidi="ar-SA"/>
              </w:rPr>
            </w:pPr>
            <w:r w:rsidRPr="006B0B0C">
              <w:rPr>
                <w:rFonts w:cs="Times New Roman"/>
                <w:color w:val="000000"/>
                <w:kern w:val="2"/>
                <w:sz w:val="20"/>
                <w:szCs w:val="20"/>
                <w:lang w:bidi="ar-SA"/>
              </w:rPr>
              <w:t>Distance from Fault</w:t>
            </w:r>
          </w:p>
        </w:tc>
        <w:tc>
          <w:tcPr>
            <w:tcW w:w="5812" w:type="dxa"/>
          </w:tcPr>
          <w:p w:rsidR="00AE0165" w:rsidRPr="006B0B0C" w:rsidRDefault="00AE0165" w:rsidP="002A6517">
            <w:pPr>
              <w:bidi w:val="0"/>
              <w:jc w:val="both"/>
              <w:rPr>
                <w:rFonts w:cs="Times New Roman"/>
                <w:color w:val="000000"/>
                <w:kern w:val="2"/>
                <w:sz w:val="20"/>
                <w:szCs w:val="20"/>
                <w:lang w:bidi="ar-SA"/>
              </w:rPr>
            </w:pPr>
            <w:r w:rsidRPr="006B0B0C">
              <w:rPr>
                <w:rFonts w:cs="Times New Roman"/>
                <w:color w:val="000000"/>
                <w:kern w:val="2"/>
                <w:sz w:val="20"/>
                <w:szCs w:val="20"/>
                <w:lang w:bidi="ar-SA"/>
              </w:rPr>
              <w:t>Areas far from faults are given a value close to 1, and areas close to faults are given a value close to 0.</w:t>
            </w:r>
          </w:p>
        </w:tc>
      </w:tr>
      <w:tr w:rsidR="00AE0165" w:rsidRPr="006B0B0C" w:rsidTr="00D346AD">
        <w:trPr>
          <w:jc w:val="center"/>
        </w:trPr>
        <w:tc>
          <w:tcPr>
            <w:tcW w:w="704" w:type="dxa"/>
          </w:tcPr>
          <w:p w:rsidR="00AE0165" w:rsidRPr="006B0B0C" w:rsidRDefault="00AE0165" w:rsidP="002A6517">
            <w:pPr>
              <w:bidi w:val="0"/>
              <w:ind w:right="-46"/>
              <w:jc w:val="center"/>
              <w:rPr>
                <w:rFonts w:cs="Times New Roman"/>
                <w:color w:val="000000"/>
                <w:kern w:val="2"/>
                <w:sz w:val="20"/>
                <w:szCs w:val="20"/>
                <w:rtl/>
                <w:lang w:bidi="ar-SA"/>
              </w:rPr>
            </w:pPr>
            <w:r w:rsidRPr="006B0B0C">
              <w:rPr>
                <w:rFonts w:cs="Times New Roman"/>
                <w:color w:val="000000"/>
                <w:kern w:val="2"/>
                <w:sz w:val="20"/>
                <w:szCs w:val="20"/>
                <w:lang w:bidi="ar-SA"/>
              </w:rPr>
              <w:t>7</w:t>
            </w:r>
          </w:p>
        </w:tc>
        <w:tc>
          <w:tcPr>
            <w:tcW w:w="2268" w:type="dxa"/>
          </w:tcPr>
          <w:p w:rsidR="00AE0165" w:rsidRPr="006B0B0C" w:rsidRDefault="00AE0165" w:rsidP="002A6517">
            <w:pPr>
              <w:bidi w:val="0"/>
              <w:ind w:right="-46"/>
              <w:jc w:val="center"/>
              <w:rPr>
                <w:rFonts w:cs="Times New Roman"/>
                <w:color w:val="000000"/>
                <w:kern w:val="2"/>
                <w:sz w:val="20"/>
                <w:szCs w:val="20"/>
                <w:lang w:bidi="ar-SA"/>
              </w:rPr>
            </w:pPr>
            <w:r w:rsidRPr="006B0B0C">
              <w:rPr>
                <w:rFonts w:cs="Times New Roman"/>
                <w:color w:val="000000"/>
                <w:kern w:val="2"/>
                <w:sz w:val="20"/>
                <w:szCs w:val="20"/>
                <w:lang w:bidi="ar-SA"/>
              </w:rPr>
              <w:t>Distance from Earthquake Epicenters</w:t>
            </w:r>
          </w:p>
        </w:tc>
        <w:tc>
          <w:tcPr>
            <w:tcW w:w="5812" w:type="dxa"/>
          </w:tcPr>
          <w:p w:rsidR="00AE0165" w:rsidRPr="006B0B0C" w:rsidRDefault="00AE0165" w:rsidP="002A6517">
            <w:pPr>
              <w:bidi w:val="0"/>
              <w:jc w:val="both"/>
              <w:rPr>
                <w:rFonts w:cs="Times New Roman"/>
                <w:color w:val="000000"/>
                <w:kern w:val="2"/>
                <w:sz w:val="20"/>
                <w:szCs w:val="20"/>
                <w:lang w:bidi="ar-SA"/>
              </w:rPr>
            </w:pPr>
            <w:r w:rsidRPr="006B0B0C">
              <w:rPr>
                <w:rFonts w:cs="Times New Roman"/>
                <w:color w:val="000000"/>
                <w:kern w:val="2"/>
                <w:sz w:val="20"/>
                <w:szCs w:val="20"/>
                <w:lang w:bidi="ar-SA"/>
              </w:rPr>
              <w:t>Areas far from earthquake epicenters are given a value close to 1, and areas close to epicenters are given a value close to 0.</w:t>
            </w:r>
          </w:p>
        </w:tc>
      </w:tr>
      <w:tr w:rsidR="00AE0165" w:rsidRPr="006B0B0C" w:rsidTr="00D346AD">
        <w:trPr>
          <w:jc w:val="center"/>
        </w:trPr>
        <w:tc>
          <w:tcPr>
            <w:tcW w:w="704" w:type="dxa"/>
          </w:tcPr>
          <w:p w:rsidR="00AE0165" w:rsidRPr="006B0B0C" w:rsidRDefault="00AE0165" w:rsidP="002A6517">
            <w:pPr>
              <w:bidi w:val="0"/>
              <w:ind w:right="-46"/>
              <w:jc w:val="center"/>
              <w:rPr>
                <w:rFonts w:cs="Times New Roman"/>
                <w:color w:val="000000"/>
                <w:kern w:val="2"/>
                <w:sz w:val="20"/>
                <w:szCs w:val="20"/>
                <w:rtl/>
                <w:lang w:bidi="ar-SA"/>
              </w:rPr>
            </w:pPr>
            <w:r w:rsidRPr="006B0B0C">
              <w:rPr>
                <w:rFonts w:cs="Times New Roman"/>
                <w:color w:val="000000"/>
                <w:kern w:val="2"/>
                <w:sz w:val="20"/>
                <w:szCs w:val="20"/>
                <w:lang w:bidi="ar-SA"/>
              </w:rPr>
              <w:t>8</w:t>
            </w:r>
          </w:p>
        </w:tc>
        <w:tc>
          <w:tcPr>
            <w:tcW w:w="2268" w:type="dxa"/>
          </w:tcPr>
          <w:p w:rsidR="00AE0165" w:rsidRPr="006B0B0C" w:rsidRDefault="00AE0165" w:rsidP="002A6517">
            <w:pPr>
              <w:bidi w:val="0"/>
              <w:ind w:right="-46"/>
              <w:jc w:val="center"/>
              <w:rPr>
                <w:rFonts w:cs="Times New Roman"/>
                <w:color w:val="000000"/>
                <w:kern w:val="2"/>
                <w:sz w:val="20"/>
                <w:szCs w:val="20"/>
                <w:lang w:bidi="ar-SA"/>
              </w:rPr>
            </w:pPr>
            <w:r w:rsidRPr="006B0B0C">
              <w:rPr>
                <w:rFonts w:cs="Times New Roman"/>
                <w:color w:val="000000"/>
                <w:kern w:val="2"/>
                <w:sz w:val="20"/>
                <w:szCs w:val="20"/>
                <w:lang w:bidi="ar-SA"/>
              </w:rPr>
              <w:t>Distance from Urban Points</w:t>
            </w:r>
          </w:p>
        </w:tc>
        <w:tc>
          <w:tcPr>
            <w:tcW w:w="5812" w:type="dxa"/>
          </w:tcPr>
          <w:p w:rsidR="00AE0165" w:rsidRPr="006B0B0C" w:rsidRDefault="00AE0165" w:rsidP="002A6517">
            <w:pPr>
              <w:bidi w:val="0"/>
              <w:jc w:val="both"/>
              <w:rPr>
                <w:rFonts w:cs="Times New Roman"/>
                <w:color w:val="000000"/>
                <w:kern w:val="2"/>
                <w:sz w:val="20"/>
                <w:szCs w:val="20"/>
                <w:lang w:bidi="ar-SA"/>
              </w:rPr>
            </w:pPr>
            <w:r w:rsidRPr="006B0B0C">
              <w:rPr>
                <w:rFonts w:cs="Times New Roman"/>
                <w:color w:val="000000"/>
                <w:kern w:val="2"/>
                <w:sz w:val="20"/>
                <w:szCs w:val="20"/>
                <w:lang w:bidi="ar-SA"/>
              </w:rPr>
              <w:t>Areas close to urban points are given a value close to 1, and areas far from urban points are given a value close to 0.</w:t>
            </w:r>
          </w:p>
        </w:tc>
      </w:tr>
      <w:tr w:rsidR="00AE0165" w:rsidRPr="006B0B0C" w:rsidTr="00D346AD">
        <w:trPr>
          <w:jc w:val="center"/>
        </w:trPr>
        <w:tc>
          <w:tcPr>
            <w:tcW w:w="704" w:type="dxa"/>
          </w:tcPr>
          <w:p w:rsidR="00AE0165" w:rsidRPr="006B0B0C" w:rsidRDefault="00AE0165" w:rsidP="002A6517">
            <w:pPr>
              <w:bidi w:val="0"/>
              <w:ind w:right="-46"/>
              <w:jc w:val="center"/>
              <w:rPr>
                <w:rFonts w:cs="Times New Roman"/>
                <w:color w:val="000000"/>
                <w:kern w:val="2"/>
                <w:sz w:val="20"/>
                <w:szCs w:val="20"/>
                <w:rtl/>
                <w:lang w:bidi="ar-SA"/>
              </w:rPr>
            </w:pPr>
            <w:r w:rsidRPr="006B0B0C">
              <w:rPr>
                <w:rFonts w:cs="Times New Roman"/>
                <w:color w:val="000000"/>
                <w:kern w:val="2"/>
                <w:sz w:val="20"/>
                <w:szCs w:val="20"/>
                <w:lang w:bidi="ar-SA"/>
              </w:rPr>
              <w:t>9</w:t>
            </w:r>
          </w:p>
        </w:tc>
        <w:tc>
          <w:tcPr>
            <w:tcW w:w="2268" w:type="dxa"/>
          </w:tcPr>
          <w:p w:rsidR="00AE0165" w:rsidRPr="006B0B0C" w:rsidRDefault="00AE0165" w:rsidP="002A6517">
            <w:pPr>
              <w:bidi w:val="0"/>
              <w:ind w:right="-46"/>
              <w:jc w:val="center"/>
              <w:rPr>
                <w:rFonts w:cs="Times New Roman"/>
                <w:color w:val="000000"/>
                <w:kern w:val="2"/>
                <w:sz w:val="20"/>
                <w:szCs w:val="20"/>
                <w:lang w:bidi="ar-SA"/>
              </w:rPr>
            </w:pPr>
            <w:r w:rsidRPr="006B0B0C">
              <w:rPr>
                <w:rFonts w:cs="Times New Roman"/>
                <w:color w:val="000000"/>
                <w:kern w:val="2"/>
                <w:sz w:val="20"/>
                <w:szCs w:val="20"/>
                <w:lang w:bidi="ar-SA"/>
              </w:rPr>
              <w:t>Distance from Main Road</w:t>
            </w:r>
          </w:p>
        </w:tc>
        <w:tc>
          <w:tcPr>
            <w:tcW w:w="5812" w:type="dxa"/>
          </w:tcPr>
          <w:p w:rsidR="00AE0165" w:rsidRPr="006B0B0C" w:rsidRDefault="00AE0165" w:rsidP="002A6517">
            <w:pPr>
              <w:bidi w:val="0"/>
              <w:jc w:val="both"/>
              <w:rPr>
                <w:rFonts w:cs="Times New Roman"/>
                <w:color w:val="000000"/>
                <w:kern w:val="2"/>
                <w:sz w:val="20"/>
                <w:szCs w:val="20"/>
                <w:lang w:bidi="ar-SA"/>
              </w:rPr>
            </w:pPr>
            <w:r w:rsidRPr="006B0B0C">
              <w:rPr>
                <w:rFonts w:cs="Times New Roman"/>
                <w:color w:val="000000"/>
                <w:kern w:val="2"/>
                <w:sz w:val="20"/>
                <w:szCs w:val="20"/>
                <w:lang w:bidi="ar-SA"/>
              </w:rPr>
              <w:t>Areas close to main roads are given a value close to 1, and areas far from main roads are given a value close to 0.</w:t>
            </w:r>
          </w:p>
        </w:tc>
      </w:tr>
      <w:tr w:rsidR="00AE0165" w:rsidRPr="006B0B0C" w:rsidTr="00D346AD">
        <w:trPr>
          <w:jc w:val="center"/>
        </w:trPr>
        <w:tc>
          <w:tcPr>
            <w:tcW w:w="704" w:type="dxa"/>
          </w:tcPr>
          <w:p w:rsidR="00AE0165" w:rsidRPr="006B0B0C" w:rsidRDefault="00AE0165" w:rsidP="002A6517">
            <w:pPr>
              <w:bidi w:val="0"/>
              <w:ind w:right="-46"/>
              <w:jc w:val="center"/>
              <w:rPr>
                <w:rFonts w:cs="Times New Roman"/>
                <w:color w:val="000000"/>
                <w:kern w:val="2"/>
                <w:sz w:val="20"/>
                <w:szCs w:val="20"/>
                <w:rtl/>
                <w:lang w:bidi="ar-SA"/>
              </w:rPr>
            </w:pPr>
            <w:r w:rsidRPr="006B0B0C">
              <w:rPr>
                <w:rFonts w:cs="Times New Roman"/>
                <w:color w:val="000000"/>
                <w:kern w:val="2"/>
                <w:sz w:val="20"/>
                <w:szCs w:val="20"/>
                <w:lang w:bidi="ar-SA"/>
              </w:rPr>
              <w:t>10</w:t>
            </w:r>
          </w:p>
        </w:tc>
        <w:tc>
          <w:tcPr>
            <w:tcW w:w="2268" w:type="dxa"/>
          </w:tcPr>
          <w:p w:rsidR="00AE0165" w:rsidRPr="006B0B0C" w:rsidRDefault="00AE0165" w:rsidP="002A6517">
            <w:pPr>
              <w:bidi w:val="0"/>
              <w:ind w:right="-46"/>
              <w:jc w:val="center"/>
              <w:rPr>
                <w:rFonts w:cs="Times New Roman"/>
                <w:color w:val="000000"/>
                <w:kern w:val="2"/>
                <w:sz w:val="20"/>
                <w:szCs w:val="20"/>
                <w:lang w:bidi="ar-SA"/>
              </w:rPr>
            </w:pPr>
            <w:r w:rsidRPr="006B0B0C">
              <w:rPr>
                <w:rFonts w:cs="Times New Roman"/>
                <w:color w:val="000000"/>
                <w:kern w:val="2"/>
                <w:sz w:val="20"/>
                <w:szCs w:val="20"/>
                <w:lang w:bidi="ar-SA"/>
              </w:rPr>
              <w:t>Vegetation Density</w:t>
            </w:r>
          </w:p>
        </w:tc>
        <w:tc>
          <w:tcPr>
            <w:tcW w:w="5812" w:type="dxa"/>
          </w:tcPr>
          <w:p w:rsidR="00AE0165" w:rsidRPr="006B0B0C" w:rsidRDefault="00AE0165" w:rsidP="002A6517">
            <w:pPr>
              <w:bidi w:val="0"/>
              <w:jc w:val="both"/>
              <w:rPr>
                <w:rFonts w:cs="Times New Roman"/>
                <w:color w:val="000000"/>
                <w:kern w:val="2"/>
                <w:sz w:val="20"/>
                <w:szCs w:val="20"/>
                <w:rtl/>
                <w:lang w:bidi="ar-SA"/>
              </w:rPr>
            </w:pPr>
            <w:r w:rsidRPr="006B0B0C">
              <w:rPr>
                <w:rFonts w:cs="Times New Roman"/>
                <w:color w:val="000000"/>
                <w:kern w:val="2"/>
                <w:sz w:val="20"/>
                <w:szCs w:val="20"/>
                <w:lang w:bidi="ar-SA"/>
              </w:rPr>
              <w:t>Areas with sparse vegetation are given a value close to 1, and areas with dense vegetation are given a value close to 0.</w:t>
            </w:r>
          </w:p>
        </w:tc>
      </w:tr>
    </w:tbl>
    <w:p w:rsidR="00AE0165" w:rsidRPr="006B0B0C" w:rsidRDefault="00AE0165" w:rsidP="002A6517">
      <w:pPr>
        <w:bidi w:val="0"/>
        <w:ind w:right="-46"/>
        <w:jc w:val="both"/>
        <w:rPr>
          <w:rFonts w:cs="Times New Roman"/>
          <w:color w:val="000000"/>
          <w:kern w:val="2"/>
          <w:sz w:val="20"/>
          <w:szCs w:val="20"/>
          <w:lang w:bidi="ar-SA"/>
        </w:rPr>
      </w:pPr>
    </w:p>
    <w:p w:rsidR="00AE0165" w:rsidRPr="006B0B0C" w:rsidRDefault="00AE0165" w:rsidP="002A6517">
      <w:pPr>
        <w:bidi w:val="0"/>
        <w:ind w:right="-46"/>
        <w:jc w:val="both"/>
        <w:rPr>
          <w:rFonts w:cs="Times New Roman"/>
          <w:b/>
          <w:bCs/>
          <w:color w:val="000000"/>
          <w:kern w:val="2"/>
          <w:sz w:val="24"/>
          <w:lang w:bidi="ar-SA"/>
        </w:rPr>
      </w:pPr>
      <w:r w:rsidRPr="006B0B0C">
        <w:rPr>
          <w:rFonts w:cs="Times New Roman"/>
          <w:b/>
          <w:bCs/>
          <w:color w:val="000000"/>
          <w:kern w:val="2"/>
          <w:sz w:val="24"/>
          <w:lang w:bidi="ar-SA"/>
        </w:rPr>
        <w:t>Step 3. Weighting Data Layers</w:t>
      </w:r>
    </w:p>
    <w:p w:rsidR="00AE0165" w:rsidRPr="006B0B0C" w:rsidRDefault="00AE0165" w:rsidP="002A6517">
      <w:pPr>
        <w:bidi w:val="0"/>
        <w:ind w:right="-46"/>
        <w:jc w:val="both"/>
        <w:rPr>
          <w:rFonts w:cs="Times New Roman"/>
          <w:color w:val="000000"/>
          <w:kern w:val="2"/>
          <w:sz w:val="24"/>
          <w:rtl/>
          <w:lang w:bidi="ar-SA"/>
        </w:rPr>
      </w:pPr>
      <w:r w:rsidRPr="006B0B0C">
        <w:rPr>
          <w:rFonts w:cs="Times New Roman"/>
          <w:color w:val="000000"/>
          <w:kern w:val="2"/>
          <w:sz w:val="24"/>
          <w:lang w:bidi="ar-SA"/>
        </w:rPr>
        <w:t xml:space="preserve">Given that the value and importance of data layers are not the same, in this step, the layers were assigned weights using the weighting method proposed by Ganjaeian et al., 2025. In this method, based on the opinions of experts (5 geomorphology experts), all criteria were compared with each other, and the final weight was determined based on the number of </w:t>
      </w:r>
      <w:r w:rsidRPr="006B0B0C">
        <w:rPr>
          <w:rFonts w:cs="Times New Roman"/>
          <w:color w:val="000000"/>
          <w:kern w:val="2"/>
          <w:sz w:val="24"/>
          <w:lang w:bidi="ar-SA"/>
        </w:rPr>
        <w:lastRenderedPageBreak/>
        <w:t>priorities each parameter had relative to other parameters. For example, the lithology parameter is considered the most important among all parameters, thus it received a weight of 1.9 and because it is deemed more important than 9 other parameters, so 0.1 was added to its coefficient. Similarly, the slope parameter has a weight of 1.8, as it is more important than 8 parameters, thus it received a weight of 1.8. According to this method, for each time a parameter is prioritized over other parameters, a coefficient of 0.1 is added to its weight. After weighting the parameters, the derived weight was applied to each layer.</w:t>
      </w:r>
    </w:p>
    <w:p w:rsidR="002A6517" w:rsidRPr="006B0B0C" w:rsidRDefault="002A6517" w:rsidP="002A6517">
      <w:pPr>
        <w:bidi w:val="0"/>
        <w:ind w:right="-46"/>
        <w:jc w:val="both"/>
        <w:rPr>
          <w:rFonts w:cs="Times New Roman"/>
          <w:color w:val="000000"/>
          <w:kern w:val="2"/>
          <w:sz w:val="24"/>
          <w:lang w:bidi="ar-SA"/>
        </w:rPr>
      </w:pPr>
    </w:p>
    <w:p w:rsidR="00AE0165" w:rsidRPr="006B0B0C" w:rsidRDefault="00AE0165" w:rsidP="002A6517">
      <w:pPr>
        <w:bidi w:val="0"/>
        <w:ind w:right="-46"/>
        <w:jc w:val="both"/>
        <w:rPr>
          <w:rFonts w:cs="Times New Roman"/>
          <w:b/>
          <w:bCs/>
          <w:color w:val="000000"/>
          <w:kern w:val="2"/>
          <w:sz w:val="24"/>
          <w:lang w:bidi="ar-SA"/>
        </w:rPr>
      </w:pPr>
      <w:r w:rsidRPr="006B0B0C">
        <w:rPr>
          <w:rFonts w:cs="Times New Roman"/>
          <w:b/>
          <w:bCs/>
          <w:color w:val="000000"/>
          <w:kern w:val="2"/>
          <w:sz w:val="24"/>
          <w:lang w:bidi="ar-SA"/>
        </w:rPr>
        <w:t>Step 4. Implementation of the WLC Model</w:t>
      </w:r>
    </w:p>
    <w:p w:rsidR="00AE0165" w:rsidRPr="006B0B0C"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t>In this step, the layer of prohibited areas was first prepared. The prohibited areas layer was developed based on expert opinions and the condition of the region (Table 3). This layer has a value of zero and has been applied to all data layers. Subsequently, the data layers were imported into the TerrSet software, and ultimately, they were combined using the Weighted Linear Combination (WLC) model. This process resulted in the creation of a map showing the areas suitable for the development of residential zones in the study area.</w:t>
      </w:r>
    </w:p>
    <w:p w:rsidR="00AE0165" w:rsidRPr="006B0B0C"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t>The WLC method is considered one of the most common techniques for multi-criteria evaluation, also known as the additive weighting method or scoring method (Ogato et al., 2020). The basis of this method is the weighted average, where decision-makers assign weights to criteria directly based on their relative importance. Then, by multiplying the relative weight by the value of that criterion, a final weight for that criterion is obtained (Ganjaeian et al., 2021).</w:t>
      </w:r>
    </w:p>
    <w:p w:rsidR="00AE44EC" w:rsidRPr="006B0B0C" w:rsidRDefault="00AE0165" w:rsidP="002B587F">
      <w:pPr>
        <w:bidi w:val="0"/>
        <w:ind w:right="-46"/>
        <w:jc w:val="both"/>
        <w:rPr>
          <w:rFonts w:cs="Times New Roman"/>
          <w:color w:val="000000"/>
          <w:kern w:val="2"/>
          <w:sz w:val="24"/>
          <w:rtl/>
          <w:lang w:bidi="ar-SA"/>
        </w:rPr>
      </w:pPr>
      <w:r w:rsidRPr="006B0B0C">
        <w:rPr>
          <w:rFonts w:cs="Times New Roman"/>
          <w:color w:val="000000"/>
          <w:kern w:val="2"/>
          <w:sz w:val="24"/>
          <w:lang w:bidi="ar-SA"/>
        </w:rPr>
        <w:t xml:space="preserve">After determining the final weights of the options, the option with the highest value will be the most suitable choice for the intended objective. </w:t>
      </w:r>
      <w:r w:rsidR="00AE44EC" w:rsidRPr="006B0B0C">
        <w:rPr>
          <w:rFonts w:cs="Times New Roman"/>
          <w:color w:val="000000"/>
          <w:kern w:val="2"/>
          <w:sz w:val="24"/>
          <w:lang w:bidi="ar-SA"/>
        </w:rPr>
        <w:t>The WLC technique is one of the Multi-Criteria Evaluation (MCE) methods, which is computed according to Eq. (1) (Tabesh et al, 2020., Mostafa et al, 2022):</w:t>
      </w:r>
    </w:p>
    <w:p w:rsidR="00AE44EC" w:rsidRPr="006B0B0C" w:rsidRDefault="00AE44EC" w:rsidP="00AE44EC">
      <w:pPr>
        <w:bidi w:val="0"/>
        <w:ind w:right="-46"/>
        <w:jc w:val="both"/>
        <w:rPr>
          <w:rFonts w:cs="Times New Roman"/>
          <w:color w:val="000000"/>
          <w:kern w:val="2"/>
          <w:sz w:val="24"/>
          <w:rtl/>
          <w:lang w:bidi="ar-SA"/>
        </w:rPr>
      </w:pPr>
    </w:p>
    <w:tbl>
      <w:tblPr>
        <w:tblW w:w="0" w:type="auto"/>
        <w:tblLook w:val="04A0"/>
      </w:tblPr>
      <w:tblGrid>
        <w:gridCol w:w="3823"/>
        <w:gridCol w:w="5193"/>
      </w:tblGrid>
      <w:tr w:rsidR="00AE44EC" w:rsidRPr="006B0B0C" w:rsidTr="006B0B0C">
        <w:trPr>
          <w:trHeight w:val="529"/>
        </w:trPr>
        <w:tc>
          <w:tcPr>
            <w:tcW w:w="3823" w:type="dxa"/>
            <w:vAlign w:val="center"/>
          </w:tcPr>
          <w:p w:rsidR="00AE44EC" w:rsidRPr="006B0B0C" w:rsidRDefault="00AE44EC" w:rsidP="006B0B0C">
            <w:pPr>
              <w:bidi w:val="0"/>
              <w:ind w:right="-46"/>
              <w:jc w:val="both"/>
              <w:rPr>
                <w:rFonts w:cs="Times New Roman"/>
                <w:b/>
                <w:bCs/>
                <w:color w:val="000000"/>
                <w:kern w:val="2"/>
                <w:sz w:val="24"/>
                <w:lang w:bidi="ar-SA"/>
              </w:rPr>
            </w:pPr>
            <w:r w:rsidRPr="006B0B0C">
              <w:rPr>
                <w:rFonts w:cs="Times New Roman"/>
                <w:b/>
                <w:bCs/>
                <w:color w:val="000000"/>
                <w:kern w:val="2"/>
                <w:sz w:val="24"/>
                <w:lang w:bidi="ar-SA"/>
              </w:rPr>
              <w:t>Eq 1.</w:t>
            </w:r>
          </w:p>
        </w:tc>
        <w:tc>
          <w:tcPr>
            <w:tcW w:w="5193" w:type="dxa"/>
            <w:vAlign w:val="center"/>
          </w:tcPr>
          <w:p w:rsidR="00AE44EC" w:rsidRPr="006B0B0C" w:rsidRDefault="00AE44EC" w:rsidP="006B0B0C">
            <w:pPr>
              <w:bidi w:val="0"/>
              <w:ind w:right="-46"/>
              <w:jc w:val="both"/>
              <w:rPr>
                <w:rFonts w:cs="Times New Roman"/>
                <w:color w:val="000000"/>
                <w:kern w:val="2"/>
                <w:sz w:val="24"/>
                <w:lang w:bidi="ar-SA"/>
              </w:rPr>
            </w:pPr>
            <w:r w:rsidRPr="006B0B0C">
              <w:rPr>
                <w:rFonts w:cs="Times New Roman"/>
                <w:color w:val="000000"/>
                <w:kern w:val="2"/>
                <w:sz w:val="24"/>
                <w:lang w:bidi="ar-SA"/>
              </w:rPr>
              <w:t>min₍w₎ ∑ⱼ₌₁ⁿ Mⱼ ( ∑ᵢ₌₁ᴷ wᵢ xᵢⱼ − yⱼ )²</w:t>
            </w:r>
            <w:r w:rsidRPr="006B0B0C">
              <w:rPr>
                <w:rFonts w:cs="Times New Roman"/>
                <w:color w:val="000000"/>
                <w:kern w:val="2"/>
                <w:sz w:val="24"/>
                <w:lang w:bidi="ar-SA"/>
              </w:rPr>
              <w:br/>
              <w:t xml:space="preserve">subject to ∑ᵢ₌₁ᴷ wᵢ = 1,   wᵢ ≥ 0 </w:t>
            </w:r>
            <w:r w:rsidRPr="006B0B0C">
              <w:rPr>
                <w:rFonts w:ascii="Cambria Math" w:hAnsi="Cambria Math" w:cs="Cambria Math"/>
                <w:color w:val="000000"/>
                <w:kern w:val="2"/>
                <w:sz w:val="24"/>
                <w:lang w:bidi="ar-SA"/>
              </w:rPr>
              <w:t>∀</w:t>
            </w:r>
            <w:r w:rsidRPr="006B0B0C">
              <w:rPr>
                <w:rFonts w:cs="Times New Roman"/>
                <w:color w:val="000000"/>
                <w:kern w:val="2"/>
                <w:sz w:val="24"/>
                <w:lang w:bidi="ar-SA"/>
              </w:rPr>
              <w:t xml:space="preserve"> i</w:t>
            </w:r>
          </w:p>
        </w:tc>
      </w:tr>
    </w:tbl>
    <w:p w:rsidR="00AE44EC" w:rsidRPr="006B0B0C" w:rsidRDefault="00AE44EC" w:rsidP="00AE44EC">
      <w:pPr>
        <w:bidi w:val="0"/>
        <w:ind w:right="-46"/>
        <w:jc w:val="both"/>
        <w:rPr>
          <w:rFonts w:cs="Times New Roman"/>
          <w:color w:val="000000"/>
          <w:kern w:val="2"/>
          <w:sz w:val="24"/>
          <w:rtl/>
          <w:lang w:bidi="ar-SA"/>
        </w:rPr>
      </w:pPr>
    </w:p>
    <w:p w:rsidR="00AE44EC" w:rsidRPr="006B0B0C" w:rsidRDefault="00AE44EC" w:rsidP="00AE44EC">
      <w:pPr>
        <w:numPr>
          <w:ilvl w:val="0"/>
          <w:numId w:val="12"/>
        </w:numPr>
        <w:bidi w:val="0"/>
        <w:ind w:right="-46"/>
        <w:jc w:val="both"/>
        <w:rPr>
          <w:rFonts w:cs="Times New Roman"/>
          <w:color w:val="000000"/>
          <w:kern w:val="2"/>
          <w:sz w:val="24"/>
          <w:rtl/>
          <w:lang w:bidi="ar-SA"/>
        </w:rPr>
      </w:pPr>
      <w:r w:rsidRPr="006B0B0C">
        <w:rPr>
          <w:rFonts w:cs="Times New Roman"/>
          <w:color w:val="000000"/>
          <w:kern w:val="2"/>
          <w:sz w:val="24"/>
          <w:lang w:bidi="ar-SA"/>
        </w:rPr>
        <w:t>w=[w</w:t>
      </w:r>
      <w:r w:rsidRPr="006B0B0C">
        <w:rPr>
          <w:rFonts w:cs="Times New Roman"/>
          <w:color w:val="000000"/>
          <w:kern w:val="2"/>
          <w:sz w:val="24"/>
          <w:vertAlign w:val="subscript"/>
          <w:lang w:bidi="ar-SA"/>
        </w:rPr>
        <w:t>1</w:t>
      </w:r>
      <w:r w:rsidRPr="006B0B0C">
        <w:rPr>
          <w:rFonts w:cs="Times New Roman"/>
          <w:color w:val="000000"/>
          <w:kern w:val="2"/>
          <w:sz w:val="24"/>
          <w:lang w:bidi="ar-SA"/>
        </w:rPr>
        <w:t>​,w</w:t>
      </w:r>
      <w:r w:rsidRPr="006B0B0C">
        <w:rPr>
          <w:rFonts w:cs="Times New Roman"/>
          <w:color w:val="000000"/>
          <w:kern w:val="2"/>
          <w:sz w:val="24"/>
          <w:vertAlign w:val="superscript"/>
          <w:lang w:bidi="ar-SA"/>
        </w:rPr>
        <w:t>2</w:t>
      </w:r>
      <w:r w:rsidRPr="006B0B0C">
        <w:rPr>
          <w:rFonts w:cs="Times New Roman"/>
          <w:color w:val="000000"/>
          <w:kern w:val="2"/>
          <w:sz w:val="24"/>
          <w:lang w:bidi="ar-SA"/>
        </w:rPr>
        <w:t>​,…,w</w:t>
      </w:r>
      <w:r w:rsidRPr="006B0B0C">
        <w:rPr>
          <w:rFonts w:cs="Times New Roman"/>
          <w:color w:val="000000"/>
          <w:kern w:val="2"/>
          <w:sz w:val="24"/>
          <w:vertAlign w:val="superscript"/>
          <w:lang w:bidi="ar-SA"/>
        </w:rPr>
        <w:t>K</w:t>
      </w:r>
      <w:r w:rsidRPr="006B0B0C">
        <w:rPr>
          <w:rFonts w:cs="Times New Roman"/>
          <w:color w:val="000000"/>
          <w:kern w:val="2"/>
          <w:sz w:val="24"/>
          <w:lang w:bidi="ar-SA"/>
        </w:rPr>
        <w:t>​] is the vector of normalized weigh</w:t>
      </w:r>
    </w:p>
    <w:p w:rsidR="00AE44EC" w:rsidRPr="006B0B0C" w:rsidRDefault="00AE44EC" w:rsidP="00AE44EC">
      <w:pPr>
        <w:numPr>
          <w:ilvl w:val="0"/>
          <w:numId w:val="12"/>
        </w:numPr>
        <w:bidi w:val="0"/>
        <w:ind w:right="-46"/>
        <w:jc w:val="both"/>
        <w:rPr>
          <w:rFonts w:cs="Times New Roman"/>
          <w:color w:val="000000"/>
          <w:kern w:val="2"/>
          <w:sz w:val="24"/>
          <w:rtl/>
          <w:lang w:bidi="ar-SA"/>
        </w:rPr>
      </w:pPr>
      <w:r w:rsidRPr="006B0B0C">
        <w:rPr>
          <w:rFonts w:cs="Times New Roman"/>
          <w:color w:val="000000"/>
          <w:kern w:val="2"/>
          <w:sz w:val="24"/>
          <w:lang w:bidi="ar-SA"/>
        </w:rPr>
        <w:t>x</w:t>
      </w:r>
      <w:r w:rsidRPr="006B0B0C">
        <w:rPr>
          <w:rFonts w:cs="Times New Roman"/>
          <w:color w:val="000000"/>
          <w:kern w:val="2"/>
          <w:sz w:val="24"/>
          <w:vertAlign w:val="subscript"/>
          <w:lang w:bidi="ar-SA"/>
        </w:rPr>
        <w:t>ij</w:t>
      </w:r>
      <w:r w:rsidRPr="006B0B0C">
        <w:rPr>
          <w:rFonts w:cs="Times New Roman"/>
          <w:color w:val="000000"/>
          <w:kern w:val="2"/>
          <w:sz w:val="24"/>
          <w:lang w:bidi="ar-SA"/>
        </w:rPr>
        <w:t>​ denotes the value of the i-th criterion at pixel j,</w:t>
      </w:r>
    </w:p>
    <w:p w:rsidR="00AE44EC" w:rsidRPr="006B0B0C" w:rsidRDefault="00AE44EC" w:rsidP="00AE44EC">
      <w:pPr>
        <w:numPr>
          <w:ilvl w:val="0"/>
          <w:numId w:val="12"/>
        </w:numPr>
        <w:bidi w:val="0"/>
        <w:ind w:right="-46"/>
        <w:jc w:val="both"/>
        <w:rPr>
          <w:rFonts w:cs="Times New Roman"/>
          <w:color w:val="000000"/>
          <w:kern w:val="2"/>
          <w:sz w:val="24"/>
          <w:rtl/>
          <w:lang w:bidi="ar-SA"/>
        </w:rPr>
      </w:pPr>
      <w:r w:rsidRPr="006B0B0C">
        <w:rPr>
          <w:rFonts w:cs="Times New Roman"/>
          <w:color w:val="000000"/>
          <w:kern w:val="2"/>
          <w:sz w:val="24"/>
          <w:lang w:bidi="ar-SA"/>
        </w:rPr>
        <w:t>y</w:t>
      </w:r>
      <w:r w:rsidRPr="006B0B0C">
        <w:rPr>
          <w:rFonts w:cs="Times New Roman"/>
          <w:color w:val="000000"/>
          <w:kern w:val="2"/>
          <w:sz w:val="24"/>
          <w:vertAlign w:val="subscript"/>
          <w:lang w:bidi="ar-SA"/>
        </w:rPr>
        <w:t>j</w:t>
      </w:r>
      <w:r w:rsidRPr="006B0B0C">
        <w:rPr>
          <w:rFonts w:cs="Times New Roman"/>
          <w:color w:val="000000"/>
          <w:kern w:val="2"/>
          <w:sz w:val="24"/>
          <w:lang w:bidi="ar-SA"/>
        </w:rPr>
        <w:t xml:space="preserve"> is the reference or target value at pixel j,</w:t>
      </w:r>
    </w:p>
    <w:p w:rsidR="00AE44EC" w:rsidRPr="006B0B0C" w:rsidRDefault="00AE44EC" w:rsidP="00AE44EC">
      <w:pPr>
        <w:numPr>
          <w:ilvl w:val="0"/>
          <w:numId w:val="12"/>
        </w:numPr>
        <w:bidi w:val="0"/>
        <w:ind w:right="-46"/>
        <w:jc w:val="both"/>
        <w:rPr>
          <w:rFonts w:cs="Times New Roman"/>
          <w:color w:val="000000"/>
          <w:kern w:val="2"/>
          <w:sz w:val="24"/>
          <w:rtl/>
          <w:lang w:bidi="ar-SA"/>
        </w:rPr>
      </w:pPr>
      <w:r w:rsidRPr="006B0B0C">
        <w:rPr>
          <w:rFonts w:cs="Times New Roman"/>
          <w:color w:val="000000"/>
          <w:kern w:val="2"/>
          <w:sz w:val="24"/>
          <w:lang w:bidi="ar-SA"/>
        </w:rPr>
        <w:t>Mj</w:t>
      </w:r>
      <w:r w:rsidRPr="006B0B0C">
        <w:rPr>
          <w:rFonts w:ascii="Cambria Math" w:hAnsi="Cambria Math" w:cs="Cambria Math"/>
          <w:color w:val="000000"/>
          <w:kern w:val="2"/>
          <w:sz w:val="24"/>
          <w:lang w:bidi="ar-SA"/>
        </w:rPr>
        <w:t>∈</w:t>
      </w:r>
      <w:r w:rsidRPr="006B0B0C">
        <w:rPr>
          <w:rFonts w:cs="Times New Roman"/>
          <w:color w:val="000000"/>
          <w:kern w:val="2"/>
          <w:sz w:val="24"/>
          <w:lang w:bidi="ar-SA"/>
        </w:rPr>
        <w:t>{0,1} is the Boolean mask applied to pixel j,</w:t>
      </w:r>
    </w:p>
    <w:p w:rsidR="00AE44EC" w:rsidRPr="006B0B0C" w:rsidRDefault="00AE44EC" w:rsidP="00AE44EC">
      <w:pPr>
        <w:numPr>
          <w:ilvl w:val="0"/>
          <w:numId w:val="12"/>
        </w:numPr>
        <w:bidi w:val="0"/>
        <w:ind w:right="-46"/>
        <w:jc w:val="both"/>
        <w:rPr>
          <w:rFonts w:cs="Times New Roman"/>
          <w:color w:val="000000"/>
          <w:kern w:val="2"/>
          <w:sz w:val="24"/>
          <w:rtl/>
          <w:lang w:bidi="ar-SA"/>
        </w:rPr>
      </w:pPr>
      <w:r w:rsidRPr="006B0B0C">
        <w:rPr>
          <w:rFonts w:cs="Times New Roman"/>
          <w:color w:val="000000"/>
          <w:kern w:val="2"/>
          <w:sz w:val="24"/>
          <w:lang w:bidi="ar-SA"/>
        </w:rPr>
        <w:t>N is the total number of pixels,</w:t>
      </w:r>
    </w:p>
    <w:p w:rsidR="00AE44EC" w:rsidRPr="006B0B0C" w:rsidRDefault="00AE44EC" w:rsidP="00AE44EC">
      <w:pPr>
        <w:numPr>
          <w:ilvl w:val="0"/>
          <w:numId w:val="12"/>
        </w:numPr>
        <w:bidi w:val="0"/>
        <w:ind w:right="-46"/>
        <w:jc w:val="both"/>
        <w:rPr>
          <w:rFonts w:cs="Times New Roman"/>
          <w:color w:val="000000"/>
          <w:kern w:val="2"/>
          <w:sz w:val="24"/>
          <w:lang w:bidi="ar-SA"/>
        </w:rPr>
      </w:pPr>
      <w:r w:rsidRPr="006B0B0C">
        <w:rPr>
          <w:rFonts w:cs="Times New Roman"/>
          <w:color w:val="000000"/>
          <w:kern w:val="2"/>
          <w:sz w:val="24"/>
          <w:lang w:bidi="ar-SA"/>
        </w:rPr>
        <w:t>K is the number of input layers or criteria.</w:t>
      </w:r>
    </w:p>
    <w:p w:rsidR="00AE44EC" w:rsidRPr="006B0B0C" w:rsidRDefault="00AE44EC" w:rsidP="00AE44EC">
      <w:pPr>
        <w:bidi w:val="0"/>
        <w:ind w:right="-46"/>
        <w:jc w:val="both"/>
        <w:rPr>
          <w:rFonts w:cs="Times New Roman"/>
          <w:color w:val="000000"/>
          <w:kern w:val="2"/>
          <w:sz w:val="24"/>
          <w:lang w:bidi="ar-SA"/>
        </w:rPr>
      </w:pPr>
      <w:r w:rsidRPr="006B0B0C">
        <w:rPr>
          <w:rFonts w:cs="Times New Roman"/>
          <w:color w:val="000000"/>
          <w:kern w:val="2"/>
          <w:sz w:val="24"/>
          <w:lang w:bidi="ar-SA"/>
        </w:rPr>
        <w:t>wᵢ are the normalized weights (∑ᵢ wᵢ = 1, wᵢ ≥ 0), xᵢⱼ represents the value of criterion i at pixel j, yⱼ is the reference value at pixel j, and Mⱼ is a Boolean mask indicating inclusion (Mⱼ = 1) or exclusion (Mⱼ = 0) of pixel j in the optimization (Solaimani et al, 2023).</w:t>
      </w:r>
    </w:p>
    <w:p w:rsidR="002A6517" w:rsidRPr="006B0B0C" w:rsidRDefault="002A6517" w:rsidP="00AE44EC">
      <w:pPr>
        <w:bidi w:val="0"/>
        <w:ind w:right="-46"/>
        <w:jc w:val="both"/>
        <w:rPr>
          <w:rFonts w:cs="Times New Roman"/>
          <w:color w:val="000000"/>
          <w:kern w:val="2"/>
          <w:sz w:val="24"/>
          <w:lang w:bidi="ar-SA"/>
        </w:rPr>
      </w:pPr>
    </w:p>
    <w:p w:rsidR="00AE0165" w:rsidRPr="006B0B0C" w:rsidRDefault="00AE0165" w:rsidP="002A6517">
      <w:pPr>
        <w:bidi w:val="0"/>
        <w:ind w:right="-46"/>
        <w:jc w:val="center"/>
        <w:rPr>
          <w:rFonts w:cs="Times New Roman"/>
          <w:color w:val="000000"/>
          <w:kern w:val="2"/>
          <w:sz w:val="20"/>
          <w:szCs w:val="20"/>
          <w:lang w:bidi="ar-SA"/>
        </w:rPr>
      </w:pPr>
      <w:r w:rsidRPr="006B0B0C">
        <w:rPr>
          <w:rFonts w:cs="Times New Roman"/>
          <w:b/>
          <w:bCs/>
          <w:color w:val="000000"/>
          <w:kern w:val="2"/>
          <w:sz w:val="20"/>
          <w:szCs w:val="20"/>
          <w:lang w:bidi="ar-SA"/>
        </w:rPr>
        <w:t>Table 3.</w:t>
      </w:r>
      <w:r w:rsidRPr="006B0B0C">
        <w:rPr>
          <w:rFonts w:cs="Times New Roman"/>
          <w:color w:val="000000"/>
          <w:kern w:val="2"/>
          <w:sz w:val="20"/>
          <w:szCs w:val="20"/>
          <w:lang w:bidi="ar-SA"/>
        </w:rPr>
        <w:t xml:space="preserve"> Criteria considered for preparing the prohibited areas layer</w:t>
      </w:r>
    </w:p>
    <w:tbl>
      <w:tblPr>
        <w:tblW w:w="7188" w:type="dxa"/>
        <w:jc w:val="center"/>
        <w:tblBorders>
          <w:top w:val="single" w:sz="4" w:space="0" w:color="auto"/>
          <w:bottom w:val="single" w:sz="4" w:space="0" w:color="auto"/>
        </w:tblBorders>
        <w:tblLook w:val="04A0"/>
      </w:tblPr>
      <w:tblGrid>
        <w:gridCol w:w="669"/>
        <w:gridCol w:w="2218"/>
        <w:gridCol w:w="4301"/>
      </w:tblGrid>
      <w:tr w:rsidR="002A6517" w:rsidRPr="006B0B0C" w:rsidTr="002A6517">
        <w:trPr>
          <w:jc w:val="center"/>
        </w:trPr>
        <w:tc>
          <w:tcPr>
            <w:tcW w:w="669" w:type="dxa"/>
            <w:tcBorders>
              <w:bottom w:val="single" w:sz="4" w:space="0" w:color="auto"/>
            </w:tcBorders>
            <w:vAlign w:val="center"/>
          </w:tcPr>
          <w:p w:rsidR="00AE0165" w:rsidRPr="006B0B0C" w:rsidRDefault="00AE0165" w:rsidP="002A6517">
            <w:pPr>
              <w:bidi w:val="0"/>
              <w:jc w:val="center"/>
              <w:rPr>
                <w:rFonts w:cs="Times New Roman"/>
                <w:color w:val="000000"/>
                <w:kern w:val="2"/>
                <w:sz w:val="20"/>
                <w:szCs w:val="20"/>
                <w:rtl/>
              </w:rPr>
            </w:pPr>
            <w:r w:rsidRPr="006B0B0C">
              <w:rPr>
                <w:rFonts w:cs="Times New Roman"/>
                <w:b/>
                <w:bCs/>
                <w:color w:val="000000"/>
                <w:spacing w:val="2"/>
                <w:kern w:val="2"/>
                <w:sz w:val="20"/>
                <w:szCs w:val="20"/>
                <w:lang w:bidi="ar-SA"/>
              </w:rPr>
              <w:t>Row</w:t>
            </w:r>
          </w:p>
        </w:tc>
        <w:tc>
          <w:tcPr>
            <w:tcW w:w="2218" w:type="dxa"/>
            <w:tcBorders>
              <w:bottom w:val="single" w:sz="4" w:space="0" w:color="auto"/>
            </w:tcBorders>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b/>
                <w:bCs/>
                <w:color w:val="000000"/>
                <w:spacing w:val="2"/>
                <w:kern w:val="2"/>
                <w:sz w:val="20"/>
                <w:szCs w:val="20"/>
                <w:lang w:bidi="ar-SA"/>
              </w:rPr>
              <w:t>Parameter</w:t>
            </w:r>
          </w:p>
        </w:tc>
        <w:tc>
          <w:tcPr>
            <w:tcW w:w="4301" w:type="dxa"/>
            <w:tcBorders>
              <w:bottom w:val="single" w:sz="4" w:space="0" w:color="auto"/>
            </w:tcBorders>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b/>
                <w:bCs/>
                <w:color w:val="000000"/>
                <w:spacing w:val="2"/>
                <w:kern w:val="2"/>
                <w:sz w:val="20"/>
                <w:szCs w:val="20"/>
                <w:lang w:bidi="ar-SA"/>
              </w:rPr>
              <w:t>Prohibited Areas</w:t>
            </w:r>
          </w:p>
        </w:tc>
      </w:tr>
      <w:tr w:rsidR="002A6517" w:rsidRPr="006B0B0C" w:rsidTr="002A6517">
        <w:trPr>
          <w:jc w:val="center"/>
        </w:trPr>
        <w:tc>
          <w:tcPr>
            <w:tcW w:w="669" w:type="dxa"/>
            <w:tcBorders>
              <w:top w:val="single" w:sz="4" w:space="0" w:color="auto"/>
            </w:tcBorders>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1</w:t>
            </w:r>
          </w:p>
        </w:tc>
        <w:tc>
          <w:tcPr>
            <w:tcW w:w="2218" w:type="dxa"/>
            <w:tcBorders>
              <w:top w:val="single" w:sz="4" w:space="0" w:color="auto"/>
            </w:tcBorders>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Slope</w:t>
            </w:r>
          </w:p>
        </w:tc>
        <w:tc>
          <w:tcPr>
            <w:tcW w:w="4301" w:type="dxa"/>
            <w:tcBorders>
              <w:top w:val="single" w:sz="4" w:space="0" w:color="auto"/>
            </w:tcBorders>
          </w:tcPr>
          <w:p w:rsidR="00AE0165" w:rsidRPr="006B0B0C" w:rsidRDefault="00AE0165" w:rsidP="002A6517">
            <w:pPr>
              <w:bidi w:val="0"/>
              <w:jc w:val="center"/>
              <w:rPr>
                <w:rFonts w:cs="Times New Roman"/>
                <w:color w:val="000000"/>
                <w:kern w:val="2"/>
                <w:sz w:val="20"/>
                <w:szCs w:val="20"/>
                <w:rtl/>
              </w:rPr>
            </w:pPr>
            <w:r w:rsidRPr="006B0B0C">
              <w:rPr>
                <w:rFonts w:cs="Times New Roman"/>
                <w:color w:val="000000"/>
                <w:kern w:val="2"/>
                <w:sz w:val="20"/>
                <w:szCs w:val="20"/>
                <w:lang w:bidi="ar-SA"/>
              </w:rPr>
              <w:t>Areas with a slope greater than 15 degrees</w:t>
            </w:r>
          </w:p>
        </w:tc>
      </w:tr>
      <w:tr w:rsidR="002A6517" w:rsidRPr="006B0B0C" w:rsidTr="002A6517">
        <w:trPr>
          <w:jc w:val="center"/>
        </w:trPr>
        <w:tc>
          <w:tcPr>
            <w:tcW w:w="669" w:type="dxa"/>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2</w:t>
            </w:r>
          </w:p>
        </w:tc>
        <w:tc>
          <w:tcPr>
            <w:tcW w:w="2218" w:type="dxa"/>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Distance from River</w:t>
            </w:r>
          </w:p>
        </w:tc>
        <w:tc>
          <w:tcPr>
            <w:tcW w:w="4301" w:type="dxa"/>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A buffer of 500 m from main rivers</w:t>
            </w:r>
          </w:p>
        </w:tc>
      </w:tr>
      <w:tr w:rsidR="002A6517" w:rsidRPr="006B0B0C" w:rsidTr="002A6517">
        <w:trPr>
          <w:jc w:val="center"/>
        </w:trPr>
        <w:tc>
          <w:tcPr>
            <w:tcW w:w="669" w:type="dxa"/>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3</w:t>
            </w:r>
          </w:p>
        </w:tc>
        <w:tc>
          <w:tcPr>
            <w:tcW w:w="2218" w:type="dxa"/>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Lithology</w:t>
            </w:r>
          </w:p>
        </w:tc>
        <w:tc>
          <w:tcPr>
            <w:tcW w:w="4301" w:type="dxa"/>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Areas with swampy sediments and sand dunes</w:t>
            </w:r>
          </w:p>
        </w:tc>
      </w:tr>
      <w:tr w:rsidR="002A6517" w:rsidRPr="006B0B0C" w:rsidTr="002A6517">
        <w:trPr>
          <w:jc w:val="center"/>
        </w:trPr>
        <w:tc>
          <w:tcPr>
            <w:tcW w:w="669" w:type="dxa"/>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4</w:t>
            </w:r>
          </w:p>
        </w:tc>
        <w:tc>
          <w:tcPr>
            <w:tcW w:w="2218" w:type="dxa"/>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Distance from Fault</w:t>
            </w:r>
          </w:p>
        </w:tc>
        <w:tc>
          <w:tcPr>
            <w:tcW w:w="4301" w:type="dxa"/>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A buffer of 1 km from main faults</w:t>
            </w:r>
          </w:p>
        </w:tc>
      </w:tr>
      <w:tr w:rsidR="002A6517" w:rsidRPr="006B0B0C" w:rsidTr="002A6517">
        <w:trPr>
          <w:jc w:val="center"/>
        </w:trPr>
        <w:tc>
          <w:tcPr>
            <w:tcW w:w="669" w:type="dxa"/>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10</w:t>
            </w:r>
          </w:p>
        </w:tc>
        <w:tc>
          <w:tcPr>
            <w:tcW w:w="2218" w:type="dxa"/>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Vegetation Density</w:t>
            </w:r>
          </w:p>
        </w:tc>
        <w:tc>
          <w:tcPr>
            <w:tcW w:w="4301" w:type="dxa"/>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Areas with NDVI value greater than 0.2</w:t>
            </w:r>
          </w:p>
        </w:tc>
      </w:tr>
    </w:tbl>
    <w:p w:rsidR="00AE0165" w:rsidRPr="006B0B0C" w:rsidRDefault="00AE0165" w:rsidP="002A6517">
      <w:pPr>
        <w:bidi w:val="0"/>
        <w:ind w:right="-46"/>
        <w:jc w:val="both"/>
        <w:rPr>
          <w:rFonts w:cs="Times New Roman"/>
          <w:color w:val="000000"/>
          <w:kern w:val="2"/>
          <w:sz w:val="24"/>
          <w:lang w:bidi="ar-SA"/>
        </w:rPr>
      </w:pPr>
    </w:p>
    <w:p w:rsidR="00AE0165" w:rsidRPr="006B0B0C" w:rsidRDefault="00AE0165" w:rsidP="002A6517">
      <w:pPr>
        <w:bidi w:val="0"/>
        <w:ind w:right="-46"/>
        <w:jc w:val="both"/>
        <w:rPr>
          <w:rFonts w:cs="Times New Roman"/>
          <w:b/>
          <w:bCs/>
          <w:color w:val="000000"/>
          <w:kern w:val="2"/>
          <w:sz w:val="24"/>
          <w:lang w:bidi="ar-SA"/>
        </w:rPr>
      </w:pPr>
      <w:r w:rsidRPr="006B0B0C">
        <w:rPr>
          <w:rFonts w:cs="Times New Roman"/>
          <w:b/>
          <w:bCs/>
          <w:color w:val="000000"/>
          <w:kern w:val="2"/>
          <w:sz w:val="24"/>
          <w:lang w:bidi="ar-SA"/>
        </w:rPr>
        <w:t xml:space="preserve">4. </w:t>
      </w:r>
      <w:r w:rsidR="006C5DC3" w:rsidRPr="006B0B0C">
        <w:rPr>
          <w:rFonts w:cs="Times New Roman"/>
          <w:b/>
          <w:bCs/>
          <w:color w:val="000000"/>
          <w:kern w:val="2"/>
          <w:sz w:val="24"/>
          <w:lang w:bidi="ar-SA"/>
        </w:rPr>
        <w:t>Results and</w:t>
      </w:r>
      <w:r w:rsidR="006C5DC3">
        <w:rPr>
          <w:rFonts w:cs="Times New Roman"/>
          <w:b/>
          <w:bCs/>
          <w:color w:val="000000"/>
          <w:kern w:val="2"/>
          <w:sz w:val="24"/>
          <w:lang w:bidi="ar-SA"/>
        </w:rPr>
        <w:t xml:space="preserve"> </w:t>
      </w:r>
      <w:r w:rsidRPr="006B0B0C">
        <w:rPr>
          <w:rFonts w:cs="Times New Roman"/>
          <w:b/>
          <w:bCs/>
          <w:color w:val="000000"/>
          <w:kern w:val="2"/>
          <w:sz w:val="24"/>
          <w:lang w:bidi="ar-SA"/>
        </w:rPr>
        <w:t xml:space="preserve">Discussion </w:t>
      </w:r>
    </w:p>
    <w:p w:rsidR="00AE0165" w:rsidRPr="006B0B0C" w:rsidRDefault="00AE0165" w:rsidP="002A6517">
      <w:pPr>
        <w:bidi w:val="0"/>
        <w:ind w:right="-46"/>
        <w:jc w:val="both"/>
        <w:rPr>
          <w:rFonts w:cs="Times New Roman"/>
          <w:color w:val="000000"/>
          <w:kern w:val="2"/>
          <w:sz w:val="24"/>
          <w:lang w:bidi="ar-SA"/>
        </w:rPr>
      </w:pPr>
      <w:r w:rsidRPr="006B0B0C">
        <w:rPr>
          <w:rFonts w:cs="Times New Roman"/>
          <w:b/>
          <w:bCs/>
          <w:color w:val="000000"/>
          <w:kern w:val="2"/>
          <w:sz w:val="24"/>
          <w:lang w:bidi="ar-SA"/>
        </w:rPr>
        <w:t>4.1. Description of the Parameters Used</w:t>
      </w:r>
    </w:p>
    <w:p w:rsidR="00AE0165" w:rsidRPr="006B0B0C"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lastRenderedPageBreak/>
        <w:t>In this study, in order to identify areas suitable for physical development in the residential areas along the Makran coast, 10 parameters have been utilized, which are described below:</w:t>
      </w:r>
    </w:p>
    <w:p w:rsidR="00AE0165" w:rsidRPr="006B0B0C" w:rsidRDefault="00AE0165" w:rsidP="002A6517">
      <w:pPr>
        <w:bidi w:val="0"/>
        <w:ind w:right="-46"/>
        <w:jc w:val="both"/>
        <w:rPr>
          <w:rFonts w:cs="Times New Roman"/>
          <w:color w:val="000000"/>
          <w:kern w:val="2"/>
          <w:sz w:val="24"/>
          <w:lang w:bidi="ar-SA"/>
        </w:rPr>
      </w:pPr>
      <w:r w:rsidRPr="006B0B0C">
        <w:rPr>
          <w:rFonts w:cs="Times New Roman"/>
          <w:b/>
          <w:bCs/>
          <w:color w:val="000000"/>
          <w:kern w:val="2"/>
          <w:sz w:val="24"/>
          <w:lang w:bidi="ar-SA"/>
        </w:rPr>
        <w:t>A. Hydro</w:t>
      </w:r>
      <w:r w:rsidR="00E64AAC">
        <w:rPr>
          <w:rFonts w:cs="Times New Roman"/>
          <w:b/>
          <w:bCs/>
          <w:color w:val="000000"/>
          <w:kern w:val="2"/>
          <w:sz w:val="24"/>
          <w:lang w:bidi="ar-SA"/>
        </w:rPr>
        <w:t>-</w:t>
      </w:r>
      <w:r w:rsidR="00E64AAC" w:rsidRPr="006B0B0C">
        <w:rPr>
          <w:rFonts w:cs="Times New Roman"/>
          <w:b/>
          <w:bCs/>
          <w:color w:val="000000"/>
          <w:kern w:val="2"/>
          <w:sz w:val="24"/>
          <w:lang w:bidi="ar-SA"/>
        </w:rPr>
        <w:t>geomorphologic</w:t>
      </w:r>
      <w:r w:rsidR="00E64AAC">
        <w:rPr>
          <w:rFonts w:cs="Times New Roman"/>
          <w:b/>
          <w:bCs/>
          <w:color w:val="000000"/>
          <w:kern w:val="2"/>
          <w:sz w:val="24"/>
          <w:lang w:bidi="ar-SA"/>
        </w:rPr>
        <w:t>al</w:t>
      </w:r>
      <w:r w:rsidRPr="006B0B0C">
        <w:rPr>
          <w:rFonts w:cs="Times New Roman"/>
          <w:b/>
          <w:bCs/>
          <w:color w:val="000000"/>
          <w:kern w:val="2"/>
          <w:sz w:val="24"/>
          <w:lang w:bidi="ar-SA"/>
        </w:rPr>
        <w:t xml:space="preserve"> Parameters.</w:t>
      </w:r>
      <w:r w:rsidRPr="006B0B0C">
        <w:rPr>
          <w:rFonts w:cs="Times New Roman"/>
          <w:color w:val="000000"/>
          <w:kern w:val="2"/>
          <w:sz w:val="24"/>
          <w:lang w:bidi="ar-SA"/>
        </w:rPr>
        <w:t xml:space="preserve"> The hydro</w:t>
      </w:r>
      <w:r w:rsidR="00E64AAC">
        <w:rPr>
          <w:rFonts w:cs="Times New Roman"/>
          <w:color w:val="000000"/>
          <w:kern w:val="2"/>
          <w:sz w:val="24"/>
          <w:lang w:bidi="ar-SA"/>
        </w:rPr>
        <w:t>-</w:t>
      </w:r>
      <w:r w:rsidRPr="006B0B0C">
        <w:rPr>
          <w:rFonts w:cs="Times New Roman"/>
          <w:color w:val="000000"/>
          <w:kern w:val="2"/>
          <w:sz w:val="24"/>
          <w:lang w:bidi="ar-SA"/>
        </w:rPr>
        <w:t>geomorphological parameters used in this study include elevation, slope, distance from rivers, and distance from the coastline. Elevation is considered one of the effective parameters in environmental planning. High-altitude areas typically have steep slopes, high erosion potential, and frost risk, and the development of residential areas in these regions is very costly. Moreover, the high-altitude regions in the study area are primarily composed of degraded and eroded lands; therefore, they have limited suitability for the physical development of residential areas (Salari et al., 2017). Given the above factors, low-elevation areas have the highest value and high-elevation areas have the lowest value for urban development purposes (Figure 2).</w:t>
      </w:r>
    </w:p>
    <w:p w:rsidR="00AE0165" w:rsidRPr="006B0B0C" w:rsidRDefault="00E06F7E" w:rsidP="002A6517">
      <w:pPr>
        <w:bidi w:val="0"/>
        <w:ind w:right="-46"/>
        <w:jc w:val="both"/>
        <w:rPr>
          <w:rFonts w:cs="Times New Roman"/>
          <w:color w:val="000000"/>
          <w:kern w:val="2"/>
          <w:sz w:val="24"/>
          <w:lang w:bidi="ar-SA"/>
        </w:rPr>
      </w:pPr>
      <w:r w:rsidRPr="00FE7F0A">
        <w:rPr>
          <w:rFonts w:ascii="Calibri" w:hAnsi="Calibri" w:cs="Arial"/>
          <w:noProof/>
          <w:color w:val="000000"/>
          <w:kern w:val="2"/>
          <w:sz w:val="24"/>
          <w:lang w:bidi="ar-SA"/>
        </w:rPr>
        <w:pict>
          <v:shape id="Picture 1" o:spid="_x0000_i1026" type="#_x0000_t75" style="width:448.3pt;height:200.95pt;visibility:visible">
            <v:imagedata r:id="rId9" o:title=""/>
          </v:shape>
        </w:pict>
      </w:r>
    </w:p>
    <w:p w:rsidR="00AE0165" w:rsidRPr="006B0B0C" w:rsidRDefault="00AE0165" w:rsidP="002A6517">
      <w:pPr>
        <w:bidi w:val="0"/>
        <w:ind w:right="-46"/>
        <w:jc w:val="center"/>
        <w:rPr>
          <w:rFonts w:cs="Times New Roman"/>
          <w:color w:val="000000"/>
          <w:kern w:val="2"/>
          <w:sz w:val="20"/>
          <w:szCs w:val="20"/>
          <w:lang w:bidi="ar-SA"/>
        </w:rPr>
      </w:pPr>
      <w:r w:rsidRPr="000C01BA">
        <w:rPr>
          <w:rFonts w:cs="Times New Roman"/>
          <w:b/>
          <w:bCs/>
          <w:color w:val="000000"/>
          <w:kern w:val="2"/>
          <w:sz w:val="20"/>
          <w:szCs w:val="20"/>
          <w:highlight w:val="yellow"/>
          <w:lang w:bidi="ar-SA"/>
        </w:rPr>
        <w:t>Fig</w:t>
      </w:r>
      <w:r w:rsidR="00A11242" w:rsidRPr="000C01BA">
        <w:rPr>
          <w:rFonts w:cs="Times New Roman"/>
          <w:b/>
          <w:bCs/>
          <w:color w:val="000000"/>
          <w:kern w:val="2"/>
          <w:sz w:val="20"/>
          <w:szCs w:val="20"/>
          <w:highlight w:val="yellow"/>
          <w:lang w:bidi="ar-SA"/>
        </w:rPr>
        <w:t>ure-</w:t>
      </w:r>
      <w:r w:rsidRPr="000C01BA">
        <w:rPr>
          <w:rFonts w:cs="Times New Roman"/>
          <w:b/>
          <w:bCs/>
          <w:color w:val="000000"/>
          <w:kern w:val="2"/>
          <w:sz w:val="20"/>
          <w:szCs w:val="20"/>
          <w:highlight w:val="yellow"/>
          <w:lang w:bidi="ar-SA"/>
        </w:rPr>
        <w:t xml:space="preserve"> 2</w:t>
      </w:r>
      <w:r w:rsidR="00A11242" w:rsidRPr="000C01BA">
        <w:rPr>
          <w:rFonts w:cs="Times New Roman"/>
          <w:b/>
          <w:bCs/>
          <w:color w:val="000000"/>
          <w:kern w:val="2"/>
          <w:sz w:val="20"/>
          <w:szCs w:val="20"/>
          <w:highlight w:val="yellow"/>
          <w:lang w:bidi="ar-SA"/>
        </w:rPr>
        <w:t>:</w:t>
      </w:r>
      <w:r w:rsidRPr="006B0B0C">
        <w:rPr>
          <w:rFonts w:cs="Times New Roman"/>
          <w:b/>
          <w:bCs/>
          <w:color w:val="000000"/>
          <w:kern w:val="2"/>
          <w:sz w:val="20"/>
          <w:szCs w:val="20"/>
          <w:lang w:bidi="ar-SA"/>
        </w:rPr>
        <w:t xml:space="preserve"> </w:t>
      </w:r>
      <w:r w:rsidRPr="006B0B0C">
        <w:rPr>
          <w:rFonts w:cs="Times New Roman"/>
          <w:color w:val="000000"/>
          <w:kern w:val="2"/>
          <w:sz w:val="20"/>
          <w:szCs w:val="20"/>
          <w:lang w:bidi="ar-SA"/>
        </w:rPr>
        <w:t>Standardized Elevation Map</w:t>
      </w:r>
    </w:p>
    <w:p w:rsidR="00AE0165" w:rsidRPr="006B0B0C" w:rsidRDefault="00AE0165" w:rsidP="002A6517">
      <w:pPr>
        <w:bidi w:val="0"/>
        <w:ind w:right="-46"/>
        <w:jc w:val="center"/>
        <w:rPr>
          <w:rFonts w:cs="Times New Roman"/>
          <w:color w:val="000000"/>
          <w:kern w:val="2"/>
          <w:sz w:val="20"/>
          <w:szCs w:val="20"/>
          <w:lang w:bidi="ar-SA"/>
        </w:rPr>
      </w:pPr>
    </w:p>
    <w:p w:rsidR="00AE0165" w:rsidRPr="006B0B0C"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t>Slope is another crucial parameter for urban physical development. Areas with steep slopes have limited potential for residential development, while regions with slopes between 2 to 10 degrees are considered the most suitable for urban development purposes. Additionally, as slope increases, land prices tend to decrease, but construction costs rise, as building on steep slopes requires more investment, thus increasing overall construction costs (Nayyeri et al., 2017; Shi et al., 2023). Accordingly, low-slope areas have the highest value and high-slope areas have the lowest value for urban development purposes (Figure 3).</w:t>
      </w:r>
    </w:p>
    <w:p w:rsidR="00AE0165" w:rsidRPr="006B0B0C" w:rsidRDefault="00E06F7E" w:rsidP="002A6517">
      <w:pPr>
        <w:bidi w:val="0"/>
        <w:ind w:right="-46"/>
        <w:jc w:val="center"/>
        <w:rPr>
          <w:rFonts w:cs="Times New Roman"/>
          <w:color w:val="000000"/>
          <w:kern w:val="2"/>
          <w:sz w:val="24"/>
          <w:lang w:bidi="ar-SA"/>
        </w:rPr>
      </w:pPr>
      <w:r w:rsidRPr="00FE7F0A">
        <w:rPr>
          <w:rFonts w:ascii="Calibri" w:hAnsi="Calibri" w:cs="Arial"/>
          <w:noProof/>
          <w:color w:val="000000"/>
          <w:kern w:val="2"/>
          <w:sz w:val="24"/>
          <w:lang w:bidi="ar-SA"/>
        </w:rPr>
        <w:pict>
          <v:shape id="Picture 2" o:spid="_x0000_i1027" type="#_x0000_t75" style="width:431.35pt;height:195.35pt;visibility:visible">
            <v:imagedata r:id="rId10" o:title=""/>
          </v:shape>
        </w:pict>
      </w:r>
    </w:p>
    <w:p w:rsidR="00AE0165" w:rsidRPr="006B0B0C" w:rsidRDefault="00A11242" w:rsidP="002A6517">
      <w:pPr>
        <w:bidi w:val="0"/>
        <w:ind w:right="-46"/>
        <w:jc w:val="center"/>
        <w:rPr>
          <w:rFonts w:cs="Times New Roman"/>
          <w:color w:val="000000"/>
          <w:kern w:val="2"/>
          <w:sz w:val="20"/>
          <w:szCs w:val="20"/>
          <w:lang w:bidi="ar-SA"/>
        </w:rPr>
      </w:pPr>
      <w:r w:rsidRPr="000C01BA">
        <w:rPr>
          <w:rFonts w:cs="Times New Roman"/>
          <w:b/>
          <w:bCs/>
          <w:color w:val="000000"/>
          <w:kern w:val="2"/>
          <w:sz w:val="20"/>
          <w:szCs w:val="20"/>
          <w:highlight w:val="yellow"/>
          <w:lang w:bidi="ar-SA"/>
        </w:rPr>
        <w:lastRenderedPageBreak/>
        <w:t>Figure-</w:t>
      </w:r>
      <w:r w:rsidR="000C01BA" w:rsidRPr="000C01BA">
        <w:rPr>
          <w:rFonts w:cs="Times New Roman"/>
          <w:b/>
          <w:bCs/>
          <w:color w:val="000000"/>
          <w:kern w:val="2"/>
          <w:sz w:val="20"/>
          <w:szCs w:val="20"/>
          <w:highlight w:val="yellow"/>
          <w:lang w:bidi="ar-SA"/>
        </w:rPr>
        <w:t>3:</w:t>
      </w:r>
      <w:r w:rsidR="00AE0165" w:rsidRPr="006B0B0C">
        <w:rPr>
          <w:rFonts w:cs="Times New Roman"/>
          <w:b/>
          <w:bCs/>
          <w:color w:val="000000"/>
          <w:kern w:val="2"/>
          <w:sz w:val="20"/>
          <w:szCs w:val="20"/>
          <w:lang w:bidi="ar-SA"/>
        </w:rPr>
        <w:t xml:space="preserve"> </w:t>
      </w:r>
      <w:r w:rsidR="00AE0165" w:rsidRPr="006B0B0C">
        <w:rPr>
          <w:rFonts w:cs="Times New Roman"/>
          <w:color w:val="000000"/>
          <w:kern w:val="2"/>
          <w:sz w:val="20"/>
          <w:szCs w:val="20"/>
          <w:lang w:bidi="ar-SA"/>
        </w:rPr>
        <w:t>Standardized Slope Map</w:t>
      </w:r>
    </w:p>
    <w:p w:rsidR="00AE0165" w:rsidRPr="006B0B0C" w:rsidRDefault="00AE0165" w:rsidP="002A6517">
      <w:pPr>
        <w:bidi w:val="0"/>
        <w:ind w:right="-46"/>
        <w:jc w:val="both"/>
        <w:rPr>
          <w:rFonts w:cs="Times New Roman"/>
          <w:color w:val="000000"/>
          <w:kern w:val="2"/>
          <w:sz w:val="24"/>
          <w:lang w:bidi="ar-SA"/>
        </w:rPr>
      </w:pPr>
    </w:p>
    <w:p w:rsidR="00AE0165" w:rsidRDefault="00AE0165" w:rsidP="002B587F">
      <w:pPr>
        <w:bidi w:val="0"/>
        <w:ind w:right="-46"/>
        <w:jc w:val="both"/>
        <w:rPr>
          <w:rFonts w:cs="Times New Roman"/>
          <w:color w:val="000000"/>
          <w:kern w:val="2"/>
          <w:sz w:val="24"/>
          <w:lang w:bidi="ar-SA"/>
        </w:rPr>
      </w:pPr>
      <w:r w:rsidRPr="006B0B0C">
        <w:rPr>
          <w:rFonts w:cs="Times New Roman"/>
          <w:color w:val="000000"/>
          <w:kern w:val="2"/>
          <w:sz w:val="24"/>
          <w:lang w:bidi="ar-SA"/>
        </w:rPr>
        <w:t>Rivers also play an important role in urban development objectives. The study area lacks permanent rivers, and due to the sporadic nature of rainfall in the region, areas close to the rivers are at risk of flooding</w:t>
      </w:r>
      <w:r w:rsidR="002B587F" w:rsidRPr="006B0B0C">
        <w:rPr>
          <w:rFonts w:cs="Times New Roman"/>
          <w:color w:val="000000"/>
          <w:kern w:val="2"/>
          <w:sz w:val="24"/>
          <w:lang w:bidi="ar-SA"/>
        </w:rPr>
        <w:t xml:space="preserve">. </w:t>
      </w:r>
      <w:r w:rsidRPr="006B0B0C">
        <w:rPr>
          <w:rFonts w:cs="Times New Roman"/>
          <w:color w:val="000000"/>
          <w:kern w:val="2"/>
          <w:sz w:val="24"/>
          <w:lang w:bidi="ar-SA"/>
        </w:rPr>
        <w:t>Considering this, areas far from the region’s rivers have the highest value, while areas close to rivers have the lowest value for urban development purposes (Figure 4).</w:t>
      </w:r>
    </w:p>
    <w:p w:rsidR="00D6609D" w:rsidRPr="006B0B0C" w:rsidRDefault="00D6609D" w:rsidP="00D6609D">
      <w:pPr>
        <w:bidi w:val="0"/>
        <w:ind w:right="-46"/>
        <w:jc w:val="both"/>
        <w:rPr>
          <w:rFonts w:cs="Times New Roman"/>
          <w:color w:val="000000"/>
          <w:kern w:val="2"/>
          <w:sz w:val="24"/>
          <w:lang w:bidi="ar-SA"/>
        </w:rPr>
      </w:pPr>
    </w:p>
    <w:p w:rsidR="00AE0165" w:rsidRPr="006B0B0C" w:rsidRDefault="00E06F7E" w:rsidP="002A6517">
      <w:pPr>
        <w:bidi w:val="0"/>
        <w:ind w:right="-46"/>
        <w:jc w:val="center"/>
        <w:rPr>
          <w:rFonts w:cs="Times New Roman"/>
          <w:color w:val="000000"/>
          <w:kern w:val="2"/>
          <w:sz w:val="24"/>
          <w:lang w:bidi="ar-SA"/>
        </w:rPr>
      </w:pPr>
      <w:r w:rsidRPr="00FE7F0A">
        <w:rPr>
          <w:rFonts w:ascii="Calibri" w:hAnsi="Calibri" w:cs="Arial"/>
          <w:noProof/>
          <w:color w:val="000000"/>
          <w:kern w:val="2"/>
          <w:sz w:val="24"/>
          <w:lang w:bidi="ar-SA"/>
        </w:rPr>
        <w:pict>
          <v:shape id="_x0000_i1028" type="#_x0000_t75" style="width:436.4pt;height:209.75pt;visibility:visible">
            <v:imagedata r:id="rId11" o:title=""/>
          </v:shape>
        </w:pict>
      </w:r>
    </w:p>
    <w:p w:rsidR="00AE0165" w:rsidRPr="006B0B0C" w:rsidRDefault="00AE0165" w:rsidP="002A6517">
      <w:pPr>
        <w:bidi w:val="0"/>
        <w:ind w:right="-46"/>
        <w:jc w:val="center"/>
        <w:rPr>
          <w:rFonts w:cs="Times New Roman"/>
          <w:color w:val="000000"/>
          <w:kern w:val="2"/>
          <w:sz w:val="20"/>
          <w:szCs w:val="20"/>
          <w:lang w:bidi="ar-SA"/>
        </w:rPr>
      </w:pPr>
      <w:r w:rsidRPr="000C01BA">
        <w:rPr>
          <w:rFonts w:cs="Times New Roman"/>
          <w:b/>
          <w:bCs/>
          <w:color w:val="000000"/>
          <w:kern w:val="2"/>
          <w:sz w:val="20"/>
          <w:szCs w:val="20"/>
          <w:highlight w:val="yellow"/>
          <w:lang w:bidi="ar-SA"/>
        </w:rPr>
        <w:t>Fig</w:t>
      </w:r>
      <w:r w:rsidR="00A11242" w:rsidRPr="000C01BA">
        <w:rPr>
          <w:rFonts w:cs="Times New Roman"/>
          <w:b/>
          <w:bCs/>
          <w:color w:val="000000"/>
          <w:kern w:val="2"/>
          <w:sz w:val="20"/>
          <w:szCs w:val="20"/>
          <w:highlight w:val="yellow"/>
          <w:lang w:bidi="ar-SA"/>
        </w:rPr>
        <w:t>ure-</w:t>
      </w:r>
      <w:r w:rsidR="000C01BA" w:rsidRPr="000C01BA">
        <w:rPr>
          <w:rFonts w:cs="Times New Roman"/>
          <w:b/>
          <w:bCs/>
          <w:color w:val="000000"/>
          <w:kern w:val="2"/>
          <w:sz w:val="20"/>
          <w:szCs w:val="20"/>
          <w:highlight w:val="yellow"/>
          <w:lang w:bidi="ar-SA"/>
        </w:rPr>
        <w:t xml:space="preserve"> 4</w:t>
      </w:r>
      <w:r w:rsidR="000C01BA">
        <w:rPr>
          <w:rFonts w:cs="Times New Roman"/>
          <w:b/>
          <w:bCs/>
          <w:color w:val="000000"/>
          <w:kern w:val="2"/>
          <w:sz w:val="20"/>
          <w:szCs w:val="20"/>
          <w:lang w:bidi="ar-SA"/>
        </w:rPr>
        <w:t>:</w:t>
      </w:r>
      <w:r w:rsidRPr="006B0B0C">
        <w:rPr>
          <w:rFonts w:cs="Times New Roman"/>
          <w:b/>
          <w:bCs/>
          <w:color w:val="000000"/>
          <w:kern w:val="2"/>
          <w:sz w:val="20"/>
          <w:szCs w:val="20"/>
          <w:lang w:bidi="ar-SA"/>
        </w:rPr>
        <w:t xml:space="preserve"> </w:t>
      </w:r>
      <w:r w:rsidRPr="006B0B0C">
        <w:rPr>
          <w:rFonts w:cs="Times New Roman"/>
          <w:color w:val="000000"/>
          <w:kern w:val="2"/>
          <w:sz w:val="20"/>
          <w:szCs w:val="20"/>
          <w:lang w:bidi="ar-SA"/>
        </w:rPr>
        <w:t>Standardized Distance from River Map</w:t>
      </w:r>
    </w:p>
    <w:p w:rsidR="00AE0165" w:rsidRPr="006B0B0C" w:rsidRDefault="00AE0165" w:rsidP="002A6517">
      <w:pPr>
        <w:bidi w:val="0"/>
        <w:ind w:right="-46"/>
        <w:jc w:val="center"/>
        <w:rPr>
          <w:rFonts w:cs="Times New Roman"/>
          <w:color w:val="000000"/>
          <w:kern w:val="2"/>
          <w:sz w:val="24"/>
          <w:lang w:bidi="ar-SA"/>
        </w:rPr>
      </w:pPr>
    </w:p>
    <w:p w:rsidR="00AE0165" w:rsidRPr="006B0B0C"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t>Furthermore, the distance from coastlines also plays a significant role in urban development planning. Since coastlines are considered population attractors, with about 60% of the world's population living on the coasts (Hosseini &amp; Ashournejad, 2018), and coastal strips have high economic potential, areas close to coastlines have greater potential for the physical development of residential areas (Xu et al., 2025; Su et al., 2025). Accordingly, areas near coastlines have the highest value, while areas far from coastlines have the lowest value for urban development purposes (Figure 5).</w:t>
      </w:r>
    </w:p>
    <w:p w:rsidR="00AE0165" w:rsidRPr="006B0B0C" w:rsidRDefault="00E06F7E" w:rsidP="002A6517">
      <w:pPr>
        <w:bidi w:val="0"/>
        <w:ind w:right="-46"/>
        <w:jc w:val="center"/>
        <w:rPr>
          <w:rFonts w:cs="Times New Roman"/>
          <w:color w:val="000000"/>
          <w:kern w:val="2"/>
          <w:sz w:val="24"/>
          <w:lang w:bidi="ar-SA"/>
        </w:rPr>
      </w:pPr>
      <w:r w:rsidRPr="00FE7F0A">
        <w:rPr>
          <w:rFonts w:ascii="Calibri" w:hAnsi="Calibri" w:cs="Arial"/>
          <w:noProof/>
          <w:color w:val="000000"/>
          <w:kern w:val="2"/>
          <w:sz w:val="24"/>
          <w:lang w:bidi="ar-SA"/>
        </w:rPr>
        <w:pict>
          <v:shape id="Picture 4" o:spid="_x0000_i1029" type="#_x0000_t75" style="width:426.35pt;height:191.6pt;visibility:visible">
            <v:imagedata r:id="rId12" o:title=""/>
          </v:shape>
        </w:pict>
      </w:r>
    </w:p>
    <w:p w:rsidR="00AE0165" w:rsidRPr="006B0B0C" w:rsidRDefault="00AE0165" w:rsidP="002A6517">
      <w:pPr>
        <w:bidi w:val="0"/>
        <w:ind w:right="-46"/>
        <w:jc w:val="center"/>
        <w:rPr>
          <w:rFonts w:cs="Times New Roman"/>
          <w:color w:val="000000"/>
          <w:kern w:val="2"/>
          <w:sz w:val="20"/>
          <w:szCs w:val="20"/>
          <w:lang w:bidi="ar-SA"/>
        </w:rPr>
      </w:pPr>
      <w:r w:rsidRPr="00A11242">
        <w:rPr>
          <w:rFonts w:cs="Times New Roman"/>
          <w:b/>
          <w:bCs/>
          <w:color w:val="000000"/>
          <w:kern w:val="2"/>
          <w:sz w:val="20"/>
          <w:szCs w:val="20"/>
          <w:highlight w:val="yellow"/>
          <w:lang w:bidi="ar-SA"/>
        </w:rPr>
        <w:t>Fig</w:t>
      </w:r>
      <w:r w:rsidR="00A11242" w:rsidRPr="00A11242">
        <w:rPr>
          <w:rFonts w:cs="Times New Roman"/>
          <w:b/>
          <w:bCs/>
          <w:color w:val="000000"/>
          <w:kern w:val="2"/>
          <w:sz w:val="20"/>
          <w:szCs w:val="20"/>
          <w:highlight w:val="yellow"/>
          <w:lang w:bidi="ar-SA"/>
        </w:rPr>
        <w:t>ure-</w:t>
      </w:r>
      <w:r w:rsidR="000C01BA">
        <w:rPr>
          <w:rFonts w:cs="Times New Roman"/>
          <w:b/>
          <w:bCs/>
          <w:color w:val="000000"/>
          <w:kern w:val="2"/>
          <w:sz w:val="20"/>
          <w:szCs w:val="20"/>
          <w:highlight w:val="yellow"/>
          <w:lang w:bidi="ar-SA"/>
        </w:rPr>
        <w:t xml:space="preserve"> 5</w:t>
      </w:r>
      <w:r w:rsidR="000C01BA">
        <w:rPr>
          <w:rFonts w:cs="Times New Roman"/>
          <w:b/>
          <w:bCs/>
          <w:color w:val="000000"/>
          <w:kern w:val="2"/>
          <w:sz w:val="20"/>
          <w:szCs w:val="20"/>
          <w:lang w:bidi="ar-SA"/>
        </w:rPr>
        <w:t>:</w:t>
      </w:r>
      <w:r w:rsidRPr="006B0B0C">
        <w:rPr>
          <w:rFonts w:cs="Times New Roman"/>
          <w:b/>
          <w:bCs/>
          <w:color w:val="000000"/>
          <w:kern w:val="2"/>
          <w:sz w:val="20"/>
          <w:szCs w:val="20"/>
          <w:lang w:bidi="ar-SA"/>
        </w:rPr>
        <w:t xml:space="preserve"> </w:t>
      </w:r>
      <w:r w:rsidRPr="006B0B0C">
        <w:rPr>
          <w:rFonts w:cs="Times New Roman"/>
          <w:color w:val="000000"/>
          <w:kern w:val="2"/>
          <w:sz w:val="20"/>
          <w:szCs w:val="20"/>
          <w:lang w:bidi="ar-SA"/>
        </w:rPr>
        <w:t>Standardized Distance from Coastline Map</w:t>
      </w:r>
    </w:p>
    <w:p w:rsidR="00AE0165" w:rsidRPr="006B0B0C" w:rsidRDefault="00AE0165" w:rsidP="002A6517">
      <w:pPr>
        <w:bidi w:val="0"/>
        <w:ind w:right="-46"/>
        <w:jc w:val="both"/>
        <w:rPr>
          <w:rFonts w:cs="Times New Roman"/>
          <w:color w:val="000000"/>
          <w:kern w:val="2"/>
          <w:sz w:val="24"/>
          <w:lang w:bidi="ar-SA"/>
        </w:rPr>
      </w:pPr>
    </w:p>
    <w:p w:rsidR="00AE0165" w:rsidRPr="006B0B0C" w:rsidRDefault="00AE0165" w:rsidP="002A6517">
      <w:pPr>
        <w:bidi w:val="0"/>
        <w:ind w:right="-46"/>
        <w:jc w:val="both"/>
        <w:rPr>
          <w:rFonts w:cs="Times New Roman"/>
          <w:color w:val="000000"/>
          <w:kern w:val="2"/>
          <w:sz w:val="24"/>
          <w:lang w:bidi="ar-SA"/>
        </w:rPr>
      </w:pPr>
    </w:p>
    <w:p w:rsidR="00AE0165" w:rsidRDefault="00AE0165" w:rsidP="002A6517">
      <w:pPr>
        <w:bidi w:val="0"/>
        <w:ind w:right="-46"/>
        <w:jc w:val="both"/>
        <w:rPr>
          <w:rFonts w:cs="Times New Roman"/>
          <w:color w:val="000000"/>
          <w:kern w:val="2"/>
          <w:sz w:val="24"/>
          <w:lang w:bidi="ar-SA"/>
        </w:rPr>
      </w:pPr>
      <w:r w:rsidRPr="006B0B0C">
        <w:rPr>
          <w:rFonts w:cs="Times New Roman"/>
          <w:b/>
          <w:bCs/>
          <w:color w:val="000000"/>
          <w:kern w:val="2"/>
          <w:sz w:val="24"/>
          <w:lang w:bidi="ar-SA"/>
        </w:rPr>
        <w:lastRenderedPageBreak/>
        <w:t>B. Geological Parameters.</w:t>
      </w:r>
      <w:r w:rsidRPr="006B0B0C">
        <w:rPr>
          <w:rFonts w:cs="Times New Roman"/>
          <w:color w:val="000000"/>
          <w:kern w:val="2"/>
          <w:sz w:val="24"/>
          <w:lang w:bidi="ar-SA"/>
        </w:rPr>
        <w:t xml:space="preserve"> Geological parameters are other effective factors in urban planning. The geological parameters relevant to the present study include lithology, distance from faults, and distance from earthquake epicenters. Lithology, as the foundation of cities, plays an important role in urban development goals. Areas with resistant lithology have greater potential for urban development objectives. The assessment of the lithological status of the studied area indicates that a large portion of the area is covered by swamp sediments and sand dunes, which are unsuitable for urban development purposes. Therefore, the studied area has significant limitations regarding lithological conditions (Ganjaeian et al., 2020). Considering the mentioned factors, areas with resistant lithology, such as conglomerates and sandstones, are assigned a value close to 1, while areas with swamp sediments and sand dunes are assigned a value close to 0 (Figure 6).</w:t>
      </w:r>
    </w:p>
    <w:p w:rsidR="00D6609D" w:rsidRPr="006B0B0C" w:rsidRDefault="00D6609D" w:rsidP="00D6609D">
      <w:pPr>
        <w:bidi w:val="0"/>
        <w:ind w:right="-46"/>
        <w:jc w:val="both"/>
        <w:rPr>
          <w:rFonts w:cs="Times New Roman"/>
          <w:color w:val="000000"/>
          <w:kern w:val="2"/>
          <w:sz w:val="24"/>
          <w:lang w:bidi="ar-SA"/>
        </w:rPr>
      </w:pPr>
    </w:p>
    <w:p w:rsidR="00AE0165" w:rsidRPr="006B0B0C" w:rsidRDefault="00E64AAC" w:rsidP="002A6517">
      <w:pPr>
        <w:bidi w:val="0"/>
        <w:ind w:right="-46"/>
        <w:jc w:val="center"/>
        <w:rPr>
          <w:rFonts w:cs="Times New Roman"/>
          <w:color w:val="000000"/>
          <w:kern w:val="2"/>
          <w:sz w:val="24"/>
          <w:lang w:bidi="ar-SA"/>
        </w:rPr>
      </w:pPr>
      <w:r w:rsidRPr="00FE7F0A">
        <w:rPr>
          <w:rFonts w:ascii="Calibri" w:hAnsi="Calibri" w:cs="Arial"/>
          <w:noProof/>
          <w:color w:val="000000"/>
          <w:kern w:val="2"/>
          <w:sz w:val="24"/>
          <w:lang w:bidi="ar-SA"/>
        </w:rPr>
        <w:pict>
          <v:shape id="Picture 5" o:spid="_x0000_i1030" type="#_x0000_t75" style="width:450.15pt;height:204.75pt;visibility:visible">
            <v:imagedata r:id="rId13" o:title=""/>
          </v:shape>
        </w:pict>
      </w:r>
    </w:p>
    <w:p w:rsidR="00AE0165" w:rsidRDefault="000C01BA" w:rsidP="002A6517">
      <w:pPr>
        <w:bidi w:val="0"/>
        <w:jc w:val="center"/>
        <w:rPr>
          <w:rFonts w:cs="Times New Roman"/>
          <w:color w:val="000000"/>
          <w:kern w:val="2"/>
          <w:sz w:val="20"/>
          <w:szCs w:val="20"/>
          <w:lang w:bidi="ar-SA"/>
        </w:rPr>
      </w:pPr>
      <w:r w:rsidRPr="000C01BA">
        <w:rPr>
          <w:rFonts w:cs="Times New Roman"/>
          <w:b/>
          <w:bCs/>
          <w:color w:val="000000"/>
          <w:kern w:val="2"/>
          <w:sz w:val="20"/>
          <w:szCs w:val="20"/>
          <w:highlight w:val="yellow"/>
          <w:lang w:bidi="ar-SA"/>
        </w:rPr>
        <w:t>Figure-</w:t>
      </w:r>
      <w:r w:rsidR="00AE0165" w:rsidRPr="000C01BA">
        <w:rPr>
          <w:rFonts w:cs="Times New Roman"/>
          <w:b/>
          <w:bCs/>
          <w:color w:val="000000"/>
          <w:kern w:val="2"/>
          <w:sz w:val="20"/>
          <w:szCs w:val="20"/>
          <w:highlight w:val="yellow"/>
          <w:lang w:bidi="ar-SA"/>
        </w:rPr>
        <w:t>6</w:t>
      </w:r>
      <w:r w:rsidRPr="000C01BA">
        <w:rPr>
          <w:rFonts w:cs="Times New Roman"/>
          <w:b/>
          <w:bCs/>
          <w:color w:val="000000"/>
          <w:kern w:val="2"/>
          <w:sz w:val="20"/>
          <w:szCs w:val="20"/>
          <w:highlight w:val="yellow"/>
          <w:lang w:bidi="ar-SA"/>
        </w:rPr>
        <w:t>:</w:t>
      </w:r>
      <w:r w:rsidR="00AE0165" w:rsidRPr="006B0B0C">
        <w:rPr>
          <w:rFonts w:cs="Times New Roman"/>
          <w:b/>
          <w:bCs/>
          <w:color w:val="000000"/>
          <w:kern w:val="2"/>
          <w:sz w:val="20"/>
          <w:szCs w:val="20"/>
          <w:lang w:bidi="ar-SA"/>
        </w:rPr>
        <w:t xml:space="preserve"> </w:t>
      </w:r>
      <w:r w:rsidR="00AE0165" w:rsidRPr="006B0B0C">
        <w:rPr>
          <w:rFonts w:cs="Times New Roman"/>
          <w:color w:val="000000"/>
          <w:kern w:val="2"/>
          <w:sz w:val="20"/>
          <w:szCs w:val="20"/>
          <w:lang w:bidi="ar-SA"/>
        </w:rPr>
        <w:t>Standardized Lithology Map</w:t>
      </w:r>
    </w:p>
    <w:p w:rsidR="00D6609D" w:rsidRPr="006B0B0C" w:rsidRDefault="00D6609D" w:rsidP="00D6609D">
      <w:pPr>
        <w:bidi w:val="0"/>
        <w:jc w:val="center"/>
        <w:rPr>
          <w:rFonts w:cs="Times New Roman"/>
          <w:color w:val="000000"/>
          <w:kern w:val="2"/>
          <w:sz w:val="20"/>
          <w:szCs w:val="20"/>
          <w:lang w:bidi="ar-SA"/>
        </w:rPr>
      </w:pPr>
    </w:p>
    <w:p w:rsidR="00AE0165"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t>Fault lines are another geological parameter that should be considered as a threatening factor (Lei et al., 2022). Areas close to fault lines have lower potential for urban physical development due to their exposure to earthquake hazards. Accordingly, areas far from fault lines are assigned a value close to 1, while areas near fault lines are given a value close to 0 (Figure 7). Earthquake epicenters are also considered as another effective parameter. Areas close to earthquake epicenters have lower values for urban development objectives due to their high seismic potential (Figure 8).</w:t>
      </w:r>
    </w:p>
    <w:p w:rsidR="00D6609D" w:rsidRPr="006B0B0C" w:rsidRDefault="00D6609D" w:rsidP="00D6609D">
      <w:pPr>
        <w:bidi w:val="0"/>
        <w:ind w:right="-46"/>
        <w:jc w:val="both"/>
        <w:rPr>
          <w:rFonts w:cs="Times New Roman"/>
          <w:color w:val="000000"/>
          <w:kern w:val="2"/>
          <w:sz w:val="24"/>
          <w:lang w:bidi="ar-SA"/>
        </w:rPr>
      </w:pPr>
    </w:p>
    <w:p w:rsidR="00AE0165" w:rsidRPr="006B0B0C" w:rsidRDefault="00E64AAC" w:rsidP="002A6517">
      <w:pPr>
        <w:bidi w:val="0"/>
        <w:ind w:right="-46"/>
        <w:jc w:val="center"/>
        <w:rPr>
          <w:rFonts w:cs="Times New Roman"/>
          <w:color w:val="000000"/>
          <w:kern w:val="2"/>
          <w:sz w:val="24"/>
          <w:lang w:bidi="ar-SA"/>
        </w:rPr>
      </w:pPr>
      <w:r w:rsidRPr="00FE7F0A">
        <w:rPr>
          <w:rFonts w:ascii="Calibri" w:hAnsi="Calibri" w:cs="Arial"/>
          <w:noProof/>
          <w:color w:val="000000"/>
          <w:kern w:val="2"/>
          <w:sz w:val="24"/>
          <w:lang w:bidi="ar-SA"/>
        </w:rPr>
        <w:lastRenderedPageBreak/>
        <w:pict>
          <v:shape id="Picture 6" o:spid="_x0000_i1031" type="#_x0000_t75" style="width:433.9pt;height:207.85pt;visibility:visible">
            <v:imagedata r:id="rId14" o:title=""/>
          </v:shape>
        </w:pict>
      </w:r>
    </w:p>
    <w:p w:rsidR="00AE0165" w:rsidRDefault="000C01BA" w:rsidP="002A6517">
      <w:pPr>
        <w:bidi w:val="0"/>
        <w:jc w:val="center"/>
        <w:rPr>
          <w:rFonts w:cs="Times New Roman"/>
          <w:color w:val="000000"/>
          <w:kern w:val="2"/>
          <w:sz w:val="20"/>
          <w:szCs w:val="20"/>
          <w:lang w:bidi="ar-SA"/>
        </w:rPr>
      </w:pPr>
      <w:r w:rsidRPr="00850790">
        <w:rPr>
          <w:rFonts w:cs="Times New Roman"/>
          <w:b/>
          <w:bCs/>
          <w:color w:val="000000"/>
          <w:kern w:val="2"/>
          <w:sz w:val="20"/>
          <w:szCs w:val="20"/>
          <w:highlight w:val="yellow"/>
          <w:lang w:bidi="ar-SA"/>
        </w:rPr>
        <w:t>Figure-</w:t>
      </w:r>
      <w:r w:rsidR="00AE0165" w:rsidRPr="00850790">
        <w:rPr>
          <w:rFonts w:cs="Times New Roman"/>
          <w:b/>
          <w:bCs/>
          <w:color w:val="000000"/>
          <w:kern w:val="2"/>
          <w:sz w:val="20"/>
          <w:szCs w:val="20"/>
          <w:highlight w:val="yellow"/>
          <w:lang w:bidi="ar-SA"/>
        </w:rPr>
        <w:t>7</w:t>
      </w:r>
      <w:r w:rsidR="00850790">
        <w:rPr>
          <w:rFonts w:cs="Times New Roman"/>
          <w:b/>
          <w:bCs/>
          <w:color w:val="000000"/>
          <w:kern w:val="2"/>
          <w:sz w:val="20"/>
          <w:szCs w:val="20"/>
          <w:lang w:bidi="ar-SA"/>
        </w:rPr>
        <w:t xml:space="preserve">: </w:t>
      </w:r>
      <w:r w:rsidR="00AE0165" w:rsidRPr="006B0B0C">
        <w:rPr>
          <w:rFonts w:cs="Times New Roman"/>
          <w:color w:val="000000"/>
          <w:kern w:val="2"/>
          <w:sz w:val="20"/>
          <w:szCs w:val="20"/>
          <w:lang w:bidi="ar-SA"/>
        </w:rPr>
        <w:t>Standardized Distance from Fault Lines Map</w:t>
      </w:r>
    </w:p>
    <w:p w:rsidR="00D6609D" w:rsidRPr="006B0B0C" w:rsidRDefault="00D6609D" w:rsidP="00D6609D">
      <w:pPr>
        <w:bidi w:val="0"/>
        <w:jc w:val="center"/>
        <w:rPr>
          <w:rFonts w:cs="Times New Roman"/>
          <w:color w:val="000000"/>
          <w:kern w:val="2"/>
          <w:sz w:val="20"/>
          <w:szCs w:val="20"/>
          <w:lang w:bidi="ar-SA"/>
        </w:rPr>
      </w:pPr>
    </w:p>
    <w:p w:rsidR="00AE0165" w:rsidRPr="006B0B0C" w:rsidRDefault="00E64AAC" w:rsidP="002A6517">
      <w:pPr>
        <w:bidi w:val="0"/>
        <w:jc w:val="center"/>
        <w:rPr>
          <w:rFonts w:cs="Times New Roman"/>
          <w:color w:val="000000"/>
          <w:kern w:val="2"/>
          <w:sz w:val="24"/>
          <w:lang w:bidi="ar-SA"/>
        </w:rPr>
      </w:pPr>
      <w:r w:rsidRPr="00FE7F0A">
        <w:rPr>
          <w:rFonts w:ascii="Calibri" w:hAnsi="Calibri" w:cs="Arial"/>
          <w:b/>
          <w:bCs/>
          <w:noProof/>
          <w:color w:val="000000"/>
          <w:kern w:val="2"/>
          <w:sz w:val="24"/>
          <w:lang w:bidi="ar-SA"/>
        </w:rPr>
        <w:pict>
          <v:shape id="Picture 7" o:spid="_x0000_i1032" type="#_x0000_t75" style="width:436.4pt;height:210.35pt;visibility:visible">
            <v:imagedata r:id="rId15" o:title=""/>
          </v:shape>
        </w:pict>
      </w:r>
    </w:p>
    <w:p w:rsidR="00AE0165" w:rsidRPr="006B0B0C" w:rsidRDefault="00850790" w:rsidP="002A6517">
      <w:pPr>
        <w:bidi w:val="0"/>
        <w:jc w:val="center"/>
        <w:rPr>
          <w:rFonts w:cs="Times New Roman"/>
          <w:color w:val="000000"/>
          <w:kern w:val="2"/>
          <w:sz w:val="20"/>
          <w:szCs w:val="20"/>
          <w:lang w:bidi="ar-SA"/>
        </w:rPr>
      </w:pPr>
      <w:r w:rsidRPr="00850790">
        <w:rPr>
          <w:rFonts w:cs="Times New Roman"/>
          <w:b/>
          <w:bCs/>
          <w:color w:val="000000"/>
          <w:kern w:val="2"/>
          <w:sz w:val="20"/>
          <w:szCs w:val="20"/>
          <w:highlight w:val="yellow"/>
          <w:lang w:bidi="ar-SA"/>
        </w:rPr>
        <w:t>Figure-8:</w:t>
      </w:r>
      <w:r w:rsidR="00AE0165" w:rsidRPr="006B0B0C">
        <w:rPr>
          <w:rFonts w:cs="Times New Roman"/>
          <w:b/>
          <w:bCs/>
          <w:color w:val="000000"/>
          <w:kern w:val="2"/>
          <w:sz w:val="20"/>
          <w:szCs w:val="20"/>
          <w:lang w:bidi="ar-SA"/>
        </w:rPr>
        <w:t xml:space="preserve"> </w:t>
      </w:r>
      <w:r w:rsidR="00AE0165" w:rsidRPr="006B0B0C">
        <w:rPr>
          <w:rFonts w:cs="Times New Roman"/>
          <w:color w:val="000000"/>
          <w:kern w:val="2"/>
          <w:sz w:val="20"/>
          <w:szCs w:val="20"/>
          <w:lang w:bidi="ar-SA"/>
        </w:rPr>
        <w:t>Standardized Distance from Earthquake Epicenters Map</w:t>
      </w:r>
    </w:p>
    <w:p w:rsidR="00AE0165" w:rsidRPr="006B0B0C" w:rsidRDefault="00AE0165" w:rsidP="002A6517">
      <w:pPr>
        <w:bidi w:val="0"/>
        <w:jc w:val="center"/>
        <w:rPr>
          <w:rFonts w:cs="Times New Roman"/>
          <w:color w:val="000000"/>
          <w:kern w:val="2"/>
          <w:sz w:val="24"/>
          <w:lang w:bidi="ar-SA"/>
        </w:rPr>
      </w:pPr>
    </w:p>
    <w:p w:rsidR="00AE0165" w:rsidRDefault="00AE0165" w:rsidP="002A6517">
      <w:pPr>
        <w:bidi w:val="0"/>
        <w:ind w:right="-46"/>
        <w:jc w:val="both"/>
        <w:rPr>
          <w:rFonts w:cs="Times New Roman"/>
          <w:color w:val="000000"/>
          <w:kern w:val="2"/>
          <w:sz w:val="24"/>
          <w:lang w:bidi="ar-SA"/>
        </w:rPr>
      </w:pPr>
      <w:r w:rsidRPr="006B0B0C">
        <w:rPr>
          <w:rFonts w:cs="Times New Roman"/>
          <w:b/>
          <w:bCs/>
          <w:color w:val="000000"/>
          <w:kern w:val="2"/>
          <w:sz w:val="24"/>
          <w:lang w:bidi="ar-SA"/>
        </w:rPr>
        <w:t>C. Human Parameters.</w:t>
      </w:r>
      <w:r w:rsidRPr="006B0B0C">
        <w:rPr>
          <w:rFonts w:cs="Times New Roman"/>
          <w:color w:val="000000"/>
          <w:kern w:val="2"/>
          <w:sz w:val="24"/>
          <w:lang w:bidi="ar-SA"/>
        </w:rPr>
        <w:t xml:space="preserve"> Attention to human parameters in urban planning, especially in identifying areas suitable for urban physical development, is of great importance. In this study, two parameters, distance from urban points and distance from main roads, are used as the most important human parameters. In the process of physical development of residential areas, the distance from the current fabric and area of cities is significant, as it relates to access to the services and facilities of the central city. The best locations for residential development are those areas that, in addition to other conditions, are close to the current city limits or the proper of villages that will join the city. Considering these issues regarding the layer of distance from residential areas, the shorter the distance from residential areas, the more suitable it is for the intended goals (Ganjaeian et al., 2020). In this way, areas close to urban points are assigned a value close to 1, while areas far from urban points are assigned a value close to 0 (Figure 9). Additionally, access to communication routes also plays an important role in urban development goals. Communication routes are significant for urban development objectives due to their ease of access and convenience for construction and infrastructure </w:t>
      </w:r>
      <w:r w:rsidRPr="006B0B0C">
        <w:rPr>
          <w:rFonts w:cs="Times New Roman"/>
          <w:color w:val="000000"/>
          <w:kern w:val="2"/>
          <w:sz w:val="24"/>
          <w:lang w:bidi="ar-SA"/>
        </w:rPr>
        <w:lastRenderedPageBreak/>
        <w:t>development (Salari et al., 2017). Therefore, areas close to main roads are assigned a value close to 1, while areas far from main roads are assigned a value close to 0 (Figure 10).</w:t>
      </w:r>
    </w:p>
    <w:p w:rsidR="00D6609D" w:rsidRPr="006B0B0C" w:rsidRDefault="00D6609D" w:rsidP="00D6609D">
      <w:pPr>
        <w:bidi w:val="0"/>
        <w:ind w:right="-46"/>
        <w:jc w:val="both"/>
        <w:rPr>
          <w:rFonts w:cs="Times New Roman"/>
          <w:color w:val="000000"/>
          <w:kern w:val="2"/>
          <w:sz w:val="24"/>
          <w:lang w:bidi="ar-SA"/>
        </w:rPr>
      </w:pPr>
    </w:p>
    <w:p w:rsidR="00AE0165" w:rsidRPr="006B0B0C" w:rsidRDefault="00E64AAC" w:rsidP="002A6517">
      <w:pPr>
        <w:bidi w:val="0"/>
        <w:ind w:right="-46"/>
        <w:jc w:val="center"/>
        <w:rPr>
          <w:rFonts w:cs="Times New Roman"/>
          <w:color w:val="000000"/>
          <w:kern w:val="2"/>
          <w:sz w:val="24"/>
          <w:lang w:bidi="ar-SA"/>
        </w:rPr>
      </w:pPr>
      <w:r w:rsidRPr="00FE7F0A">
        <w:rPr>
          <w:rFonts w:ascii="Calibri" w:hAnsi="Calibri" w:cs="Arial"/>
          <w:noProof/>
          <w:color w:val="000000"/>
          <w:kern w:val="2"/>
          <w:sz w:val="24"/>
          <w:lang w:bidi="ar-SA"/>
        </w:rPr>
        <w:pict>
          <v:shape id="Picture 8" o:spid="_x0000_i1033" type="#_x0000_t75" style="width:428.85pt;height:192.2pt;visibility:visible">
            <v:imagedata r:id="rId16" o:title=""/>
          </v:shape>
        </w:pict>
      </w:r>
    </w:p>
    <w:p w:rsidR="00AE0165" w:rsidRPr="006B0B0C" w:rsidRDefault="00850790" w:rsidP="002A6517">
      <w:pPr>
        <w:bidi w:val="0"/>
        <w:jc w:val="center"/>
        <w:rPr>
          <w:rFonts w:cs="Times New Roman"/>
          <w:color w:val="000000"/>
          <w:kern w:val="2"/>
          <w:sz w:val="20"/>
          <w:szCs w:val="20"/>
          <w:lang w:bidi="ar-SA"/>
        </w:rPr>
      </w:pPr>
      <w:r w:rsidRPr="00850790">
        <w:rPr>
          <w:rFonts w:cs="Times New Roman"/>
          <w:b/>
          <w:bCs/>
          <w:color w:val="000000"/>
          <w:kern w:val="2"/>
          <w:sz w:val="20"/>
          <w:szCs w:val="20"/>
          <w:highlight w:val="yellow"/>
          <w:lang w:bidi="ar-SA"/>
        </w:rPr>
        <w:t>Figure-</w:t>
      </w:r>
      <w:r w:rsidR="00AE0165" w:rsidRPr="00850790">
        <w:rPr>
          <w:rFonts w:cs="Times New Roman"/>
          <w:b/>
          <w:bCs/>
          <w:color w:val="000000"/>
          <w:kern w:val="2"/>
          <w:sz w:val="20"/>
          <w:szCs w:val="20"/>
          <w:highlight w:val="yellow"/>
          <w:lang w:bidi="ar-SA"/>
        </w:rPr>
        <w:t>9</w:t>
      </w:r>
      <w:r w:rsidRPr="00850790">
        <w:rPr>
          <w:rFonts w:cs="Times New Roman"/>
          <w:b/>
          <w:bCs/>
          <w:color w:val="000000"/>
          <w:kern w:val="2"/>
          <w:sz w:val="20"/>
          <w:szCs w:val="20"/>
          <w:highlight w:val="yellow"/>
          <w:lang w:bidi="ar-SA"/>
        </w:rPr>
        <w:t>:</w:t>
      </w:r>
      <w:r w:rsidR="00AE0165" w:rsidRPr="006B0B0C">
        <w:rPr>
          <w:rFonts w:cs="Times New Roman"/>
          <w:b/>
          <w:bCs/>
          <w:color w:val="000000"/>
          <w:kern w:val="2"/>
          <w:sz w:val="20"/>
          <w:szCs w:val="20"/>
          <w:lang w:bidi="ar-SA"/>
        </w:rPr>
        <w:t xml:space="preserve"> </w:t>
      </w:r>
      <w:r w:rsidR="00AE0165" w:rsidRPr="006B0B0C">
        <w:rPr>
          <w:rFonts w:cs="Times New Roman"/>
          <w:color w:val="000000"/>
          <w:kern w:val="2"/>
          <w:sz w:val="20"/>
          <w:szCs w:val="20"/>
          <w:lang w:bidi="ar-SA"/>
        </w:rPr>
        <w:t>Standardized Distance from Urban Points Map</w:t>
      </w:r>
    </w:p>
    <w:p w:rsidR="00AE0165" w:rsidRPr="006B0B0C" w:rsidRDefault="00AE0165" w:rsidP="002A6517">
      <w:pPr>
        <w:bidi w:val="0"/>
        <w:jc w:val="center"/>
        <w:rPr>
          <w:rFonts w:cs="Times New Roman"/>
          <w:color w:val="000000"/>
          <w:kern w:val="2"/>
          <w:sz w:val="20"/>
          <w:szCs w:val="20"/>
          <w:lang w:bidi="ar-SA"/>
        </w:rPr>
      </w:pPr>
    </w:p>
    <w:p w:rsidR="00AE0165" w:rsidRPr="006B0B0C" w:rsidRDefault="00E64AAC" w:rsidP="002A6517">
      <w:pPr>
        <w:bidi w:val="0"/>
        <w:jc w:val="center"/>
        <w:rPr>
          <w:rFonts w:cs="Times New Roman"/>
          <w:color w:val="000000"/>
          <w:kern w:val="2"/>
          <w:sz w:val="20"/>
          <w:szCs w:val="20"/>
          <w:lang w:bidi="ar-SA"/>
        </w:rPr>
      </w:pPr>
      <w:r w:rsidRPr="00FE7F0A">
        <w:rPr>
          <w:rFonts w:ascii="Calibri" w:hAnsi="Calibri" w:cs="Arial"/>
          <w:noProof/>
          <w:color w:val="000000"/>
          <w:kern w:val="2"/>
          <w:sz w:val="24"/>
          <w:lang w:bidi="ar-SA"/>
        </w:rPr>
        <w:pict>
          <v:shape id="Picture 9" o:spid="_x0000_i1034" type="#_x0000_t75" style="width:425.75pt;height:190.95pt;visibility:visible">
            <v:imagedata r:id="rId17" o:title=""/>
          </v:shape>
        </w:pict>
      </w:r>
    </w:p>
    <w:p w:rsidR="00AE0165" w:rsidRPr="006B0B0C" w:rsidRDefault="00850790" w:rsidP="002A6517">
      <w:pPr>
        <w:bidi w:val="0"/>
        <w:jc w:val="center"/>
        <w:rPr>
          <w:rFonts w:cs="Times New Roman"/>
          <w:color w:val="000000"/>
          <w:kern w:val="2"/>
          <w:sz w:val="20"/>
          <w:szCs w:val="20"/>
          <w:lang w:bidi="ar-SA"/>
        </w:rPr>
      </w:pPr>
      <w:r w:rsidRPr="00850790">
        <w:rPr>
          <w:rFonts w:cs="Times New Roman"/>
          <w:b/>
          <w:bCs/>
          <w:color w:val="000000"/>
          <w:kern w:val="2"/>
          <w:sz w:val="20"/>
          <w:szCs w:val="20"/>
          <w:highlight w:val="yellow"/>
          <w:lang w:bidi="ar-SA"/>
        </w:rPr>
        <w:t>Figure-</w:t>
      </w:r>
      <w:r w:rsidR="00AE0165" w:rsidRPr="00850790">
        <w:rPr>
          <w:rFonts w:cs="Times New Roman"/>
          <w:b/>
          <w:bCs/>
          <w:color w:val="000000"/>
          <w:kern w:val="2"/>
          <w:sz w:val="20"/>
          <w:szCs w:val="20"/>
          <w:highlight w:val="yellow"/>
          <w:lang w:bidi="ar-SA"/>
        </w:rPr>
        <w:t>10</w:t>
      </w:r>
      <w:r w:rsidRPr="00850790">
        <w:rPr>
          <w:rFonts w:cs="Times New Roman"/>
          <w:b/>
          <w:bCs/>
          <w:color w:val="000000"/>
          <w:kern w:val="2"/>
          <w:sz w:val="20"/>
          <w:szCs w:val="20"/>
          <w:highlight w:val="yellow"/>
          <w:lang w:bidi="ar-SA"/>
        </w:rPr>
        <w:t>:</w:t>
      </w:r>
      <w:r>
        <w:rPr>
          <w:rFonts w:cs="Times New Roman"/>
          <w:b/>
          <w:bCs/>
          <w:color w:val="000000"/>
          <w:kern w:val="2"/>
          <w:sz w:val="20"/>
          <w:szCs w:val="20"/>
          <w:lang w:bidi="ar-SA"/>
        </w:rPr>
        <w:t xml:space="preserve"> </w:t>
      </w:r>
      <w:r w:rsidR="00AE0165" w:rsidRPr="006B0B0C">
        <w:rPr>
          <w:rFonts w:cs="Times New Roman"/>
          <w:color w:val="000000"/>
          <w:kern w:val="2"/>
          <w:sz w:val="20"/>
          <w:szCs w:val="20"/>
          <w:lang w:bidi="ar-SA"/>
        </w:rPr>
        <w:t>Standardized Distance from Main Roads Map</w:t>
      </w:r>
    </w:p>
    <w:p w:rsidR="00AE0165" w:rsidRPr="006B0B0C" w:rsidRDefault="00AE0165" w:rsidP="002A6517">
      <w:pPr>
        <w:bidi w:val="0"/>
        <w:jc w:val="center"/>
        <w:rPr>
          <w:rFonts w:cs="Times New Roman"/>
          <w:color w:val="000000"/>
          <w:kern w:val="2"/>
          <w:sz w:val="20"/>
          <w:szCs w:val="20"/>
          <w:lang w:bidi="ar-SA"/>
        </w:rPr>
      </w:pPr>
    </w:p>
    <w:p w:rsidR="00AE0165" w:rsidRDefault="00AE0165" w:rsidP="002A6517">
      <w:pPr>
        <w:bidi w:val="0"/>
        <w:jc w:val="both"/>
        <w:rPr>
          <w:rFonts w:cs="Times New Roman"/>
          <w:color w:val="000000"/>
          <w:kern w:val="2"/>
          <w:sz w:val="24"/>
          <w:lang w:bidi="ar-SA"/>
        </w:rPr>
      </w:pPr>
      <w:r w:rsidRPr="006B0B0C">
        <w:rPr>
          <w:rFonts w:cs="Times New Roman"/>
          <w:b/>
          <w:bCs/>
          <w:color w:val="000000"/>
          <w:kern w:val="2"/>
          <w:sz w:val="24"/>
          <w:lang w:bidi="ar-SA"/>
        </w:rPr>
        <w:t>D. Vegetation Cover.</w:t>
      </w:r>
      <w:r w:rsidRPr="006B0B0C">
        <w:rPr>
          <w:rFonts w:cs="Times New Roman"/>
          <w:color w:val="000000"/>
          <w:kern w:val="2"/>
          <w:sz w:val="24"/>
          <w:lang w:bidi="ar-SA"/>
        </w:rPr>
        <w:t xml:space="preserve"> Considering the environmental conditions in various environmental planning is very important (Song et al., 2024). Given that the studied area is part of the dry regions of Iran and has a sensitive and fragile ecosystem, paying attention to its environmental status is therefore crucial (Safari Namivandi et al., 2023). Considering the importance of the subject, this study uses the parameter of vegetation cover density, and using MODIS images, the NDVI index, and Google Earth Engine, a map of vegetation cover density for the area has been prepared. Based on the prepared map, only a small portion of the studied area has dense vegetation cover; therefore, the development of residential areas should be such that it does not harm these regions. So, for the standardization of the vegetation cover density layer, areas with less vegetation cover are assigned a value close to 1, while areas with dense vegetation cover are assigned a value close to 0 (Figure 11).</w:t>
      </w:r>
    </w:p>
    <w:p w:rsidR="00D6609D" w:rsidRPr="006B0B0C" w:rsidRDefault="00D6609D" w:rsidP="00D6609D">
      <w:pPr>
        <w:bidi w:val="0"/>
        <w:jc w:val="both"/>
        <w:rPr>
          <w:rFonts w:cs="Times New Roman"/>
          <w:color w:val="000000"/>
          <w:kern w:val="2"/>
          <w:sz w:val="24"/>
          <w:lang w:bidi="ar-SA"/>
        </w:rPr>
      </w:pPr>
    </w:p>
    <w:p w:rsidR="00AE0165" w:rsidRPr="006B0B0C" w:rsidRDefault="00E64AAC" w:rsidP="002A6517">
      <w:pPr>
        <w:bidi w:val="0"/>
        <w:jc w:val="center"/>
        <w:rPr>
          <w:rFonts w:cs="Times New Roman"/>
          <w:color w:val="000000"/>
          <w:kern w:val="2"/>
          <w:sz w:val="24"/>
          <w:lang w:bidi="ar-SA"/>
        </w:rPr>
      </w:pPr>
      <w:r w:rsidRPr="00FE7F0A">
        <w:rPr>
          <w:rFonts w:ascii="Calibri" w:hAnsi="Calibri" w:cs="Arial"/>
          <w:noProof/>
          <w:color w:val="000000"/>
          <w:kern w:val="2"/>
          <w:sz w:val="24"/>
          <w:lang w:bidi="ar-SA"/>
        </w:rPr>
        <w:lastRenderedPageBreak/>
        <w:pict>
          <v:shape id="Picture 10" o:spid="_x0000_i1035" type="#_x0000_t75" style="width:443.9pt;height:199.7pt;visibility:visible">
            <v:imagedata r:id="rId18" o:title=""/>
          </v:shape>
        </w:pict>
      </w:r>
    </w:p>
    <w:p w:rsidR="00AE0165" w:rsidRDefault="00AE0165" w:rsidP="002A6517">
      <w:pPr>
        <w:bidi w:val="0"/>
        <w:jc w:val="center"/>
        <w:rPr>
          <w:rFonts w:cs="Times New Roman"/>
          <w:color w:val="000000"/>
          <w:kern w:val="2"/>
          <w:sz w:val="20"/>
          <w:szCs w:val="20"/>
          <w:lang w:bidi="ar-SA"/>
        </w:rPr>
      </w:pPr>
      <w:r w:rsidRPr="006B0B0C">
        <w:rPr>
          <w:rFonts w:cs="Times New Roman"/>
          <w:b/>
          <w:bCs/>
          <w:color w:val="000000"/>
          <w:kern w:val="2"/>
          <w:sz w:val="20"/>
          <w:szCs w:val="20"/>
          <w:lang w:bidi="ar-SA"/>
        </w:rPr>
        <w:t>Fig</w:t>
      </w:r>
      <w:r w:rsidR="00850790">
        <w:rPr>
          <w:rFonts w:cs="Times New Roman"/>
          <w:b/>
          <w:bCs/>
          <w:color w:val="000000"/>
          <w:kern w:val="2"/>
          <w:sz w:val="20"/>
          <w:szCs w:val="20"/>
          <w:lang w:bidi="ar-SA"/>
        </w:rPr>
        <w:t>ure-</w:t>
      </w:r>
      <w:r w:rsidRPr="006B0B0C">
        <w:rPr>
          <w:rFonts w:cs="Times New Roman"/>
          <w:b/>
          <w:bCs/>
          <w:color w:val="000000"/>
          <w:kern w:val="2"/>
          <w:sz w:val="20"/>
          <w:szCs w:val="20"/>
          <w:lang w:bidi="ar-SA"/>
        </w:rPr>
        <w:t>11</w:t>
      </w:r>
      <w:r w:rsidR="00850790">
        <w:rPr>
          <w:rFonts w:cs="Times New Roman"/>
          <w:b/>
          <w:bCs/>
          <w:color w:val="000000"/>
          <w:kern w:val="2"/>
          <w:sz w:val="20"/>
          <w:szCs w:val="20"/>
          <w:lang w:bidi="ar-SA"/>
        </w:rPr>
        <w:t xml:space="preserve">: </w:t>
      </w:r>
      <w:r w:rsidRPr="006B0B0C">
        <w:rPr>
          <w:rFonts w:cs="Times New Roman"/>
          <w:b/>
          <w:bCs/>
          <w:color w:val="000000"/>
          <w:kern w:val="2"/>
          <w:sz w:val="20"/>
          <w:szCs w:val="20"/>
          <w:lang w:bidi="ar-SA"/>
        </w:rPr>
        <w:t xml:space="preserve"> </w:t>
      </w:r>
      <w:r w:rsidRPr="006B0B0C">
        <w:rPr>
          <w:rFonts w:cs="Times New Roman"/>
          <w:color w:val="000000"/>
          <w:kern w:val="2"/>
          <w:sz w:val="20"/>
          <w:szCs w:val="20"/>
          <w:lang w:bidi="ar-SA"/>
        </w:rPr>
        <w:t>Standardized Vegetation Cover Map of the Area</w:t>
      </w:r>
    </w:p>
    <w:p w:rsidR="00D6609D" w:rsidRPr="006B0B0C" w:rsidRDefault="00D6609D" w:rsidP="00D6609D">
      <w:pPr>
        <w:bidi w:val="0"/>
        <w:jc w:val="center"/>
        <w:rPr>
          <w:rFonts w:cs="Times New Roman"/>
          <w:color w:val="000000"/>
          <w:kern w:val="2"/>
          <w:sz w:val="20"/>
          <w:szCs w:val="20"/>
          <w:lang w:bidi="ar-SA"/>
        </w:rPr>
      </w:pPr>
    </w:p>
    <w:p w:rsidR="00AE0165" w:rsidRPr="006B0B0C" w:rsidRDefault="00AE0165" w:rsidP="002A6517">
      <w:pPr>
        <w:bidi w:val="0"/>
        <w:ind w:right="-46"/>
        <w:jc w:val="both"/>
        <w:rPr>
          <w:rFonts w:cs="Times New Roman"/>
          <w:color w:val="000000"/>
          <w:kern w:val="2"/>
          <w:sz w:val="24"/>
          <w:lang w:bidi="ar-SA"/>
        </w:rPr>
      </w:pPr>
      <w:r w:rsidRPr="006B0B0C">
        <w:rPr>
          <w:rFonts w:cs="Times New Roman"/>
          <w:b/>
          <w:bCs/>
          <w:color w:val="000000"/>
          <w:kern w:val="2"/>
          <w:sz w:val="24"/>
          <w:lang w:bidi="ar-SA"/>
        </w:rPr>
        <w:t>4.2. Weighting of Dat Layers</w:t>
      </w:r>
    </w:p>
    <w:p w:rsidR="00AE0165"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t>Considering that the value and importance of data layers are not the same, in this section, the data layers have been weighted based on expert opinions and using a relative weight coefficient (Table 4). Based on the results, the lithology layer, due to the specific lithological conditions of the area, has the highest value with a weight of 1.9. Following this parameter, the slope and vegetation cover density parameters have the highest values with weights of 1.8 and 1.7, respectively.</w:t>
      </w:r>
    </w:p>
    <w:p w:rsidR="00D6609D" w:rsidRPr="006B0B0C" w:rsidRDefault="00D6609D" w:rsidP="00D6609D">
      <w:pPr>
        <w:bidi w:val="0"/>
        <w:ind w:right="-46"/>
        <w:jc w:val="both"/>
        <w:rPr>
          <w:rFonts w:cs="Times New Roman"/>
          <w:color w:val="000000"/>
          <w:kern w:val="2"/>
          <w:sz w:val="24"/>
          <w:lang w:bidi="ar-SA"/>
        </w:rPr>
      </w:pPr>
    </w:p>
    <w:p w:rsidR="00AE0165" w:rsidRPr="006B0B0C" w:rsidRDefault="00AE0165" w:rsidP="00D6609D">
      <w:pPr>
        <w:bidi w:val="0"/>
        <w:ind w:right="-46"/>
        <w:jc w:val="center"/>
        <w:rPr>
          <w:rFonts w:cs="Times New Roman"/>
          <w:color w:val="000000"/>
          <w:kern w:val="2"/>
          <w:sz w:val="20"/>
          <w:szCs w:val="20"/>
          <w:lang w:bidi="ar-SA"/>
        </w:rPr>
      </w:pPr>
      <w:r w:rsidRPr="006B0B0C">
        <w:rPr>
          <w:rFonts w:cs="Times New Roman"/>
          <w:b/>
          <w:bCs/>
          <w:color w:val="000000"/>
          <w:kern w:val="2"/>
          <w:sz w:val="20"/>
          <w:szCs w:val="20"/>
          <w:lang w:bidi="ar-SA"/>
        </w:rPr>
        <w:t xml:space="preserve">Table 4. </w:t>
      </w:r>
      <w:r w:rsidRPr="006B0B0C">
        <w:rPr>
          <w:rFonts w:cs="Times New Roman"/>
          <w:color w:val="000000"/>
          <w:kern w:val="2"/>
          <w:sz w:val="20"/>
          <w:szCs w:val="20"/>
          <w:lang w:bidi="ar-SA"/>
        </w:rPr>
        <w:t>Weighting of Used Parameters</w:t>
      </w:r>
    </w:p>
    <w:tbl>
      <w:tblPr>
        <w:bidiVisual/>
        <w:tblW w:w="0" w:type="auto"/>
        <w:jc w:val="center"/>
        <w:tblLook w:val="04A0"/>
      </w:tblPr>
      <w:tblGrid>
        <w:gridCol w:w="875"/>
        <w:gridCol w:w="4962"/>
        <w:gridCol w:w="1817"/>
        <w:gridCol w:w="612"/>
      </w:tblGrid>
      <w:tr w:rsidR="00AE0165" w:rsidRPr="006B0B0C" w:rsidTr="00D346AD">
        <w:trPr>
          <w:jc w:val="center"/>
        </w:trPr>
        <w:tc>
          <w:tcPr>
            <w:tcW w:w="868" w:type="dxa"/>
            <w:tcBorders>
              <w:top w:val="single" w:sz="4" w:space="0" w:color="auto"/>
            </w:tcBorders>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b/>
                <w:bCs/>
                <w:color w:val="000000"/>
                <w:spacing w:val="2"/>
                <w:kern w:val="2"/>
                <w:sz w:val="20"/>
                <w:szCs w:val="20"/>
                <w:lang w:bidi="ar-SA"/>
              </w:rPr>
              <w:t>Overall Weight</w:t>
            </w:r>
          </w:p>
        </w:tc>
        <w:tc>
          <w:tcPr>
            <w:tcW w:w="4962" w:type="dxa"/>
            <w:tcBorders>
              <w:top w:val="single" w:sz="4" w:space="0" w:color="auto"/>
            </w:tcBorders>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b/>
                <w:bCs/>
                <w:color w:val="000000"/>
                <w:spacing w:val="2"/>
                <w:kern w:val="2"/>
                <w:sz w:val="20"/>
                <w:szCs w:val="20"/>
                <w:lang w:bidi="ar-SA"/>
              </w:rPr>
              <w:t>Priority Relative to Other Parameters</w:t>
            </w:r>
          </w:p>
        </w:tc>
        <w:tc>
          <w:tcPr>
            <w:tcW w:w="1817" w:type="dxa"/>
            <w:tcBorders>
              <w:top w:val="single" w:sz="4" w:space="0" w:color="auto"/>
            </w:tcBorders>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b/>
                <w:bCs/>
                <w:color w:val="000000"/>
                <w:spacing w:val="2"/>
                <w:kern w:val="2"/>
                <w:sz w:val="20"/>
                <w:szCs w:val="20"/>
                <w:lang w:bidi="ar-SA"/>
              </w:rPr>
              <w:t>Parameter</w:t>
            </w:r>
          </w:p>
        </w:tc>
        <w:tc>
          <w:tcPr>
            <w:tcW w:w="612" w:type="dxa"/>
            <w:tcBorders>
              <w:top w:val="single" w:sz="4" w:space="0" w:color="auto"/>
            </w:tcBorders>
            <w:vAlign w:val="center"/>
          </w:tcPr>
          <w:p w:rsidR="00AE0165" w:rsidRPr="006B0B0C" w:rsidRDefault="00AE0165" w:rsidP="002A6517">
            <w:pPr>
              <w:bidi w:val="0"/>
              <w:jc w:val="center"/>
              <w:rPr>
                <w:rFonts w:cs="Times New Roman"/>
                <w:color w:val="000000"/>
                <w:kern w:val="2"/>
                <w:sz w:val="20"/>
                <w:szCs w:val="20"/>
                <w:rtl/>
              </w:rPr>
            </w:pPr>
            <w:r w:rsidRPr="006B0B0C">
              <w:rPr>
                <w:rFonts w:cs="Times New Roman"/>
                <w:b/>
                <w:bCs/>
                <w:color w:val="000000"/>
                <w:spacing w:val="2"/>
                <w:kern w:val="2"/>
                <w:sz w:val="20"/>
                <w:szCs w:val="20"/>
                <w:lang w:bidi="ar-SA"/>
              </w:rPr>
              <w:t>Row</w:t>
            </w:r>
          </w:p>
        </w:tc>
      </w:tr>
      <w:tr w:rsidR="00AE0165" w:rsidRPr="006B0B0C" w:rsidTr="00D346AD">
        <w:trPr>
          <w:jc w:val="center"/>
        </w:trPr>
        <w:tc>
          <w:tcPr>
            <w:tcW w:w="868" w:type="dxa"/>
            <w:tcBorders>
              <w:top w:val="single" w:sz="4" w:space="0" w:color="auto"/>
            </w:tcBorders>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1.1</w:t>
            </w:r>
          </w:p>
        </w:tc>
        <w:tc>
          <w:tcPr>
            <w:tcW w:w="4962" w:type="dxa"/>
            <w:tcBorders>
              <w:top w:val="single" w:sz="4" w:space="0" w:color="auto"/>
            </w:tcBorders>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Distance from earthquake epicenters</w:t>
            </w:r>
          </w:p>
        </w:tc>
        <w:tc>
          <w:tcPr>
            <w:tcW w:w="1817" w:type="dxa"/>
            <w:tcBorders>
              <w:top w:val="single" w:sz="4" w:space="0" w:color="auto"/>
            </w:tcBorders>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Elevation</w:t>
            </w:r>
          </w:p>
        </w:tc>
        <w:tc>
          <w:tcPr>
            <w:tcW w:w="612" w:type="dxa"/>
            <w:tcBorders>
              <w:top w:val="single" w:sz="4" w:space="0" w:color="auto"/>
            </w:tcBorders>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1</w:t>
            </w:r>
          </w:p>
        </w:tc>
      </w:tr>
      <w:tr w:rsidR="00AE0165" w:rsidRPr="006B0B0C" w:rsidTr="00D346AD">
        <w:trPr>
          <w:jc w:val="center"/>
        </w:trPr>
        <w:tc>
          <w:tcPr>
            <w:tcW w:w="868"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1.8</w:t>
            </w:r>
          </w:p>
        </w:tc>
        <w:tc>
          <w:tcPr>
            <w:tcW w:w="4962"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Elevation, distance from river, distance from coast, distance from fault, distance from earthquake epicenters, distance from urban areas, distance from main roads, vegetation cover density</w:t>
            </w:r>
          </w:p>
        </w:tc>
        <w:tc>
          <w:tcPr>
            <w:tcW w:w="1817"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Slope</w:t>
            </w:r>
          </w:p>
        </w:tc>
        <w:tc>
          <w:tcPr>
            <w:tcW w:w="612"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2</w:t>
            </w:r>
          </w:p>
        </w:tc>
      </w:tr>
      <w:tr w:rsidR="00AE0165" w:rsidRPr="006B0B0C" w:rsidTr="00D346AD">
        <w:trPr>
          <w:jc w:val="center"/>
        </w:trPr>
        <w:tc>
          <w:tcPr>
            <w:tcW w:w="868"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1.6</w:t>
            </w:r>
          </w:p>
        </w:tc>
        <w:tc>
          <w:tcPr>
            <w:tcW w:w="4962"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Elevation, distance from coast, distance from fault, distance from earthquake epicenters, distance from urban areas, distance from main roads</w:t>
            </w:r>
          </w:p>
        </w:tc>
        <w:tc>
          <w:tcPr>
            <w:tcW w:w="1817"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Distance from river</w:t>
            </w:r>
          </w:p>
        </w:tc>
        <w:tc>
          <w:tcPr>
            <w:tcW w:w="612"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3</w:t>
            </w:r>
          </w:p>
        </w:tc>
      </w:tr>
      <w:tr w:rsidR="00AE0165" w:rsidRPr="006B0B0C" w:rsidTr="00D346AD">
        <w:trPr>
          <w:jc w:val="center"/>
        </w:trPr>
        <w:tc>
          <w:tcPr>
            <w:tcW w:w="868"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1.3</w:t>
            </w:r>
          </w:p>
        </w:tc>
        <w:tc>
          <w:tcPr>
            <w:tcW w:w="4962"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Elevation, distance from earthquake epicenters, distance from main roads</w:t>
            </w:r>
          </w:p>
        </w:tc>
        <w:tc>
          <w:tcPr>
            <w:tcW w:w="1817"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Distance from coast</w:t>
            </w:r>
          </w:p>
        </w:tc>
        <w:tc>
          <w:tcPr>
            <w:tcW w:w="612"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4</w:t>
            </w:r>
          </w:p>
        </w:tc>
      </w:tr>
      <w:tr w:rsidR="00AE0165" w:rsidRPr="006B0B0C" w:rsidTr="00D346AD">
        <w:trPr>
          <w:jc w:val="center"/>
        </w:trPr>
        <w:tc>
          <w:tcPr>
            <w:tcW w:w="868"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1.9</w:t>
            </w:r>
          </w:p>
        </w:tc>
        <w:tc>
          <w:tcPr>
            <w:tcW w:w="4962"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Elevation, slope, distance from river, distance from coast, distance from fault, distance from earthquake epicenters, distance from urban areas, distance from main roads, vegetation cover density</w:t>
            </w:r>
          </w:p>
        </w:tc>
        <w:tc>
          <w:tcPr>
            <w:tcW w:w="1817"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Lithology</w:t>
            </w:r>
          </w:p>
        </w:tc>
        <w:tc>
          <w:tcPr>
            <w:tcW w:w="612"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5</w:t>
            </w:r>
          </w:p>
        </w:tc>
      </w:tr>
      <w:tr w:rsidR="00AE0165" w:rsidRPr="006B0B0C" w:rsidTr="00D346AD">
        <w:trPr>
          <w:jc w:val="center"/>
        </w:trPr>
        <w:tc>
          <w:tcPr>
            <w:tcW w:w="868"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1.5</w:t>
            </w:r>
          </w:p>
        </w:tc>
        <w:tc>
          <w:tcPr>
            <w:tcW w:w="4962"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Elevation, distance from coast, distance from earthquake epicenters, distance from urban areas, distance from main roads</w:t>
            </w:r>
          </w:p>
        </w:tc>
        <w:tc>
          <w:tcPr>
            <w:tcW w:w="1817"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Distance from fault</w:t>
            </w:r>
          </w:p>
        </w:tc>
        <w:tc>
          <w:tcPr>
            <w:tcW w:w="612"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6</w:t>
            </w:r>
          </w:p>
        </w:tc>
      </w:tr>
      <w:tr w:rsidR="00AE0165" w:rsidRPr="006B0B0C" w:rsidTr="00D346AD">
        <w:trPr>
          <w:jc w:val="center"/>
        </w:trPr>
        <w:tc>
          <w:tcPr>
            <w:tcW w:w="868"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1.0</w:t>
            </w:r>
          </w:p>
        </w:tc>
        <w:tc>
          <w:tcPr>
            <w:tcW w:w="4962"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w:t>
            </w:r>
          </w:p>
        </w:tc>
        <w:tc>
          <w:tcPr>
            <w:tcW w:w="1817"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Distance from earthquake epicenters</w:t>
            </w:r>
          </w:p>
        </w:tc>
        <w:tc>
          <w:tcPr>
            <w:tcW w:w="612"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7</w:t>
            </w:r>
          </w:p>
        </w:tc>
      </w:tr>
      <w:tr w:rsidR="00AE0165" w:rsidRPr="006B0B0C" w:rsidTr="00D346AD">
        <w:trPr>
          <w:jc w:val="center"/>
        </w:trPr>
        <w:tc>
          <w:tcPr>
            <w:tcW w:w="868"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1.4</w:t>
            </w:r>
          </w:p>
        </w:tc>
        <w:tc>
          <w:tcPr>
            <w:tcW w:w="4962"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Elevation, distance from coast, distance from earthquake epicenters, distance from main roads</w:t>
            </w:r>
          </w:p>
        </w:tc>
        <w:tc>
          <w:tcPr>
            <w:tcW w:w="1817"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Distance from urban areas</w:t>
            </w:r>
          </w:p>
        </w:tc>
        <w:tc>
          <w:tcPr>
            <w:tcW w:w="612"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8</w:t>
            </w:r>
          </w:p>
        </w:tc>
      </w:tr>
      <w:tr w:rsidR="00AE0165" w:rsidRPr="006B0B0C" w:rsidTr="00D346AD">
        <w:trPr>
          <w:jc w:val="center"/>
        </w:trPr>
        <w:tc>
          <w:tcPr>
            <w:tcW w:w="868"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1.2</w:t>
            </w:r>
          </w:p>
        </w:tc>
        <w:tc>
          <w:tcPr>
            <w:tcW w:w="4962"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Elevation, distance from earthquake epicenters</w:t>
            </w:r>
          </w:p>
        </w:tc>
        <w:tc>
          <w:tcPr>
            <w:tcW w:w="1817"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Distance from main roads</w:t>
            </w:r>
          </w:p>
        </w:tc>
        <w:tc>
          <w:tcPr>
            <w:tcW w:w="612" w:type="dxa"/>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9</w:t>
            </w:r>
          </w:p>
        </w:tc>
      </w:tr>
      <w:tr w:rsidR="00AE0165" w:rsidRPr="006B0B0C" w:rsidTr="00D346AD">
        <w:trPr>
          <w:jc w:val="center"/>
        </w:trPr>
        <w:tc>
          <w:tcPr>
            <w:tcW w:w="868" w:type="dxa"/>
            <w:tcBorders>
              <w:bottom w:val="single" w:sz="4" w:space="0" w:color="auto"/>
            </w:tcBorders>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1.7</w:t>
            </w:r>
          </w:p>
        </w:tc>
        <w:tc>
          <w:tcPr>
            <w:tcW w:w="4962" w:type="dxa"/>
            <w:tcBorders>
              <w:bottom w:val="single" w:sz="4" w:space="0" w:color="auto"/>
            </w:tcBorders>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 xml:space="preserve">Elevation, distance from river, distance from coast, distance from fault, distance from earthquake epicenters, </w:t>
            </w:r>
            <w:r w:rsidRPr="006B0B0C">
              <w:rPr>
                <w:rFonts w:cs="Times New Roman"/>
                <w:color w:val="000000"/>
                <w:kern w:val="2"/>
                <w:sz w:val="20"/>
                <w:szCs w:val="20"/>
                <w:lang w:bidi="ar-SA"/>
              </w:rPr>
              <w:lastRenderedPageBreak/>
              <w:t>distance from urban areas, distance from main roads</w:t>
            </w:r>
          </w:p>
        </w:tc>
        <w:tc>
          <w:tcPr>
            <w:tcW w:w="1817" w:type="dxa"/>
            <w:tcBorders>
              <w:bottom w:val="single" w:sz="4" w:space="0" w:color="auto"/>
            </w:tcBorders>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lastRenderedPageBreak/>
              <w:t>Vegetation cover density</w:t>
            </w:r>
          </w:p>
        </w:tc>
        <w:tc>
          <w:tcPr>
            <w:tcW w:w="612" w:type="dxa"/>
            <w:tcBorders>
              <w:bottom w:val="single" w:sz="4" w:space="0" w:color="auto"/>
            </w:tcBorders>
            <w:vAlign w:val="center"/>
          </w:tcPr>
          <w:p w:rsidR="00AE0165" w:rsidRPr="006B0B0C" w:rsidRDefault="00AE0165" w:rsidP="002A6517">
            <w:pPr>
              <w:bidi w:val="0"/>
              <w:jc w:val="center"/>
              <w:rPr>
                <w:rFonts w:cs="Times New Roman"/>
                <w:color w:val="000000"/>
                <w:kern w:val="2"/>
                <w:sz w:val="20"/>
                <w:szCs w:val="20"/>
                <w:rtl/>
                <w:lang w:bidi="ar-SA"/>
              </w:rPr>
            </w:pPr>
            <w:r w:rsidRPr="006B0B0C">
              <w:rPr>
                <w:rFonts w:cs="Times New Roman"/>
                <w:color w:val="000000"/>
                <w:kern w:val="2"/>
                <w:sz w:val="20"/>
                <w:szCs w:val="20"/>
                <w:lang w:bidi="ar-SA"/>
              </w:rPr>
              <w:t>10</w:t>
            </w:r>
          </w:p>
        </w:tc>
      </w:tr>
    </w:tbl>
    <w:p w:rsidR="00AE0165" w:rsidRPr="006B0B0C" w:rsidRDefault="00AE0165" w:rsidP="002A6517">
      <w:pPr>
        <w:bidi w:val="0"/>
        <w:ind w:right="-46"/>
        <w:jc w:val="both"/>
        <w:rPr>
          <w:rFonts w:cs="Times New Roman"/>
          <w:color w:val="000000"/>
          <w:kern w:val="2"/>
          <w:sz w:val="20"/>
          <w:szCs w:val="20"/>
          <w:lang w:bidi="ar-SA"/>
        </w:rPr>
      </w:pPr>
    </w:p>
    <w:p w:rsidR="00AE0165" w:rsidRPr="006B0B0C" w:rsidRDefault="00AE0165" w:rsidP="002A6517">
      <w:pPr>
        <w:bidi w:val="0"/>
        <w:ind w:right="-46"/>
        <w:jc w:val="both"/>
        <w:rPr>
          <w:rFonts w:cs="Times New Roman"/>
          <w:color w:val="000000"/>
          <w:kern w:val="2"/>
          <w:sz w:val="24"/>
          <w:lang w:bidi="ar-SA"/>
        </w:rPr>
      </w:pPr>
      <w:r w:rsidRPr="006B0B0C">
        <w:rPr>
          <w:rFonts w:cs="Times New Roman"/>
          <w:b/>
          <w:bCs/>
          <w:color w:val="000000"/>
          <w:kern w:val="2"/>
          <w:sz w:val="24"/>
          <w:lang w:bidi="ar-SA"/>
        </w:rPr>
        <w:t>4.3. Application of Prohibited Areas and Execution of the WLC Model</w:t>
      </w:r>
    </w:p>
    <w:p w:rsidR="00AE0165"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t>In this study, after standardizing and weighting the data layers, based on Table 3, the layer of prohibited areas has been prepared (Figure 12). According to the prepared map, a large portion of the study areas lacks potential for the development of residential areas due to having a slope greater than 15 degrees, proximity to main rivers, the lithology of swamp sediments and sand dunes, closeness to active faults, and areas with an NDVI coefficient greater than 0.2.</w:t>
      </w:r>
    </w:p>
    <w:p w:rsidR="00D6609D" w:rsidRPr="006B0B0C" w:rsidRDefault="00D6609D" w:rsidP="00D6609D">
      <w:pPr>
        <w:bidi w:val="0"/>
        <w:ind w:right="-46"/>
        <w:jc w:val="both"/>
        <w:rPr>
          <w:rFonts w:cs="Times New Roman"/>
          <w:color w:val="000000"/>
          <w:kern w:val="2"/>
          <w:sz w:val="24"/>
          <w:lang w:bidi="ar-SA"/>
        </w:rPr>
      </w:pPr>
    </w:p>
    <w:p w:rsidR="00AE0165" w:rsidRPr="006B0B0C" w:rsidRDefault="00E64AAC" w:rsidP="002A6517">
      <w:pPr>
        <w:bidi w:val="0"/>
        <w:ind w:right="-46"/>
        <w:jc w:val="center"/>
        <w:rPr>
          <w:rFonts w:cs="Times New Roman"/>
          <w:color w:val="000000"/>
          <w:kern w:val="2"/>
          <w:sz w:val="24"/>
          <w:lang w:bidi="ar-SA"/>
        </w:rPr>
      </w:pPr>
      <w:r w:rsidRPr="00FE7F0A">
        <w:rPr>
          <w:rFonts w:ascii="Calibri" w:hAnsi="Calibri" w:cs="Arial"/>
          <w:noProof/>
          <w:color w:val="000000"/>
          <w:kern w:val="2"/>
          <w:sz w:val="24"/>
          <w:lang w:bidi="ar-SA"/>
        </w:rPr>
        <w:pict>
          <v:shape id="_x0000_i1036" type="#_x0000_t75" style="width:428.25pt;height:184.7pt;visibility:visible">
            <v:imagedata r:id="rId19" o:title=""/>
          </v:shape>
        </w:pict>
      </w:r>
    </w:p>
    <w:p w:rsidR="00AE0165" w:rsidRDefault="00AE0165" w:rsidP="002A6517">
      <w:pPr>
        <w:bidi w:val="0"/>
        <w:ind w:right="-46"/>
        <w:jc w:val="center"/>
        <w:rPr>
          <w:rFonts w:cs="Times New Roman"/>
          <w:color w:val="000000"/>
          <w:kern w:val="2"/>
          <w:sz w:val="20"/>
          <w:szCs w:val="20"/>
          <w:lang w:bidi="ar-SA"/>
        </w:rPr>
      </w:pPr>
      <w:r w:rsidRPr="006B0B0C">
        <w:rPr>
          <w:rFonts w:cs="Times New Roman"/>
          <w:b/>
          <w:bCs/>
          <w:color w:val="000000"/>
          <w:kern w:val="2"/>
          <w:sz w:val="20"/>
          <w:szCs w:val="20"/>
          <w:lang w:bidi="ar-SA"/>
        </w:rPr>
        <w:t>Fig</w:t>
      </w:r>
      <w:r w:rsidR="00850790">
        <w:rPr>
          <w:rFonts w:cs="Times New Roman"/>
          <w:b/>
          <w:bCs/>
          <w:color w:val="000000"/>
          <w:kern w:val="2"/>
          <w:sz w:val="20"/>
          <w:szCs w:val="20"/>
          <w:lang w:bidi="ar-SA"/>
        </w:rPr>
        <w:t>ure-</w:t>
      </w:r>
      <w:r w:rsidRPr="006B0B0C">
        <w:rPr>
          <w:rFonts w:cs="Times New Roman"/>
          <w:b/>
          <w:bCs/>
          <w:color w:val="000000"/>
          <w:kern w:val="2"/>
          <w:sz w:val="20"/>
          <w:szCs w:val="20"/>
          <w:lang w:bidi="ar-SA"/>
        </w:rPr>
        <w:t>12</w:t>
      </w:r>
      <w:r w:rsidR="00850790">
        <w:rPr>
          <w:rFonts w:cs="Times New Roman"/>
          <w:b/>
          <w:bCs/>
          <w:color w:val="000000"/>
          <w:kern w:val="2"/>
          <w:sz w:val="20"/>
          <w:szCs w:val="20"/>
          <w:lang w:bidi="ar-SA"/>
        </w:rPr>
        <w:t>:</w:t>
      </w:r>
      <w:r w:rsidRPr="006B0B0C">
        <w:rPr>
          <w:rFonts w:cs="Times New Roman"/>
          <w:b/>
          <w:bCs/>
          <w:color w:val="000000"/>
          <w:kern w:val="2"/>
          <w:sz w:val="20"/>
          <w:szCs w:val="20"/>
          <w:lang w:bidi="ar-SA"/>
        </w:rPr>
        <w:t xml:space="preserve"> </w:t>
      </w:r>
      <w:r w:rsidRPr="006B0B0C">
        <w:rPr>
          <w:rFonts w:cs="Times New Roman"/>
          <w:color w:val="000000"/>
          <w:kern w:val="2"/>
          <w:sz w:val="20"/>
          <w:szCs w:val="20"/>
          <w:lang w:bidi="ar-SA"/>
        </w:rPr>
        <w:t>Map of Prohibited Areas</w:t>
      </w:r>
    </w:p>
    <w:p w:rsidR="00D6609D" w:rsidRPr="006B0B0C" w:rsidRDefault="00D6609D" w:rsidP="00D6609D">
      <w:pPr>
        <w:bidi w:val="0"/>
        <w:ind w:right="-46"/>
        <w:jc w:val="center"/>
        <w:rPr>
          <w:rFonts w:cs="Times New Roman"/>
          <w:color w:val="000000"/>
          <w:kern w:val="2"/>
          <w:sz w:val="20"/>
          <w:szCs w:val="20"/>
          <w:lang w:bidi="ar-SA"/>
        </w:rPr>
      </w:pPr>
    </w:p>
    <w:p w:rsidR="00AE0165" w:rsidRPr="006B0B0C"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t>After the application of prohibited areas, the data layers were combined using the WLC model, resulting in the final map of areas suitable for the physical development of residential zones in the studied region (Figure 13). According to the prepared map, the peripheries of the cities of Negour, Chabahar, Konarak, and Jask have a high potential for the physical development of residential areas. In contrast, the central and northern sections of the region have low potential for urban development due to factors such as lithology type, proximity to fault lines, slope, distance from urban points, distance from communication routes, and distance from coastal lines.</w:t>
      </w:r>
    </w:p>
    <w:p w:rsidR="00AE0165" w:rsidRPr="006B0B0C" w:rsidRDefault="00E64AAC" w:rsidP="002A6517">
      <w:pPr>
        <w:bidi w:val="0"/>
        <w:ind w:right="-46"/>
        <w:jc w:val="center"/>
        <w:rPr>
          <w:rFonts w:cs="Times New Roman"/>
          <w:color w:val="000000"/>
          <w:kern w:val="2"/>
          <w:sz w:val="24"/>
          <w:lang w:bidi="ar-SA"/>
        </w:rPr>
      </w:pPr>
      <w:r w:rsidRPr="00FE7F0A">
        <w:rPr>
          <w:rFonts w:ascii="Calibri" w:hAnsi="Calibri" w:cs="Arial"/>
          <w:noProof/>
          <w:color w:val="000000"/>
          <w:kern w:val="2"/>
          <w:sz w:val="24"/>
          <w:lang w:bidi="ar-SA"/>
        </w:rPr>
        <w:pict>
          <v:shape id="_x0000_i1037" type="#_x0000_t75" style="width:416.95pt;height:190.95pt;visibility:visible">
            <v:imagedata r:id="rId20" o:title=""/>
          </v:shape>
        </w:pict>
      </w:r>
    </w:p>
    <w:p w:rsidR="00AE0165" w:rsidRDefault="00850790" w:rsidP="002A6517">
      <w:pPr>
        <w:bidi w:val="0"/>
        <w:ind w:right="-46"/>
        <w:jc w:val="center"/>
        <w:rPr>
          <w:rFonts w:cs="Times New Roman"/>
          <w:color w:val="000000"/>
          <w:kern w:val="2"/>
          <w:sz w:val="20"/>
          <w:szCs w:val="20"/>
          <w:lang w:bidi="ar-SA"/>
        </w:rPr>
      </w:pPr>
      <w:r>
        <w:rPr>
          <w:rFonts w:cs="Times New Roman"/>
          <w:b/>
          <w:bCs/>
          <w:color w:val="000000"/>
          <w:kern w:val="2"/>
          <w:sz w:val="20"/>
          <w:szCs w:val="20"/>
          <w:lang w:bidi="ar-SA"/>
        </w:rPr>
        <w:t>Figure-13:</w:t>
      </w:r>
      <w:r w:rsidR="00AE0165" w:rsidRPr="006B0B0C">
        <w:rPr>
          <w:rFonts w:cs="Times New Roman"/>
          <w:b/>
          <w:bCs/>
          <w:color w:val="000000"/>
          <w:kern w:val="2"/>
          <w:sz w:val="20"/>
          <w:szCs w:val="20"/>
          <w:lang w:bidi="ar-SA"/>
        </w:rPr>
        <w:t xml:space="preserve"> </w:t>
      </w:r>
      <w:r w:rsidR="00AE0165" w:rsidRPr="006B0B0C">
        <w:rPr>
          <w:rFonts w:cs="Times New Roman"/>
          <w:color w:val="000000"/>
          <w:kern w:val="2"/>
          <w:sz w:val="20"/>
          <w:szCs w:val="20"/>
          <w:lang w:bidi="ar-SA"/>
        </w:rPr>
        <w:t>Final Map of Areas Suitable for Physical Development of Residential Zones</w:t>
      </w:r>
    </w:p>
    <w:p w:rsidR="00D6609D" w:rsidRPr="006B0B0C" w:rsidRDefault="00D6609D" w:rsidP="00D6609D">
      <w:pPr>
        <w:bidi w:val="0"/>
        <w:ind w:right="-46"/>
        <w:jc w:val="center"/>
        <w:rPr>
          <w:rFonts w:cs="Times New Roman"/>
          <w:color w:val="000000"/>
          <w:kern w:val="2"/>
          <w:sz w:val="20"/>
          <w:szCs w:val="20"/>
          <w:lang w:bidi="ar-SA"/>
        </w:rPr>
      </w:pPr>
    </w:p>
    <w:p w:rsidR="00AE0165"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lastRenderedPageBreak/>
        <w:t>Table 5 and Figure 14 show the area and percentage of the classes. According to the results, 9,170 km</w:t>
      </w:r>
      <w:r w:rsidRPr="006B0B0C">
        <w:rPr>
          <w:rFonts w:cs="Times New Roman"/>
          <w:color w:val="000000"/>
          <w:kern w:val="2"/>
          <w:sz w:val="24"/>
          <w:vertAlign w:val="superscript"/>
          <w:lang w:bidi="ar-SA"/>
        </w:rPr>
        <w:t>2</w:t>
      </w:r>
      <w:r w:rsidRPr="006B0B0C">
        <w:rPr>
          <w:rFonts w:cs="Times New Roman"/>
          <w:color w:val="000000"/>
          <w:kern w:val="2"/>
          <w:sz w:val="24"/>
          <w:lang w:bidi="ar-SA"/>
        </w:rPr>
        <w:t xml:space="preserve"> of the studied area (equivalent to 34.1% of the total area) are classified as prohibited areas and lack potential for the development of residential zones. Additionally, 10,609 km</w:t>
      </w:r>
      <w:r w:rsidRPr="006B0B0C">
        <w:rPr>
          <w:rFonts w:cs="Times New Roman"/>
          <w:color w:val="000000"/>
          <w:kern w:val="2"/>
          <w:sz w:val="24"/>
          <w:vertAlign w:val="superscript"/>
          <w:lang w:bidi="ar-SA"/>
        </w:rPr>
        <w:t>2</w:t>
      </w:r>
      <w:r w:rsidRPr="006B0B0C">
        <w:rPr>
          <w:rFonts w:cs="Times New Roman"/>
          <w:color w:val="000000"/>
          <w:kern w:val="2"/>
          <w:sz w:val="24"/>
          <w:lang w:bidi="ar-SA"/>
        </w:rPr>
        <w:t xml:space="preserve"> (equivalent to 39.4% of the total area) have low to very low potential for urban development. Areas with moderate potential for urban development cover 5,275 km</w:t>
      </w:r>
      <w:r w:rsidRPr="006B0B0C">
        <w:rPr>
          <w:rFonts w:cs="Times New Roman"/>
          <w:color w:val="000000"/>
          <w:kern w:val="2"/>
          <w:sz w:val="24"/>
          <w:vertAlign w:val="superscript"/>
          <w:lang w:bidi="ar-SA"/>
        </w:rPr>
        <w:t>2</w:t>
      </w:r>
      <w:r w:rsidRPr="006B0B0C">
        <w:rPr>
          <w:rFonts w:cs="Times New Roman"/>
          <w:color w:val="000000"/>
          <w:kern w:val="2"/>
          <w:sz w:val="24"/>
          <w:lang w:bidi="ar-SA"/>
        </w:rPr>
        <w:t xml:space="preserve"> (equivalent to 19.6% of the total area). Furthermore, 1,848 km</w:t>
      </w:r>
      <w:r w:rsidRPr="006B0B0C">
        <w:rPr>
          <w:rFonts w:cs="Times New Roman"/>
          <w:color w:val="000000"/>
          <w:kern w:val="2"/>
          <w:sz w:val="24"/>
          <w:vertAlign w:val="superscript"/>
          <w:lang w:bidi="ar-SA"/>
        </w:rPr>
        <w:t>2</w:t>
      </w:r>
      <w:r w:rsidRPr="006B0B0C">
        <w:rPr>
          <w:rFonts w:cs="Times New Roman"/>
          <w:color w:val="000000"/>
          <w:kern w:val="2"/>
          <w:sz w:val="24"/>
          <w:lang w:bidi="ar-SA"/>
        </w:rPr>
        <w:t xml:space="preserve"> (equivalent to 6.9% of the total area) have high potential for urban development. Based on the results, influenced by geological and hydrogeomorphological conditions, only a small portion of the Makran coastal strip has potential for the physical development of residential areas.</w:t>
      </w:r>
    </w:p>
    <w:p w:rsidR="00D6609D" w:rsidRPr="006B0B0C" w:rsidRDefault="00D6609D" w:rsidP="00D6609D">
      <w:pPr>
        <w:bidi w:val="0"/>
        <w:ind w:right="-46"/>
        <w:jc w:val="both"/>
        <w:rPr>
          <w:rFonts w:cs="Times New Roman"/>
          <w:color w:val="000000"/>
          <w:kern w:val="2"/>
          <w:sz w:val="24"/>
          <w:lang w:bidi="ar-SA"/>
        </w:rPr>
      </w:pPr>
    </w:p>
    <w:p w:rsidR="00AE0165" w:rsidRPr="006B0B0C" w:rsidRDefault="00AE0165" w:rsidP="00D6609D">
      <w:pPr>
        <w:bidi w:val="0"/>
        <w:ind w:right="-46"/>
        <w:jc w:val="center"/>
        <w:rPr>
          <w:rFonts w:cs="Times New Roman"/>
          <w:color w:val="000000"/>
          <w:kern w:val="2"/>
          <w:sz w:val="20"/>
          <w:szCs w:val="20"/>
          <w:lang w:bidi="ar-SA"/>
        </w:rPr>
      </w:pPr>
      <w:r w:rsidRPr="006B0B0C">
        <w:rPr>
          <w:rFonts w:cs="Times New Roman"/>
          <w:b/>
          <w:bCs/>
          <w:color w:val="000000"/>
          <w:kern w:val="2"/>
          <w:sz w:val="20"/>
          <w:szCs w:val="20"/>
          <w:lang w:bidi="ar-SA"/>
        </w:rPr>
        <w:t xml:space="preserve">Table 5. </w:t>
      </w:r>
      <w:r w:rsidRPr="006B0B0C">
        <w:rPr>
          <w:rFonts w:cs="Times New Roman"/>
          <w:color w:val="000000"/>
          <w:kern w:val="2"/>
          <w:sz w:val="20"/>
          <w:szCs w:val="20"/>
          <w:lang w:bidi="ar-SA"/>
        </w:rPr>
        <w:t>Area and Percentage of Classes</w:t>
      </w:r>
    </w:p>
    <w:tbl>
      <w:tblPr>
        <w:tblW w:w="0" w:type="auto"/>
        <w:tblBorders>
          <w:top w:val="single" w:sz="4" w:space="0" w:color="auto"/>
          <w:bottom w:val="single" w:sz="4" w:space="0" w:color="auto"/>
        </w:tblBorders>
        <w:tblLook w:val="04A0"/>
      </w:tblPr>
      <w:tblGrid>
        <w:gridCol w:w="1271"/>
        <w:gridCol w:w="1701"/>
        <w:gridCol w:w="1313"/>
        <w:gridCol w:w="1399"/>
        <w:gridCol w:w="1467"/>
        <w:gridCol w:w="1306"/>
      </w:tblGrid>
      <w:tr w:rsidR="00AE0165" w:rsidRPr="006B0B0C" w:rsidTr="00D346AD">
        <w:trPr>
          <w:trHeight w:val="248"/>
        </w:trPr>
        <w:tc>
          <w:tcPr>
            <w:tcW w:w="1271" w:type="dxa"/>
            <w:vAlign w:val="center"/>
          </w:tcPr>
          <w:p w:rsidR="00AE0165" w:rsidRPr="006B0B0C" w:rsidRDefault="00AE0165" w:rsidP="002A6517">
            <w:pPr>
              <w:bidi w:val="0"/>
              <w:jc w:val="center"/>
              <w:rPr>
                <w:rFonts w:cs="Times New Roman"/>
                <w:b/>
                <w:bCs/>
                <w:color w:val="000000"/>
                <w:kern w:val="2"/>
                <w:sz w:val="20"/>
                <w:szCs w:val="20"/>
                <w:lang w:bidi="ar-SA"/>
              </w:rPr>
            </w:pPr>
            <w:r w:rsidRPr="006B0B0C">
              <w:rPr>
                <w:rFonts w:cs="Times New Roman"/>
                <w:b/>
                <w:bCs/>
                <w:color w:val="000000"/>
                <w:kern w:val="2"/>
                <w:sz w:val="20"/>
                <w:szCs w:val="20"/>
                <w:lang w:bidi="ar-SA"/>
              </w:rPr>
              <w:t>Class</w:t>
            </w:r>
          </w:p>
        </w:tc>
        <w:tc>
          <w:tcPr>
            <w:tcW w:w="1701" w:type="dxa"/>
            <w:vAlign w:val="center"/>
          </w:tcPr>
          <w:p w:rsidR="00AE0165" w:rsidRPr="006B0B0C" w:rsidRDefault="00AE0165" w:rsidP="002A6517">
            <w:pPr>
              <w:bidi w:val="0"/>
              <w:jc w:val="center"/>
              <w:rPr>
                <w:rFonts w:cs="Times New Roman"/>
                <w:b/>
                <w:bCs/>
                <w:color w:val="000000"/>
                <w:kern w:val="2"/>
                <w:sz w:val="20"/>
                <w:szCs w:val="20"/>
                <w:lang w:bidi="ar-SA"/>
              </w:rPr>
            </w:pPr>
            <w:r w:rsidRPr="006B0B0C">
              <w:rPr>
                <w:rFonts w:cs="Times New Roman"/>
                <w:b/>
                <w:bCs/>
                <w:color w:val="000000"/>
                <w:kern w:val="2"/>
                <w:sz w:val="20"/>
                <w:szCs w:val="20"/>
                <w:lang w:bidi="ar-SA"/>
              </w:rPr>
              <w:t>Prohibited areas</w:t>
            </w:r>
          </w:p>
        </w:tc>
        <w:tc>
          <w:tcPr>
            <w:tcW w:w="1313" w:type="dxa"/>
            <w:vAlign w:val="center"/>
          </w:tcPr>
          <w:p w:rsidR="00AE0165" w:rsidRPr="006B0B0C" w:rsidRDefault="00AE0165" w:rsidP="002A6517">
            <w:pPr>
              <w:bidi w:val="0"/>
              <w:jc w:val="center"/>
              <w:rPr>
                <w:rFonts w:cs="Times New Roman"/>
                <w:b/>
                <w:bCs/>
                <w:color w:val="000000"/>
                <w:kern w:val="2"/>
                <w:sz w:val="20"/>
                <w:szCs w:val="20"/>
                <w:lang w:bidi="ar-SA"/>
              </w:rPr>
            </w:pPr>
            <w:r w:rsidRPr="006B0B0C">
              <w:rPr>
                <w:rFonts w:cs="Times New Roman"/>
                <w:b/>
                <w:bCs/>
                <w:color w:val="000000"/>
                <w:kern w:val="2"/>
                <w:sz w:val="20"/>
                <w:szCs w:val="20"/>
                <w:lang w:bidi="ar-SA"/>
              </w:rPr>
              <w:t>Very Low</w:t>
            </w:r>
          </w:p>
        </w:tc>
        <w:tc>
          <w:tcPr>
            <w:tcW w:w="1399" w:type="dxa"/>
            <w:vAlign w:val="center"/>
          </w:tcPr>
          <w:p w:rsidR="00AE0165" w:rsidRPr="006B0B0C" w:rsidRDefault="00AE0165" w:rsidP="002A6517">
            <w:pPr>
              <w:bidi w:val="0"/>
              <w:jc w:val="center"/>
              <w:rPr>
                <w:rFonts w:cs="Times New Roman"/>
                <w:b/>
                <w:bCs/>
                <w:color w:val="000000"/>
                <w:kern w:val="2"/>
                <w:sz w:val="20"/>
                <w:szCs w:val="20"/>
                <w:lang w:bidi="ar-SA"/>
              </w:rPr>
            </w:pPr>
            <w:r w:rsidRPr="006B0B0C">
              <w:rPr>
                <w:rFonts w:cs="Times New Roman"/>
                <w:b/>
                <w:bCs/>
                <w:color w:val="000000"/>
                <w:kern w:val="2"/>
                <w:sz w:val="20"/>
                <w:szCs w:val="20"/>
                <w:lang w:bidi="ar-SA"/>
              </w:rPr>
              <w:t>Low</w:t>
            </w:r>
          </w:p>
        </w:tc>
        <w:tc>
          <w:tcPr>
            <w:tcW w:w="1467" w:type="dxa"/>
            <w:vAlign w:val="center"/>
          </w:tcPr>
          <w:p w:rsidR="00AE0165" w:rsidRPr="006B0B0C" w:rsidRDefault="00AE0165" w:rsidP="002A6517">
            <w:pPr>
              <w:bidi w:val="0"/>
              <w:jc w:val="center"/>
              <w:rPr>
                <w:rFonts w:cs="Times New Roman"/>
                <w:b/>
                <w:bCs/>
                <w:color w:val="000000"/>
                <w:kern w:val="2"/>
                <w:sz w:val="20"/>
                <w:szCs w:val="20"/>
                <w:lang w:bidi="ar-SA"/>
              </w:rPr>
            </w:pPr>
            <w:r w:rsidRPr="006B0B0C">
              <w:rPr>
                <w:rFonts w:cs="Times New Roman"/>
                <w:b/>
                <w:bCs/>
                <w:color w:val="000000"/>
                <w:kern w:val="2"/>
                <w:sz w:val="20"/>
                <w:szCs w:val="20"/>
                <w:lang w:bidi="ar-SA"/>
              </w:rPr>
              <w:t>Moderate</w:t>
            </w:r>
          </w:p>
        </w:tc>
        <w:tc>
          <w:tcPr>
            <w:tcW w:w="1306" w:type="dxa"/>
            <w:vAlign w:val="center"/>
          </w:tcPr>
          <w:p w:rsidR="00AE0165" w:rsidRPr="006B0B0C" w:rsidRDefault="00AE0165" w:rsidP="002A6517">
            <w:pPr>
              <w:bidi w:val="0"/>
              <w:jc w:val="center"/>
              <w:rPr>
                <w:rFonts w:cs="Times New Roman"/>
                <w:b/>
                <w:bCs/>
                <w:color w:val="000000"/>
                <w:kern w:val="2"/>
                <w:sz w:val="20"/>
                <w:szCs w:val="20"/>
                <w:lang w:bidi="ar-SA"/>
              </w:rPr>
            </w:pPr>
            <w:r w:rsidRPr="006B0B0C">
              <w:rPr>
                <w:rFonts w:cs="Times New Roman"/>
                <w:b/>
                <w:bCs/>
                <w:color w:val="000000"/>
                <w:kern w:val="2"/>
                <w:sz w:val="20"/>
                <w:szCs w:val="20"/>
                <w:lang w:bidi="ar-SA"/>
              </w:rPr>
              <w:t>High</w:t>
            </w:r>
          </w:p>
        </w:tc>
      </w:tr>
      <w:tr w:rsidR="00AE0165" w:rsidRPr="006B0B0C" w:rsidTr="00D346AD">
        <w:trPr>
          <w:trHeight w:val="264"/>
        </w:trPr>
        <w:tc>
          <w:tcPr>
            <w:tcW w:w="1271" w:type="dxa"/>
            <w:tcBorders>
              <w:top w:val="single" w:sz="4" w:space="0" w:color="auto"/>
            </w:tcBorders>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Area (km</w:t>
            </w:r>
            <w:r w:rsidRPr="006B0B0C">
              <w:rPr>
                <w:rFonts w:cs="Times New Roman"/>
                <w:color w:val="000000"/>
                <w:kern w:val="2"/>
                <w:sz w:val="20"/>
                <w:szCs w:val="20"/>
                <w:vertAlign w:val="superscript"/>
                <w:lang w:bidi="ar-SA"/>
              </w:rPr>
              <w:t>2</w:t>
            </w:r>
            <w:r w:rsidRPr="006B0B0C">
              <w:rPr>
                <w:rFonts w:cs="Times New Roman"/>
                <w:color w:val="000000"/>
                <w:kern w:val="2"/>
                <w:sz w:val="20"/>
                <w:szCs w:val="20"/>
                <w:lang w:bidi="ar-SA"/>
              </w:rPr>
              <w:t>)</w:t>
            </w:r>
          </w:p>
        </w:tc>
        <w:tc>
          <w:tcPr>
            <w:tcW w:w="1701" w:type="dxa"/>
            <w:tcBorders>
              <w:top w:val="single" w:sz="4" w:space="0" w:color="auto"/>
            </w:tcBorders>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9170</w:t>
            </w:r>
          </w:p>
        </w:tc>
        <w:tc>
          <w:tcPr>
            <w:tcW w:w="1313" w:type="dxa"/>
            <w:tcBorders>
              <w:top w:val="single" w:sz="4" w:space="0" w:color="auto"/>
            </w:tcBorders>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5445</w:t>
            </w:r>
          </w:p>
        </w:tc>
        <w:tc>
          <w:tcPr>
            <w:tcW w:w="1399" w:type="dxa"/>
            <w:tcBorders>
              <w:top w:val="single" w:sz="4" w:space="0" w:color="auto"/>
            </w:tcBorders>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5164</w:t>
            </w:r>
          </w:p>
        </w:tc>
        <w:tc>
          <w:tcPr>
            <w:tcW w:w="1467" w:type="dxa"/>
            <w:tcBorders>
              <w:top w:val="single" w:sz="4" w:space="0" w:color="auto"/>
            </w:tcBorders>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5275</w:t>
            </w:r>
          </w:p>
        </w:tc>
        <w:tc>
          <w:tcPr>
            <w:tcW w:w="1306" w:type="dxa"/>
            <w:tcBorders>
              <w:top w:val="single" w:sz="4" w:space="0" w:color="auto"/>
            </w:tcBorders>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1848</w:t>
            </w:r>
          </w:p>
        </w:tc>
      </w:tr>
      <w:tr w:rsidR="00AE0165" w:rsidRPr="006B0B0C" w:rsidTr="00D346AD">
        <w:trPr>
          <w:trHeight w:val="264"/>
        </w:trPr>
        <w:tc>
          <w:tcPr>
            <w:tcW w:w="1271"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Percent</w:t>
            </w:r>
          </w:p>
        </w:tc>
        <w:tc>
          <w:tcPr>
            <w:tcW w:w="1701"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34.1</w:t>
            </w:r>
          </w:p>
        </w:tc>
        <w:tc>
          <w:tcPr>
            <w:tcW w:w="1313"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20.2</w:t>
            </w:r>
          </w:p>
        </w:tc>
        <w:tc>
          <w:tcPr>
            <w:tcW w:w="1399"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19.2</w:t>
            </w:r>
          </w:p>
        </w:tc>
        <w:tc>
          <w:tcPr>
            <w:tcW w:w="1467"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19.6</w:t>
            </w:r>
          </w:p>
        </w:tc>
        <w:tc>
          <w:tcPr>
            <w:tcW w:w="1306" w:type="dxa"/>
            <w:vAlign w:val="center"/>
          </w:tcPr>
          <w:p w:rsidR="00AE0165" w:rsidRPr="006B0B0C" w:rsidRDefault="00AE0165" w:rsidP="002A6517">
            <w:pPr>
              <w:bidi w:val="0"/>
              <w:jc w:val="center"/>
              <w:rPr>
                <w:rFonts w:cs="Times New Roman"/>
                <w:color w:val="000000"/>
                <w:kern w:val="2"/>
                <w:sz w:val="20"/>
                <w:szCs w:val="20"/>
                <w:lang w:bidi="ar-SA"/>
              </w:rPr>
            </w:pPr>
            <w:r w:rsidRPr="006B0B0C">
              <w:rPr>
                <w:rFonts w:cs="Times New Roman"/>
                <w:color w:val="000000"/>
                <w:kern w:val="2"/>
                <w:sz w:val="20"/>
                <w:szCs w:val="20"/>
                <w:lang w:bidi="ar-SA"/>
              </w:rPr>
              <w:t>6.9</w:t>
            </w:r>
          </w:p>
        </w:tc>
      </w:tr>
    </w:tbl>
    <w:p w:rsidR="00AE0165" w:rsidRPr="006B0B0C" w:rsidRDefault="00AE0165" w:rsidP="002A6517">
      <w:pPr>
        <w:bidi w:val="0"/>
        <w:ind w:right="-46"/>
        <w:jc w:val="both"/>
        <w:rPr>
          <w:rFonts w:cs="Times New Roman"/>
          <w:color w:val="000000"/>
          <w:kern w:val="2"/>
          <w:sz w:val="24"/>
          <w:lang w:bidi="ar-SA"/>
        </w:rPr>
      </w:pPr>
    </w:p>
    <w:p w:rsidR="00AE0165" w:rsidRPr="006B0B0C" w:rsidRDefault="00E64AAC" w:rsidP="002A6517">
      <w:pPr>
        <w:bidi w:val="0"/>
        <w:ind w:right="-46"/>
        <w:jc w:val="center"/>
        <w:rPr>
          <w:rFonts w:cs="Times New Roman"/>
          <w:color w:val="000000"/>
          <w:kern w:val="2"/>
          <w:sz w:val="24"/>
          <w:lang w:bidi="ar-SA"/>
        </w:rPr>
      </w:pPr>
      <w:r w:rsidRPr="00FE7F0A">
        <w:rPr>
          <w:rFonts w:ascii="Calibri" w:hAnsi="Calibri" w:cs="Arial"/>
          <w:noProof/>
          <w:color w:val="000000"/>
          <w:kern w:val="2"/>
          <w:sz w:val="24"/>
          <w:lang w:bidi="ar-SA"/>
        </w:rPr>
        <w:pict>
          <v:shape id="_x0000_i1038" type="#_x0000_t75" style="width:5in;height:3in">
            <v:imagedata r:id="rId21" o:title=""/>
            <o:lock v:ext="edit" aspectratio="f"/>
          </v:shape>
        </w:pict>
      </w:r>
    </w:p>
    <w:p w:rsidR="00AE0165" w:rsidRDefault="00850790" w:rsidP="002A6517">
      <w:pPr>
        <w:bidi w:val="0"/>
        <w:ind w:right="-46"/>
        <w:jc w:val="center"/>
        <w:rPr>
          <w:rFonts w:cs="Times New Roman"/>
          <w:color w:val="000000"/>
          <w:kern w:val="2"/>
          <w:sz w:val="20"/>
          <w:szCs w:val="20"/>
          <w:lang w:bidi="ar-SA"/>
        </w:rPr>
      </w:pPr>
      <w:r>
        <w:rPr>
          <w:rFonts w:cs="Times New Roman"/>
          <w:b/>
          <w:bCs/>
          <w:color w:val="000000"/>
          <w:kern w:val="2"/>
          <w:sz w:val="20"/>
          <w:szCs w:val="20"/>
          <w:lang w:bidi="ar-SA"/>
        </w:rPr>
        <w:t>Figure-</w:t>
      </w:r>
      <w:r w:rsidR="00AE0165" w:rsidRPr="006B0B0C">
        <w:rPr>
          <w:rFonts w:cs="Times New Roman"/>
          <w:b/>
          <w:bCs/>
          <w:color w:val="000000"/>
          <w:kern w:val="2"/>
          <w:sz w:val="20"/>
          <w:szCs w:val="20"/>
          <w:lang w:bidi="ar-SA"/>
        </w:rPr>
        <w:t>14</w:t>
      </w:r>
      <w:r>
        <w:rPr>
          <w:rFonts w:cs="Times New Roman"/>
          <w:b/>
          <w:bCs/>
          <w:color w:val="000000"/>
          <w:kern w:val="2"/>
          <w:sz w:val="20"/>
          <w:szCs w:val="20"/>
          <w:lang w:bidi="ar-SA"/>
        </w:rPr>
        <w:t>:</w:t>
      </w:r>
      <w:r w:rsidR="00AE0165" w:rsidRPr="006B0B0C">
        <w:rPr>
          <w:rFonts w:cs="Times New Roman"/>
          <w:b/>
          <w:bCs/>
          <w:color w:val="000000"/>
          <w:kern w:val="2"/>
          <w:sz w:val="20"/>
          <w:szCs w:val="20"/>
          <w:lang w:bidi="ar-SA"/>
        </w:rPr>
        <w:t xml:space="preserve"> </w:t>
      </w:r>
      <w:r w:rsidR="00AE0165" w:rsidRPr="006B0B0C">
        <w:rPr>
          <w:rFonts w:cs="Times New Roman"/>
          <w:color w:val="000000"/>
          <w:kern w:val="2"/>
          <w:sz w:val="20"/>
          <w:szCs w:val="20"/>
          <w:lang w:bidi="ar-SA"/>
        </w:rPr>
        <w:t>Percentage of Area Classes</w:t>
      </w:r>
    </w:p>
    <w:p w:rsidR="00D6609D" w:rsidRPr="006B0B0C" w:rsidRDefault="00D6609D" w:rsidP="00D6609D">
      <w:pPr>
        <w:bidi w:val="0"/>
        <w:ind w:right="-46"/>
        <w:jc w:val="center"/>
        <w:rPr>
          <w:rFonts w:cs="Times New Roman"/>
          <w:color w:val="000000"/>
          <w:kern w:val="2"/>
          <w:sz w:val="20"/>
          <w:szCs w:val="20"/>
          <w:lang w:bidi="ar-SA"/>
        </w:rPr>
      </w:pPr>
    </w:p>
    <w:p w:rsidR="00AE0165" w:rsidRPr="006B0B0C" w:rsidRDefault="00AE0165" w:rsidP="002A6517">
      <w:pPr>
        <w:bidi w:val="0"/>
        <w:ind w:right="-46"/>
        <w:jc w:val="both"/>
        <w:rPr>
          <w:rFonts w:cs="Times New Roman"/>
          <w:color w:val="000000"/>
          <w:kern w:val="2"/>
          <w:sz w:val="20"/>
          <w:szCs w:val="20"/>
          <w:lang w:bidi="ar-SA"/>
        </w:rPr>
      </w:pPr>
    </w:p>
    <w:p w:rsidR="00D6609D" w:rsidRPr="00D6609D" w:rsidRDefault="00AE0165" w:rsidP="00D6609D">
      <w:pPr>
        <w:bidi w:val="0"/>
        <w:ind w:right="-46"/>
        <w:jc w:val="both"/>
        <w:rPr>
          <w:rFonts w:cs="Times New Roman"/>
          <w:b/>
          <w:bCs/>
          <w:color w:val="000000"/>
          <w:kern w:val="2"/>
          <w:sz w:val="24"/>
          <w:lang w:bidi="ar-SA"/>
        </w:rPr>
      </w:pPr>
      <w:r w:rsidRPr="006B0B0C">
        <w:rPr>
          <w:rFonts w:cs="Times New Roman"/>
          <w:b/>
          <w:bCs/>
          <w:color w:val="000000"/>
          <w:kern w:val="2"/>
          <w:sz w:val="24"/>
          <w:lang w:bidi="ar-SA"/>
        </w:rPr>
        <w:t>5. Conclusion</w:t>
      </w:r>
    </w:p>
    <w:p w:rsidR="00AE0165" w:rsidRPr="006B0B0C" w:rsidRDefault="00AE0165" w:rsidP="002A6517">
      <w:pPr>
        <w:bidi w:val="0"/>
        <w:ind w:right="-46"/>
        <w:jc w:val="both"/>
        <w:rPr>
          <w:rFonts w:cs="Times New Roman"/>
          <w:color w:val="000000"/>
          <w:kern w:val="2"/>
          <w:sz w:val="24"/>
          <w:lang w:bidi="ar-SA"/>
        </w:rPr>
      </w:pPr>
      <w:r w:rsidRPr="006B0B0C">
        <w:rPr>
          <w:rFonts w:cs="Times New Roman"/>
          <w:color w:val="000000"/>
          <w:kern w:val="2"/>
          <w:sz w:val="24"/>
          <w:lang w:bidi="ar-SA"/>
        </w:rPr>
        <w:t xml:space="preserve">The results of this research indicate that the Makran coasts face significant limitations due to geological and </w:t>
      </w:r>
      <w:r w:rsidRPr="00850790">
        <w:rPr>
          <w:rFonts w:cs="Times New Roman"/>
          <w:color w:val="000000"/>
          <w:kern w:val="2"/>
          <w:sz w:val="24"/>
          <w:highlight w:val="yellow"/>
          <w:lang w:bidi="ar-SA"/>
        </w:rPr>
        <w:t>hydro</w:t>
      </w:r>
      <w:r w:rsidR="00850790" w:rsidRPr="00850790">
        <w:rPr>
          <w:rFonts w:cs="Times New Roman"/>
          <w:color w:val="000000"/>
          <w:kern w:val="2"/>
          <w:sz w:val="24"/>
          <w:highlight w:val="yellow"/>
          <w:lang w:bidi="ar-SA"/>
        </w:rPr>
        <w:t>-</w:t>
      </w:r>
      <w:r w:rsidRPr="00850790">
        <w:rPr>
          <w:rFonts w:cs="Times New Roman"/>
          <w:color w:val="000000"/>
          <w:kern w:val="2"/>
          <w:sz w:val="24"/>
          <w:highlight w:val="yellow"/>
          <w:lang w:bidi="ar-SA"/>
        </w:rPr>
        <w:t>geomorphological</w:t>
      </w:r>
      <w:r w:rsidRPr="006B0B0C">
        <w:rPr>
          <w:rFonts w:cs="Times New Roman"/>
          <w:color w:val="000000"/>
          <w:kern w:val="2"/>
          <w:sz w:val="24"/>
          <w:lang w:bidi="ar-SA"/>
        </w:rPr>
        <w:t xml:space="preserve"> conditions, which has led to the impossibility of developing residential areas in some regions. According to the findings, 9,170 km</w:t>
      </w:r>
      <w:r w:rsidRPr="006B0B0C">
        <w:rPr>
          <w:rFonts w:cs="Times New Roman"/>
          <w:color w:val="000000"/>
          <w:kern w:val="2"/>
          <w:sz w:val="24"/>
          <w:vertAlign w:val="superscript"/>
          <w:lang w:bidi="ar-SA"/>
        </w:rPr>
        <w:t>2</w:t>
      </w:r>
      <w:r w:rsidRPr="006B0B0C">
        <w:rPr>
          <w:rFonts w:cs="Times New Roman"/>
          <w:color w:val="000000"/>
          <w:kern w:val="2"/>
          <w:sz w:val="24"/>
          <w:lang w:bidi="ar-SA"/>
        </w:rPr>
        <w:t xml:space="preserve"> of the studied area, equivalent to 34.1% of the total area, are classified as prohibited areas and lack potential for residential development. The results further reveal that only the peripheries of the cities of Negour, Chabahar, Konarak, and Jask possess high potential for the physical development of residential zones. The assessment of the area classes also shows that only 6.9% of the total area has significant potential for urban development, while many parts of the region have low potential due to factors such as lithology type, proximity to fault lines, slope, </w:t>
      </w:r>
      <w:r w:rsidR="005263E6" w:rsidRPr="006B0B0C">
        <w:rPr>
          <w:rFonts w:cs="Times New Roman"/>
          <w:color w:val="000000"/>
          <w:kern w:val="2"/>
          <w:sz w:val="24"/>
          <w:lang w:bidi="ar-SA"/>
        </w:rPr>
        <w:t>and distance</w:t>
      </w:r>
      <w:r w:rsidRPr="006B0B0C">
        <w:rPr>
          <w:rFonts w:cs="Times New Roman"/>
          <w:color w:val="000000"/>
          <w:kern w:val="2"/>
          <w:sz w:val="24"/>
          <w:lang w:bidi="ar-SA"/>
        </w:rPr>
        <w:t xml:space="preserve"> from urban centers, distance from communication routes, and distance from coastal lines. Overall, the findings of this study demonstrate that the Makran coasts face substantial constraints regarding urban development objectives, and therefore, it is essential to pay special attention to the natural potentials of this region in the planning of residential area development.</w:t>
      </w:r>
    </w:p>
    <w:p w:rsidR="00AE0165" w:rsidRPr="006B0B0C" w:rsidRDefault="00AE0165" w:rsidP="002A6517">
      <w:pPr>
        <w:bidi w:val="0"/>
        <w:rPr>
          <w:rFonts w:cs="Times New Roman"/>
          <w:color w:val="000000"/>
          <w:kern w:val="2"/>
          <w:sz w:val="24"/>
          <w:lang w:bidi="ar-SA"/>
        </w:rPr>
      </w:pPr>
    </w:p>
    <w:p w:rsidR="00AE0165" w:rsidRPr="006B0B0C" w:rsidRDefault="00AE0165" w:rsidP="002A6517">
      <w:pPr>
        <w:bidi w:val="0"/>
        <w:rPr>
          <w:rFonts w:cs="Times New Roman"/>
          <w:color w:val="000000"/>
          <w:kern w:val="2"/>
          <w:sz w:val="24"/>
          <w:lang w:bidi="ar-SA"/>
        </w:rPr>
      </w:pPr>
    </w:p>
    <w:p w:rsidR="00AE0165" w:rsidRPr="006B0B0C" w:rsidRDefault="00AE0165" w:rsidP="002A6517">
      <w:pPr>
        <w:bidi w:val="0"/>
        <w:rPr>
          <w:rFonts w:cs="Times New Roman"/>
          <w:color w:val="000000"/>
          <w:kern w:val="2"/>
          <w:sz w:val="24"/>
          <w:lang w:bidi="ar-SA"/>
        </w:rPr>
      </w:pPr>
    </w:p>
    <w:p w:rsidR="00AE0165" w:rsidRPr="006B0B0C" w:rsidRDefault="00AE0165" w:rsidP="002A6517">
      <w:pPr>
        <w:bidi w:val="0"/>
        <w:rPr>
          <w:rFonts w:cs="Times New Roman"/>
          <w:b/>
          <w:bCs/>
          <w:color w:val="000000"/>
          <w:kern w:val="2"/>
          <w:sz w:val="24"/>
          <w:lang w:bidi="ar-SA"/>
        </w:rPr>
      </w:pPr>
      <w:r w:rsidRPr="006B0B0C">
        <w:rPr>
          <w:rFonts w:cs="Times New Roman"/>
          <w:b/>
          <w:bCs/>
          <w:color w:val="000000"/>
          <w:kern w:val="2"/>
          <w:sz w:val="24"/>
          <w:lang w:bidi="ar-SA"/>
        </w:rPr>
        <w:t>Reference</w:t>
      </w:r>
    </w:p>
    <w:p w:rsidR="00AE0165" w:rsidRPr="00A5313C" w:rsidRDefault="00AE0165" w:rsidP="00D6609D">
      <w:pPr>
        <w:numPr>
          <w:ilvl w:val="0"/>
          <w:numId w:val="27"/>
        </w:numPr>
        <w:bidi w:val="0"/>
        <w:contextualSpacing/>
        <w:jc w:val="both"/>
        <w:rPr>
          <w:rFonts w:cs="Times New Roman"/>
          <w:color w:val="000000"/>
          <w:kern w:val="2"/>
          <w:szCs w:val="22"/>
          <w:lang w:bidi="ar-SA"/>
        </w:rPr>
      </w:pPr>
      <w:r w:rsidRPr="00A5313C">
        <w:rPr>
          <w:rFonts w:cs="Times New Roman"/>
          <w:color w:val="000000"/>
          <w:kern w:val="2"/>
          <w:szCs w:val="22"/>
          <w:lang w:bidi="ar-SA"/>
        </w:rPr>
        <w:t xml:space="preserve">Aarthi, A. D., </w:t>
      </w:r>
      <w:r w:rsidR="00D6609D" w:rsidRPr="00A5313C">
        <w:rPr>
          <w:rFonts w:cs="Times New Roman"/>
          <w:color w:val="000000"/>
          <w:kern w:val="2"/>
          <w:szCs w:val="22"/>
          <w:lang w:bidi="ar-SA"/>
        </w:rPr>
        <w:t xml:space="preserve">&amp; </w:t>
      </w:r>
      <w:r w:rsidRPr="00A5313C">
        <w:rPr>
          <w:rFonts w:cs="Times New Roman"/>
          <w:color w:val="000000"/>
          <w:kern w:val="2"/>
          <w:szCs w:val="22"/>
          <w:lang w:bidi="ar-SA"/>
        </w:rPr>
        <w:t xml:space="preserve">Gnanappazham, L. </w:t>
      </w:r>
      <w:r w:rsidR="00D6609D" w:rsidRPr="00A5313C">
        <w:rPr>
          <w:rFonts w:cs="Times New Roman"/>
          <w:color w:val="000000"/>
          <w:kern w:val="2"/>
          <w:szCs w:val="22"/>
          <w:lang w:bidi="ar-SA"/>
        </w:rPr>
        <w:t>(</w:t>
      </w:r>
      <w:r w:rsidRPr="00A5313C">
        <w:rPr>
          <w:rFonts w:cs="Times New Roman"/>
          <w:color w:val="000000"/>
          <w:kern w:val="2"/>
          <w:szCs w:val="22"/>
          <w:lang w:bidi="ar-SA"/>
        </w:rPr>
        <w:t>2018</w:t>
      </w:r>
      <w:r w:rsidR="00D6609D" w:rsidRPr="00A5313C">
        <w:rPr>
          <w:rFonts w:cs="Times New Roman"/>
          <w:color w:val="000000"/>
          <w:kern w:val="2"/>
          <w:szCs w:val="22"/>
          <w:lang w:bidi="ar-SA"/>
        </w:rPr>
        <w:t>)</w:t>
      </w:r>
      <w:r w:rsidRPr="00A5313C">
        <w:rPr>
          <w:rFonts w:cs="Times New Roman"/>
          <w:color w:val="000000"/>
          <w:kern w:val="2"/>
          <w:szCs w:val="22"/>
          <w:lang w:bidi="ar-SA"/>
        </w:rPr>
        <w:t xml:space="preserve">. Urban growth prediction using neural network coupled agents-based Cellular Automata model for Sriperumbudur Taluk, Tamil Nadu, India. Egyptian Journal of Remote Sensing and Space Science, 21(3), 353-362. </w:t>
      </w:r>
      <w:hyperlink r:id="rId22" w:history="1">
        <w:r w:rsidRPr="00A5313C">
          <w:rPr>
            <w:rFonts w:eastAsia="Times New Roman" w:cs="Times New Roman"/>
            <w:color w:val="0000FF"/>
            <w:szCs w:val="22"/>
            <w:u w:val="single"/>
          </w:rPr>
          <w:t>https://doi.org/10.1016/j.ejrs.2017.12.004</w:t>
        </w:r>
      </w:hyperlink>
    </w:p>
    <w:p w:rsidR="00AE0165" w:rsidRPr="00A5313C" w:rsidRDefault="00AE0165" w:rsidP="00D6609D">
      <w:pPr>
        <w:numPr>
          <w:ilvl w:val="0"/>
          <w:numId w:val="27"/>
        </w:numPr>
        <w:bidi w:val="0"/>
        <w:contextualSpacing/>
        <w:jc w:val="both"/>
        <w:rPr>
          <w:rFonts w:cs="Times New Roman"/>
          <w:color w:val="000000"/>
          <w:kern w:val="2"/>
          <w:szCs w:val="22"/>
          <w:lang w:bidi="ar-SA"/>
        </w:rPr>
      </w:pPr>
      <w:r w:rsidRPr="00A5313C">
        <w:rPr>
          <w:rFonts w:cs="Times New Roman"/>
          <w:color w:val="000000"/>
          <w:kern w:val="2"/>
          <w:szCs w:val="22"/>
          <w:lang w:bidi="ar-SA"/>
        </w:rPr>
        <w:t xml:space="preserve">Alberico, I., Iavarone, R., </w:t>
      </w:r>
      <w:r w:rsidR="00D6609D" w:rsidRPr="00A5313C">
        <w:rPr>
          <w:rFonts w:cs="Times New Roman"/>
          <w:color w:val="000000"/>
          <w:kern w:val="2"/>
          <w:szCs w:val="22"/>
          <w:lang w:bidi="ar-SA"/>
        </w:rPr>
        <w:t xml:space="preserve">&amp; </w:t>
      </w:r>
      <w:r w:rsidRPr="00A5313C">
        <w:rPr>
          <w:rFonts w:cs="Times New Roman"/>
          <w:color w:val="000000"/>
          <w:kern w:val="2"/>
          <w:szCs w:val="22"/>
          <w:lang w:bidi="ar-SA"/>
        </w:rPr>
        <w:t xml:space="preserve">Petrosino, P. </w:t>
      </w:r>
      <w:r w:rsidR="00D6609D" w:rsidRPr="00A5313C">
        <w:rPr>
          <w:rFonts w:cs="Times New Roman"/>
          <w:color w:val="000000"/>
          <w:kern w:val="2"/>
          <w:szCs w:val="22"/>
          <w:lang w:bidi="ar-SA"/>
        </w:rPr>
        <w:t>(</w:t>
      </w:r>
      <w:r w:rsidRPr="00A5313C">
        <w:rPr>
          <w:rFonts w:cs="Times New Roman"/>
          <w:color w:val="000000"/>
          <w:kern w:val="2"/>
          <w:szCs w:val="22"/>
          <w:lang w:bidi="ar-SA"/>
        </w:rPr>
        <w:t>2020</w:t>
      </w:r>
      <w:r w:rsidR="00D6609D" w:rsidRPr="00A5313C">
        <w:rPr>
          <w:rFonts w:cs="Times New Roman"/>
          <w:color w:val="000000"/>
          <w:kern w:val="2"/>
          <w:szCs w:val="22"/>
          <w:lang w:bidi="ar-SA"/>
        </w:rPr>
        <w:t>)</w:t>
      </w:r>
      <w:r w:rsidRPr="00A5313C">
        <w:rPr>
          <w:rFonts w:cs="Times New Roman"/>
          <w:color w:val="000000"/>
          <w:kern w:val="2"/>
          <w:szCs w:val="22"/>
          <w:lang w:bidi="ar-SA"/>
        </w:rPr>
        <w:t xml:space="preserve">. A procedure for the resilience mapping in urban systems exposed to natural hazard: The Ischia Island (southern Italy) test area. International Journal of Disaster Risk Reduction, 50. </w:t>
      </w:r>
      <w:hyperlink r:id="rId23" w:history="1">
        <w:r w:rsidRPr="00A5313C">
          <w:rPr>
            <w:rFonts w:eastAsia="Times New Roman" w:cs="Times New Roman"/>
            <w:color w:val="0000FF"/>
            <w:szCs w:val="22"/>
            <w:u w:val="single"/>
          </w:rPr>
          <w:t>https://doi.org/10.1016/j.ijdrr.2020.101893</w:t>
        </w:r>
      </w:hyperlink>
    </w:p>
    <w:p w:rsidR="00AE0165" w:rsidRPr="00A5313C" w:rsidRDefault="00AE0165" w:rsidP="002A6517">
      <w:pPr>
        <w:numPr>
          <w:ilvl w:val="0"/>
          <w:numId w:val="27"/>
        </w:numPr>
        <w:bidi w:val="0"/>
        <w:jc w:val="both"/>
        <w:rPr>
          <w:rFonts w:cs="Times New Roman"/>
          <w:color w:val="000000"/>
          <w:kern w:val="2"/>
          <w:szCs w:val="22"/>
          <w:lang w:bidi="ar-SA"/>
        </w:rPr>
      </w:pPr>
      <w:r w:rsidRPr="00A5313C">
        <w:rPr>
          <w:rFonts w:cs="Times New Roman"/>
          <w:color w:val="000000"/>
          <w:kern w:val="2"/>
          <w:szCs w:val="22"/>
          <w:lang w:bidi="ar-SA"/>
        </w:rPr>
        <w:t xml:space="preserve">Beyene, E., </w:t>
      </w:r>
      <w:r w:rsidR="00D6609D" w:rsidRPr="00A5313C">
        <w:rPr>
          <w:rFonts w:cs="Times New Roman"/>
          <w:color w:val="000000"/>
          <w:kern w:val="2"/>
          <w:szCs w:val="22"/>
          <w:lang w:bidi="ar-SA"/>
        </w:rPr>
        <w:t xml:space="preserve">&amp; </w:t>
      </w:r>
      <w:r w:rsidRPr="00A5313C">
        <w:rPr>
          <w:rFonts w:cs="Times New Roman"/>
          <w:color w:val="000000"/>
          <w:kern w:val="2"/>
          <w:szCs w:val="22"/>
          <w:lang w:bidi="ar-SA"/>
        </w:rPr>
        <w:t xml:space="preserve">Minal, A.S. </w:t>
      </w:r>
      <w:r w:rsidR="00D6609D" w:rsidRPr="00A5313C">
        <w:rPr>
          <w:rFonts w:cs="Times New Roman"/>
          <w:color w:val="000000"/>
          <w:kern w:val="2"/>
          <w:szCs w:val="22"/>
          <w:lang w:bidi="ar-SA"/>
        </w:rPr>
        <w:t>(</w:t>
      </w:r>
      <w:r w:rsidRPr="00A5313C">
        <w:rPr>
          <w:rFonts w:cs="Times New Roman"/>
          <w:color w:val="000000"/>
          <w:kern w:val="2"/>
          <w:szCs w:val="22"/>
          <w:lang w:bidi="ar-SA"/>
        </w:rPr>
        <w:t>2023</w:t>
      </w:r>
      <w:r w:rsidR="00D6609D" w:rsidRPr="00A5313C">
        <w:rPr>
          <w:rFonts w:cs="Times New Roman"/>
          <w:color w:val="000000"/>
          <w:kern w:val="2"/>
          <w:szCs w:val="22"/>
          <w:lang w:bidi="ar-SA"/>
        </w:rPr>
        <w:t>)</w:t>
      </w:r>
      <w:r w:rsidRPr="00A5313C">
        <w:rPr>
          <w:rFonts w:cs="Times New Roman"/>
          <w:color w:val="000000"/>
          <w:kern w:val="2"/>
          <w:szCs w:val="22"/>
          <w:lang w:bidi="ar-SA"/>
        </w:rPr>
        <w:t xml:space="preserve">. Modeling urban land use dynamics using Markov-chain and cellular automata in Gondar City, Northwest Ethiopia. Chinese Journal of Population, Resources and Environment, 21(2), 111-120. </w:t>
      </w:r>
      <w:hyperlink r:id="rId24" w:history="1">
        <w:r w:rsidRPr="00A5313C">
          <w:rPr>
            <w:rFonts w:eastAsia="Times New Roman" w:cs="Times New Roman"/>
            <w:color w:val="0000FF"/>
            <w:szCs w:val="22"/>
            <w:u w:val="single"/>
          </w:rPr>
          <w:t>https://doi.org/10.1016/j.cjpre.2023.06.007</w:t>
        </w:r>
      </w:hyperlink>
    </w:p>
    <w:p w:rsidR="00AE0165" w:rsidRPr="00A5313C" w:rsidRDefault="00AE0165" w:rsidP="002A6517">
      <w:pPr>
        <w:numPr>
          <w:ilvl w:val="0"/>
          <w:numId w:val="27"/>
        </w:numPr>
        <w:bidi w:val="0"/>
        <w:contextualSpacing/>
        <w:jc w:val="both"/>
        <w:rPr>
          <w:rFonts w:cs="Times New Roman"/>
          <w:color w:val="000000"/>
          <w:kern w:val="2"/>
          <w:szCs w:val="22"/>
          <w:lang w:bidi="ar-SA"/>
        </w:rPr>
      </w:pPr>
      <w:r w:rsidRPr="00A5313C">
        <w:rPr>
          <w:rFonts w:cs="Times New Roman"/>
          <w:color w:val="000000"/>
          <w:kern w:val="2"/>
          <w:szCs w:val="22"/>
          <w:lang w:bidi="ar-SA"/>
        </w:rPr>
        <w:t>Bharath, H. A., Chandan, M. C.</w:t>
      </w:r>
      <w:r w:rsidR="00D6609D" w:rsidRPr="00A5313C">
        <w:rPr>
          <w:rFonts w:cs="Times New Roman"/>
          <w:color w:val="000000"/>
          <w:kern w:val="2"/>
          <w:szCs w:val="22"/>
          <w:lang w:bidi="ar-SA"/>
        </w:rPr>
        <w:t>, Vinay, S., &amp; Ramachandra, T. V.</w:t>
      </w:r>
      <w:r w:rsidRPr="00A5313C">
        <w:rPr>
          <w:rFonts w:cs="Times New Roman"/>
          <w:color w:val="000000"/>
          <w:kern w:val="2"/>
          <w:szCs w:val="22"/>
          <w:lang w:bidi="ar-SA"/>
        </w:rPr>
        <w:t xml:space="preserve"> </w:t>
      </w:r>
      <w:r w:rsidR="00D6609D" w:rsidRPr="00A5313C">
        <w:rPr>
          <w:rFonts w:cs="Times New Roman"/>
          <w:color w:val="000000"/>
          <w:kern w:val="2"/>
          <w:szCs w:val="22"/>
          <w:lang w:bidi="ar-SA"/>
        </w:rPr>
        <w:t>(</w:t>
      </w:r>
      <w:r w:rsidRPr="00A5313C">
        <w:rPr>
          <w:rFonts w:cs="Times New Roman"/>
          <w:color w:val="000000"/>
          <w:kern w:val="2"/>
          <w:szCs w:val="22"/>
          <w:lang w:bidi="ar-SA"/>
        </w:rPr>
        <w:t>2018</w:t>
      </w:r>
      <w:r w:rsidR="00D6609D" w:rsidRPr="00A5313C">
        <w:rPr>
          <w:rFonts w:cs="Times New Roman"/>
          <w:color w:val="000000"/>
          <w:kern w:val="2"/>
          <w:szCs w:val="22"/>
          <w:lang w:bidi="ar-SA"/>
        </w:rPr>
        <w:t>)</w:t>
      </w:r>
      <w:r w:rsidRPr="00A5313C">
        <w:rPr>
          <w:rFonts w:cs="Times New Roman"/>
          <w:color w:val="000000"/>
          <w:kern w:val="2"/>
          <w:szCs w:val="22"/>
          <w:lang w:bidi="ar-SA"/>
        </w:rPr>
        <w:t>. Modelling urban dynamics in rapidly urbanising Indian cities. Egyptian Journal of Remote Sensing and Space</w:t>
      </w:r>
      <w:r w:rsidRPr="00A5313C">
        <w:rPr>
          <w:rFonts w:cs="Times New Roman"/>
          <w:i/>
          <w:iCs/>
          <w:color w:val="000000"/>
          <w:kern w:val="2"/>
          <w:szCs w:val="22"/>
          <w:lang w:bidi="ar-SA"/>
        </w:rPr>
        <w:t xml:space="preserve"> </w:t>
      </w:r>
      <w:r w:rsidRPr="00A5313C">
        <w:rPr>
          <w:rFonts w:cs="Times New Roman"/>
          <w:color w:val="000000"/>
          <w:kern w:val="2"/>
          <w:szCs w:val="22"/>
          <w:lang w:bidi="ar-SA"/>
        </w:rPr>
        <w:t>Science, 21(3), 201–210. </w:t>
      </w:r>
      <w:hyperlink r:id="rId25" w:history="1">
        <w:r w:rsidRPr="00A5313C">
          <w:rPr>
            <w:rFonts w:eastAsia="Times New Roman" w:cs="Times New Roman"/>
            <w:color w:val="0000FF"/>
            <w:szCs w:val="22"/>
            <w:u w:val="single"/>
          </w:rPr>
          <w:t>https://doi.org/10.1016/j.ejrs.2017.08.002</w:t>
        </w:r>
      </w:hyperlink>
    </w:p>
    <w:p w:rsidR="00AE0165" w:rsidRPr="00A5313C" w:rsidRDefault="00AE0165" w:rsidP="002A6517">
      <w:pPr>
        <w:numPr>
          <w:ilvl w:val="0"/>
          <w:numId w:val="27"/>
        </w:numPr>
        <w:bidi w:val="0"/>
        <w:contextualSpacing/>
        <w:jc w:val="both"/>
        <w:rPr>
          <w:rFonts w:eastAsia="Times New Roman" w:cs="Times New Roman"/>
          <w:color w:val="0000FF"/>
          <w:szCs w:val="22"/>
          <w:u w:val="single"/>
        </w:rPr>
      </w:pPr>
      <w:r w:rsidRPr="00A5313C">
        <w:rPr>
          <w:rFonts w:cs="Times New Roman"/>
          <w:color w:val="000000"/>
          <w:kern w:val="2"/>
          <w:szCs w:val="22"/>
          <w:lang w:bidi="ar-SA"/>
        </w:rPr>
        <w:t xml:space="preserve">Deb, D., Muslem Uddin, M., Mahbub-E-Kibria, A.S., Das, M.K., </w:t>
      </w:r>
      <w:r w:rsidR="00D6609D" w:rsidRPr="00A5313C">
        <w:rPr>
          <w:rFonts w:cs="Times New Roman"/>
          <w:color w:val="000000"/>
          <w:kern w:val="2"/>
          <w:szCs w:val="22"/>
          <w:lang w:bidi="ar-SA"/>
        </w:rPr>
        <w:t xml:space="preserve">&amp; </w:t>
      </w:r>
      <w:r w:rsidRPr="00A5313C">
        <w:rPr>
          <w:rFonts w:cs="Times New Roman"/>
          <w:color w:val="000000"/>
          <w:kern w:val="2"/>
          <w:szCs w:val="22"/>
          <w:lang w:bidi="ar-SA"/>
        </w:rPr>
        <w:t xml:space="preserve">Hasan, M. </w:t>
      </w:r>
      <w:r w:rsidR="00D6609D" w:rsidRPr="00A5313C">
        <w:rPr>
          <w:rFonts w:cs="Times New Roman"/>
          <w:color w:val="000000"/>
          <w:kern w:val="2"/>
          <w:szCs w:val="22"/>
          <w:lang w:bidi="ar-SA"/>
        </w:rPr>
        <w:t>(</w:t>
      </w:r>
      <w:r w:rsidRPr="00A5313C">
        <w:rPr>
          <w:rFonts w:cs="Times New Roman"/>
          <w:color w:val="000000"/>
          <w:kern w:val="2"/>
          <w:szCs w:val="22"/>
          <w:lang w:bidi="ar-SA"/>
        </w:rPr>
        <w:t>2024</w:t>
      </w:r>
      <w:r w:rsidR="00D6609D" w:rsidRPr="00A5313C">
        <w:rPr>
          <w:rFonts w:cs="Times New Roman"/>
          <w:color w:val="000000"/>
          <w:kern w:val="2"/>
          <w:szCs w:val="22"/>
          <w:lang w:bidi="ar-SA"/>
        </w:rPr>
        <w:t>)</w:t>
      </w:r>
      <w:r w:rsidRPr="00A5313C">
        <w:rPr>
          <w:rFonts w:cs="Times New Roman"/>
          <w:color w:val="000000"/>
          <w:kern w:val="2"/>
          <w:szCs w:val="22"/>
          <w:lang w:bidi="ar-SA"/>
        </w:rPr>
        <w:t xml:space="preserve">. Coastal vulnerability assessment to multi hazards in the exposed coast of Southeastern Coastal Region of Bangladesh. Regional Studies in Marine Science, 73. </w:t>
      </w:r>
      <w:hyperlink r:id="rId26" w:history="1">
        <w:r w:rsidRPr="00A5313C">
          <w:rPr>
            <w:rFonts w:eastAsia="Times New Roman" w:cs="Times New Roman"/>
            <w:color w:val="0000FF"/>
            <w:szCs w:val="22"/>
            <w:u w:val="single"/>
          </w:rPr>
          <w:t>https://doi.org/10.1016/j.rsma.2024.103484</w:t>
        </w:r>
      </w:hyperlink>
    </w:p>
    <w:p w:rsidR="00AE0165" w:rsidRPr="00A5313C" w:rsidRDefault="00AE0165" w:rsidP="002A6517">
      <w:pPr>
        <w:widowControl w:val="0"/>
        <w:numPr>
          <w:ilvl w:val="0"/>
          <w:numId w:val="27"/>
        </w:numPr>
        <w:bidi w:val="0"/>
        <w:contextualSpacing/>
        <w:jc w:val="both"/>
        <w:rPr>
          <w:rFonts w:eastAsia="Times New Roman" w:cs="Times New Roman"/>
          <w:color w:val="0000FF"/>
          <w:szCs w:val="22"/>
          <w:u w:val="single"/>
        </w:rPr>
      </w:pPr>
      <w:r w:rsidRPr="00A5313C">
        <w:rPr>
          <w:rFonts w:cs="Times New Roman"/>
          <w:color w:val="000000"/>
          <w:kern w:val="2"/>
          <w:szCs w:val="22"/>
          <w:lang w:bidi="ar-SA"/>
        </w:rPr>
        <w:t>El Jazouli,</w:t>
      </w:r>
      <w:r w:rsidRPr="00A5313C">
        <w:rPr>
          <w:rFonts w:cs="Times New Roman"/>
          <w:color w:val="000000"/>
          <w:kern w:val="2"/>
          <w:szCs w:val="22"/>
          <w:rtl/>
          <w:lang w:bidi="ar-SA"/>
        </w:rPr>
        <w:t xml:space="preserve"> </w:t>
      </w:r>
      <w:r w:rsidRPr="00A5313C">
        <w:rPr>
          <w:rFonts w:cs="Times New Roman"/>
          <w:color w:val="000000"/>
          <w:kern w:val="2"/>
          <w:szCs w:val="22"/>
          <w:lang w:bidi="ar-SA"/>
        </w:rPr>
        <w:t xml:space="preserve">A., Barakat, A., &amp; Khellouk, R. (2019). GIS-multicriteria evaluation using AHP for landslide susceptibility mapping in oum Er high basin (Morocco). </w:t>
      </w:r>
      <w:r w:rsidRPr="00A5313C">
        <w:rPr>
          <w:rFonts w:cs="Times New Roman"/>
          <w:i/>
          <w:iCs/>
          <w:color w:val="000000"/>
          <w:kern w:val="2"/>
          <w:szCs w:val="22"/>
          <w:lang w:bidi="ar-SA"/>
        </w:rPr>
        <w:t>Geoenviromental Disasters</w:t>
      </w:r>
      <w:r w:rsidRPr="00A5313C">
        <w:rPr>
          <w:rFonts w:cs="Times New Roman"/>
          <w:color w:val="000000"/>
          <w:kern w:val="2"/>
          <w:szCs w:val="22"/>
          <w:lang w:bidi="ar-SA"/>
        </w:rPr>
        <w:t>, 6 (3), 1-12.</w:t>
      </w:r>
      <w:r w:rsidRPr="00A5313C">
        <w:rPr>
          <w:rFonts w:cs="Times New Roman"/>
          <w:color w:val="000000"/>
          <w:kern w:val="2"/>
          <w:szCs w:val="22"/>
          <w:rtl/>
          <w:lang w:bidi="ar-SA"/>
        </w:rPr>
        <w:t xml:space="preserve"> </w:t>
      </w:r>
      <w:hyperlink r:id="rId27" w:history="1">
        <w:r w:rsidRPr="00A5313C">
          <w:rPr>
            <w:rFonts w:eastAsia="Times New Roman" w:cs="Times New Roman"/>
            <w:color w:val="0000FF"/>
            <w:szCs w:val="22"/>
            <w:u w:val="single"/>
          </w:rPr>
          <w:t>https://geoenvironmental-disasters.springeropen.com/articles/10.1186/s40677-019-0119-7</w:t>
        </w:r>
      </w:hyperlink>
    </w:p>
    <w:p w:rsidR="00AE0165" w:rsidRPr="00A5313C" w:rsidRDefault="00AE0165" w:rsidP="00D6609D">
      <w:pPr>
        <w:numPr>
          <w:ilvl w:val="0"/>
          <w:numId w:val="27"/>
        </w:numPr>
        <w:bidi w:val="0"/>
        <w:contextualSpacing/>
        <w:jc w:val="both"/>
        <w:rPr>
          <w:rFonts w:cs="Times New Roman"/>
          <w:color w:val="000000"/>
          <w:kern w:val="2"/>
          <w:szCs w:val="22"/>
          <w:u w:val="single"/>
          <w:lang w:bidi="ar-SA"/>
        </w:rPr>
      </w:pPr>
      <w:r w:rsidRPr="00A5313C">
        <w:rPr>
          <w:rFonts w:cs="Times New Roman"/>
          <w:color w:val="000000"/>
          <w:kern w:val="2"/>
          <w:szCs w:val="22"/>
          <w:lang w:bidi="ar-SA"/>
        </w:rPr>
        <w:t xml:space="preserve">Fan, Y., </w:t>
      </w:r>
      <w:r w:rsidR="00D6609D" w:rsidRPr="00A5313C">
        <w:rPr>
          <w:rFonts w:cs="Times New Roman"/>
          <w:color w:val="000000"/>
          <w:kern w:val="2"/>
          <w:szCs w:val="22"/>
          <w:lang w:bidi="ar-SA"/>
        </w:rPr>
        <w:t xml:space="preserve">&amp; </w:t>
      </w:r>
      <w:r w:rsidRPr="00A5313C">
        <w:rPr>
          <w:rFonts w:cs="Times New Roman"/>
          <w:color w:val="000000"/>
          <w:kern w:val="2"/>
          <w:szCs w:val="22"/>
          <w:lang w:bidi="ar-SA"/>
        </w:rPr>
        <w:t xml:space="preserve">Ma, S. </w:t>
      </w:r>
      <w:r w:rsidR="00D6609D" w:rsidRPr="00A5313C">
        <w:rPr>
          <w:rFonts w:cs="Times New Roman"/>
          <w:color w:val="000000"/>
          <w:kern w:val="2"/>
          <w:szCs w:val="22"/>
          <w:lang w:bidi="ar-SA"/>
        </w:rPr>
        <w:t>(</w:t>
      </w:r>
      <w:r w:rsidRPr="00A5313C">
        <w:rPr>
          <w:rFonts w:cs="Times New Roman"/>
          <w:color w:val="000000"/>
          <w:kern w:val="2"/>
          <w:szCs w:val="22"/>
          <w:lang w:bidi="ar-SA"/>
        </w:rPr>
        <w:t>2024</w:t>
      </w:r>
      <w:r w:rsidR="00D6609D" w:rsidRPr="00A5313C">
        <w:rPr>
          <w:rFonts w:cs="Times New Roman"/>
          <w:color w:val="000000"/>
          <w:kern w:val="2"/>
          <w:szCs w:val="22"/>
          <w:lang w:bidi="ar-SA"/>
        </w:rPr>
        <w:t>)</w:t>
      </w:r>
      <w:r w:rsidRPr="00A5313C">
        <w:rPr>
          <w:rFonts w:cs="Times New Roman"/>
          <w:color w:val="000000"/>
          <w:kern w:val="2"/>
          <w:szCs w:val="22"/>
          <w:lang w:bidi="ar-SA"/>
        </w:rPr>
        <w:t xml:space="preserve">. Integrating fuzzy analytic hierarchy process into ecosystem service-based spatial planning: A case study of the Shenyang metropolitan area, China. Ecological Informatics, 81. </w:t>
      </w:r>
      <w:hyperlink r:id="rId28" w:history="1">
        <w:r w:rsidRPr="00A5313C">
          <w:rPr>
            <w:rFonts w:eastAsia="Times New Roman" w:cs="Times New Roman"/>
            <w:color w:val="0000FF"/>
            <w:szCs w:val="22"/>
            <w:u w:val="single"/>
          </w:rPr>
          <w:t>https://doi.org/10.1016/j.ecoinf.2024.102625</w:t>
        </w:r>
      </w:hyperlink>
    </w:p>
    <w:p w:rsidR="00AE0165" w:rsidRPr="00A5313C" w:rsidRDefault="00D6609D" w:rsidP="002A6517">
      <w:pPr>
        <w:numPr>
          <w:ilvl w:val="0"/>
          <w:numId w:val="27"/>
        </w:numPr>
        <w:bidi w:val="0"/>
        <w:contextualSpacing/>
        <w:jc w:val="both"/>
        <w:rPr>
          <w:rFonts w:cs="Times New Roman"/>
          <w:color w:val="000000"/>
          <w:kern w:val="2"/>
          <w:szCs w:val="22"/>
          <w:lang w:bidi="ar-SA"/>
        </w:rPr>
      </w:pPr>
      <w:r w:rsidRPr="00A5313C">
        <w:rPr>
          <w:rFonts w:cs="Times New Roman"/>
          <w:color w:val="000000"/>
          <w:kern w:val="2"/>
          <w:szCs w:val="22"/>
          <w:lang w:bidi="ar-SA"/>
        </w:rPr>
        <w:t>Fekete, A.</w:t>
      </w:r>
      <w:r w:rsidR="00AE0165" w:rsidRPr="00A5313C">
        <w:rPr>
          <w:rFonts w:cs="Times New Roman"/>
          <w:color w:val="000000"/>
          <w:kern w:val="2"/>
          <w:szCs w:val="22"/>
          <w:lang w:bidi="ar-SA"/>
        </w:rPr>
        <w:t xml:space="preserve"> </w:t>
      </w:r>
      <w:r w:rsidRPr="00A5313C">
        <w:rPr>
          <w:rFonts w:cs="Times New Roman"/>
          <w:color w:val="000000"/>
          <w:kern w:val="2"/>
          <w:szCs w:val="22"/>
          <w:lang w:bidi="ar-SA"/>
        </w:rPr>
        <w:t>(</w:t>
      </w:r>
      <w:r w:rsidR="00AE0165" w:rsidRPr="00A5313C">
        <w:rPr>
          <w:rFonts w:cs="Times New Roman"/>
          <w:color w:val="000000"/>
          <w:kern w:val="2"/>
          <w:szCs w:val="22"/>
          <w:lang w:bidi="ar-SA"/>
        </w:rPr>
        <w:t>2022</w:t>
      </w:r>
      <w:r w:rsidRPr="00A5313C">
        <w:rPr>
          <w:rFonts w:cs="Times New Roman"/>
          <w:color w:val="000000"/>
          <w:kern w:val="2"/>
          <w:szCs w:val="22"/>
          <w:lang w:bidi="ar-SA"/>
        </w:rPr>
        <w:t>)</w:t>
      </w:r>
      <w:r w:rsidR="00AE0165" w:rsidRPr="00A5313C">
        <w:rPr>
          <w:rFonts w:cs="Times New Roman"/>
          <w:color w:val="000000"/>
          <w:kern w:val="2"/>
          <w:szCs w:val="22"/>
          <w:lang w:bidi="ar-SA"/>
        </w:rPr>
        <w:t xml:space="preserve">. Peri-urban growth into natural hazard-prone areas: mapping exposure transformation of the built environment in Nairobi and Nyeri, Kenya, from 1948 to today. </w:t>
      </w:r>
      <w:hyperlink r:id="rId29" w:history="1">
        <w:r w:rsidR="00AE0165" w:rsidRPr="00A5313C">
          <w:rPr>
            <w:rFonts w:cs="Times New Roman"/>
            <w:color w:val="000000"/>
            <w:kern w:val="2"/>
            <w:szCs w:val="22"/>
            <w:lang w:bidi="ar-SA"/>
          </w:rPr>
          <w:t>Natural Hazards</w:t>
        </w:r>
      </w:hyperlink>
      <w:r w:rsidR="00AE0165" w:rsidRPr="00A5313C">
        <w:rPr>
          <w:rFonts w:cs="Times New Roman"/>
          <w:color w:val="000000"/>
          <w:kern w:val="2"/>
          <w:szCs w:val="22"/>
          <w:lang w:bidi="ar-SA"/>
        </w:rPr>
        <w:t xml:space="preserve">. </w:t>
      </w:r>
      <w:hyperlink r:id="rId30" w:history="1">
        <w:r w:rsidR="00AE0165" w:rsidRPr="00A5313C">
          <w:rPr>
            <w:rFonts w:eastAsia="Times New Roman" w:cs="Times New Roman"/>
            <w:color w:val="0000FF"/>
            <w:szCs w:val="22"/>
            <w:u w:val="single"/>
          </w:rPr>
          <w:t>https://doi.org/</w:t>
        </w:r>
      </w:hyperlink>
      <w:r w:rsidR="00AE0165" w:rsidRPr="00A5313C">
        <w:rPr>
          <w:rFonts w:eastAsia="Times New Roman" w:cs="Times New Roman"/>
          <w:color w:val="0000FF"/>
          <w:szCs w:val="22"/>
          <w:u w:val="single"/>
        </w:rPr>
        <w:t>10.1007/s11069-022-05515-4</w:t>
      </w:r>
    </w:p>
    <w:p w:rsidR="00AE0165" w:rsidRPr="00A5313C" w:rsidRDefault="00AE0165" w:rsidP="00D6609D">
      <w:pPr>
        <w:numPr>
          <w:ilvl w:val="0"/>
          <w:numId w:val="27"/>
        </w:numPr>
        <w:bidi w:val="0"/>
        <w:contextualSpacing/>
        <w:jc w:val="both"/>
        <w:rPr>
          <w:rFonts w:cs="Times New Roman"/>
          <w:color w:val="000000"/>
          <w:kern w:val="2"/>
          <w:szCs w:val="22"/>
          <w:lang w:bidi="ar-SA"/>
        </w:rPr>
      </w:pPr>
      <w:r w:rsidRPr="00A5313C">
        <w:rPr>
          <w:rFonts w:cs="Times New Roman"/>
          <w:color w:val="000000"/>
          <w:kern w:val="2"/>
          <w:szCs w:val="22"/>
          <w:lang w:bidi="ar-SA"/>
        </w:rPr>
        <w:t xml:space="preserve">Fu, H., Zhang, T., </w:t>
      </w:r>
      <w:r w:rsidR="00D6609D" w:rsidRPr="00A5313C">
        <w:rPr>
          <w:rFonts w:cs="Times New Roman"/>
          <w:color w:val="000000"/>
          <w:kern w:val="2"/>
          <w:szCs w:val="22"/>
          <w:lang w:bidi="ar-SA"/>
        </w:rPr>
        <w:t xml:space="preserve">&amp; </w:t>
      </w:r>
      <w:r w:rsidRPr="00A5313C">
        <w:rPr>
          <w:rFonts w:cs="Times New Roman"/>
          <w:color w:val="000000"/>
          <w:kern w:val="2"/>
          <w:szCs w:val="22"/>
          <w:lang w:bidi="ar-SA"/>
        </w:rPr>
        <w:t xml:space="preserve">Wang, J. </w:t>
      </w:r>
      <w:r w:rsidR="00D6609D" w:rsidRPr="00A5313C">
        <w:rPr>
          <w:rFonts w:cs="Times New Roman"/>
          <w:color w:val="000000"/>
          <w:kern w:val="2"/>
          <w:szCs w:val="22"/>
          <w:lang w:bidi="ar-SA"/>
        </w:rPr>
        <w:t>(</w:t>
      </w:r>
      <w:r w:rsidRPr="00A5313C">
        <w:rPr>
          <w:rFonts w:cs="Times New Roman"/>
          <w:color w:val="000000"/>
          <w:kern w:val="2"/>
          <w:szCs w:val="22"/>
          <w:lang w:bidi="ar-SA"/>
        </w:rPr>
        <w:t>2024</w:t>
      </w:r>
      <w:r w:rsidR="00D6609D" w:rsidRPr="00A5313C">
        <w:rPr>
          <w:rFonts w:cs="Times New Roman"/>
          <w:color w:val="000000"/>
          <w:kern w:val="2"/>
          <w:szCs w:val="22"/>
          <w:lang w:bidi="ar-SA"/>
        </w:rPr>
        <w:t>)</w:t>
      </w:r>
      <w:r w:rsidRPr="00A5313C">
        <w:rPr>
          <w:rFonts w:cs="Times New Roman"/>
          <w:color w:val="000000"/>
          <w:kern w:val="2"/>
          <w:szCs w:val="22"/>
          <w:lang w:bidi="ar-SA"/>
        </w:rPr>
        <w:t xml:space="preserve">. Evaluating suitability of development and construction with of minimum cumulative resistance model for a mountain scenic area in Jinyun Xiandu, China. Ecological Engineering, 202. </w:t>
      </w:r>
      <w:hyperlink r:id="rId31" w:history="1">
        <w:r w:rsidRPr="00A5313C">
          <w:rPr>
            <w:rFonts w:eastAsia="Times New Roman" w:cs="Times New Roman"/>
            <w:color w:val="0000FF"/>
            <w:szCs w:val="22"/>
            <w:u w:val="single"/>
          </w:rPr>
          <w:t>https://doi.org/10.1016/j.ecoleng.2024.107240</w:t>
        </w:r>
      </w:hyperlink>
    </w:p>
    <w:p w:rsidR="00AE0165" w:rsidRPr="00A5313C" w:rsidRDefault="00D6609D" w:rsidP="002A6517">
      <w:pPr>
        <w:numPr>
          <w:ilvl w:val="0"/>
          <w:numId w:val="27"/>
        </w:numPr>
        <w:bidi w:val="0"/>
        <w:contextualSpacing/>
        <w:jc w:val="both"/>
        <w:rPr>
          <w:rFonts w:cs="Times New Roman"/>
          <w:color w:val="000000"/>
          <w:kern w:val="2"/>
          <w:szCs w:val="22"/>
          <w:rtl/>
          <w:lang w:bidi="ar-SA"/>
        </w:rPr>
      </w:pPr>
      <w:r w:rsidRPr="00A5313C">
        <w:rPr>
          <w:rFonts w:cs="Times New Roman"/>
          <w:color w:val="000000"/>
          <w:kern w:val="2"/>
          <w:szCs w:val="22"/>
          <w:lang w:bidi="ar-SA"/>
        </w:rPr>
        <w:t>Ganjaeian, H.</w:t>
      </w:r>
      <w:r w:rsidR="00AE0165" w:rsidRPr="00A5313C">
        <w:rPr>
          <w:rFonts w:cs="Times New Roman"/>
          <w:color w:val="000000"/>
          <w:kern w:val="2"/>
          <w:szCs w:val="22"/>
          <w:lang w:bidi="ar-SA"/>
        </w:rPr>
        <w:t xml:space="preserve"> </w:t>
      </w:r>
      <w:r w:rsidRPr="00A5313C">
        <w:rPr>
          <w:rFonts w:cs="Times New Roman"/>
          <w:color w:val="000000"/>
          <w:kern w:val="2"/>
          <w:szCs w:val="22"/>
          <w:lang w:bidi="ar-SA"/>
        </w:rPr>
        <w:t>(</w:t>
      </w:r>
      <w:r w:rsidR="00AE0165" w:rsidRPr="00A5313C">
        <w:rPr>
          <w:rFonts w:cs="Times New Roman"/>
          <w:color w:val="000000"/>
          <w:kern w:val="2"/>
          <w:szCs w:val="22"/>
          <w:lang w:bidi="ar-SA"/>
        </w:rPr>
        <w:t>2024</w:t>
      </w:r>
      <w:r w:rsidRPr="00A5313C">
        <w:rPr>
          <w:rFonts w:cs="Times New Roman"/>
          <w:color w:val="000000"/>
          <w:kern w:val="2"/>
          <w:szCs w:val="22"/>
          <w:lang w:bidi="ar-SA"/>
        </w:rPr>
        <w:t>)</w:t>
      </w:r>
      <w:r w:rsidR="00AE0165" w:rsidRPr="00A5313C">
        <w:rPr>
          <w:rFonts w:cs="Times New Roman"/>
          <w:color w:val="000000"/>
          <w:kern w:val="2"/>
          <w:szCs w:val="22"/>
          <w:lang w:bidi="ar-SA"/>
        </w:rPr>
        <w:t xml:space="preserve">. Identification of sinkhole-prone areas using radar images (Case study: Qorveh Plain). Environmental erosion research, 14(2), 87-105. </w:t>
      </w:r>
      <w:hyperlink r:id="rId32" w:history="1">
        <w:r w:rsidR="00AE0165" w:rsidRPr="00A5313C">
          <w:rPr>
            <w:rFonts w:eastAsia="Times New Roman" w:cs="Times New Roman"/>
            <w:color w:val="0000FF"/>
            <w:szCs w:val="22"/>
            <w:u w:val="single"/>
          </w:rPr>
          <w:t>http://dx.doi.org/10.61186/jeer.14.2.6</w:t>
        </w:r>
      </w:hyperlink>
      <w:r w:rsidR="00AE0165" w:rsidRPr="00A5313C">
        <w:rPr>
          <w:rFonts w:cs="Times New Roman"/>
          <w:color w:val="000000"/>
          <w:kern w:val="2"/>
          <w:szCs w:val="22"/>
          <w:lang w:bidi="ar-SA"/>
        </w:rPr>
        <w:t xml:space="preserve"> [In Persian]</w:t>
      </w:r>
    </w:p>
    <w:p w:rsidR="00AE0165" w:rsidRPr="00A5313C" w:rsidRDefault="00AE0165" w:rsidP="002A6517">
      <w:pPr>
        <w:numPr>
          <w:ilvl w:val="0"/>
          <w:numId w:val="27"/>
        </w:numPr>
        <w:bidi w:val="0"/>
        <w:contextualSpacing/>
        <w:jc w:val="both"/>
        <w:rPr>
          <w:rFonts w:eastAsia="Times New Roman" w:cs="Times New Roman"/>
          <w:color w:val="000000"/>
          <w:kern w:val="2"/>
          <w:szCs w:val="22"/>
          <w:u w:val="single"/>
          <w:lang w:bidi="ar-SA"/>
        </w:rPr>
      </w:pPr>
      <w:r w:rsidRPr="00A5313C">
        <w:rPr>
          <w:rFonts w:eastAsia="Times New Roman" w:cs="Times New Roman"/>
          <w:color w:val="000000"/>
          <w:kern w:val="2"/>
          <w:szCs w:val="22"/>
          <w:lang w:bidi="ar-SA"/>
        </w:rPr>
        <w:t xml:space="preserve">Ganjaeian, H., Rezaei Arefi, M., Peysoozi, T., &amp; Emami, K. </w:t>
      </w:r>
      <w:r w:rsidR="00D6609D" w:rsidRPr="00A5313C">
        <w:rPr>
          <w:rFonts w:eastAsia="Times New Roman" w:cs="Times New Roman"/>
          <w:color w:val="000000"/>
          <w:kern w:val="2"/>
          <w:szCs w:val="22"/>
          <w:lang w:bidi="ar-SA"/>
        </w:rPr>
        <w:t>(</w:t>
      </w:r>
      <w:r w:rsidRPr="00A5313C">
        <w:rPr>
          <w:rFonts w:eastAsia="Times New Roman" w:cs="Times New Roman"/>
          <w:color w:val="000000"/>
          <w:kern w:val="2"/>
          <w:szCs w:val="22"/>
          <w:lang w:bidi="ar-SA"/>
        </w:rPr>
        <w:t>2021</w:t>
      </w:r>
      <w:r w:rsidR="00D6609D" w:rsidRPr="00A5313C">
        <w:rPr>
          <w:rFonts w:eastAsia="Times New Roman" w:cs="Times New Roman"/>
          <w:color w:val="000000"/>
          <w:kern w:val="2"/>
          <w:szCs w:val="22"/>
          <w:lang w:bidi="ar-SA"/>
        </w:rPr>
        <w:t>)</w:t>
      </w:r>
      <w:r w:rsidRPr="00A5313C">
        <w:rPr>
          <w:rFonts w:eastAsia="Times New Roman" w:cs="Times New Roman"/>
          <w:color w:val="000000"/>
          <w:kern w:val="2"/>
          <w:szCs w:val="22"/>
          <w:lang w:bidi="ar-SA"/>
        </w:rPr>
        <w:t xml:space="preserve">. Zonning susceptible areas of landslide using WLC and OWA methods -A case study in Mountain cliff Khan, Iran. </w:t>
      </w:r>
      <w:r w:rsidRPr="00A5313C">
        <w:rPr>
          <w:rFonts w:eastAsia="Times New Roman" w:cs="Times New Roman"/>
          <w:i/>
          <w:iCs/>
          <w:color w:val="000000"/>
          <w:kern w:val="2"/>
          <w:szCs w:val="22"/>
          <w:lang w:bidi="ar-SA"/>
        </w:rPr>
        <w:t>Sustainable Earth Trends</w:t>
      </w:r>
      <w:r w:rsidRPr="00A5313C">
        <w:rPr>
          <w:rFonts w:eastAsia="Times New Roman" w:cs="Times New Roman"/>
          <w:color w:val="000000"/>
          <w:kern w:val="2"/>
          <w:szCs w:val="22"/>
          <w:lang w:bidi="ar-SA"/>
        </w:rPr>
        <w:t xml:space="preserve">, 1(2), 35-43. </w:t>
      </w:r>
      <w:hyperlink r:id="rId33" w:history="1">
        <w:r w:rsidRPr="00A5313C">
          <w:rPr>
            <w:rFonts w:eastAsia="Times New Roman" w:cs="Times New Roman"/>
            <w:color w:val="0000FF"/>
            <w:szCs w:val="22"/>
            <w:u w:val="single"/>
          </w:rPr>
          <w:t>https://doi.org/10.52547/sustainearth.1.2.43</w:t>
        </w:r>
      </w:hyperlink>
    </w:p>
    <w:p w:rsidR="00AE0165" w:rsidRPr="00A5313C" w:rsidRDefault="00D6609D" w:rsidP="002A6517">
      <w:pPr>
        <w:widowControl w:val="0"/>
        <w:numPr>
          <w:ilvl w:val="0"/>
          <w:numId w:val="27"/>
        </w:numPr>
        <w:bidi w:val="0"/>
        <w:contextualSpacing/>
        <w:jc w:val="both"/>
        <w:rPr>
          <w:rFonts w:cs="Times New Roman"/>
          <w:color w:val="000000"/>
          <w:kern w:val="2"/>
          <w:szCs w:val="22"/>
          <w:u w:val="single"/>
          <w:lang w:bidi="ar-SA"/>
        </w:rPr>
      </w:pPr>
      <w:r w:rsidRPr="00A5313C">
        <w:rPr>
          <w:rFonts w:cs="Times New Roman"/>
          <w:color w:val="000000"/>
          <w:kern w:val="2"/>
          <w:szCs w:val="22"/>
          <w:lang w:bidi="ar-SA"/>
        </w:rPr>
        <w:t>Ghosh, A., Dey, P., &amp; Ghosh, T.</w:t>
      </w:r>
      <w:r w:rsidR="00AE0165" w:rsidRPr="00A5313C">
        <w:rPr>
          <w:rFonts w:cs="Times New Roman"/>
          <w:color w:val="000000"/>
          <w:kern w:val="2"/>
          <w:szCs w:val="22"/>
          <w:lang w:bidi="ar-SA"/>
        </w:rPr>
        <w:t xml:space="preserve"> </w:t>
      </w:r>
      <w:r w:rsidRPr="00A5313C">
        <w:rPr>
          <w:rFonts w:cs="Times New Roman"/>
          <w:color w:val="000000"/>
          <w:kern w:val="2"/>
          <w:szCs w:val="22"/>
          <w:lang w:bidi="ar-SA"/>
        </w:rPr>
        <w:t>(</w:t>
      </w:r>
      <w:r w:rsidR="00AE0165" w:rsidRPr="00A5313C">
        <w:rPr>
          <w:rFonts w:cs="Times New Roman"/>
          <w:color w:val="000000"/>
          <w:kern w:val="2"/>
          <w:szCs w:val="22"/>
          <w:lang w:bidi="ar-SA"/>
        </w:rPr>
        <w:t>2022</w:t>
      </w:r>
      <w:r w:rsidRPr="00A5313C">
        <w:rPr>
          <w:rFonts w:cs="Times New Roman"/>
          <w:color w:val="000000"/>
          <w:kern w:val="2"/>
          <w:szCs w:val="22"/>
          <w:lang w:bidi="ar-SA"/>
        </w:rPr>
        <w:t>)</w:t>
      </w:r>
      <w:r w:rsidR="00AE0165" w:rsidRPr="00A5313C">
        <w:rPr>
          <w:rFonts w:cs="Times New Roman"/>
          <w:color w:val="000000"/>
          <w:kern w:val="2"/>
          <w:szCs w:val="22"/>
          <w:lang w:bidi="ar-SA"/>
        </w:rPr>
        <w:t xml:space="preserve">. Integration of RS-GIS with Frequency Ratio, Fuzzy Logic, Logistic Regression and Decision Tree Models for Flood Susceptibility Prediction in Lower Gangetic Plain: A Study on Malda District of West Bengal, India. </w:t>
      </w:r>
      <w:hyperlink r:id="rId34" w:history="1">
        <w:r w:rsidR="00AE0165" w:rsidRPr="00A5313C">
          <w:rPr>
            <w:rFonts w:cs="Times New Roman"/>
            <w:color w:val="000000"/>
            <w:kern w:val="2"/>
            <w:szCs w:val="22"/>
            <w:lang w:bidi="ar-SA"/>
          </w:rPr>
          <w:t>Journal of the Indian Society of Remote Sensing</w:t>
        </w:r>
      </w:hyperlink>
      <w:r w:rsidR="00AE0165" w:rsidRPr="00A5313C">
        <w:rPr>
          <w:rFonts w:cs="Times New Roman"/>
          <w:color w:val="000000"/>
          <w:kern w:val="2"/>
          <w:szCs w:val="22"/>
          <w:lang w:bidi="ar-SA"/>
        </w:rPr>
        <w:t xml:space="preserve">, 50: 1725-1745. </w:t>
      </w:r>
      <w:hyperlink r:id="rId35" w:history="1">
        <w:r w:rsidR="00AE0165" w:rsidRPr="00A5313C">
          <w:rPr>
            <w:rFonts w:eastAsia="Times New Roman" w:cs="Times New Roman"/>
            <w:color w:val="0000FF"/>
            <w:szCs w:val="22"/>
            <w:u w:val="single"/>
          </w:rPr>
          <w:t>https://doi.org/</w:t>
        </w:r>
      </w:hyperlink>
      <w:r w:rsidR="00AE0165" w:rsidRPr="00A5313C">
        <w:rPr>
          <w:rFonts w:eastAsia="Times New Roman" w:cs="Times New Roman"/>
          <w:color w:val="0000FF"/>
          <w:szCs w:val="22"/>
          <w:u w:val="single"/>
        </w:rPr>
        <w:t>10.1007/s12524-022-01560-5</w:t>
      </w:r>
    </w:p>
    <w:p w:rsidR="00AE0165" w:rsidRPr="00A5313C" w:rsidRDefault="00AE0165" w:rsidP="002A6517">
      <w:pPr>
        <w:numPr>
          <w:ilvl w:val="0"/>
          <w:numId w:val="27"/>
        </w:numPr>
        <w:bidi w:val="0"/>
        <w:contextualSpacing/>
        <w:jc w:val="both"/>
        <w:rPr>
          <w:rFonts w:cs="Times New Roman"/>
          <w:color w:val="000000"/>
          <w:kern w:val="2"/>
          <w:szCs w:val="22"/>
          <w:lang w:bidi="ar-SA"/>
        </w:rPr>
      </w:pPr>
      <w:r w:rsidRPr="00A5313C">
        <w:rPr>
          <w:rFonts w:cs="Times New Roman"/>
          <w:color w:val="000000"/>
          <w:kern w:val="2"/>
          <w:szCs w:val="22"/>
          <w:lang w:bidi="ar-SA"/>
        </w:rPr>
        <w:t xml:space="preserve">Gibson, T. Pelling, M., Ghosh, A., Matyas, D., Siddiqi, A., Solecki, W., Johnson, L., Kenney, C., Johnston, D., </w:t>
      </w:r>
      <w:r w:rsidR="003B02A7" w:rsidRPr="00A5313C">
        <w:rPr>
          <w:rFonts w:cs="Times New Roman"/>
          <w:color w:val="000000"/>
          <w:kern w:val="2"/>
          <w:szCs w:val="22"/>
          <w:lang w:bidi="ar-SA"/>
        </w:rPr>
        <w:t>&amp; Du Plessis, R.</w:t>
      </w:r>
      <w:r w:rsidRPr="00A5313C">
        <w:rPr>
          <w:rFonts w:cs="Times New Roman"/>
          <w:color w:val="000000"/>
          <w:kern w:val="2"/>
          <w:szCs w:val="22"/>
          <w:lang w:bidi="ar-SA"/>
        </w:rPr>
        <w:t xml:space="preserve"> </w:t>
      </w:r>
      <w:r w:rsidR="003B02A7" w:rsidRPr="00A5313C">
        <w:rPr>
          <w:rFonts w:cs="Times New Roman"/>
          <w:color w:val="000000"/>
          <w:kern w:val="2"/>
          <w:szCs w:val="22"/>
          <w:lang w:bidi="ar-SA"/>
        </w:rPr>
        <w:t>(</w:t>
      </w:r>
      <w:r w:rsidRPr="00A5313C">
        <w:rPr>
          <w:rFonts w:cs="Times New Roman"/>
          <w:color w:val="000000"/>
          <w:kern w:val="2"/>
          <w:szCs w:val="22"/>
          <w:lang w:bidi="ar-SA"/>
        </w:rPr>
        <w:t>2016</w:t>
      </w:r>
      <w:r w:rsidR="003B02A7" w:rsidRPr="00A5313C">
        <w:rPr>
          <w:rFonts w:cs="Times New Roman"/>
          <w:color w:val="000000"/>
          <w:kern w:val="2"/>
          <w:szCs w:val="22"/>
          <w:lang w:bidi="ar-SA"/>
        </w:rPr>
        <w:t>)</w:t>
      </w:r>
      <w:r w:rsidRPr="00A5313C">
        <w:rPr>
          <w:rFonts w:cs="Times New Roman"/>
          <w:color w:val="000000"/>
          <w:kern w:val="2"/>
          <w:szCs w:val="22"/>
          <w:lang w:bidi="ar-SA"/>
        </w:rPr>
        <w:t>. Pathways for transformation: disaster risk management to enhance resilience to extreme events. J Extreme Events, 3(1).</w:t>
      </w:r>
      <w:r w:rsidRPr="00A5313C">
        <w:rPr>
          <w:rFonts w:cs="Times New Roman"/>
          <w:color w:val="000000"/>
          <w:kern w:val="2"/>
          <w:szCs w:val="22"/>
          <w:u w:val="single"/>
          <w:lang w:bidi="ar-SA"/>
        </w:rPr>
        <w:t xml:space="preserve"> </w:t>
      </w:r>
      <w:hyperlink r:id="rId36" w:history="1">
        <w:r w:rsidRPr="00A5313C">
          <w:rPr>
            <w:rFonts w:eastAsia="Times New Roman" w:cs="Times New Roman"/>
            <w:color w:val="0000FF"/>
            <w:szCs w:val="22"/>
            <w:u w:val="single"/>
          </w:rPr>
          <w:t>https://doi.org/</w:t>
        </w:r>
      </w:hyperlink>
      <w:hyperlink r:id="rId37" w:tgtFrame="_blank" w:history="1">
        <w:r w:rsidRPr="00A5313C">
          <w:rPr>
            <w:rFonts w:eastAsia="Times New Roman" w:cs="Times New Roman"/>
            <w:color w:val="0000FF"/>
            <w:szCs w:val="22"/>
            <w:u w:val="single"/>
          </w:rPr>
          <w:t>10.1142/S2345737616710020</w:t>
        </w:r>
      </w:hyperlink>
    </w:p>
    <w:p w:rsidR="00AE0165" w:rsidRPr="00A5313C" w:rsidRDefault="00AE0165" w:rsidP="002A6517">
      <w:pPr>
        <w:numPr>
          <w:ilvl w:val="0"/>
          <w:numId w:val="27"/>
        </w:numPr>
        <w:bidi w:val="0"/>
        <w:ind w:right="-46"/>
        <w:contextualSpacing/>
        <w:jc w:val="both"/>
        <w:rPr>
          <w:rFonts w:cs="Times New Roman"/>
          <w:color w:val="000000"/>
          <w:kern w:val="2"/>
          <w:szCs w:val="22"/>
          <w:lang w:bidi="ar-SA"/>
        </w:rPr>
      </w:pPr>
      <w:r w:rsidRPr="00A5313C">
        <w:rPr>
          <w:rFonts w:cs="Times New Roman"/>
          <w:color w:val="000000"/>
          <w:kern w:val="2"/>
          <w:szCs w:val="22"/>
          <w:lang w:bidi="ar-SA"/>
        </w:rPr>
        <w:t>H</w:t>
      </w:r>
      <w:r w:rsidR="003B02A7" w:rsidRPr="00A5313C">
        <w:rPr>
          <w:rFonts w:cs="Times New Roman"/>
          <w:color w:val="000000"/>
          <w:kern w:val="2"/>
          <w:szCs w:val="22"/>
          <w:lang w:bidi="ar-SA"/>
        </w:rPr>
        <w:t>osseini, S. J., &amp; Ashournejad, Q.</w:t>
      </w:r>
      <w:r w:rsidRPr="00A5313C">
        <w:rPr>
          <w:rFonts w:cs="Times New Roman"/>
          <w:color w:val="000000"/>
          <w:kern w:val="2"/>
          <w:szCs w:val="22"/>
          <w:lang w:bidi="ar-SA"/>
        </w:rPr>
        <w:t xml:space="preserve"> </w:t>
      </w:r>
      <w:r w:rsidR="003B02A7" w:rsidRPr="00A5313C">
        <w:rPr>
          <w:rFonts w:cs="Times New Roman"/>
          <w:color w:val="000000"/>
          <w:kern w:val="2"/>
          <w:szCs w:val="22"/>
          <w:lang w:bidi="ar-SA"/>
        </w:rPr>
        <w:t>(</w:t>
      </w:r>
      <w:r w:rsidRPr="00A5313C">
        <w:rPr>
          <w:rFonts w:cs="Times New Roman"/>
          <w:color w:val="000000"/>
          <w:kern w:val="2"/>
          <w:szCs w:val="22"/>
          <w:lang w:bidi="ar-SA"/>
        </w:rPr>
        <w:t>2018</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Detection of Shifts in the Southeastern Coastline of the Caspian Sea withLandsat MSS, TM and ETM+ Images in 1977, 1987 and 2001, Coastal Zone Management, 21:2. </w:t>
      </w:r>
      <w:hyperlink r:id="rId38" w:history="1">
        <w:r w:rsidRPr="00A5313C">
          <w:rPr>
            <w:rFonts w:eastAsia="Times New Roman" w:cs="Times New Roman"/>
            <w:color w:val="0000FF"/>
            <w:szCs w:val="22"/>
            <w:u w:val="single"/>
          </w:rPr>
          <w:t>https://doi.org/10.4172/2473-3350.1000457</w:t>
        </w:r>
      </w:hyperlink>
      <w:r w:rsidRPr="00A5313C">
        <w:rPr>
          <w:rFonts w:cs="Times New Roman"/>
          <w:color w:val="000000"/>
          <w:kern w:val="2"/>
          <w:szCs w:val="22"/>
          <w:lang w:bidi="ar-SA"/>
        </w:rPr>
        <w:t xml:space="preserve"> [In Persian].</w:t>
      </w:r>
    </w:p>
    <w:p w:rsidR="00AE0165" w:rsidRPr="00A5313C" w:rsidRDefault="003B02A7" w:rsidP="002A6517">
      <w:pPr>
        <w:numPr>
          <w:ilvl w:val="0"/>
          <w:numId w:val="27"/>
        </w:numPr>
        <w:bidi w:val="0"/>
        <w:contextualSpacing/>
        <w:jc w:val="both"/>
        <w:rPr>
          <w:rFonts w:cs="Times New Roman"/>
          <w:color w:val="000000"/>
          <w:kern w:val="2"/>
          <w:szCs w:val="22"/>
          <w:u w:val="single"/>
          <w:lang w:bidi="ar-SA"/>
        </w:rPr>
      </w:pPr>
      <w:r w:rsidRPr="00A5313C">
        <w:rPr>
          <w:rFonts w:cs="Times New Roman"/>
          <w:color w:val="000000"/>
          <w:kern w:val="2"/>
          <w:szCs w:val="22"/>
          <w:lang w:bidi="ar-SA"/>
        </w:rPr>
        <w:lastRenderedPageBreak/>
        <w:t>Jiang, W., &amp; Yu, J.</w:t>
      </w:r>
      <w:r w:rsidR="00AE0165" w:rsidRPr="00A5313C">
        <w:rPr>
          <w:rFonts w:cs="Times New Roman"/>
          <w:color w:val="000000"/>
          <w:kern w:val="2"/>
          <w:szCs w:val="22"/>
          <w:lang w:bidi="ar-SA"/>
        </w:rPr>
        <w:t xml:space="preserve"> </w:t>
      </w:r>
      <w:r w:rsidRPr="00A5313C">
        <w:rPr>
          <w:rFonts w:cs="Times New Roman"/>
          <w:color w:val="000000"/>
          <w:kern w:val="2"/>
          <w:szCs w:val="22"/>
          <w:lang w:bidi="ar-SA"/>
        </w:rPr>
        <w:t>(</w:t>
      </w:r>
      <w:r w:rsidR="00AE0165" w:rsidRPr="00A5313C">
        <w:rPr>
          <w:rFonts w:cs="Times New Roman"/>
          <w:color w:val="000000"/>
          <w:kern w:val="2"/>
          <w:szCs w:val="22"/>
          <w:lang w:bidi="ar-SA"/>
        </w:rPr>
        <w:t>2022</w:t>
      </w:r>
      <w:r w:rsidRPr="00A5313C">
        <w:rPr>
          <w:rFonts w:cs="Times New Roman"/>
          <w:color w:val="000000"/>
          <w:kern w:val="2"/>
          <w:szCs w:val="22"/>
          <w:lang w:bidi="ar-SA"/>
        </w:rPr>
        <w:t>)</w:t>
      </w:r>
      <w:r w:rsidR="00AE0165" w:rsidRPr="00A5313C">
        <w:rPr>
          <w:rFonts w:cs="Times New Roman"/>
          <w:color w:val="000000"/>
          <w:kern w:val="2"/>
          <w:szCs w:val="22"/>
          <w:lang w:bidi="ar-SA"/>
        </w:rPr>
        <w:t xml:space="preserve">. Impact of rainstorm patterns on the urban flood process superimposed by flash floods and urban waterlogging based on a coupled hydrologic–hydraulic model: a case study in a coastal mountainous river basin within southeastern China. </w:t>
      </w:r>
      <w:hyperlink r:id="rId39" w:history="1">
        <w:r w:rsidR="00AE0165" w:rsidRPr="00A5313C">
          <w:rPr>
            <w:rFonts w:cs="Times New Roman"/>
            <w:color w:val="000000"/>
            <w:kern w:val="2"/>
            <w:szCs w:val="22"/>
            <w:lang w:bidi="ar-SA"/>
          </w:rPr>
          <w:t>Natural Hazards</w:t>
        </w:r>
      </w:hyperlink>
      <w:r w:rsidR="00AE0165" w:rsidRPr="00A5313C">
        <w:rPr>
          <w:rFonts w:cs="Times New Roman"/>
          <w:color w:val="000000"/>
          <w:kern w:val="2"/>
          <w:szCs w:val="22"/>
          <w:lang w:bidi="ar-SA"/>
        </w:rPr>
        <w:t xml:space="preserve">, 112: 301–326. </w:t>
      </w:r>
      <w:hyperlink r:id="rId40" w:history="1">
        <w:r w:rsidR="00AE0165" w:rsidRPr="00A5313C">
          <w:rPr>
            <w:rFonts w:eastAsia="Times New Roman" w:cs="Times New Roman"/>
            <w:color w:val="0000FF"/>
            <w:szCs w:val="22"/>
            <w:u w:val="single"/>
          </w:rPr>
          <w:t>https://doi.org/10.1007/s11069-021-05182</w:t>
        </w:r>
      </w:hyperlink>
    </w:p>
    <w:p w:rsidR="00AE0165" w:rsidRPr="00A5313C" w:rsidRDefault="00AE0165" w:rsidP="002A6517">
      <w:pPr>
        <w:numPr>
          <w:ilvl w:val="0"/>
          <w:numId w:val="27"/>
        </w:numPr>
        <w:bidi w:val="0"/>
        <w:jc w:val="both"/>
        <w:rPr>
          <w:rFonts w:cs="Times New Roman"/>
          <w:color w:val="000000"/>
          <w:kern w:val="2"/>
          <w:szCs w:val="22"/>
          <w:lang w:bidi="ar-SA"/>
        </w:rPr>
      </w:pPr>
      <w:r w:rsidRPr="00A5313C">
        <w:rPr>
          <w:rFonts w:cs="Times New Roman"/>
          <w:color w:val="000000"/>
          <w:kern w:val="2"/>
          <w:szCs w:val="22"/>
          <w:lang w:bidi="ar-SA"/>
        </w:rPr>
        <w:t xml:space="preserve">Kumar, S., Midya, K., Ghosh, S., Kumar, P., </w:t>
      </w:r>
      <w:r w:rsidR="003B02A7" w:rsidRPr="00A5313C">
        <w:rPr>
          <w:rFonts w:cs="Times New Roman"/>
          <w:color w:val="000000"/>
          <w:kern w:val="2"/>
          <w:szCs w:val="22"/>
          <w:lang w:bidi="ar-SA"/>
        </w:rPr>
        <w:t xml:space="preserve">&amp; </w:t>
      </w:r>
      <w:r w:rsidRPr="00A5313C">
        <w:rPr>
          <w:rFonts w:cs="Times New Roman"/>
          <w:color w:val="000000"/>
          <w:kern w:val="2"/>
          <w:szCs w:val="22"/>
          <w:lang w:bidi="ar-SA"/>
        </w:rPr>
        <w:t xml:space="preserve">Mishra, V.N. </w:t>
      </w:r>
      <w:r w:rsidR="003B02A7" w:rsidRPr="00A5313C">
        <w:rPr>
          <w:rFonts w:cs="Times New Roman"/>
          <w:color w:val="000000"/>
          <w:kern w:val="2"/>
          <w:szCs w:val="22"/>
          <w:lang w:bidi="ar-SA"/>
        </w:rPr>
        <w:t>(</w:t>
      </w:r>
      <w:r w:rsidRPr="00A5313C">
        <w:rPr>
          <w:rFonts w:cs="Times New Roman"/>
          <w:color w:val="000000"/>
          <w:kern w:val="2"/>
          <w:szCs w:val="22"/>
          <w:lang w:bidi="ar-SA"/>
        </w:rPr>
        <w:t>2025</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Land use change analysis and prediction of urban growth using multi-layer perceptron neural network Markov chain model in Faridabad- A data-scarce region of Northwestern India. Physics and Chemistry of the Earth, Parts A/B/C, 138. </w:t>
      </w:r>
      <w:hyperlink r:id="rId41" w:history="1">
        <w:r w:rsidRPr="00A5313C">
          <w:rPr>
            <w:rFonts w:eastAsia="Times New Roman" w:cs="Times New Roman"/>
            <w:color w:val="0000FF"/>
            <w:szCs w:val="22"/>
            <w:u w:val="single"/>
          </w:rPr>
          <w:t>https://doi.org/10.1016/j.pce.2025.103884</w:t>
        </w:r>
      </w:hyperlink>
    </w:p>
    <w:p w:rsidR="00AE0165" w:rsidRPr="00A5313C" w:rsidRDefault="00AE0165" w:rsidP="003B02A7">
      <w:pPr>
        <w:widowControl w:val="0"/>
        <w:numPr>
          <w:ilvl w:val="0"/>
          <w:numId w:val="27"/>
        </w:numPr>
        <w:bidi w:val="0"/>
        <w:contextualSpacing/>
        <w:jc w:val="both"/>
        <w:rPr>
          <w:rFonts w:cs="Times New Roman"/>
          <w:color w:val="000000"/>
          <w:kern w:val="2"/>
          <w:szCs w:val="22"/>
          <w:u w:val="single"/>
          <w:lang w:bidi="ar-SA"/>
        </w:rPr>
      </w:pPr>
      <w:r w:rsidRPr="00A5313C">
        <w:rPr>
          <w:rFonts w:cs="Times New Roman"/>
          <w:color w:val="000000"/>
          <w:kern w:val="2"/>
          <w:szCs w:val="22"/>
          <w:lang w:bidi="ar-SA"/>
        </w:rPr>
        <w:t>Lee. M</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j. </w:t>
      </w:r>
      <w:r w:rsidR="003B02A7" w:rsidRPr="00A5313C">
        <w:rPr>
          <w:rFonts w:cs="Times New Roman"/>
          <w:color w:val="000000"/>
          <w:kern w:val="2"/>
          <w:szCs w:val="22"/>
          <w:lang w:bidi="ar-SA"/>
        </w:rPr>
        <w:t>(</w:t>
      </w:r>
      <w:r w:rsidRPr="00A5313C">
        <w:rPr>
          <w:rFonts w:cs="Times New Roman"/>
          <w:color w:val="000000"/>
          <w:kern w:val="2"/>
          <w:szCs w:val="22"/>
          <w:lang w:bidi="ar-SA"/>
        </w:rPr>
        <w:t>2015</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Analysis on the flood vulnerability in the Seoul and Busan metropolitan area, Korea using spatial database, </w:t>
      </w:r>
      <w:r w:rsidRPr="00A5313C">
        <w:rPr>
          <w:rFonts w:cs="Times New Roman"/>
          <w:i/>
          <w:iCs/>
          <w:color w:val="000000"/>
          <w:kern w:val="2"/>
          <w:szCs w:val="22"/>
          <w:lang w:bidi="ar-SA"/>
        </w:rPr>
        <w:t>EGU General Assembly</w:t>
      </w:r>
      <w:r w:rsidRPr="00A5313C">
        <w:rPr>
          <w:rFonts w:cs="Times New Roman"/>
          <w:color w:val="000000"/>
          <w:kern w:val="2"/>
          <w:szCs w:val="22"/>
          <w:lang w:bidi="ar-SA"/>
        </w:rPr>
        <w:t xml:space="preserve">, </w:t>
      </w:r>
      <w:r w:rsidRPr="00A5313C">
        <w:rPr>
          <w:rFonts w:cs="Times New Roman"/>
          <w:b/>
          <w:bCs/>
          <w:color w:val="000000"/>
          <w:kern w:val="2"/>
          <w:szCs w:val="22"/>
          <w:lang w:bidi="ar-SA"/>
        </w:rPr>
        <w:t>17 (1).</w:t>
      </w:r>
      <w:r w:rsidRPr="00A5313C">
        <w:rPr>
          <w:rFonts w:cs="Times New Roman"/>
          <w:color w:val="000000"/>
          <w:kern w:val="2"/>
          <w:szCs w:val="22"/>
          <w:u w:val="single"/>
          <w:lang w:bidi="ar-SA"/>
        </w:rPr>
        <w:t xml:space="preserve"> </w:t>
      </w:r>
      <w:r w:rsidRPr="00A5313C">
        <w:rPr>
          <w:rFonts w:eastAsia="Times New Roman" w:cs="Times New Roman"/>
          <w:color w:val="0000FF"/>
          <w:szCs w:val="22"/>
          <w:u w:val="single"/>
        </w:rPr>
        <w:t>https://ui.adsabs.harvard.edu/abs/2015EGUGA..17.4667L/abstract</w:t>
      </w:r>
    </w:p>
    <w:p w:rsidR="00AE0165" w:rsidRPr="00A5313C" w:rsidRDefault="00AE0165" w:rsidP="002A6517">
      <w:pPr>
        <w:numPr>
          <w:ilvl w:val="0"/>
          <w:numId w:val="27"/>
        </w:numPr>
        <w:bidi w:val="0"/>
        <w:contextualSpacing/>
        <w:jc w:val="both"/>
        <w:rPr>
          <w:rFonts w:eastAsia="Times New Roman" w:cs="Times New Roman"/>
          <w:color w:val="000000"/>
          <w:kern w:val="2"/>
          <w:szCs w:val="22"/>
          <w:lang w:bidi="ar-SA"/>
        </w:rPr>
      </w:pPr>
      <w:r w:rsidRPr="00A5313C">
        <w:rPr>
          <w:rFonts w:eastAsia="Times New Roman" w:cs="Times New Roman"/>
          <w:color w:val="000000"/>
          <w:kern w:val="2"/>
          <w:szCs w:val="22"/>
          <w:lang w:bidi="ar-SA"/>
        </w:rPr>
        <w:t xml:space="preserve">Lei, X., Ren, J., Xu, X., Qian, R., Zhang, J., &amp; Song, B. </w:t>
      </w:r>
      <w:r w:rsidR="003B02A7" w:rsidRPr="00A5313C">
        <w:rPr>
          <w:rFonts w:eastAsia="Times New Roman" w:cs="Times New Roman"/>
          <w:color w:val="000000"/>
          <w:kern w:val="2"/>
          <w:szCs w:val="22"/>
          <w:lang w:bidi="ar-SA"/>
        </w:rPr>
        <w:t>(</w:t>
      </w:r>
      <w:r w:rsidRPr="00A5313C">
        <w:rPr>
          <w:rFonts w:eastAsia="Times New Roman" w:cs="Times New Roman"/>
          <w:color w:val="000000"/>
          <w:kern w:val="2"/>
          <w:szCs w:val="22"/>
          <w:lang w:bidi="ar-SA"/>
        </w:rPr>
        <w:t>2022</w:t>
      </w:r>
      <w:r w:rsidR="003B02A7" w:rsidRPr="00A5313C">
        <w:rPr>
          <w:rFonts w:eastAsia="Times New Roman" w:cs="Times New Roman"/>
          <w:color w:val="000000"/>
          <w:kern w:val="2"/>
          <w:szCs w:val="22"/>
          <w:lang w:bidi="ar-SA"/>
        </w:rPr>
        <w:t>)</w:t>
      </w:r>
      <w:r w:rsidRPr="00A5313C">
        <w:rPr>
          <w:rFonts w:eastAsia="Times New Roman" w:cs="Times New Roman"/>
          <w:color w:val="000000"/>
          <w:kern w:val="2"/>
          <w:szCs w:val="22"/>
          <w:lang w:bidi="ar-SA"/>
        </w:rPr>
        <w:t xml:space="preserve">. Application of high-power ground-penetrating radar antennas with different frequencies to quickly locate the upper breakpoint of active buried faults in an urban area in the Datong basin (northern China). Journal of Applied Geophysics, 196. </w:t>
      </w:r>
      <w:hyperlink r:id="rId42" w:history="1">
        <w:r w:rsidRPr="00A5313C">
          <w:rPr>
            <w:rFonts w:eastAsia="Times New Roman" w:cs="Times New Roman"/>
            <w:color w:val="0000FF"/>
            <w:szCs w:val="22"/>
            <w:u w:val="single"/>
          </w:rPr>
          <w:t>https://doi.org/10.1016/j.jappgeo.2021.104515</w:t>
        </w:r>
      </w:hyperlink>
    </w:p>
    <w:p w:rsidR="00AE0165" w:rsidRPr="00A5313C" w:rsidRDefault="00AE0165" w:rsidP="002A6517">
      <w:pPr>
        <w:numPr>
          <w:ilvl w:val="0"/>
          <w:numId w:val="27"/>
        </w:numPr>
        <w:bidi w:val="0"/>
        <w:contextualSpacing/>
        <w:jc w:val="both"/>
        <w:rPr>
          <w:rFonts w:eastAsia="Times New Roman" w:cs="Times New Roman"/>
          <w:color w:val="000000"/>
          <w:kern w:val="2"/>
          <w:szCs w:val="22"/>
          <w:lang w:bidi="ar-SA"/>
        </w:rPr>
      </w:pPr>
      <w:r w:rsidRPr="00A5313C">
        <w:rPr>
          <w:rFonts w:eastAsia="Times New Roman" w:cs="Times New Roman"/>
          <w:color w:val="000000"/>
          <w:kern w:val="2"/>
          <w:szCs w:val="22"/>
          <w:lang w:bidi="ar-SA"/>
        </w:rPr>
        <w:t xml:space="preserve">Mahmoudzadeh, H., Abedini, A., Aram, F., &amp; Mosavi, A. </w:t>
      </w:r>
      <w:r w:rsidR="003B02A7" w:rsidRPr="00A5313C">
        <w:rPr>
          <w:rFonts w:eastAsia="Times New Roman" w:cs="Times New Roman"/>
          <w:color w:val="000000"/>
          <w:kern w:val="2"/>
          <w:szCs w:val="22"/>
          <w:lang w:bidi="ar-SA"/>
        </w:rPr>
        <w:t>(</w:t>
      </w:r>
      <w:r w:rsidRPr="00A5313C">
        <w:rPr>
          <w:rFonts w:eastAsia="Times New Roman" w:cs="Times New Roman"/>
          <w:color w:val="000000"/>
          <w:kern w:val="2"/>
          <w:szCs w:val="22"/>
          <w:lang w:bidi="ar-SA"/>
        </w:rPr>
        <w:t>2024</w:t>
      </w:r>
      <w:r w:rsidR="003B02A7" w:rsidRPr="00A5313C">
        <w:rPr>
          <w:rFonts w:eastAsia="Times New Roman" w:cs="Times New Roman"/>
          <w:color w:val="000000"/>
          <w:kern w:val="2"/>
          <w:szCs w:val="22"/>
          <w:lang w:bidi="ar-SA"/>
        </w:rPr>
        <w:t>)</w:t>
      </w:r>
      <w:r w:rsidRPr="00A5313C">
        <w:rPr>
          <w:rFonts w:eastAsia="Times New Roman" w:cs="Times New Roman"/>
          <w:color w:val="000000"/>
          <w:kern w:val="2"/>
          <w:szCs w:val="22"/>
          <w:lang w:bidi="ar-SA"/>
        </w:rPr>
        <w:t xml:space="preserve">. Evaluating urban environmental quality using multi criteria decision making. Heliyon, 10(3). </w:t>
      </w:r>
      <w:hyperlink r:id="rId43" w:history="1">
        <w:r w:rsidRPr="00A5313C">
          <w:rPr>
            <w:rFonts w:eastAsia="Times New Roman" w:cs="Times New Roman"/>
            <w:color w:val="0000FF"/>
            <w:szCs w:val="22"/>
            <w:u w:val="single"/>
          </w:rPr>
          <w:t>https://doi.org/10.1016/j.heliyon.2024.e24921</w:t>
        </w:r>
      </w:hyperlink>
    </w:p>
    <w:p w:rsidR="00AE0165" w:rsidRPr="00A5313C" w:rsidRDefault="00AE0165" w:rsidP="002A6517">
      <w:pPr>
        <w:numPr>
          <w:ilvl w:val="0"/>
          <w:numId w:val="27"/>
        </w:numPr>
        <w:bidi w:val="0"/>
        <w:contextualSpacing/>
        <w:jc w:val="both"/>
        <w:rPr>
          <w:rFonts w:cs="Times New Roman"/>
          <w:color w:val="000000"/>
          <w:kern w:val="2"/>
          <w:szCs w:val="22"/>
          <w:rtl/>
          <w:lang w:bidi="ar-SA"/>
        </w:rPr>
      </w:pPr>
      <w:r w:rsidRPr="00A5313C">
        <w:rPr>
          <w:rFonts w:cs="Times New Roman"/>
          <w:color w:val="000000"/>
          <w:kern w:val="2"/>
          <w:szCs w:val="22"/>
          <w:lang w:bidi="ar-SA"/>
        </w:rPr>
        <w:t xml:space="preserve">Nayyeri, H., Ganjaeian, H., &amp; Amani, K. </w:t>
      </w:r>
      <w:r w:rsidR="003B02A7" w:rsidRPr="00A5313C">
        <w:rPr>
          <w:rFonts w:cs="Times New Roman"/>
          <w:color w:val="000000"/>
          <w:kern w:val="2"/>
          <w:szCs w:val="22"/>
          <w:lang w:bidi="ar-SA"/>
        </w:rPr>
        <w:t>(</w:t>
      </w:r>
      <w:r w:rsidRPr="00A5313C">
        <w:rPr>
          <w:rFonts w:cs="Times New Roman"/>
          <w:color w:val="000000"/>
          <w:kern w:val="2"/>
          <w:szCs w:val="22"/>
          <w:lang w:bidi="ar-SA"/>
        </w:rPr>
        <w:t>2018</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Evaluation of Environmental Indicator of Perimeters of the Land Suitability for the Development of the Sarvabad City by Combining Two Models of Network Analysis and Fuzzy Logic. </w:t>
      </w:r>
      <w:r w:rsidRPr="00A5313C">
        <w:rPr>
          <w:rFonts w:cs="Times New Roman"/>
          <w:i/>
          <w:iCs/>
          <w:color w:val="000000"/>
          <w:kern w:val="2"/>
          <w:szCs w:val="22"/>
          <w:lang w:bidi="ar-SA"/>
        </w:rPr>
        <w:t>Journal of Urban Social Geography</w:t>
      </w:r>
      <w:r w:rsidRPr="00A5313C">
        <w:rPr>
          <w:rFonts w:cs="Times New Roman"/>
          <w:color w:val="000000"/>
          <w:kern w:val="2"/>
          <w:szCs w:val="22"/>
          <w:lang w:bidi="ar-SA"/>
        </w:rPr>
        <w:t xml:space="preserve">, 5(1), 49-62. </w:t>
      </w:r>
      <w:hyperlink r:id="rId44" w:history="1">
        <w:r w:rsidRPr="00A5313C">
          <w:rPr>
            <w:rFonts w:eastAsia="Times New Roman" w:cs="Times New Roman"/>
            <w:color w:val="0000FF"/>
            <w:szCs w:val="22"/>
            <w:u w:val="single"/>
          </w:rPr>
          <w:t>https://doi.org/10.22103/JUSG.2018.1961</w:t>
        </w:r>
      </w:hyperlink>
      <w:r w:rsidRPr="00A5313C">
        <w:rPr>
          <w:rFonts w:cs="Times New Roman"/>
          <w:color w:val="000000"/>
          <w:kern w:val="2"/>
          <w:szCs w:val="22"/>
          <w:lang w:bidi="ar-SA"/>
        </w:rPr>
        <w:t xml:space="preserve"> [In Persian]</w:t>
      </w:r>
    </w:p>
    <w:p w:rsidR="00AE0165" w:rsidRPr="00A5313C" w:rsidRDefault="00AE0165" w:rsidP="002A6517">
      <w:pPr>
        <w:numPr>
          <w:ilvl w:val="0"/>
          <w:numId w:val="27"/>
        </w:numPr>
        <w:bidi w:val="0"/>
        <w:contextualSpacing/>
        <w:jc w:val="both"/>
        <w:rPr>
          <w:rFonts w:eastAsia="Times New Roman" w:cs="Times New Roman"/>
          <w:color w:val="000000"/>
          <w:kern w:val="2"/>
          <w:szCs w:val="22"/>
          <w:lang w:bidi="ar-SA"/>
        </w:rPr>
      </w:pPr>
      <w:r w:rsidRPr="00A5313C">
        <w:rPr>
          <w:rFonts w:eastAsia="Times New Roman" w:cs="Times New Roman"/>
          <w:color w:val="000000"/>
          <w:kern w:val="2"/>
          <w:szCs w:val="22"/>
          <w:lang w:bidi="ar-SA"/>
        </w:rPr>
        <w:t xml:space="preserve">Nayyeri, H., Salari, M., Ganjaeian, H., </w:t>
      </w:r>
      <w:r w:rsidR="003B02A7" w:rsidRPr="00A5313C">
        <w:rPr>
          <w:rFonts w:eastAsia="Times New Roman" w:cs="Times New Roman"/>
          <w:color w:val="000000"/>
          <w:kern w:val="2"/>
          <w:szCs w:val="22"/>
          <w:lang w:bidi="ar-SA"/>
        </w:rPr>
        <w:t xml:space="preserve">&amp; </w:t>
      </w:r>
      <w:r w:rsidRPr="00A5313C">
        <w:rPr>
          <w:rFonts w:eastAsia="Times New Roman" w:cs="Times New Roman"/>
          <w:color w:val="000000"/>
          <w:kern w:val="2"/>
          <w:szCs w:val="22"/>
          <w:lang w:bidi="ar-SA"/>
        </w:rPr>
        <w:t xml:space="preserve">Amani, K. </w:t>
      </w:r>
      <w:r w:rsidR="003B02A7" w:rsidRPr="00A5313C">
        <w:rPr>
          <w:rFonts w:eastAsia="Times New Roman" w:cs="Times New Roman"/>
          <w:color w:val="000000"/>
          <w:kern w:val="2"/>
          <w:szCs w:val="22"/>
          <w:lang w:bidi="ar-SA"/>
        </w:rPr>
        <w:t>(</w:t>
      </w:r>
      <w:r w:rsidRPr="00A5313C">
        <w:rPr>
          <w:rFonts w:eastAsia="Times New Roman" w:cs="Times New Roman"/>
          <w:color w:val="000000"/>
          <w:kern w:val="2"/>
          <w:szCs w:val="22"/>
          <w:lang w:bidi="ar-SA"/>
        </w:rPr>
        <w:t>2017</w:t>
      </w:r>
      <w:r w:rsidR="003B02A7" w:rsidRPr="00A5313C">
        <w:rPr>
          <w:rFonts w:eastAsia="Times New Roman" w:cs="Times New Roman"/>
          <w:color w:val="000000"/>
          <w:kern w:val="2"/>
          <w:szCs w:val="22"/>
          <w:lang w:bidi="ar-SA"/>
        </w:rPr>
        <w:t>)</w:t>
      </w:r>
      <w:r w:rsidRPr="00A5313C">
        <w:rPr>
          <w:rFonts w:eastAsia="Times New Roman" w:cs="Times New Roman"/>
          <w:color w:val="000000"/>
          <w:kern w:val="2"/>
          <w:szCs w:val="22"/>
          <w:lang w:bidi="ar-SA"/>
        </w:rPr>
        <w:t xml:space="preserve">. Geomorphological Assessment of Land Suitability for the Physical Expansion of Sanandaj City Applying Restricted Areas. </w:t>
      </w:r>
      <w:r w:rsidRPr="00A5313C">
        <w:rPr>
          <w:rFonts w:eastAsia="Times New Roman" w:cs="Times New Roman"/>
          <w:i/>
          <w:iCs/>
          <w:color w:val="000000"/>
          <w:kern w:val="2"/>
          <w:szCs w:val="22"/>
          <w:lang w:bidi="ar-SA"/>
        </w:rPr>
        <w:t>Geographical Urban Planning Research (GUPR),</w:t>
      </w:r>
      <w:r w:rsidRPr="00A5313C">
        <w:rPr>
          <w:rFonts w:eastAsia="Times New Roman" w:cs="Times New Roman"/>
          <w:color w:val="000000"/>
          <w:kern w:val="2"/>
          <w:szCs w:val="22"/>
          <w:lang w:bidi="ar-SA"/>
        </w:rPr>
        <w:t xml:space="preserve"> 5(1), 127-145. </w:t>
      </w:r>
      <w:hyperlink r:id="rId45" w:history="1">
        <w:r w:rsidRPr="00A5313C">
          <w:rPr>
            <w:rFonts w:eastAsia="Times New Roman" w:cs="Times New Roman"/>
            <w:color w:val="0000FF"/>
            <w:szCs w:val="22"/>
            <w:u w:val="single"/>
          </w:rPr>
          <w:t>https://doi.org/10.22059/jurbangeo.2017.6321</w:t>
        </w:r>
        <w:r w:rsidRPr="00A5313C">
          <w:rPr>
            <w:rFonts w:eastAsia="Times New Roman" w:cs="Times New Roman"/>
            <w:color w:val="000000"/>
            <w:kern w:val="2"/>
            <w:szCs w:val="22"/>
            <w:u w:val="single"/>
            <w:lang w:bidi="ar-SA"/>
          </w:rPr>
          <w:t>3</w:t>
        </w:r>
      </w:hyperlink>
      <w:r w:rsidRPr="00A5313C">
        <w:rPr>
          <w:rFonts w:eastAsia="Times New Roman" w:cs="Times New Roman"/>
          <w:color w:val="000000"/>
          <w:kern w:val="2"/>
          <w:szCs w:val="22"/>
          <w:lang w:bidi="ar-SA"/>
        </w:rPr>
        <w:t xml:space="preserve"> </w:t>
      </w:r>
      <w:r w:rsidRPr="00A5313C">
        <w:rPr>
          <w:rFonts w:cs="Times New Roman"/>
          <w:color w:val="000000"/>
          <w:kern w:val="2"/>
          <w:szCs w:val="22"/>
          <w:lang w:bidi="ar-SA"/>
        </w:rPr>
        <w:t>[In Persian]</w:t>
      </w:r>
    </w:p>
    <w:p w:rsidR="00AE0165" w:rsidRPr="00A5313C" w:rsidRDefault="00AE0165" w:rsidP="002A6517">
      <w:pPr>
        <w:widowControl w:val="0"/>
        <w:numPr>
          <w:ilvl w:val="0"/>
          <w:numId w:val="27"/>
        </w:numPr>
        <w:bidi w:val="0"/>
        <w:contextualSpacing/>
        <w:jc w:val="both"/>
        <w:rPr>
          <w:rFonts w:cs="Times New Roman"/>
          <w:color w:val="000000"/>
          <w:kern w:val="2"/>
          <w:szCs w:val="22"/>
          <w:rtl/>
          <w:lang w:bidi="ar-SA"/>
        </w:rPr>
      </w:pPr>
      <w:r w:rsidRPr="00A5313C">
        <w:rPr>
          <w:rFonts w:cs="Times New Roman"/>
          <w:color w:val="000000"/>
          <w:kern w:val="2"/>
          <w:szCs w:val="22"/>
          <w:lang w:bidi="ar-SA"/>
        </w:rPr>
        <w:t xml:space="preserve">Negahban, S., Ganjaeian, H., Ebrahimi, A. &amp; Emami, K. (2019). Monitoring and predicting the trend of changes in residential areas using multi-timed images (Case study: Songhor city). Journal of the Earth and Space Physics, 45(2), 343-354. </w:t>
      </w:r>
      <w:hyperlink r:id="rId46" w:history="1">
        <w:r w:rsidRPr="00A5313C">
          <w:rPr>
            <w:rFonts w:eastAsia="Times New Roman" w:cs="Times New Roman"/>
            <w:color w:val="0000FF"/>
            <w:szCs w:val="22"/>
            <w:u w:val="single"/>
          </w:rPr>
          <w:t>https://doi.org/10.22059/jesphys.2019.275076.1007084</w:t>
        </w:r>
      </w:hyperlink>
      <w:r w:rsidRPr="00A5313C">
        <w:rPr>
          <w:rFonts w:cs="Times New Roman"/>
          <w:color w:val="000000"/>
          <w:kern w:val="2"/>
          <w:szCs w:val="22"/>
          <w:lang w:bidi="ar-SA"/>
        </w:rPr>
        <w:t xml:space="preserve"> [In Persian]</w:t>
      </w:r>
    </w:p>
    <w:p w:rsidR="00AE0165" w:rsidRPr="00A5313C" w:rsidRDefault="00AE0165" w:rsidP="002A6517">
      <w:pPr>
        <w:numPr>
          <w:ilvl w:val="0"/>
          <w:numId w:val="27"/>
        </w:numPr>
        <w:bidi w:val="0"/>
        <w:contextualSpacing/>
        <w:jc w:val="both"/>
        <w:rPr>
          <w:rFonts w:cs="Times New Roman"/>
          <w:color w:val="000000"/>
          <w:kern w:val="2"/>
          <w:szCs w:val="22"/>
          <w:rtl/>
          <w:lang w:bidi="ar-SA"/>
        </w:rPr>
      </w:pPr>
      <w:r w:rsidRPr="00A5313C">
        <w:rPr>
          <w:rFonts w:cs="Times New Roman"/>
          <w:color w:val="000000"/>
          <w:kern w:val="2"/>
          <w:szCs w:val="22"/>
          <w:lang w:bidi="ar-SA"/>
        </w:rPr>
        <w:t>Negahban, S., Ganjaeian, H.,</w:t>
      </w:r>
      <w:r w:rsidR="003B02A7" w:rsidRPr="00A5313C">
        <w:rPr>
          <w:rFonts w:cs="Times New Roman"/>
          <w:color w:val="000000"/>
          <w:kern w:val="2"/>
          <w:szCs w:val="22"/>
          <w:lang w:bidi="ar-SA"/>
        </w:rPr>
        <w:t xml:space="preserve"> Ebrahimi, A., &amp; Gheysarian, S.</w:t>
      </w:r>
      <w:r w:rsidRPr="00A5313C">
        <w:rPr>
          <w:rFonts w:cs="Times New Roman"/>
          <w:color w:val="000000"/>
          <w:kern w:val="2"/>
          <w:szCs w:val="22"/>
          <w:lang w:bidi="ar-SA"/>
        </w:rPr>
        <w:t xml:space="preserve">S. (2025). Analysis of the Roles of Environmental Factors in the Occurrence of Floods Using the Google Earth Engine System (Case Study: West of Golestan Province). Geography and Environmental Planning, 35(4), 1-18. </w:t>
      </w:r>
      <w:hyperlink r:id="rId47" w:history="1">
        <w:r w:rsidRPr="00A5313C">
          <w:rPr>
            <w:rFonts w:eastAsia="Times New Roman" w:cs="Times New Roman"/>
            <w:color w:val="0000FF"/>
            <w:szCs w:val="22"/>
            <w:u w:val="single"/>
          </w:rPr>
          <w:t>https://doi.org/10.22108/gep.2024.142342.1659</w:t>
        </w:r>
      </w:hyperlink>
      <w:r w:rsidRPr="00A5313C">
        <w:rPr>
          <w:rFonts w:cs="Times New Roman"/>
          <w:color w:val="000000"/>
          <w:kern w:val="2"/>
          <w:szCs w:val="22"/>
          <w:lang w:bidi="ar-SA"/>
        </w:rPr>
        <w:t xml:space="preserve"> [In Persian]</w:t>
      </w:r>
    </w:p>
    <w:p w:rsidR="00AE0165" w:rsidRPr="00A5313C" w:rsidRDefault="00AE0165" w:rsidP="002A6517">
      <w:pPr>
        <w:numPr>
          <w:ilvl w:val="0"/>
          <w:numId w:val="27"/>
        </w:numPr>
        <w:bidi w:val="0"/>
        <w:ind w:right="-143"/>
        <w:contextualSpacing/>
        <w:jc w:val="both"/>
        <w:rPr>
          <w:rFonts w:cs="Times New Roman"/>
          <w:color w:val="000000"/>
          <w:kern w:val="2"/>
          <w:szCs w:val="22"/>
          <w:rtl/>
          <w:lang w:bidi="ar-SA"/>
        </w:rPr>
      </w:pPr>
      <w:r w:rsidRPr="00A5313C">
        <w:rPr>
          <w:rFonts w:cs="Times New Roman"/>
          <w:color w:val="000000"/>
          <w:kern w:val="2"/>
          <w:szCs w:val="22"/>
          <w:lang w:bidi="ar-SA"/>
        </w:rPr>
        <w:t xml:space="preserve">Negahban, S., Ganjaeiyan, H., Feraydooni Kordestani, M., &amp; Cheshmeh sefidi, Z. </w:t>
      </w:r>
      <w:r w:rsidR="003B02A7" w:rsidRPr="00A5313C">
        <w:rPr>
          <w:rFonts w:cs="Times New Roman"/>
          <w:color w:val="000000"/>
          <w:kern w:val="2"/>
          <w:szCs w:val="22"/>
          <w:lang w:bidi="ar-SA"/>
        </w:rPr>
        <w:t>(</w:t>
      </w:r>
      <w:r w:rsidRPr="00A5313C">
        <w:rPr>
          <w:rFonts w:cs="Times New Roman"/>
          <w:color w:val="000000"/>
          <w:kern w:val="2"/>
          <w:szCs w:val="22"/>
          <w:lang w:bidi="ar-SA"/>
        </w:rPr>
        <w:t>2019</w:t>
      </w:r>
      <w:r w:rsidR="003B02A7" w:rsidRPr="00A5313C">
        <w:rPr>
          <w:rFonts w:cs="Times New Roman"/>
          <w:color w:val="000000"/>
          <w:kern w:val="2"/>
          <w:szCs w:val="22"/>
          <w:lang w:bidi="ar-SA"/>
        </w:rPr>
        <w:t>)</w:t>
      </w:r>
      <w:r w:rsidRPr="00A5313C">
        <w:rPr>
          <w:rFonts w:cs="Times New Roman"/>
          <w:color w:val="000000"/>
          <w:kern w:val="2"/>
          <w:szCs w:val="22"/>
          <w:lang w:bidi="ar-SA"/>
        </w:rPr>
        <w:t>. Assessing the physical development of cities and extending to geomorphological prohibited areas Using LCM (Case Study: Sanandaj City). J</w:t>
      </w:r>
      <w:r w:rsidRPr="00A5313C">
        <w:rPr>
          <w:rFonts w:cs="Times New Roman"/>
          <w:i/>
          <w:iCs/>
          <w:color w:val="000000"/>
          <w:kern w:val="2"/>
          <w:szCs w:val="22"/>
          <w:lang w:bidi="ar-SA"/>
        </w:rPr>
        <w:t>ournal of Natural Environmental Hazards</w:t>
      </w:r>
      <w:r w:rsidRPr="00A5313C">
        <w:rPr>
          <w:rFonts w:cs="Times New Roman"/>
          <w:color w:val="000000"/>
          <w:kern w:val="2"/>
          <w:szCs w:val="22"/>
          <w:lang w:bidi="ar-SA"/>
        </w:rPr>
        <w:t xml:space="preserve">, 8(20), 39-52. </w:t>
      </w:r>
      <w:hyperlink r:id="rId48" w:history="1">
        <w:r w:rsidRPr="00A5313C">
          <w:rPr>
            <w:rFonts w:eastAsia="Times New Roman" w:cs="Times New Roman"/>
            <w:color w:val="0000FF"/>
            <w:szCs w:val="22"/>
            <w:u w:val="single"/>
          </w:rPr>
          <w:t>https://doi.org/10.22111/jneh.2018.21943.1317</w:t>
        </w:r>
      </w:hyperlink>
      <w:r w:rsidRPr="00A5313C">
        <w:rPr>
          <w:rFonts w:cs="Times New Roman"/>
          <w:color w:val="000000"/>
          <w:kern w:val="2"/>
          <w:szCs w:val="22"/>
          <w:lang w:bidi="ar-SA"/>
        </w:rPr>
        <w:t xml:space="preserve"> [In Persian]</w:t>
      </w:r>
    </w:p>
    <w:p w:rsidR="00AE0165" w:rsidRPr="00A5313C" w:rsidRDefault="00AE0165" w:rsidP="002A6517">
      <w:pPr>
        <w:numPr>
          <w:ilvl w:val="0"/>
          <w:numId w:val="27"/>
        </w:numPr>
        <w:bidi w:val="0"/>
        <w:ind w:right="-143"/>
        <w:contextualSpacing/>
        <w:jc w:val="both"/>
        <w:rPr>
          <w:rFonts w:cs="Times New Roman"/>
          <w:color w:val="000000"/>
          <w:kern w:val="2"/>
          <w:szCs w:val="22"/>
          <w:rtl/>
          <w:lang w:bidi="ar-SA"/>
        </w:rPr>
      </w:pPr>
      <w:r w:rsidRPr="00A5313C">
        <w:rPr>
          <w:rFonts w:cs="Times New Roman"/>
          <w:color w:val="000000"/>
          <w:kern w:val="2"/>
          <w:szCs w:val="22"/>
          <w:lang w:bidi="ar-SA"/>
        </w:rPr>
        <w:t xml:space="preserve">Negahban, S., Peysoozi, T., Ganjaeian, H., &amp; Norozi, M. </w:t>
      </w:r>
      <w:r w:rsidR="003B02A7" w:rsidRPr="00A5313C">
        <w:rPr>
          <w:rFonts w:cs="Times New Roman"/>
          <w:color w:val="000000"/>
          <w:kern w:val="2"/>
          <w:szCs w:val="22"/>
          <w:lang w:bidi="ar-SA"/>
        </w:rPr>
        <w:t>(</w:t>
      </w:r>
      <w:r w:rsidRPr="00A5313C">
        <w:rPr>
          <w:rFonts w:cs="Times New Roman"/>
          <w:color w:val="000000"/>
          <w:kern w:val="2"/>
          <w:szCs w:val="22"/>
          <w:lang w:bidi="ar-SA"/>
        </w:rPr>
        <w:t>2021</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Identify areas prone to landslide and vertical displacement using Radar images (Case study: Lavasan urban area and urban margin). </w:t>
      </w:r>
      <w:r w:rsidRPr="00A5313C">
        <w:rPr>
          <w:rFonts w:cs="Times New Roman"/>
          <w:i/>
          <w:iCs/>
          <w:color w:val="000000"/>
          <w:kern w:val="2"/>
          <w:szCs w:val="22"/>
          <w:lang w:bidi="ar-SA"/>
        </w:rPr>
        <w:t>Journal of Geography and Environmental Hazards</w:t>
      </w:r>
      <w:r w:rsidRPr="00A5313C">
        <w:rPr>
          <w:rFonts w:cs="Times New Roman"/>
          <w:color w:val="000000"/>
          <w:kern w:val="2"/>
          <w:szCs w:val="22"/>
          <w:lang w:bidi="ar-SA"/>
        </w:rPr>
        <w:t xml:space="preserve">, 10(3), 1-18. </w:t>
      </w:r>
      <w:hyperlink r:id="rId49" w:history="1">
        <w:r w:rsidRPr="00A5313C">
          <w:rPr>
            <w:rFonts w:eastAsia="Times New Roman" w:cs="Times New Roman"/>
            <w:color w:val="0000FF"/>
            <w:szCs w:val="22"/>
            <w:u w:val="single"/>
          </w:rPr>
          <w:t>https://doi.org/10.22067/geoeh.2021.71728.1094</w:t>
        </w:r>
      </w:hyperlink>
      <w:r w:rsidRPr="00A5313C">
        <w:rPr>
          <w:rFonts w:cs="Times New Roman"/>
          <w:color w:val="000000"/>
          <w:kern w:val="2"/>
          <w:szCs w:val="22"/>
          <w:lang w:bidi="ar-SA"/>
        </w:rPr>
        <w:t xml:space="preserve">  [In Persian]</w:t>
      </w:r>
      <w:hyperlink r:id="rId50" w:history="1"/>
    </w:p>
    <w:p w:rsidR="00AE0165" w:rsidRPr="00A5313C" w:rsidRDefault="00AE0165" w:rsidP="002A6517">
      <w:pPr>
        <w:numPr>
          <w:ilvl w:val="0"/>
          <w:numId w:val="27"/>
        </w:numPr>
        <w:bidi w:val="0"/>
        <w:ind w:right="140"/>
        <w:contextualSpacing/>
        <w:jc w:val="both"/>
        <w:rPr>
          <w:rFonts w:eastAsia="Times New Roman" w:cs="Times New Roman"/>
          <w:color w:val="0000FF"/>
          <w:szCs w:val="22"/>
          <w:u w:val="single"/>
        </w:rPr>
      </w:pPr>
      <w:r w:rsidRPr="00A5313C">
        <w:rPr>
          <w:rFonts w:cs="Times New Roman"/>
          <w:color w:val="000000"/>
          <w:kern w:val="2"/>
          <w:szCs w:val="22"/>
          <w:lang w:bidi="ar-SA"/>
        </w:rPr>
        <w:t>Ogato, G.S., Bantide</w:t>
      </w:r>
      <w:r w:rsidR="003B02A7" w:rsidRPr="00A5313C">
        <w:rPr>
          <w:rFonts w:cs="Times New Roman"/>
          <w:color w:val="000000"/>
          <w:kern w:val="2"/>
          <w:szCs w:val="22"/>
          <w:lang w:bidi="ar-SA"/>
        </w:rPr>
        <w:t>r, A., Abebe, K., &amp; Geneletti, D.</w:t>
      </w:r>
      <w:r w:rsidRPr="00A5313C">
        <w:rPr>
          <w:rFonts w:cs="Times New Roman"/>
          <w:color w:val="000000"/>
          <w:kern w:val="2"/>
          <w:szCs w:val="22"/>
          <w:lang w:bidi="ar-SA"/>
        </w:rPr>
        <w:t xml:space="preserve"> </w:t>
      </w:r>
      <w:r w:rsidR="003B02A7" w:rsidRPr="00A5313C">
        <w:rPr>
          <w:rFonts w:cs="Times New Roman"/>
          <w:color w:val="000000"/>
          <w:kern w:val="2"/>
          <w:szCs w:val="22"/>
          <w:lang w:bidi="ar-SA"/>
        </w:rPr>
        <w:t>(</w:t>
      </w:r>
      <w:r w:rsidRPr="00A5313C">
        <w:rPr>
          <w:rFonts w:cs="Times New Roman"/>
          <w:color w:val="000000"/>
          <w:kern w:val="2"/>
          <w:szCs w:val="22"/>
          <w:lang w:bidi="ar-SA"/>
        </w:rPr>
        <w:t>2020</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Geographic information system (GIS)-Based multicriteria analysis of flooding hazard and risk in Ambo Town and its watershed, West shoa zone, oromia regional State, Ethiopia. Journal of Hydrology: Regional Studies, 27. </w:t>
      </w:r>
      <w:hyperlink r:id="rId51" w:history="1">
        <w:r w:rsidRPr="00A5313C">
          <w:rPr>
            <w:rFonts w:eastAsia="Times New Roman" w:cs="Times New Roman"/>
            <w:color w:val="0000FF"/>
            <w:szCs w:val="22"/>
            <w:u w:val="single"/>
          </w:rPr>
          <w:t>https://doi.org/10.1016/j.ejrh.2019.100659</w:t>
        </w:r>
      </w:hyperlink>
    </w:p>
    <w:p w:rsidR="00AE0165" w:rsidRPr="00A5313C" w:rsidRDefault="003B02A7" w:rsidP="002A6517">
      <w:pPr>
        <w:widowControl w:val="0"/>
        <w:numPr>
          <w:ilvl w:val="0"/>
          <w:numId w:val="27"/>
        </w:numPr>
        <w:bidi w:val="0"/>
        <w:contextualSpacing/>
        <w:jc w:val="both"/>
        <w:rPr>
          <w:rFonts w:eastAsia="Times New Roman" w:cs="Times New Roman"/>
          <w:color w:val="0000FF"/>
          <w:szCs w:val="22"/>
          <w:u w:val="single"/>
        </w:rPr>
      </w:pPr>
      <w:r w:rsidRPr="00A5313C">
        <w:rPr>
          <w:rFonts w:cs="Times New Roman"/>
          <w:color w:val="000000"/>
          <w:kern w:val="2"/>
          <w:szCs w:val="22"/>
          <w:lang w:bidi="ar-SA"/>
        </w:rPr>
        <w:t>Osman, S.A., &amp; Das, j.</w:t>
      </w:r>
      <w:r w:rsidR="00AE0165" w:rsidRPr="00A5313C">
        <w:rPr>
          <w:rFonts w:cs="Times New Roman"/>
          <w:color w:val="000000"/>
          <w:kern w:val="2"/>
          <w:szCs w:val="22"/>
          <w:lang w:bidi="ar-SA"/>
        </w:rPr>
        <w:t xml:space="preserve"> </w:t>
      </w:r>
      <w:r w:rsidRPr="00A5313C">
        <w:rPr>
          <w:rFonts w:cs="Times New Roman"/>
          <w:color w:val="000000"/>
          <w:kern w:val="2"/>
          <w:szCs w:val="22"/>
          <w:lang w:bidi="ar-SA"/>
        </w:rPr>
        <w:t>(</w:t>
      </w:r>
      <w:r w:rsidR="00AE0165" w:rsidRPr="00A5313C">
        <w:rPr>
          <w:rFonts w:cs="Times New Roman"/>
          <w:color w:val="000000"/>
          <w:kern w:val="2"/>
          <w:szCs w:val="22"/>
          <w:lang w:bidi="ar-SA"/>
        </w:rPr>
        <w:t>2023</w:t>
      </w:r>
      <w:r w:rsidRPr="00A5313C">
        <w:rPr>
          <w:rFonts w:cs="Times New Roman"/>
          <w:color w:val="000000"/>
          <w:kern w:val="2"/>
          <w:szCs w:val="22"/>
          <w:lang w:bidi="ar-SA"/>
        </w:rPr>
        <w:t>)</w:t>
      </w:r>
      <w:r w:rsidR="00AE0165" w:rsidRPr="00A5313C">
        <w:rPr>
          <w:rFonts w:cs="Times New Roman"/>
          <w:color w:val="000000"/>
          <w:kern w:val="2"/>
          <w:szCs w:val="22"/>
          <w:lang w:bidi="ar-SA"/>
        </w:rPr>
        <w:t xml:space="preserve">. GIS-based flood risk assessment using multi-criteria decision analysis of Shebelle River Basin in southern Somalia.  </w:t>
      </w:r>
      <w:hyperlink r:id="rId52" w:history="1">
        <w:r w:rsidR="00AE0165" w:rsidRPr="00A5313C">
          <w:rPr>
            <w:rFonts w:cs="Times New Roman"/>
            <w:color w:val="000000"/>
            <w:kern w:val="2"/>
            <w:szCs w:val="22"/>
            <w:lang w:bidi="ar-SA"/>
          </w:rPr>
          <w:t>SN Applied Sciences</w:t>
        </w:r>
      </w:hyperlink>
      <w:r w:rsidR="00AE0165" w:rsidRPr="00A5313C">
        <w:rPr>
          <w:rFonts w:cs="Times New Roman"/>
          <w:color w:val="000000"/>
          <w:kern w:val="2"/>
          <w:szCs w:val="22"/>
          <w:lang w:bidi="ar-SA"/>
        </w:rPr>
        <w:t xml:space="preserve">, 5 (134). </w:t>
      </w:r>
      <w:hyperlink r:id="rId53" w:history="1">
        <w:r w:rsidR="00AE0165" w:rsidRPr="00A5313C">
          <w:rPr>
            <w:rFonts w:eastAsia="Times New Roman" w:cs="Times New Roman"/>
            <w:color w:val="0000FF"/>
            <w:szCs w:val="22"/>
            <w:u w:val="single"/>
          </w:rPr>
          <w:t>https://doi.org/</w:t>
        </w:r>
      </w:hyperlink>
      <w:r w:rsidR="00AE0165" w:rsidRPr="00A5313C">
        <w:rPr>
          <w:rFonts w:eastAsia="Times New Roman" w:cs="Times New Roman"/>
          <w:color w:val="0000FF"/>
          <w:szCs w:val="22"/>
          <w:u w:val="single"/>
        </w:rPr>
        <w:t>10.1007/s42452-023-05360-5</w:t>
      </w:r>
    </w:p>
    <w:p w:rsidR="00AE0165" w:rsidRPr="00A5313C" w:rsidRDefault="00AE0165" w:rsidP="002A6517">
      <w:pPr>
        <w:numPr>
          <w:ilvl w:val="0"/>
          <w:numId w:val="27"/>
        </w:numPr>
        <w:bidi w:val="0"/>
        <w:contextualSpacing/>
        <w:jc w:val="both"/>
        <w:rPr>
          <w:rFonts w:cs="Times New Roman"/>
          <w:color w:val="000000"/>
          <w:kern w:val="2"/>
          <w:szCs w:val="22"/>
          <w:lang w:bidi="ar-SA"/>
        </w:rPr>
      </w:pPr>
      <w:r w:rsidRPr="00A5313C">
        <w:rPr>
          <w:rFonts w:cs="Times New Roman"/>
          <w:color w:val="000000"/>
          <w:kern w:val="2"/>
          <w:szCs w:val="22"/>
          <w:lang w:bidi="ar-SA"/>
        </w:rPr>
        <w:t xml:space="preserve">Pérez-Molina, E., Pujol-Mesalles, R., Aguero-Valverde, J., </w:t>
      </w:r>
      <w:r w:rsidR="003B02A7" w:rsidRPr="00A5313C">
        <w:rPr>
          <w:rFonts w:cs="Times New Roman"/>
          <w:color w:val="000000"/>
          <w:kern w:val="2"/>
          <w:szCs w:val="22"/>
          <w:lang w:bidi="ar-SA"/>
        </w:rPr>
        <w:t xml:space="preserve">&amp; </w:t>
      </w:r>
      <w:r w:rsidRPr="00A5313C">
        <w:rPr>
          <w:rFonts w:cs="Times New Roman"/>
          <w:color w:val="000000"/>
          <w:kern w:val="2"/>
          <w:szCs w:val="22"/>
          <w:lang w:bidi="ar-SA"/>
        </w:rPr>
        <w:t xml:space="preserve">Zumbado-Morales, F. </w:t>
      </w:r>
      <w:r w:rsidR="003B02A7" w:rsidRPr="00A5313C">
        <w:rPr>
          <w:rFonts w:cs="Times New Roman"/>
          <w:color w:val="000000"/>
          <w:kern w:val="2"/>
          <w:szCs w:val="22"/>
          <w:lang w:bidi="ar-SA"/>
        </w:rPr>
        <w:t>(</w:t>
      </w:r>
      <w:r w:rsidRPr="00A5313C">
        <w:rPr>
          <w:rFonts w:cs="Times New Roman"/>
          <w:color w:val="000000"/>
          <w:kern w:val="2"/>
          <w:szCs w:val="22"/>
          <w:lang w:bidi="ar-SA"/>
        </w:rPr>
        <w:t>2025</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The influence of land use planning and exposure to flooding on urban growth in San José, Costa Rica. Land Use Policy, 118. </w:t>
      </w:r>
      <w:hyperlink r:id="rId54" w:history="1">
        <w:r w:rsidRPr="00A5313C">
          <w:rPr>
            <w:rFonts w:eastAsia="Times New Roman" w:cs="Times New Roman"/>
            <w:color w:val="0000FF"/>
            <w:szCs w:val="22"/>
            <w:u w:val="single"/>
          </w:rPr>
          <w:t>https://doi.org/10.1016/j.landusepol.2024.107407</w:t>
        </w:r>
      </w:hyperlink>
    </w:p>
    <w:p w:rsidR="00AE0165" w:rsidRPr="00A5313C" w:rsidRDefault="00AE0165" w:rsidP="002A6517">
      <w:pPr>
        <w:numPr>
          <w:ilvl w:val="0"/>
          <w:numId w:val="27"/>
        </w:numPr>
        <w:bidi w:val="0"/>
        <w:contextualSpacing/>
        <w:jc w:val="both"/>
        <w:rPr>
          <w:rFonts w:cs="Times New Roman"/>
          <w:color w:val="000000"/>
          <w:kern w:val="2"/>
          <w:szCs w:val="22"/>
          <w:u w:val="single"/>
          <w:lang w:bidi="ar-SA"/>
        </w:rPr>
      </w:pPr>
      <w:r w:rsidRPr="00A5313C">
        <w:rPr>
          <w:rFonts w:cs="Times New Roman"/>
          <w:color w:val="000000"/>
          <w:kern w:val="2"/>
          <w:szCs w:val="22"/>
          <w:lang w:bidi="ar-SA"/>
        </w:rPr>
        <w:lastRenderedPageBreak/>
        <w:t>Pinskwar,</w:t>
      </w:r>
      <w:r w:rsidR="003B02A7" w:rsidRPr="00A5313C">
        <w:rPr>
          <w:rFonts w:cs="Times New Roman"/>
          <w:color w:val="000000"/>
          <w:kern w:val="2"/>
          <w:szCs w:val="22"/>
          <w:lang w:bidi="ar-SA"/>
        </w:rPr>
        <w:t xml:space="preserve"> J., Choryński, A., &amp; Graczyk, D.</w:t>
      </w:r>
      <w:r w:rsidRPr="00A5313C">
        <w:rPr>
          <w:rFonts w:cs="Times New Roman"/>
          <w:color w:val="000000"/>
          <w:kern w:val="2"/>
          <w:szCs w:val="22"/>
          <w:lang w:bidi="ar-SA"/>
        </w:rPr>
        <w:t xml:space="preserve"> </w:t>
      </w:r>
      <w:r w:rsidR="003B02A7" w:rsidRPr="00A5313C">
        <w:rPr>
          <w:rFonts w:cs="Times New Roman"/>
          <w:color w:val="000000"/>
          <w:kern w:val="2"/>
          <w:szCs w:val="22"/>
          <w:lang w:bidi="ar-SA"/>
        </w:rPr>
        <w:t>(</w:t>
      </w:r>
      <w:r w:rsidRPr="00A5313C">
        <w:rPr>
          <w:rFonts w:cs="Times New Roman"/>
          <w:color w:val="000000"/>
          <w:kern w:val="2"/>
          <w:szCs w:val="22"/>
          <w:lang w:bidi="ar-SA"/>
        </w:rPr>
        <w:t>2023</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Risk of Flash Floods in Urban and Rural Municipalities Triggered by Intense Precipitation in Wielkopolska of Poland. </w:t>
      </w:r>
      <w:hyperlink r:id="rId55" w:history="1">
        <w:r w:rsidRPr="00A5313C">
          <w:rPr>
            <w:rFonts w:cs="Times New Roman"/>
            <w:color w:val="000000"/>
            <w:kern w:val="2"/>
            <w:szCs w:val="22"/>
            <w:lang w:bidi="ar-SA"/>
          </w:rPr>
          <w:t>International Journal of Disaster Risk Science</w:t>
        </w:r>
      </w:hyperlink>
      <w:r w:rsidRPr="00A5313C">
        <w:rPr>
          <w:rFonts w:cs="Times New Roman"/>
          <w:color w:val="000000"/>
          <w:kern w:val="2"/>
          <w:szCs w:val="22"/>
          <w:lang w:bidi="ar-SA"/>
        </w:rPr>
        <w:t xml:space="preserve">, 14: 440–457. </w:t>
      </w:r>
      <w:hyperlink r:id="rId56" w:history="1">
        <w:r w:rsidRPr="00A5313C">
          <w:rPr>
            <w:rFonts w:eastAsia="Times New Roman" w:cs="Times New Roman"/>
            <w:color w:val="0000FF"/>
            <w:szCs w:val="22"/>
            <w:u w:val="single"/>
          </w:rPr>
          <w:t>https://doi.org/10.1007/s13753-023-00493-y</w:t>
        </w:r>
      </w:hyperlink>
    </w:p>
    <w:p w:rsidR="00AE0165" w:rsidRPr="00A5313C" w:rsidRDefault="00AE0165" w:rsidP="002A6517">
      <w:pPr>
        <w:numPr>
          <w:ilvl w:val="0"/>
          <w:numId w:val="27"/>
        </w:numPr>
        <w:bidi w:val="0"/>
        <w:contextualSpacing/>
        <w:jc w:val="both"/>
        <w:rPr>
          <w:rFonts w:cs="Times New Roman"/>
          <w:color w:val="000000"/>
          <w:kern w:val="2"/>
          <w:szCs w:val="22"/>
          <w:lang w:bidi="ar-SA"/>
        </w:rPr>
      </w:pPr>
      <w:r w:rsidRPr="00A5313C">
        <w:rPr>
          <w:rFonts w:cs="Times New Roman"/>
          <w:color w:val="000000"/>
          <w:kern w:val="2"/>
          <w:szCs w:val="22"/>
          <w:lang w:bidi="ar-SA"/>
        </w:rPr>
        <w:t xml:space="preserve">Pireh, M., &amp; Ganjaeian, H. (2024). Analysis of landslides occurred in connection with environmental factors (Case study: Sanandaj County). Geography and Human Relationships, 7(3), 262-278. </w:t>
      </w:r>
      <w:hyperlink r:id="rId57" w:history="1">
        <w:r w:rsidRPr="00A5313C">
          <w:rPr>
            <w:rFonts w:eastAsia="Times New Roman" w:cs="Times New Roman"/>
            <w:color w:val="0000FF"/>
            <w:szCs w:val="22"/>
            <w:u w:val="single"/>
          </w:rPr>
          <w:t>https://doi.org/10.22034/gahr.2025.458065.2135</w:t>
        </w:r>
      </w:hyperlink>
      <w:r w:rsidRPr="00A5313C">
        <w:rPr>
          <w:rFonts w:cs="Times New Roman"/>
          <w:color w:val="000000"/>
          <w:kern w:val="2"/>
          <w:szCs w:val="22"/>
          <w:lang w:bidi="ar-SA"/>
        </w:rPr>
        <w:t xml:space="preserve"> [In Persian]</w:t>
      </w:r>
    </w:p>
    <w:p w:rsidR="00AE0165" w:rsidRPr="00A5313C" w:rsidRDefault="00AE0165" w:rsidP="002A6517">
      <w:pPr>
        <w:numPr>
          <w:ilvl w:val="0"/>
          <w:numId w:val="27"/>
        </w:numPr>
        <w:bidi w:val="0"/>
        <w:contextualSpacing/>
        <w:jc w:val="both"/>
        <w:rPr>
          <w:rFonts w:cs="Times New Roman"/>
          <w:color w:val="000000"/>
          <w:kern w:val="2"/>
          <w:szCs w:val="22"/>
          <w:lang w:bidi="ar-SA"/>
        </w:rPr>
      </w:pPr>
      <w:r w:rsidRPr="00A5313C">
        <w:rPr>
          <w:rFonts w:cs="Times New Roman"/>
          <w:color w:val="000000"/>
          <w:kern w:val="2"/>
          <w:szCs w:val="22"/>
          <w:lang w:bidi="ar-SA"/>
        </w:rPr>
        <w:t xml:space="preserve">Qi, S., Hu, S., </w:t>
      </w:r>
      <w:r w:rsidR="003B02A7" w:rsidRPr="00A5313C">
        <w:rPr>
          <w:rFonts w:cs="Times New Roman"/>
          <w:color w:val="000000"/>
          <w:kern w:val="2"/>
          <w:szCs w:val="22"/>
          <w:lang w:bidi="ar-SA"/>
        </w:rPr>
        <w:t xml:space="preserve">&amp; </w:t>
      </w:r>
      <w:r w:rsidRPr="00A5313C">
        <w:rPr>
          <w:rFonts w:cs="Times New Roman"/>
          <w:color w:val="000000"/>
          <w:kern w:val="2"/>
          <w:szCs w:val="22"/>
          <w:lang w:bidi="ar-SA"/>
        </w:rPr>
        <w:t xml:space="preserve">Cao, S. </w:t>
      </w:r>
      <w:r w:rsidR="003B02A7" w:rsidRPr="00A5313C">
        <w:rPr>
          <w:rFonts w:cs="Times New Roman"/>
          <w:color w:val="000000"/>
          <w:kern w:val="2"/>
          <w:szCs w:val="22"/>
          <w:lang w:bidi="ar-SA"/>
        </w:rPr>
        <w:t>(</w:t>
      </w:r>
      <w:r w:rsidRPr="00A5313C">
        <w:rPr>
          <w:rFonts w:cs="Times New Roman"/>
          <w:color w:val="000000"/>
          <w:kern w:val="2"/>
          <w:szCs w:val="22"/>
          <w:lang w:bidi="ar-SA"/>
        </w:rPr>
        <w:t>2024</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Spatial and temporal changes of social vulnerability of cities to natural hazards in Zhejiang province, China. Heliyon, 10(6). </w:t>
      </w:r>
      <w:hyperlink r:id="rId58" w:history="1">
        <w:r w:rsidRPr="00A5313C">
          <w:rPr>
            <w:rFonts w:eastAsia="Times New Roman" w:cs="Times New Roman"/>
            <w:color w:val="0000FF"/>
            <w:szCs w:val="22"/>
            <w:u w:val="single"/>
          </w:rPr>
          <w:t>https://doi.org/10.1016/j.heliyon.2024.e27120</w:t>
        </w:r>
      </w:hyperlink>
    </w:p>
    <w:p w:rsidR="00AE0165" w:rsidRPr="00A5313C" w:rsidRDefault="00AE0165" w:rsidP="002A6517">
      <w:pPr>
        <w:numPr>
          <w:ilvl w:val="0"/>
          <w:numId w:val="27"/>
        </w:numPr>
        <w:bidi w:val="0"/>
        <w:contextualSpacing/>
        <w:jc w:val="both"/>
        <w:rPr>
          <w:rFonts w:cs="Times New Roman"/>
          <w:color w:val="000000"/>
          <w:kern w:val="2"/>
          <w:szCs w:val="22"/>
          <w:lang w:bidi="ar-SA"/>
        </w:rPr>
      </w:pPr>
      <w:r w:rsidRPr="00A5313C">
        <w:rPr>
          <w:rFonts w:cs="Times New Roman"/>
          <w:color w:val="000000"/>
          <w:kern w:val="2"/>
          <w:szCs w:val="22"/>
          <w:lang w:bidi="ar-SA"/>
        </w:rPr>
        <w:t xml:space="preserve">Rahman Shah, M.A., Van Dau, Q., </w:t>
      </w:r>
      <w:r w:rsidR="003B02A7" w:rsidRPr="00A5313C">
        <w:rPr>
          <w:rFonts w:cs="Times New Roman"/>
          <w:color w:val="000000"/>
          <w:kern w:val="2"/>
          <w:szCs w:val="22"/>
          <w:lang w:bidi="ar-SA"/>
        </w:rPr>
        <w:t xml:space="preserve">&amp; </w:t>
      </w:r>
      <w:r w:rsidRPr="00A5313C">
        <w:rPr>
          <w:rFonts w:cs="Times New Roman"/>
          <w:color w:val="000000"/>
          <w:kern w:val="2"/>
          <w:szCs w:val="22"/>
          <w:lang w:bidi="ar-SA"/>
        </w:rPr>
        <w:t xml:space="preserve">Wang, X. </w:t>
      </w:r>
      <w:r w:rsidR="003B02A7" w:rsidRPr="00A5313C">
        <w:rPr>
          <w:rFonts w:cs="Times New Roman"/>
          <w:color w:val="000000"/>
          <w:kern w:val="2"/>
          <w:szCs w:val="22"/>
          <w:lang w:bidi="ar-SA"/>
        </w:rPr>
        <w:t>(</w:t>
      </w:r>
      <w:r w:rsidRPr="00A5313C">
        <w:rPr>
          <w:rFonts w:cs="Times New Roman"/>
          <w:color w:val="000000"/>
          <w:kern w:val="2"/>
          <w:szCs w:val="22"/>
          <w:lang w:bidi="ar-SA"/>
        </w:rPr>
        <w:t>2025</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Social-ecological vulnerability and risk to coastal flooding and erosion in major coastal cities. International Journal of Disaster Risk Reduction, 118. </w:t>
      </w:r>
      <w:hyperlink r:id="rId59" w:history="1">
        <w:r w:rsidRPr="00A5313C">
          <w:rPr>
            <w:rFonts w:eastAsia="Times New Roman" w:cs="Times New Roman"/>
            <w:color w:val="0000FF"/>
            <w:szCs w:val="22"/>
            <w:u w:val="single"/>
          </w:rPr>
          <w:t>https://doi.org/10.1016/j.ijdrr.2025.105286</w:t>
        </w:r>
      </w:hyperlink>
    </w:p>
    <w:p w:rsidR="00AE0165" w:rsidRPr="00A5313C" w:rsidRDefault="00AE0165" w:rsidP="002A6517">
      <w:pPr>
        <w:numPr>
          <w:ilvl w:val="0"/>
          <w:numId w:val="27"/>
        </w:numPr>
        <w:bidi w:val="0"/>
        <w:contextualSpacing/>
        <w:jc w:val="both"/>
        <w:rPr>
          <w:rFonts w:cs="Times New Roman"/>
          <w:color w:val="000000"/>
          <w:kern w:val="2"/>
          <w:szCs w:val="22"/>
          <w:lang w:bidi="ar-SA"/>
        </w:rPr>
      </w:pPr>
      <w:r w:rsidRPr="00A5313C">
        <w:rPr>
          <w:rFonts w:cs="Times New Roman"/>
          <w:color w:val="000000"/>
          <w:kern w:val="2"/>
          <w:szCs w:val="22"/>
          <w:lang w:bidi="ar-SA"/>
        </w:rPr>
        <w:t>Ramadan, M.S.,</w:t>
      </w:r>
      <w:r w:rsidR="003B02A7" w:rsidRPr="00A5313C">
        <w:rPr>
          <w:rFonts w:cs="Times New Roman"/>
          <w:color w:val="000000"/>
          <w:kern w:val="2"/>
          <w:szCs w:val="22"/>
          <w:lang w:bidi="ar-SA"/>
        </w:rPr>
        <w:t xml:space="preserve"> &amp;</w:t>
      </w:r>
      <w:r w:rsidRPr="00A5313C">
        <w:rPr>
          <w:rFonts w:cs="Times New Roman"/>
          <w:color w:val="000000"/>
          <w:kern w:val="2"/>
          <w:szCs w:val="22"/>
          <w:lang w:bidi="ar-SA"/>
        </w:rPr>
        <w:t xml:space="preserve"> </w:t>
      </w:r>
      <w:r w:rsidR="003B02A7" w:rsidRPr="00A5313C">
        <w:rPr>
          <w:rFonts w:cs="Times New Roman"/>
          <w:color w:val="000000"/>
          <w:kern w:val="2"/>
          <w:szCs w:val="22"/>
          <w:lang w:bidi="ar-SA"/>
        </w:rPr>
        <w:t>Effat, H.A.</w:t>
      </w:r>
      <w:r w:rsidRPr="00A5313C">
        <w:rPr>
          <w:rFonts w:cs="Times New Roman"/>
          <w:color w:val="000000"/>
          <w:kern w:val="2"/>
          <w:szCs w:val="22"/>
          <w:lang w:bidi="ar-SA"/>
        </w:rPr>
        <w:t xml:space="preserve"> </w:t>
      </w:r>
      <w:r w:rsidR="003B02A7" w:rsidRPr="00A5313C">
        <w:rPr>
          <w:rFonts w:cs="Times New Roman"/>
          <w:color w:val="000000"/>
          <w:kern w:val="2"/>
          <w:szCs w:val="22"/>
          <w:lang w:bidi="ar-SA"/>
        </w:rPr>
        <w:t>(</w:t>
      </w:r>
      <w:r w:rsidRPr="00A5313C">
        <w:rPr>
          <w:rFonts w:cs="Times New Roman"/>
          <w:color w:val="000000"/>
          <w:kern w:val="2"/>
          <w:szCs w:val="22"/>
          <w:lang w:bidi="ar-SA"/>
        </w:rPr>
        <w:t>2021</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Geospatial modeling for a sustainable urban development zoning map using AHP in Ismailia Governorate, Egyp. The Egyptian Journal of Remote Sensing and Space Science, 24 (2), 191-202. </w:t>
      </w:r>
      <w:hyperlink r:id="rId60" w:history="1">
        <w:r w:rsidRPr="00A5313C">
          <w:rPr>
            <w:rFonts w:eastAsia="Times New Roman" w:cs="Times New Roman"/>
            <w:color w:val="0000FF"/>
            <w:szCs w:val="22"/>
            <w:u w:val="single"/>
          </w:rPr>
          <w:t>https://doi.org/10.1016/j.ejrs.2021.01.003</w:t>
        </w:r>
      </w:hyperlink>
    </w:p>
    <w:p w:rsidR="00AE0165" w:rsidRPr="00A5313C" w:rsidRDefault="00AE0165" w:rsidP="002A6517">
      <w:pPr>
        <w:numPr>
          <w:ilvl w:val="0"/>
          <w:numId w:val="27"/>
        </w:numPr>
        <w:bidi w:val="0"/>
        <w:ind w:right="140"/>
        <w:contextualSpacing/>
        <w:jc w:val="both"/>
        <w:rPr>
          <w:rFonts w:cs="Times New Roman"/>
          <w:color w:val="000000"/>
          <w:kern w:val="2"/>
          <w:szCs w:val="22"/>
          <w:lang w:bidi="ar-SA"/>
        </w:rPr>
      </w:pPr>
      <w:r w:rsidRPr="00A5313C">
        <w:rPr>
          <w:rFonts w:cs="Times New Roman"/>
          <w:color w:val="000000"/>
          <w:kern w:val="2"/>
          <w:szCs w:val="22"/>
          <w:lang w:bidi="ar-SA"/>
        </w:rPr>
        <w:t xml:space="preserve">Safari Namivandi, M., Ganjaeian, H., Ebrahimi, A., &amp; Ebadinezhad, S. (2023). Evaluation of desertification risk potential using DVI model (Case study: northern regions of Semnan province). Journal of Arid Regions Geographic Studies, 14(53), 17-1. </w:t>
      </w:r>
      <w:hyperlink r:id="rId61" w:history="1">
        <w:r w:rsidRPr="00A5313C">
          <w:rPr>
            <w:rFonts w:eastAsia="Times New Roman" w:cs="Times New Roman"/>
            <w:color w:val="0000FF"/>
            <w:szCs w:val="22"/>
            <w:u w:val="single"/>
          </w:rPr>
          <w:t>https://doi.org/10.22034/jargs.2023.397791.1032</w:t>
        </w:r>
      </w:hyperlink>
      <w:r w:rsidRPr="00A5313C">
        <w:rPr>
          <w:rFonts w:cs="Times New Roman"/>
          <w:color w:val="000000"/>
          <w:kern w:val="2"/>
          <w:szCs w:val="22"/>
          <w:lang w:bidi="ar-SA"/>
        </w:rPr>
        <w:t xml:space="preserve"> [In Persian]</w:t>
      </w:r>
    </w:p>
    <w:p w:rsidR="00AE0165" w:rsidRPr="00A5313C" w:rsidRDefault="00AE0165" w:rsidP="002A6517">
      <w:pPr>
        <w:numPr>
          <w:ilvl w:val="0"/>
          <w:numId w:val="27"/>
        </w:numPr>
        <w:bidi w:val="0"/>
        <w:contextualSpacing/>
        <w:jc w:val="both"/>
        <w:rPr>
          <w:rFonts w:cs="Times New Roman"/>
          <w:color w:val="000000"/>
          <w:kern w:val="2"/>
          <w:szCs w:val="22"/>
          <w:lang w:bidi="ar-SA"/>
        </w:rPr>
      </w:pPr>
      <w:r w:rsidRPr="00A5313C">
        <w:rPr>
          <w:rFonts w:cs="Times New Roman"/>
          <w:color w:val="000000"/>
          <w:kern w:val="2"/>
          <w:szCs w:val="22"/>
          <w:lang w:bidi="ar-SA"/>
        </w:rPr>
        <w:t xml:space="preserve">Safari namivandi, M., Ganjaeian, H., Nosrati, M., &amp; Mohammadian, K. (2024). Identification of flooded areas and analysis of factors influencing its occurrence (Case study: Southeast of Sistan and Baluchestan province). Quantitative Geomorphological Research, 13(2), 181-194. </w:t>
      </w:r>
      <w:hyperlink r:id="rId62" w:history="1">
        <w:r w:rsidRPr="00A5313C">
          <w:rPr>
            <w:rFonts w:eastAsia="Times New Roman" w:cs="Times New Roman"/>
            <w:color w:val="0000FF"/>
            <w:szCs w:val="22"/>
            <w:u w:val="single"/>
          </w:rPr>
          <w:t>https://doi.org/10.22034/gmpj.2024.449586.1494</w:t>
        </w:r>
      </w:hyperlink>
      <w:r w:rsidRPr="00A5313C">
        <w:rPr>
          <w:rFonts w:cs="Times New Roman"/>
          <w:color w:val="000000"/>
          <w:kern w:val="2"/>
          <w:szCs w:val="22"/>
          <w:lang w:bidi="ar-SA"/>
        </w:rPr>
        <w:t xml:space="preserve"> [In Persian]</w:t>
      </w:r>
    </w:p>
    <w:p w:rsidR="00AE0165" w:rsidRPr="00A5313C" w:rsidRDefault="00AE0165" w:rsidP="002A6517">
      <w:pPr>
        <w:numPr>
          <w:ilvl w:val="0"/>
          <w:numId w:val="27"/>
        </w:numPr>
        <w:bidi w:val="0"/>
        <w:ind w:right="-143"/>
        <w:contextualSpacing/>
        <w:jc w:val="both"/>
        <w:rPr>
          <w:rFonts w:cs="Times New Roman"/>
          <w:color w:val="000000"/>
          <w:kern w:val="2"/>
          <w:szCs w:val="22"/>
          <w:lang w:bidi="ar-SA"/>
        </w:rPr>
      </w:pPr>
      <w:r w:rsidRPr="00A5313C">
        <w:rPr>
          <w:rFonts w:eastAsia="Times New Roman" w:cs="Times New Roman"/>
          <w:color w:val="000000"/>
          <w:kern w:val="2"/>
          <w:szCs w:val="22"/>
          <w:lang w:bidi="ar-SA"/>
        </w:rPr>
        <w:t xml:space="preserve">Salari, M., Nayeri, H., Amani, K. &amp; Ganjaiean, H. </w:t>
      </w:r>
      <w:r w:rsidR="003B02A7" w:rsidRPr="00A5313C">
        <w:rPr>
          <w:rFonts w:eastAsia="Times New Roman" w:cs="Times New Roman"/>
          <w:color w:val="000000"/>
          <w:kern w:val="2"/>
          <w:szCs w:val="22"/>
          <w:lang w:bidi="ar-SA"/>
        </w:rPr>
        <w:t>(</w:t>
      </w:r>
      <w:r w:rsidRPr="00A5313C">
        <w:rPr>
          <w:rFonts w:eastAsia="Times New Roman" w:cs="Times New Roman"/>
          <w:color w:val="000000"/>
          <w:kern w:val="2"/>
          <w:szCs w:val="22"/>
          <w:lang w:bidi="ar-SA"/>
        </w:rPr>
        <w:t>2017</w:t>
      </w:r>
      <w:r w:rsidR="003B02A7" w:rsidRPr="00A5313C">
        <w:rPr>
          <w:rFonts w:eastAsia="Times New Roman" w:cs="Times New Roman"/>
          <w:color w:val="000000"/>
          <w:kern w:val="2"/>
          <w:szCs w:val="22"/>
          <w:lang w:bidi="ar-SA"/>
        </w:rPr>
        <w:t>)</w:t>
      </w:r>
      <w:r w:rsidRPr="00A5313C">
        <w:rPr>
          <w:rFonts w:eastAsia="Times New Roman" w:cs="Times New Roman"/>
          <w:color w:val="000000"/>
          <w:kern w:val="2"/>
          <w:szCs w:val="22"/>
          <w:lang w:bidi="ar-SA"/>
        </w:rPr>
        <w:t xml:space="preserve">. Locating Suitable Directions for Kamyaran Urban Development through a Hazardology Approach based on the Application of Geomorphologically Restricted Areas. </w:t>
      </w:r>
      <w:r w:rsidRPr="00A5313C">
        <w:rPr>
          <w:rFonts w:eastAsia="Times New Roman" w:cs="Times New Roman"/>
          <w:i/>
          <w:iCs/>
          <w:color w:val="000000"/>
          <w:kern w:val="2"/>
          <w:szCs w:val="22"/>
          <w:lang w:bidi="ar-SA"/>
        </w:rPr>
        <w:t>Environmental Management Hazards</w:t>
      </w:r>
      <w:r w:rsidRPr="00A5313C">
        <w:rPr>
          <w:rFonts w:eastAsia="Times New Roman" w:cs="Times New Roman"/>
          <w:color w:val="000000"/>
          <w:kern w:val="2"/>
          <w:szCs w:val="22"/>
          <w:lang w:bidi="ar-SA"/>
        </w:rPr>
        <w:t xml:space="preserve">, 4(4), 419-436. </w:t>
      </w:r>
      <w:hyperlink r:id="rId63" w:history="1">
        <w:r w:rsidRPr="00A5313C">
          <w:rPr>
            <w:rFonts w:eastAsia="Times New Roman" w:cs="Times New Roman"/>
            <w:color w:val="0000FF"/>
            <w:szCs w:val="22"/>
            <w:u w:val="single"/>
          </w:rPr>
          <w:t>https://doi.org/10.22059/jhsci.2018.252694.341</w:t>
        </w:r>
      </w:hyperlink>
      <w:r w:rsidRPr="00A5313C">
        <w:rPr>
          <w:rFonts w:cs="Times New Roman"/>
          <w:color w:val="000000"/>
          <w:kern w:val="2"/>
          <w:szCs w:val="22"/>
          <w:lang w:bidi="ar-SA"/>
        </w:rPr>
        <w:t xml:space="preserve"> [In Persian]</w:t>
      </w:r>
    </w:p>
    <w:p w:rsidR="00AE0165" w:rsidRPr="00A5313C" w:rsidRDefault="00AE0165" w:rsidP="002A6517">
      <w:pPr>
        <w:numPr>
          <w:ilvl w:val="0"/>
          <w:numId w:val="27"/>
        </w:numPr>
        <w:bidi w:val="0"/>
        <w:ind w:right="-143"/>
        <w:contextualSpacing/>
        <w:jc w:val="both"/>
        <w:rPr>
          <w:rFonts w:cs="Times New Roman"/>
          <w:color w:val="000000"/>
          <w:kern w:val="2"/>
          <w:szCs w:val="22"/>
          <w:lang w:bidi="ar-SA"/>
        </w:rPr>
      </w:pPr>
      <w:r w:rsidRPr="00A5313C">
        <w:rPr>
          <w:rFonts w:eastAsia="Times New Roman" w:cs="Times New Roman"/>
          <w:color w:val="000000"/>
          <w:kern w:val="2"/>
          <w:szCs w:val="22"/>
          <w:lang w:bidi="ar-SA"/>
        </w:rPr>
        <w:t xml:space="preserve">Salari, M., Nayyeri, H., Ganjaeian, H., </w:t>
      </w:r>
      <w:r w:rsidR="003B02A7" w:rsidRPr="00A5313C">
        <w:rPr>
          <w:rFonts w:eastAsia="Times New Roman" w:cs="Times New Roman"/>
          <w:color w:val="000000"/>
          <w:kern w:val="2"/>
          <w:szCs w:val="22"/>
          <w:lang w:bidi="ar-SA"/>
        </w:rPr>
        <w:t xml:space="preserve">&amp; </w:t>
      </w:r>
      <w:r w:rsidRPr="00A5313C">
        <w:rPr>
          <w:rFonts w:eastAsia="Times New Roman" w:cs="Times New Roman"/>
          <w:color w:val="000000"/>
          <w:kern w:val="2"/>
          <w:szCs w:val="22"/>
          <w:lang w:bidi="ar-SA"/>
        </w:rPr>
        <w:t xml:space="preserve">Amani, K. </w:t>
      </w:r>
      <w:r w:rsidR="003B02A7" w:rsidRPr="00A5313C">
        <w:rPr>
          <w:rFonts w:eastAsia="Times New Roman" w:cs="Times New Roman"/>
          <w:color w:val="000000"/>
          <w:kern w:val="2"/>
          <w:szCs w:val="22"/>
          <w:lang w:bidi="ar-SA"/>
        </w:rPr>
        <w:t>(</w:t>
      </w:r>
      <w:r w:rsidRPr="00A5313C">
        <w:rPr>
          <w:rFonts w:eastAsia="Times New Roman" w:cs="Times New Roman"/>
          <w:color w:val="000000"/>
          <w:kern w:val="2"/>
          <w:szCs w:val="22"/>
          <w:lang w:bidi="ar-SA"/>
        </w:rPr>
        <w:t>2020</w:t>
      </w:r>
      <w:r w:rsidR="003B02A7" w:rsidRPr="00A5313C">
        <w:rPr>
          <w:rFonts w:eastAsia="Times New Roman" w:cs="Times New Roman"/>
          <w:color w:val="000000"/>
          <w:kern w:val="2"/>
          <w:szCs w:val="22"/>
          <w:lang w:bidi="ar-SA"/>
        </w:rPr>
        <w:t>)</w:t>
      </w:r>
      <w:r w:rsidRPr="00A5313C">
        <w:rPr>
          <w:rFonts w:eastAsia="Times New Roman" w:cs="Times New Roman"/>
          <w:color w:val="000000"/>
          <w:kern w:val="2"/>
          <w:szCs w:val="22"/>
          <w:lang w:bidi="ar-SA"/>
        </w:rPr>
        <w:t xml:space="preserve">. Assessment and Prediction of the process of expansion of residential areas with Geomorphological Approach and Environmental Management (Case Study: Paveh City). </w:t>
      </w:r>
      <w:r w:rsidRPr="00A5313C">
        <w:rPr>
          <w:rFonts w:eastAsia="Times New Roman" w:cs="Times New Roman"/>
          <w:i/>
          <w:iCs/>
          <w:color w:val="000000"/>
          <w:kern w:val="2"/>
          <w:szCs w:val="22"/>
          <w:lang w:bidi="ar-SA"/>
        </w:rPr>
        <w:t>Quantitative Geomorphological Research</w:t>
      </w:r>
      <w:r w:rsidRPr="00A5313C">
        <w:rPr>
          <w:rFonts w:eastAsia="Times New Roman" w:cs="Times New Roman"/>
          <w:color w:val="000000"/>
          <w:kern w:val="2"/>
          <w:szCs w:val="22"/>
          <w:lang w:bidi="ar-SA"/>
        </w:rPr>
        <w:t xml:space="preserve">, 9(1), 86-101. </w:t>
      </w:r>
      <w:hyperlink r:id="rId64" w:history="1">
        <w:r w:rsidRPr="00A5313C">
          <w:rPr>
            <w:rFonts w:eastAsia="Times New Roman" w:cs="Times New Roman"/>
            <w:color w:val="0000FF"/>
            <w:szCs w:val="22"/>
            <w:u w:val="single"/>
          </w:rPr>
          <w:t>https://doi.org/10.22034/gmpj.2020.109536</w:t>
        </w:r>
      </w:hyperlink>
      <w:r w:rsidRPr="00A5313C">
        <w:rPr>
          <w:rFonts w:cs="Times New Roman"/>
          <w:color w:val="000000"/>
          <w:kern w:val="2"/>
          <w:szCs w:val="22"/>
          <w:lang w:bidi="ar-SA"/>
        </w:rPr>
        <w:t xml:space="preserve"> [In Persian]</w:t>
      </w:r>
    </w:p>
    <w:p w:rsidR="00AE0165" w:rsidRPr="00A5313C" w:rsidRDefault="00AE0165" w:rsidP="002A6517">
      <w:pPr>
        <w:numPr>
          <w:ilvl w:val="0"/>
          <w:numId w:val="27"/>
        </w:numPr>
        <w:bidi w:val="0"/>
        <w:contextualSpacing/>
        <w:jc w:val="both"/>
        <w:rPr>
          <w:rFonts w:eastAsia="Times New Roman" w:cs="Times New Roman"/>
          <w:color w:val="000000"/>
          <w:kern w:val="2"/>
          <w:szCs w:val="22"/>
          <w:lang w:bidi="ar-SA"/>
        </w:rPr>
      </w:pPr>
      <w:r w:rsidRPr="00A5313C">
        <w:rPr>
          <w:rFonts w:eastAsia="Times New Roman" w:cs="Times New Roman"/>
          <w:color w:val="000000"/>
          <w:kern w:val="2"/>
          <w:szCs w:val="22"/>
          <w:lang w:bidi="ar-SA"/>
        </w:rPr>
        <w:t>Shi, K., Liu, G., Zhou,</w:t>
      </w:r>
      <w:r w:rsidR="003B02A7" w:rsidRPr="00A5313C">
        <w:rPr>
          <w:rFonts w:eastAsia="Times New Roman" w:cs="Times New Roman"/>
          <w:color w:val="000000"/>
          <w:kern w:val="2"/>
          <w:szCs w:val="22"/>
          <w:lang w:bidi="ar-SA"/>
        </w:rPr>
        <w:t xml:space="preserve"> L., Cui, Y., Liu, S., &amp; Wu, Y.</w:t>
      </w:r>
      <w:r w:rsidRPr="00A5313C">
        <w:rPr>
          <w:rFonts w:eastAsia="Times New Roman" w:cs="Times New Roman"/>
          <w:color w:val="000000"/>
          <w:kern w:val="2"/>
          <w:szCs w:val="22"/>
          <w:lang w:bidi="ar-SA"/>
        </w:rPr>
        <w:t xml:space="preserve"> </w:t>
      </w:r>
      <w:r w:rsidR="003B02A7" w:rsidRPr="00A5313C">
        <w:rPr>
          <w:rFonts w:eastAsia="Times New Roman" w:cs="Times New Roman"/>
          <w:color w:val="000000"/>
          <w:kern w:val="2"/>
          <w:szCs w:val="22"/>
          <w:lang w:bidi="ar-SA"/>
        </w:rPr>
        <w:t>(</w:t>
      </w:r>
      <w:r w:rsidRPr="00A5313C">
        <w:rPr>
          <w:rFonts w:eastAsia="Times New Roman" w:cs="Times New Roman"/>
          <w:color w:val="000000"/>
          <w:kern w:val="2"/>
          <w:szCs w:val="22"/>
          <w:lang w:bidi="ar-SA"/>
        </w:rPr>
        <w:t>2023</w:t>
      </w:r>
      <w:r w:rsidR="003B02A7" w:rsidRPr="00A5313C">
        <w:rPr>
          <w:rFonts w:eastAsia="Times New Roman" w:cs="Times New Roman"/>
          <w:color w:val="000000"/>
          <w:kern w:val="2"/>
          <w:szCs w:val="22"/>
          <w:lang w:bidi="ar-SA"/>
        </w:rPr>
        <w:t>)</w:t>
      </w:r>
      <w:r w:rsidRPr="00A5313C">
        <w:rPr>
          <w:rFonts w:eastAsia="Times New Roman" w:cs="Times New Roman"/>
          <w:color w:val="000000"/>
          <w:kern w:val="2"/>
          <w:szCs w:val="22"/>
          <w:lang w:bidi="ar-SA"/>
        </w:rPr>
        <w:t xml:space="preserve">. Satellite remote sensing data reveal increased slope climbing of urban land expansion worldwide. Landscape and Urban Planning, 235. </w:t>
      </w:r>
      <w:hyperlink r:id="rId65" w:history="1">
        <w:r w:rsidRPr="00A5313C">
          <w:rPr>
            <w:rFonts w:eastAsia="Times New Roman" w:cs="Times New Roman"/>
            <w:color w:val="0000FF"/>
            <w:szCs w:val="22"/>
            <w:u w:val="single"/>
          </w:rPr>
          <w:t>https://doi.org/10.1016/j.landurbplan.2023.104755</w:t>
        </w:r>
      </w:hyperlink>
    </w:p>
    <w:p w:rsidR="00AE0165" w:rsidRPr="00A5313C" w:rsidRDefault="00AE0165" w:rsidP="002A6517">
      <w:pPr>
        <w:numPr>
          <w:ilvl w:val="0"/>
          <w:numId w:val="27"/>
        </w:numPr>
        <w:bidi w:val="0"/>
        <w:contextualSpacing/>
        <w:jc w:val="both"/>
        <w:rPr>
          <w:rFonts w:eastAsia="Times New Roman" w:cs="Times New Roman"/>
          <w:color w:val="000000"/>
          <w:kern w:val="2"/>
          <w:szCs w:val="22"/>
          <w:lang w:bidi="ar-SA"/>
        </w:rPr>
      </w:pPr>
      <w:r w:rsidRPr="00A5313C">
        <w:rPr>
          <w:rFonts w:cs="Times New Roman"/>
          <w:color w:val="000000"/>
          <w:kern w:val="2"/>
          <w:szCs w:val="22"/>
          <w:lang w:bidi="ar-SA"/>
        </w:rPr>
        <w:t xml:space="preserve">Shi, K., Yu, B., Ma, J., Cao, W., &amp; Cui, Y. </w:t>
      </w:r>
      <w:r w:rsidR="003B02A7" w:rsidRPr="00A5313C">
        <w:rPr>
          <w:rFonts w:cs="Times New Roman"/>
          <w:color w:val="000000"/>
          <w:kern w:val="2"/>
          <w:szCs w:val="22"/>
          <w:lang w:bidi="ar-SA"/>
        </w:rPr>
        <w:t>(</w:t>
      </w:r>
      <w:r w:rsidRPr="00A5313C">
        <w:rPr>
          <w:rFonts w:cs="Times New Roman"/>
          <w:color w:val="000000"/>
          <w:kern w:val="2"/>
          <w:szCs w:val="22"/>
          <w:lang w:bidi="ar-SA"/>
        </w:rPr>
        <w:t>2023</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Impacts of slope climbing of urban expansion on global sustainable development. The Innovation, 4(6). </w:t>
      </w:r>
      <w:hyperlink r:id="rId66" w:history="1">
        <w:r w:rsidRPr="00A5313C">
          <w:rPr>
            <w:rFonts w:eastAsia="Times New Roman" w:cs="Times New Roman"/>
            <w:color w:val="0000FF"/>
            <w:szCs w:val="22"/>
            <w:u w:val="single"/>
          </w:rPr>
          <w:t>https://doi.org/10.1016/j.xinn.2023.100529</w:t>
        </w:r>
      </w:hyperlink>
    </w:p>
    <w:p w:rsidR="00AE0165" w:rsidRPr="00A5313C" w:rsidRDefault="00AE0165" w:rsidP="003B02A7">
      <w:pPr>
        <w:numPr>
          <w:ilvl w:val="0"/>
          <w:numId w:val="27"/>
        </w:numPr>
        <w:bidi w:val="0"/>
        <w:jc w:val="both"/>
        <w:rPr>
          <w:rFonts w:cs="Times New Roman"/>
          <w:color w:val="000000"/>
          <w:kern w:val="2"/>
          <w:szCs w:val="22"/>
          <w:lang w:bidi="ar-SA"/>
        </w:rPr>
      </w:pPr>
      <w:r w:rsidRPr="00A5313C">
        <w:rPr>
          <w:rFonts w:cs="Times New Roman"/>
          <w:color w:val="000000"/>
          <w:kern w:val="2"/>
          <w:szCs w:val="22"/>
          <w:lang w:bidi="ar-SA"/>
        </w:rPr>
        <w:t xml:space="preserve">Shooshtarian, M.R., Dehghani, M., Margherita, F., Gea, O.C., </w:t>
      </w:r>
      <w:r w:rsidR="003B02A7" w:rsidRPr="00A5313C">
        <w:rPr>
          <w:rFonts w:cs="Times New Roman"/>
          <w:color w:val="000000"/>
          <w:kern w:val="2"/>
          <w:szCs w:val="22"/>
          <w:lang w:bidi="ar-SA"/>
        </w:rPr>
        <w:t xml:space="preserve">&amp; </w:t>
      </w:r>
      <w:r w:rsidRPr="00A5313C">
        <w:rPr>
          <w:rFonts w:cs="Times New Roman"/>
          <w:color w:val="000000"/>
          <w:kern w:val="2"/>
          <w:szCs w:val="22"/>
          <w:lang w:bidi="ar-SA"/>
        </w:rPr>
        <w:t xml:space="preserve">Mortezazadeh, S. </w:t>
      </w:r>
      <w:r w:rsidR="003B02A7" w:rsidRPr="00A5313C">
        <w:rPr>
          <w:rFonts w:cs="Times New Roman"/>
          <w:color w:val="000000"/>
          <w:kern w:val="2"/>
          <w:szCs w:val="22"/>
          <w:lang w:bidi="ar-SA"/>
        </w:rPr>
        <w:t>(</w:t>
      </w:r>
      <w:r w:rsidRPr="00A5313C">
        <w:rPr>
          <w:rFonts w:cs="Times New Roman"/>
          <w:color w:val="000000"/>
          <w:kern w:val="2"/>
          <w:szCs w:val="22"/>
          <w:lang w:bidi="ar-SA"/>
        </w:rPr>
        <w:t>2018</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Land use change and conversion effects on ground water quality trends: An integration of land change modeler in GIS and a new Ground Water Quality Index developed by fuzzy multi-criteria group decision-making models. Food and Chemical Toxicology, 114, 204-214. </w:t>
      </w:r>
      <w:hyperlink r:id="rId67" w:history="1">
        <w:r w:rsidRPr="00A5313C">
          <w:rPr>
            <w:rFonts w:eastAsia="Times New Roman" w:cs="Times New Roman"/>
            <w:color w:val="0000FF"/>
            <w:szCs w:val="22"/>
            <w:u w:val="single"/>
          </w:rPr>
          <w:t>https://doi.org/10.1016/j.fct.2018.02.025</w:t>
        </w:r>
      </w:hyperlink>
    </w:p>
    <w:p w:rsidR="00AE0165" w:rsidRPr="00A5313C" w:rsidRDefault="00AE0165" w:rsidP="002A6517">
      <w:pPr>
        <w:numPr>
          <w:ilvl w:val="0"/>
          <w:numId w:val="27"/>
        </w:numPr>
        <w:bidi w:val="0"/>
        <w:contextualSpacing/>
        <w:jc w:val="both"/>
        <w:rPr>
          <w:rFonts w:eastAsia="Times New Roman" w:cs="Times New Roman"/>
          <w:color w:val="000000"/>
          <w:kern w:val="2"/>
          <w:szCs w:val="22"/>
          <w:lang w:bidi="ar-SA"/>
        </w:rPr>
      </w:pPr>
      <w:r w:rsidRPr="00A5313C">
        <w:rPr>
          <w:rFonts w:eastAsia="Times New Roman" w:cs="Times New Roman"/>
          <w:color w:val="000000"/>
          <w:kern w:val="2"/>
          <w:szCs w:val="22"/>
          <w:lang w:bidi="ar-SA"/>
        </w:rPr>
        <w:t xml:space="preserve">Song, X., Chen, </w:t>
      </w:r>
      <w:r w:rsidR="003B02A7" w:rsidRPr="00A5313C">
        <w:rPr>
          <w:rFonts w:eastAsia="Times New Roman" w:cs="Times New Roman"/>
          <w:color w:val="000000"/>
          <w:kern w:val="2"/>
          <w:szCs w:val="22"/>
          <w:lang w:bidi="ar-SA"/>
        </w:rPr>
        <w:t>F., Sun, Y., Ma, J., &amp; Yang, Y.</w:t>
      </w:r>
      <w:r w:rsidRPr="00A5313C">
        <w:rPr>
          <w:rFonts w:eastAsia="Times New Roman" w:cs="Times New Roman"/>
          <w:color w:val="000000"/>
          <w:kern w:val="2"/>
          <w:szCs w:val="22"/>
          <w:lang w:bidi="ar-SA"/>
        </w:rPr>
        <w:t xml:space="preserve"> </w:t>
      </w:r>
      <w:r w:rsidR="003B02A7" w:rsidRPr="00A5313C">
        <w:rPr>
          <w:rFonts w:eastAsia="Times New Roman" w:cs="Times New Roman"/>
          <w:color w:val="000000"/>
          <w:kern w:val="2"/>
          <w:szCs w:val="22"/>
          <w:lang w:bidi="ar-SA"/>
        </w:rPr>
        <w:t>(</w:t>
      </w:r>
      <w:r w:rsidRPr="00A5313C">
        <w:rPr>
          <w:rFonts w:eastAsia="Times New Roman" w:cs="Times New Roman"/>
          <w:color w:val="000000"/>
          <w:kern w:val="2"/>
          <w:szCs w:val="22"/>
          <w:lang w:bidi="ar-SA"/>
        </w:rPr>
        <w:t>2024</w:t>
      </w:r>
      <w:r w:rsidR="003B02A7" w:rsidRPr="00A5313C">
        <w:rPr>
          <w:rFonts w:eastAsia="Times New Roman" w:cs="Times New Roman"/>
          <w:color w:val="000000"/>
          <w:kern w:val="2"/>
          <w:szCs w:val="22"/>
          <w:lang w:bidi="ar-SA"/>
        </w:rPr>
        <w:t>)</w:t>
      </w:r>
      <w:r w:rsidRPr="00A5313C">
        <w:rPr>
          <w:rFonts w:eastAsia="Times New Roman" w:cs="Times New Roman"/>
          <w:color w:val="000000"/>
          <w:kern w:val="2"/>
          <w:szCs w:val="22"/>
          <w:lang w:bidi="ar-SA"/>
        </w:rPr>
        <w:t xml:space="preserve">. Effects of land utilization transformation on ecosystem services in urban agglomeration on the northern slope of the Tianshan Mountains, China. Ecological Indicators, 162. </w:t>
      </w:r>
      <w:hyperlink r:id="rId68" w:history="1">
        <w:r w:rsidRPr="00A5313C">
          <w:rPr>
            <w:rFonts w:eastAsia="Times New Roman" w:cs="Times New Roman"/>
            <w:color w:val="0000FF"/>
            <w:szCs w:val="22"/>
            <w:u w:val="single"/>
          </w:rPr>
          <w:t>https://doi.org/10.1016/j.ecolind.2024.112046</w:t>
        </w:r>
      </w:hyperlink>
    </w:p>
    <w:p w:rsidR="00AE0165" w:rsidRPr="00A5313C" w:rsidRDefault="00AE0165" w:rsidP="002A6517">
      <w:pPr>
        <w:numPr>
          <w:ilvl w:val="0"/>
          <w:numId w:val="27"/>
        </w:numPr>
        <w:bidi w:val="0"/>
        <w:contextualSpacing/>
        <w:jc w:val="both"/>
        <w:rPr>
          <w:rFonts w:cs="Times New Roman"/>
          <w:color w:val="000000"/>
          <w:kern w:val="2"/>
          <w:szCs w:val="22"/>
          <w:lang w:bidi="ar-SA"/>
        </w:rPr>
      </w:pPr>
      <w:r w:rsidRPr="00A5313C">
        <w:rPr>
          <w:rFonts w:cs="Times New Roman"/>
          <w:color w:val="000000"/>
          <w:kern w:val="2"/>
          <w:szCs w:val="22"/>
          <w:lang w:bidi="ar-SA"/>
        </w:rPr>
        <w:t>Su, M</w:t>
      </w:r>
      <w:r w:rsidR="003B02A7" w:rsidRPr="00A5313C">
        <w:rPr>
          <w:rFonts w:cs="Times New Roman"/>
          <w:color w:val="000000"/>
          <w:kern w:val="2"/>
          <w:szCs w:val="22"/>
          <w:lang w:bidi="ar-SA"/>
        </w:rPr>
        <w:t>., Zou, W., Zhao, B., &amp; Fan, W.</w:t>
      </w:r>
      <w:r w:rsidRPr="00A5313C">
        <w:rPr>
          <w:rFonts w:cs="Times New Roman"/>
          <w:color w:val="000000"/>
          <w:kern w:val="2"/>
          <w:szCs w:val="22"/>
          <w:lang w:bidi="ar-SA"/>
        </w:rPr>
        <w:t xml:space="preserve"> </w:t>
      </w:r>
      <w:r w:rsidR="003B02A7" w:rsidRPr="00A5313C">
        <w:rPr>
          <w:rFonts w:cs="Times New Roman"/>
          <w:color w:val="000000"/>
          <w:kern w:val="2"/>
          <w:szCs w:val="22"/>
          <w:lang w:bidi="ar-SA"/>
        </w:rPr>
        <w:t>(</w:t>
      </w:r>
      <w:r w:rsidRPr="00A5313C">
        <w:rPr>
          <w:rFonts w:cs="Times New Roman"/>
          <w:color w:val="000000"/>
          <w:kern w:val="2"/>
          <w:szCs w:val="22"/>
          <w:lang w:bidi="ar-SA"/>
        </w:rPr>
        <w:t>2025</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The impact of high-speed railways on urban spatial evolution: A case study of China's coastal areas. Applied Geography, 175. </w:t>
      </w:r>
      <w:hyperlink r:id="rId69" w:history="1">
        <w:r w:rsidRPr="00A5313C">
          <w:rPr>
            <w:rFonts w:eastAsia="Times New Roman" w:cs="Times New Roman"/>
            <w:color w:val="0000FF"/>
            <w:szCs w:val="22"/>
            <w:u w:val="single"/>
          </w:rPr>
          <w:t>https://doi.org/10.1016/j.apgeog.2024.103504</w:t>
        </w:r>
      </w:hyperlink>
    </w:p>
    <w:p w:rsidR="00AE0165" w:rsidRPr="00A5313C" w:rsidRDefault="00AE0165" w:rsidP="002A6517">
      <w:pPr>
        <w:numPr>
          <w:ilvl w:val="0"/>
          <w:numId w:val="27"/>
        </w:numPr>
        <w:bidi w:val="0"/>
        <w:contextualSpacing/>
        <w:jc w:val="both"/>
        <w:rPr>
          <w:rFonts w:eastAsia="Times New Roman" w:cs="Times New Roman"/>
          <w:color w:val="000000"/>
          <w:kern w:val="2"/>
          <w:szCs w:val="22"/>
          <w:lang w:bidi="ar-SA"/>
        </w:rPr>
      </w:pPr>
      <w:r w:rsidRPr="00A5313C">
        <w:rPr>
          <w:rFonts w:cs="Times New Roman"/>
          <w:color w:val="000000"/>
          <w:kern w:val="2"/>
          <w:szCs w:val="22"/>
          <w:lang w:bidi="ar-SA"/>
        </w:rPr>
        <w:t xml:space="preserve">Ugenti, A., Mevoli, F.A., Lucia, D., Lollino, P., &amp; Fazio, M.N. </w:t>
      </w:r>
      <w:r w:rsidR="003B02A7" w:rsidRPr="00A5313C">
        <w:rPr>
          <w:rFonts w:cs="Times New Roman"/>
          <w:color w:val="000000"/>
          <w:kern w:val="2"/>
          <w:szCs w:val="22"/>
          <w:lang w:bidi="ar-SA"/>
        </w:rPr>
        <w:t>(</w:t>
      </w:r>
      <w:r w:rsidRPr="00A5313C">
        <w:rPr>
          <w:rFonts w:cs="Times New Roman"/>
          <w:color w:val="000000"/>
          <w:kern w:val="2"/>
          <w:szCs w:val="22"/>
          <w:lang w:bidi="ar-SA"/>
        </w:rPr>
        <w:t>2025</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Moving beyond single slope quantitative analysis: A 3D slope stability assessment at urban scale. Engineering Geology, 344. </w:t>
      </w:r>
      <w:hyperlink r:id="rId70" w:history="1">
        <w:r w:rsidRPr="00A5313C">
          <w:rPr>
            <w:rFonts w:eastAsia="Times New Roman" w:cs="Times New Roman"/>
            <w:color w:val="0000FF"/>
            <w:szCs w:val="22"/>
            <w:u w:val="single"/>
          </w:rPr>
          <w:t>https://doi.org/10.1016/j.enggeo.2024.107841</w:t>
        </w:r>
      </w:hyperlink>
    </w:p>
    <w:p w:rsidR="00AE0165" w:rsidRPr="00A5313C" w:rsidRDefault="00AE0165" w:rsidP="002A6517">
      <w:pPr>
        <w:numPr>
          <w:ilvl w:val="0"/>
          <w:numId w:val="27"/>
        </w:numPr>
        <w:bidi w:val="0"/>
        <w:contextualSpacing/>
        <w:jc w:val="both"/>
        <w:rPr>
          <w:rFonts w:cs="Times New Roman"/>
          <w:color w:val="000000"/>
          <w:kern w:val="2"/>
          <w:szCs w:val="22"/>
          <w:lang w:bidi="ar-SA"/>
        </w:rPr>
      </w:pPr>
      <w:r w:rsidRPr="00A5313C">
        <w:rPr>
          <w:rFonts w:cs="Times New Roman"/>
          <w:color w:val="000000"/>
          <w:kern w:val="2"/>
          <w:szCs w:val="22"/>
          <w:lang w:bidi="ar-SA"/>
        </w:rPr>
        <w:lastRenderedPageBreak/>
        <w:t>Xu, J., Chen, J., Zhao, Q., Shi, J., She, S.</w:t>
      </w:r>
      <w:r w:rsidR="00AE44EC" w:rsidRPr="00A5313C">
        <w:rPr>
          <w:rFonts w:cs="Times New Roman"/>
          <w:color w:val="000000"/>
          <w:kern w:val="2"/>
          <w:szCs w:val="22"/>
          <w:lang w:bidi="ar-SA"/>
        </w:rPr>
        <w:t>, &amp;</w:t>
      </w:r>
      <w:r w:rsidR="003B02A7" w:rsidRPr="00A5313C">
        <w:rPr>
          <w:rFonts w:cs="Times New Roman"/>
          <w:color w:val="000000"/>
          <w:kern w:val="2"/>
          <w:szCs w:val="22"/>
          <w:lang w:bidi="ar-SA"/>
        </w:rPr>
        <w:t xml:space="preserve"> Chen, H.</w:t>
      </w:r>
      <w:r w:rsidRPr="00A5313C">
        <w:rPr>
          <w:rFonts w:cs="Times New Roman"/>
          <w:color w:val="000000"/>
          <w:kern w:val="2"/>
          <w:szCs w:val="22"/>
          <w:lang w:bidi="ar-SA"/>
        </w:rPr>
        <w:t xml:space="preserve"> </w:t>
      </w:r>
      <w:r w:rsidR="003B02A7" w:rsidRPr="00A5313C">
        <w:rPr>
          <w:rFonts w:cs="Times New Roman"/>
          <w:color w:val="000000"/>
          <w:kern w:val="2"/>
          <w:szCs w:val="22"/>
          <w:lang w:bidi="ar-SA"/>
        </w:rPr>
        <w:t>(</w:t>
      </w:r>
      <w:r w:rsidRPr="00A5313C">
        <w:rPr>
          <w:rFonts w:cs="Times New Roman"/>
          <w:color w:val="000000"/>
          <w:kern w:val="2"/>
          <w:szCs w:val="22"/>
          <w:lang w:bidi="ar-SA"/>
        </w:rPr>
        <w:t>2025</w:t>
      </w:r>
      <w:r w:rsidR="003B02A7" w:rsidRPr="00A5313C">
        <w:rPr>
          <w:rFonts w:cs="Times New Roman"/>
          <w:color w:val="000000"/>
          <w:kern w:val="2"/>
          <w:szCs w:val="22"/>
          <w:lang w:bidi="ar-SA"/>
        </w:rPr>
        <w:t>)</w:t>
      </w:r>
      <w:r w:rsidRPr="00A5313C">
        <w:rPr>
          <w:rFonts w:cs="Times New Roman"/>
          <w:color w:val="000000"/>
          <w:kern w:val="2"/>
          <w:szCs w:val="22"/>
          <w:lang w:bidi="ar-SA"/>
        </w:rPr>
        <w:t xml:space="preserve">. The impact of port-city interaction on urban economic development: An empirical study based on coastal port cities in China, 159. </w:t>
      </w:r>
      <w:hyperlink r:id="rId71" w:history="1">
        <w:r w:rsidRPr="00A5313C">
          <w:rPr>
            <w:rFonts w:eastAsia="Times New Roman" w:cs="Times New Roman"/>
            <w:color w:val="0000FF"/>
            <w:szCs w:val="22"/>
            <w:u w:val="single"/>
          </w:rPr>
          <w:t>https://doi.org/10.1016/j.cities.2025.105770</w:t>
        </w:r>
      </w:hyperlink>
    </w:p>
    <w:p w:rsidR="00AE0165" w:rsidRPr="00A5313C" w:rsidRDefault="003B02A7" w:rsidP="002A6517">
      <w:pPr>
        <w:numPr>
          <w:ilvl w:val="0"/>
          <w:numId w:val="27"/>
        </w:numPr>
        <w:bidi w:val="0"/>
        <w:contextualSpacing/>
        <w:jc w:val="both"/>
        <w:rPr>
          <w:rFonts w:eastAsia="Times New Roman" w:cs="Times New Roman"/>
          <w:color w:val="0000FF"/>
          <w:szCs w:val="22"/>
          <w:u w:val="single"/>
        </w:rPr>
      </w:pPr>
      <w:r w:rsidRPr="00A5313C">
        <w:rPr>
          <w:rFonts w:eastAsia="Times New Roman" w:cs="Times New Roman"/>
          <w:color w:val="000000"/>
          <w:kern w:val="2"/>
          <w:szCs w:val="22"/>
          <w:lang w:bidi="ar-SA"/>
        </w:rPr>
        <w:t>Zhu, C., Fang, C., &amp; Zhang, L.</w:t>
      </w:r>
      <w:r w:rsidR="00AE0165" w:rsidRPr="00A5313C">
        <w:rPr>
          <w:rFonts w:eastAsia="Times New Roman" w:cs="Times New Roman"/>
          <w:color w:val="000000"/>
          <w:kern w:val="2"/>
          <w:szCs w:val="22"/>
          <w:lang w:bidi="ar-SA"/>
        </w:rPr>
        <w:t xml:space="preserve"> </w:t>
      </w:r>
      <w:r w:rsidRPr="00A5313C">
        <w:rPr>
          <w:rFonts w:eastAsia="Times New Roman" w:cs="Times New Roman"/>
          <w:color w:val="000000"/>
          <w:kern w:val="2"/>
          <w:szCs w:val="22"/>
          <w:lang w:bidi="ar-SA"/>
        </w:rPr>
        <w:t>(</w:t>
      </w:r>
      <w:r w:rsidR="00AE0165" w:rsidRPr="00A5313C">
        <w:rPr>
          <w:rFonts w:eastAsia="Times New Roman" w:cs="Times New Roman"/>
          <w:color w:val="000000"/>
          <w:kern w:val="2"/>
          <w:szCs w:val="22"/>
          <w:lang w:bidi="ar-SA"/>
        </w:rPr>
        <w:t>2023</w:t>
      </w:r>
      <w:r w:rsidRPr="00A5313C">
        <w:rPr>
          <w:rFonts w:eastAsia="Times New Roman" w:cs="Times New Roman"/>
          <w:color w:val="000000"/>
          <w:kern w:val="2"/>
          <w:szCs w:val="22"/>
          <w:lang w:bidi="ar-SA"/>
        </w:rPr>
        <w:t>)</w:t>
      </w:r>
      <w:r w:rsidR="00AE0165" w:rsidRPr="00A5313C">
        <w:rPr>
          <w:rFonts w:eastAsia="Times New Roman" w:cs="Times New Roman"/>
          <w:color w:val="000000"/>
          <w:kern w:val="2"/>
          <w:szCs w:val="22"/>
          <w:lang w:bidi="ar-SA"/>
        </w:rPr>
        <w:t xml:space="preserve">. Analysis of the coupling coordinated development of the Population–Water–Ecology–Economy system in urban agglomerations and obstacle factors discrimination: A case study of the Tianshan North Slope Urban Agglomeration, China. Sustainable Cities and Society, 90. </w:t>
      </w:r>
      <w:hyperlink r:id="rId72" w:history="1">
        <w:r w:rsidR="00AE0165" w:rsidRPr="00A5313C">
          <w:rPr>
            <w:rFonts w:eastAsia="Times New Roman" w:cs="Times New Roman"/>
            <w:color w:val="0000FF"/>
            <w:szCs w:val="22"/>
            <w:u w:val="single"/>
          </w:rPr>
          <w:t>https://doi.org/10.1016/j.scs.2022.104359</w:t>
        </w:r>
      </w:hyperlink>
    </w:p>
    <w:p w:rsidR="00AE44EC" w:rsidRPr="00A5313C" w:rsidRDefault="00AE44EC" w:rsidP="00AE44EC">
      <w:pPr>
        <w:numPr>
          <w:ilvl w:val="0"/>
          <w:numId w:val="27"/>
        </w:numPr>
        <w:bidi w:val="0"/>
        <w:ind w:right="-143"/>
        <w:contextualSpacing/>
        <w:jc w:val="both"/>
        <w:rPr>
          <w:rFonts w:cs="Times New Roman"/>
          <w:szCs w:val="22"/>
        </w:rPr>
      </w:pPr>
      <w:r w:rsidRPr="00A5313C">
        <w:rPr>
          <w:rFonts w:eastAsia="Times New Roman" w:cs="Times New Roman"/>
          <w:szCs w:val="22"/>
        </w:rPr>
        <w:t xml:space="preserve">Ganjaeian, H., Rezaei Arefi, M., Peysoozi, T., &amp; Emami, K. (2021). Zonning susceptible areas of landslide using WLC and OWA methods -A case study in Mountain cliff Khan, Iran. </w:t>
      </w:r>
      <w:r w:rsidRPr="00A5313C">
        <w:rPr>
          <w:rFonts w:eastAsia="Times New Roman" w:cs="Times New Roman"/>
          <w:i/>
          <w:iCs/>
          <w:szCs w:val="22"/>
        </w:rPr>
        <w:t>Sustainable Earth Trends</w:t>
      </w:r>
      <w:r w:rsidRPr="00A5313C">
        <w:rPr>
          <w:rFonts w:eastAsia="Times New Roman" w:cs="Times New Roman"/>
          <w:szCs w:val="22"/>
        </w:rPr>
        <w:t xml:space="preserve">, 1(2), 35-43. </w:t>
      </w:r>
      <w:hyperlink r:id="rId73" w:history="1">
        <w:r w:rsidRPr="00A5313C">
          <w:rPr>
            <w:rFonts w:eastAsia="Times New Roman" w:cs="Times New Roman"/>
            <w:color w:val="0000FF"/>
            <w:szCs w:val="22"/>
            <w:u w:val="single"/>
          </w:rPr>
          <w:t>https://doi.org/10.52547/sustainearth.1.2.43</w:t>
        </w:r>
      </w:hyperlink>
      <w:r w:rsidRPr="00A5313C">
        <w:rPr>
          <w:rFonts w:cs="Times New Roman"/>
          <w:szCs w:val="22"/>
        </w:rPr>
        <w:t xml:space="preserve"> </w:t>
      </w:r>
    </w:p>
    <w:p w:rsidR="00AE44EC" w:rsidRPr="00A5313C" w:rsidRDefault="00AE44EC" w:rsidP="00AE44EC">
      <w:pPr>
        <w:pStyle w:val="ListParagraph"/>
        <w:numPr>
          <w:ilvl w:val="0"/>
          <w:numId w:val="27"/>
        </w:numPr>
        <w:tabs>
          <w:tab w:val="left" w:pos="284"/>
          <w:tab w:val="left" w:pos="426"/>
        </w:tabs>
        <w:bidi w:val="0"/>
        <w:ind w:right="-143"/>
        <w:jc w:val="both"/>
        <w:rPr>
          <w:rFonts w:cs="Times New Roman"/>
          <w:szCs w:val="22"/>
        </w:rPr>
      </w:pPr>
      <w:r w:rsidRPr="00A5313C">
        <w:rPr>
          <w:rFonts w:cs="Times New Roman"/>
          <w:szCs w:val="22"/>
        </w:rPr>
        <w:t xml:space="preserve">Mostafa, S., Hatami, N., Espahbodi, K., &amp; Asadi, F. (2022). Fuzzy Analytic Hierarchy Process (FAHP) applied to evaluating the forest management approaches. </w:t>
      </w:r>
      <w:r w:rsidRPr="00A5313C">
        <w:rPr>
          <w:rFonts w:cs="Times New Roman"/>
          <w:i/>
          <w:iCs/>
          <w:szCs w:val="22"/>
        </w:rPr>
        <w:t>Journal of Forest Science,</w:t>
      </w:r>
      <w:r w:rsidRPr="00A5313C">
        <w:rPr>
          <w:rFonts w:cs="Times New Roman"/>
          <w:szCs w:val="22"/>
        </w:rPr>
        <w:t xml:space="preserve"> 68(7), 1-14. </w:t>
      </w:r>
      <w:hyperlink r:id="rId74" w:history="1">
        <w:r w:rsidRPr="00A5313C">
          <w:rPr>
            <w:rStyle w:val="Hyperlink"/>
            <w:rFonts w:cs="Times New Roman"/>
            <w:szCs w:val="22"/>
          </w:rPr>
          <w:t>http://dx.doi.org/10.17221/27/2022-JFS</w:t>
        </w:r>
      </w:hyperlink>
    </w:p>
    <w:p w:rsidR="00AE44EC" w:rsidRPr="00A5313C" w:rsidRDefault="00AE44EC" w:rsidP="00AE44EC">
      <w:pPr>
        <w:pStyle w:val="ListParagraph"/>
        <w:numPr>
          <w:ilvl w:val="0"/>
          <w:numId w:val="27"/>
        </w:numPr>
        <w:tabs>
          <w:tab w:val="left" w:pos="284"/>
          <w:tab w:val="left" w:pos="426"/>
        </w:tabs>
        <w:bidi w:val="0"/>
        <w:ind w:right="-143"/>
        <w:jc w:val="both"/>
        <w:rPr>
          <w:rFonts w:cs="Times New Roman"/>
          <w:szCs w:val="22"/>
        </w:rPr>
      </w:pPr>
      <w:r w:rsidRPr="00A5313C">
        <w:rPr>
          <w:rFonts w:cs="Times New Roman"/>
          <w:szCs w:val="22"/>
        </w:rPr>
        <w:t xml:space="preserve">Solaimani, K., Shokrian, F. &amp; Darvishi, S. (2023). An Assessment of the Integrated Multi-Criteria and New Models Efficiency in Watershed Flood Mapping. Water Resour Manage, 37, 403–425. </w:t>
      </w:r>
      <w:hyperlink r:id="rId75" w:history="1">
        <w:r w:rsidRPr="00A5313C">
          <w:rPr>
            <w:rStyle w:val="Hyperlink"/>
            <w:rFonts w:cs="Times New Roman"/>
            <w:szCs w:val="22"/>
          </w:rPr>
          <w:t>https://doi.org/10.1007/s11269-022-03380-1</w:t>
        </w:r>
      </w:hyperlink>
    </w:p>
    <w:p w:rsidR="00AE44EC" w:rsidRPr="00A5313C" w:rsidRDefault="00AE44EC" w:rsidP="00AE44EC">
      <w:pPr>
        <w:numPr>
          <w:ilvl w:val="0"/>
          <w:numId w:val="27"/>
        </w:numPr>
        <w:tabs>
          <w:tab w:val="left" w:pos="284"/>
          <w:tab w:val="left" w:pos="426"/>
        </w:tabs>
        <w:bidi w:val="0"/>
        <w:ind w:right="-143"/>
        <w:jc w:val="both"/>
        <w:rPr>
          <w:rFonts w:cs="Times New Roman"/>
          <w:szCs w:val="22"/>
        </w:rPr>
      </w:pPr>
      <w:r w:rsidRPr="00A5313C">
        <w:rPr>
          <w:rFonts w:cs="Times New Roman"/>
          <w:szCs w:val="22"/>
        </w:rPr>
        <w:t>T</w:t>
      </w:r>
      <w:r w:rsidR="003B02A7" w:rsidRPr="00A5313C">
        <w:rPr>
          <w:rFonts w:cs="Times New Roman"/>
          <w:szCs w:val="22"/>
        </w:rPr>
        <w:t>abesh, S.</w:t>
      </w:r>
      <w:r w:rsidRPr="00A5313C">
        <w:rPr>
          <w:rFonts w:cs="Times New Roman"/>
          <w:szCs w:val="22"/>
        </w:rPr>
        <w:t>, N</w:t>
      </w:r>
      <w:r w:rsidR="003B02A7" w:rsidRPr="00A5313C">
        <w:rPr>
          <w:rFonts w:cs="Times New Roman"/>
          <w:szCs w:val="22"/>
        </w:rPr>
        <w:t>oori khanyourdi, M.</w:t>
      </w:r>
      <w:r w:rsidRPr="00A5313C">
        <w:rPr>
          <w:rFonts w:cs="Times New Roman"/>
          <w:szCs w:val="22"/>
        </w:rPr>
        <w:t>, Dousti, M., &amp; Ganjaeian, H. (</w:t>
      </w:r>
      <w:r w:rsidRPr="00A5313C">
        <w:rPr>
          <w:rFonts w:cs="Times New Roman"/>
          <w:szCs w:val="22"/>
          <w:vertAlign w:val="subscript"/>
        </w:rPr>
        <w:softHyphen/>
      </w:r>
      <w:r w:rsidRPr="00A5313C">
        <w:rPr>
          <w:rFonts w:cs="Times New Roman"/>
          <w:szCs w:val="22"/>
        </w:rPr>
        <w:t xml:space="preserve">2020). Presenting the proposed model for the location of sports places using the integrated model of WLC and AHP. </w:t>
      </w:r>
      <w:r w:rsidRPr="00A5313C">
        <w:rPr>
          <w:rFonts w:cs="Times New Roman"/>
          <w:i/>
          <w:iCs/>
          <w:szCs w:val="22"/>
        </w:rPr>
        <w:t>Sport Management and Development,</w:t>
      </w:r>
      <w:r w:rsidRPr="00A5313C">
        <w:rPr>
          <w:rFonts w:cs="Times New Roman"/>
          <w:szCs w:val="22"/>
        </w:rPr>
        <w:t xml:space="preserve"> 9(1), 2-22. </w:t>
      </w:r>
      <w:hyperlink r:id="rId76" w:history="1">
        <w:r w:rsidRPr="00A5313C">
          <w:rPr>
            <w:rStyle w:val="Hyperlink"/>
            <w:rFonts w:cs="Times New Roman"/>
            <w:szCs w:val="22"/>
          </w:rPr>
          <w:t>https://doi.org/10.22124/jsmd.2020.4096</w:t>
        </w:r>
      </w:hyperlink>
    </w:p>
    <w:p w:rsidR="00AE44EC" w:rsidRPr="006B0B0C" w:rsidRDefault="00AE44EC" w:rsidP="00D6609D">
      <w:pPr>
        <w:bidi w:val="0"/>
        <w:ind w:left="720"/>
        <w:contextualSpacing/>
        <w:jc w:val="both"/>
        <w:rPr>
          <w:rFonts w:eastAsia="Times New Roman" w:cs="Times New Roman"/>
          <w:color w:val="000000"/>
          <w:kern w:val="2"/>
          <w:sz w:val="24"/>
          <w:lang w:bidi="ar-SA"/>
        </w:rPr>
      </w:pPr>
    </w:p>
    <w:p w:rsidR="00AE0165" w:rsidRPr="006B0B0C" w:rsidRDefault="00AE0165" w:rsidP="002A6517">
      <w:pPr>
        <w:bidi w:val="0"/>
        <w:ind w:right="-46"/>
        <w:jc w:val="both"/>
        <w:rPr>
          <w:rFonts w:cs="Times New Roman"/>
          <w:color w:val="000000"/>
          <w:kern w:val="2"/>
          <w:sz w:val="24"/>
          <w:lang w:bidi="ar-SA"/>
        </w:rPr>
      </w:pPr>
    </w:p>
    <w:p w:rsidR="00AE0165" w:rsidRPr="006B0B0C" w:rsidRDefault="00AE0165" w:rsidP="002A6517">
      <w:pPr>
        <w:bidi w:val="0"/>
        <w:ind w:right="-46"/>
        <w:jc w:val="both"/>
        <w:rPr>
          <w:rFonts w:cs="Times New Roman"/>
          <w:color w:val="000000"/>
          <w:kern w:val="2"/>
          <w:sz w:val="24"/>
          <w:lang w:bidi="ar-SA"/>
        </w:rPr>
      </w:pPr>
    </w:p>
    <w:p w:rsidR="00AE0165" w:rsidRPr="006B0B0C" w:rsidRDefault="00AE0165" w:rsidP="002A6517">
      <w:pPr>
        <w:bidi w:val="0"/>
        <w:ind w:right="-46"/>
        <w:jc w:val="both"/>
        <w:rPr>
          <w:rFonts w:cs="Times New Roman"/>
          <w:color w:val="000000"/>
          <w:kern w:val="2"/>
          <w:sz w:val="24"/>
          <w:lang w:bidi="ar-SA"/>
        </w:rPr>
      </w:pPr>
    </w:p>
    <w:p w:rsidR="00AE0165" w:rsidRPr="006B0B0C" w:rsidRDefault="00AE0165" w:rsidP="002A6517">
      <w:pPr>
        <w:bidi w:val="0"/>
        <w:jc w:val="center"/>
        <w:rPr>
          <w:rFonts w:cs="Times New Roman"/>
          <w:b/>
          <w:bCs/>
          <w:color w:val="000000"/>
          <w:kern w:val="2"/>
          <w:sz w:val="28"/>
          <w:szCs w:val="28"/>
          <w:lang w:bidi="ar-SA"/>
        </w:rPr>
      </w:pPr>
    </w:p>
    <w:sectPr w:rsidR="00AE0165" w:rsidRPr="006B0B0C" w:rsidSect="00296404">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1906" w:h="16838"/>
      <w:pgMar w:top="1701" w:right="1418" w:bottom="1701" w:left="1418"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5A57" w:rsidRDefault="00D25A57" w:rsidP="00FA7B04">
      <w:r>
        <w:separator/>
      </w:r>
    </w:p>
  </w:endnote>
  <w:endnote w:type="continuationSeparator" w:id="1">
    <w:p w:rsidR="00D25A57" w:rsidRDefault="00D25A57" w:rsidP="00FA7B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altName w:val="Arial"/>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IRTitr">
    <w:altName w:val="Arial"/>
    <w:charset w:val="00"/>
    <w:family w:val="auto"/>
    <w:pitch w:val="variable"/>
    <w:sig w:usb0="00002003" w:usb1="00000000" w:usb2="00000000" w:usb3="00000000" w:csb0="00000041" w:csb1="00000000"/>
  </w:font>
  <w:font w:name="B Zar">
    <w:altName w:val="Courier New"/>
    <w:charset w:val="B2"/>
    <w:family w:val="auto"/>
    <w:pitch w:val="variable"/>
    <w:sig w:usb0="00002000"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367" w:rsidRDefault="00A5136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367" w:rsidRDefault="00A5136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367" w:rsidRDefault="00A513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5A57" w:rsidRDefault="00D25A57" w:rsidP="009F4424">
      <w:pPr>
        <w:bidi w:val="0"/>
      </w:pPr>
      <w:r>
        <w:separator/>
      </w:r>
    </w:p>
  </w:footnote>
  <w:footnote w:type="continuationSeparator" w:id="1">
    <w:p w:rsidR="00D25A57" w:rsidRDefault="00D25A57" w:rsidP="00FA7B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367" w:rsidRDefault="00FE7F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436266" o:spid="_x0000_s2050" type="#_x0000_t136" style="position:absolute;left:0;text-align:left;margin-left:0;margin-top:0;width:575.35pt;height:63.9pt;rotation:315;z-index:-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367" w:rsidRDefault="00FE7F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436267" o:spid="_x0000_s2051" type="#_x0000_t136" style="position:absolute;left:0;text-align:left;margin-left:0;margin-top:0;width:575.35pt;height:63.9pt;rotation:315;z-index:-1;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367" w:rsidRDefault="00FE7F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436265" o:spid="_x0000_s2049" type="#_x0000_t136" style="position:absolute;left:0;text-align:left;margin-left:0;margin-top:0;width:575.35pt;height:63.9pt;rotation:315;z-index:-3;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505F2"/>
    <w:multiLevelType w:val="hybridMultilevel"/>
    <w:tmpl w:val="91CC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7455D"/>
    <w:multiLevelType w:val="hybridMultilevel"/>
    <w:tmpl w:val="3C642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F38F0"/>
    <w:multiLevelType w:val="multilevel"/>
    <w:tmpl w:val="0320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A17AB4"/>
    <w:multiLevelType w:val="hybridMultilevel"/>
    <w:tmpl w:val="8B0CB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DE2F20"/>
    <w:multiLevelType w:val="hybridMultilevel"/>
    <w:tmpl w:val="B2841498"/>
    <w:lvl w:ilvl="0" w:tplc="66B4953E">
      <w:start w:val="1"/>
      <w:numFmt w:val="decimal"/>
      <w:lvlText w:val="%1."/>
      <w:lvlJc w:val="left"/>
      <w:pPr>
        <w:ind w:left="8157" w:hanging="360"/>
      </w:pPr>
      <w:rPr>
        <w:color w:val="000000"/>
      </w:rPr>
    </w:lvl>
    <w:lvl w:ilvl="1" w:tplc="04090019" w:tentative="1">
      <w:start w:val="1"/>
      <w:numFmt w:val="lowerLetter"/>
      <w:lvlText w:val="%2."/>
      <w:lvlJc w:val="left"/>
      <w:pPr>
        <w:ind w:left="8877" w:hanging="360"/>
      </w:pPr>
    </w:lvl>
    <w:lvl w:ilvl="2" w:tplc="0409001B" w:tentative="1">
      <w:start w:val="1"/>
      <w:numFmt w:val="lowerRoman"/>
      <w:lvlText w:val="%3."/>
      <w:lvlJc w:val="right"/>
      <w:pPr>
        <w:ind w:left="9597" w:hanging="180"/>
      </w:pPr>
    </w:lvl>
    <w:lvl w:ilvl="3" w:tplc="0409000F" w:tentative="1">
      <w:start w:val="1"/>
      <w:numFmt w:val="decimal"/>
      <w:lvlText w:val="%4."/>
      <w:lvlJc w:val="left"/>
      <w:pPr>
        <w:ind w:left="10317" w:hanging="360"/>
      </w:pPr>
    </w:lvl>
    <w:lvl w:ilvl="4" w:tplc="04090019" w:tentative="1">
      <w:start w:val="1"/>
      <w:numFmt w:val="lowerLetter"/>
      <w:lvlText w:val="%5."/>
      <w:lvlJc w:val="left"/>
      <w:pPr>
        <w:ind w:left="11037" w:hanging="360"/>
      </w:pPr>
    </w:lvl>
    <w:lvl w:ilvl="5" w:tplc="0409001B" w:tentative="1">
      <w:start w:val="1"/>
      <w:numFmt w:val="lowerRoman"/>
      <w:lvlText w:val="%6."/>
      <w:lvlJc w:val="right"/>
      <w:pPr>
        <w:ind w:left="11757" w:hanging="180"/>
      </w:pPr>
    </w:lvl>
    <w:lvl w:ilvl="6" w:tplc="0409000F" w:tentative="1">
      <w:start w:val="1"/>
      <w:numFmt w:val="decimal"/>
      <w:lvlText w:val="%7."/>
      <w:lvlJc w:val="left"/>
      <w:pPr>
        <w:ind w:left="12477" w:hanging="360"/>
      </w:pPr>
    </w:lvl>
    <w:lvl w:ilvl="7" w:tplc="04090019" w:tentative="1">
      <w:start w:val="1"/>
      <w:numFmt w:val="lowerLetter"/>
      <w:lvlText w:val="%8."/>
      <w:lvlJc w:val="left"/>
      <w:pPr>
        <w:ind w:left="13197" w:hanging="360"/>
      </w:pPr>
    </w:lvl>
    <w:lvl w:ilvl="8" w:tplc="0409001B" w:tentative="1">
      <w:start w:val="1"/>
      <w:numFmt w:val="lowerRoman"/>
      <w:lvlText w:val="%9."/>
      <w:lvlJc w:val="right"/>
      <w:pPr>
        <w:ind w:left="13917" w:hanging="180"/>
      </w:pPr>
    </w:lvl>
  </w:abstractNum>
  <w:abstractNum w:abstractNumId="5">
    <w:nsid w:val="1A392215"/>
    <w:multiLevelType w:val="hybridMultilevel"/>
    <w:tmpl w:val="2A4065CE"/>
    <w:lvl w:ilvl="0" w:tplc="F9CE0CE0">
      <w:start w:val="1"/>
      <w:numFmt w:val="decimal"/>
      <w:lvlText w:val="%1."/>
      <w:lvlJc w:val="left"/>
      <w:pPr>
        <w:ind w:left="72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342EC2"/>
    <w:multiLevelType w:val="hybridMultilevel"/>
    <w:tmpl w:val="63B823E8"/>
    <w:lvl w:ilvl="0" w:tplc="03485D18">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A55A6E"/>
    <w:multiLevelType w:val="hybridMultilevel"/>
    <w:tmpl w:val="FE000B3E"/>
    <w:lvl w:ilvl="0" w:tplc="BB900792">
      <w:start w:val="1"/>
      <w:numFmt w:val="decimal"/>
      <w:lvlText w:val="%1."/>
      <w:lvlJc w:val="left"/>
      <w:pPr>
        <w:ind w:left="3338"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137BC6"/>
    <w:multiLevelType w:val="hybridMultilevel"/>
    <w:tmpl w:val="AC7ED1C4"/>
    <w:lvl w:ilvl="0" w:tplc="F68CFB5A">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D854C4"/>
    <w:multiLevelType w:val="hybridMultilevel"/>
    <w:tmpl w:val="3B1C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CC2054"/>
    <w:multiLevelType w:val="hybridMultilevel"/>
    <w:tmpl w:val="ED1E51FC"/>
    <w:lvl w:ilvl="0" w:tplc="C466283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6A0537"/>
    <w:multiLevelType w:val="hybridMultilevel"/>
    <w:tmpl w:val="8B86330A"/>
    <w:lvl w:ilvl="0" w:tplc="04090001">
      <w:start w:val="1"/>
      <w:numFmt w:val="bullet"/>
      <w:lvlText w:val=""/>
      <w:lvlJc w:val="left"/>
      <w:pPr>
        <w:ind w:left="8157" w:hanging="360"/>
      </w:pPr>
      <w:rPr>
        <w:rFonts w:ascii="Symbol" w:hAnsi="Symbol" w:hint="default"/>
        <w:color w:val="000000"/>
      </w:rPr>
    </w:lvl>
    <w:lvl w:ilvl="1" w:tplc="04090019" w:tentative="1">
      <w:start w:val="1"/>
      <w:numFmt w:val="lowerLetter"/>
      <w:lvlText w:val="%2."/>
      <w:lvlJc w:val="left"/>
      <w:pPr>
        <w:ind w:left="8877" w:hanging="360"/>
      </w:pPr>
    </w:lvl>
    <w:lvl w:ilvl="2" w:tplc="0409001B" w:tentative="1">
      <w:start w:val="1"/>
      <w:numFmt w:val="lowerRoman"/>
      <w:lvlText w:val="%3."/>
      <w:lvlJc w:val="right"/>
      <w:pPr>
        <w:ind w:left="9597" w:hanging="180"/>
      </w:pPr>
    </w:lvl>
    <w:lvl w:ilvl="3" w:tplc="0409000F" w:tentative="1">
      <w:start w:val="1"/>
      <w:numFmt w:val="decimal"/>
      <w:lvlText w:val="%4."/>
      <w:lvlJc w:val="left"/>
      <w:pPr>
        <w:ind w:left="10317" w:hanging="360"/>
      </w:pPr>
    </w:lvl>
    <w:lvl w:ilvl="4" w:tplc="04090019" w:tentative="1">
      <w:start w:val="1"/>
      <w:numFmt w:val="lowerLetter"/>
      <w:lvlText w:val="%5."/>
      <w:lvlJc w:val="left"/>
      <w:pPr>
        <w:ind w:left="11037" w:hanging="360"/>
      </w:pPr>
    </w:lvl>
    <w:lvl w:ilvl="5" w:tplc="0409001B" w:tentative="1">
      <w:start w:val="1"/>
      <w:numFmt w:val="lowerRoman"/>
      <w:lvlText w:val="%6."/>
      <w:lvlJc w:val="right"/>
      <w:pPr>
        <w:ind w:left="11757" w:hanging="180"/>
      </w:pPr>
    </w:lvl>
    <w:lvl w:ilvl="6" w:tplc="0409000F" w:tentative="1">
      <w:start w:val="1"/>
      <w:numFmt w:val="decimal"/>
      <w:lvlText w:val="%7."/>
      <w:lvlJc w:val="left"/>
      <w:pPr>
        <w:ind w:left="12477" w:hanging="360"/>
      </w:pPr>
    </w:lvl>
    <w:lvl w:ilvl="7" w:tplc="04090019" w:tentative="1">
      <w:start w:val="1"/>
      <w:numFmt w:val="lowerLetter"/>
      <w:lvlText w:val="%8."/>
      <w:lvlJc w:val="left"/>
      <w:pPr>
        <w:ind w:left="13197" w:hanging="360"/>
      </w:pPr>
    </w:lvl>
    <w:lvl w:ilvl="8" w:tplc="0409001B" w:tentative="1">
      <w:start w:val="1"/>
      <w:numFmt w:val="lowerRoman"/>
      <w:lvlText w:val="%9."/>
      <w:lvlJc w:val="right"/>
      <w:pPr>
        <w:ind w:left="13917" w:hanging="180"/>
      </w:pPr>
    </w:lvl>
  </w:abstractNum>
  <w:abstractNum w:abstractNumId="12">
    <w:nsid w:val="2E813DED"/>
    <w:multiLevelType w:val="multilevel"/>
    <w:tmpl w:val="F258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976E6B"/>
    <w:multiLevelType w:val="hybridMultilevel"/>
    <w:tmpl w:val="9A740410"/>
    <w:lvl w:ilvl="0" w:tplc="04090001">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575867"/>
    <w:multiLevelType w:val="multilevel"/>
    <w:tmpl w:val="71EE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470811"/>
    <w:multiLevelType w:val="hybridMultilevel"/>
    <w:tmpl w:val="642C6894"/>
    <w:lvl w:ilvl="0" w:tplc="C466283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5E79F6"/>
    <w:multiLevelType w:val="hybridMultilevel"/>
    <w:tmpl w:val="31608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6F3DC0"/>
    <w:multiLevelType w:val="hybridMultilevel"/>
    <w:tmpl w:val="6156B1D2"/>
    <w:lvl w:ilvl="0" w:tplc="E5E04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861E96"/>
    <w:multiLevelType w:val="hybridMultilevel"/>
    <w:tmpl w:val="19D0B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06189B"/>
    <w:multiLevelType w:val="hybridMultilevel"/>
    <w:tmpl w:val="51A24C34"/>
    <w:lvl w:ilvl="0" w:tplc="C466283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F75653"/>
    <w:multiLevelType w:val="hybridMultilevel"/>
    <w:tmpl w:val="A1F0FC1A"/>
    <w:lvl w:ilvl="0" w:tplc="B860B1A0">
      <w:start w:val="1"/>
      <w:numFmt w:val="decimal"/>
      <w:lvlText w:val="%1."/>
      <w:lvlJc w:val="left"/>
      <w:pPr>
        <w:ind w:left="720" w:hanging="360"/>
      </w:pPr>
      <w:rPr>
        <w:b w:val="0"/>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D76060"/>
    <w:multiLevelType w:val="multilevel"/>
    <w:tmpl w:val="E45AD904"/>
    <w:lvl w:ilvl="0">
      <w:start w:val="1"/>
      <w:numFmt w:val="decimal"/>
      <w:pStyle w:val="Heading1"/>
      <w:lvlText w:val="%1-"/>
      <w:lvlJc w:val="left"/>
      <w:pPr>
        <w:ind w:left="914" w:hanging="284"/>
      </w:pPr>
      <w:rPr>
        <w:rFonts w:hint="default"/>
        <w:color w:val="FFFFFF"/>
      </w:rPr>
    </w:lvl>
    <w:lvl w:ilvl="1">
      <w:start w:val="1"/>
      <w:numFmt w:val="decimal"/>
      <w:pStyle w:val="Heading2"/>
      <w:suff w:val="space"/>
      <w:lvlText w:val="%1-%2-"/>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rPr>
    </w:lvl>
    <w:lvl w:ilvl="2">
      <w:start w:val="1"/>
      <w:numFmt w:val="decimal"/>
      <w:pStyle w:val="Heading3"/>
      <w:suff w:val="space"/>
      <w:lvlText w:val="%1-%2-%3-"/>
      <w:lvlJc w:val="left"/>
      <w:pPr>
        <w:ind w:left="464" w:hanging="284"/>
      </w:pPr>
      <w:rPr>
        <w:rFonts w:hint="default"/>
      </w:rPr>
    </w:lvl>
    <w:lvl w:ilvl="3">
      <w:start w:val="1"/>
      <w:numFmt w:val="decimal"/>
      <w:pStyle w:val="Heading4"/>
      <w:suff w:val="space"/>
      <w:lvlText w:val="%1-%2-%3-%4-"/>
      <w:lvlJc w:val="left"/>
      <w:pPr>
        <w:ind w:left="1276" w:hanging="284"/>
      </w:pPr>
      <w:rPr>
        <w:rFonts w:hint="default"/>
      </w:rPr>
    </w:lvl>
    <w:lvl w:ilvl="4">
      <w:start w:val="1"/>
      <w:numFmt w:val="decimal"/>
      <w:pStyle w:val="Heading5"/>
      <w:lvlText w:val="%1.%2.%3.%4.%5"/>
      <w:lvlJc w:val="left"/>
      <w:pPr>
        <w:ind w:left="194" w:hanging="284"/>
      </w:pPr>
      <w:rPr>
        <w:rFonts w:hint="default"/>
      </w:rPr>
    </w:lvl>
    <w:lvl w:ilvl="5">
      <w:start w:val="1"/>
      <w:numFmt w:val="decimal"/>
      <w:pStyle w:val="Heading6"/>
      <w:lvlText w:val="%1.%2.%3.%4.%5.%6"/>
      <w:lvlJc w:val="left"/>
      <w:pPr>
        <w:ind w:left="194" w:hanging="284"/>
      </w:pPr>
      <w:rPr>
        <w:rFonts w:hint="default"/>
      </w:rPr>
    </w:lvl>
    <w:lvl w:ilvl="6">
      <w:start w:val="1"/>
      <w:numFmt w:val="decimal"/>
      <w:pStyle w:val="Heading7"/>
      <w:lvlText w:val="%1.%2.%3.%4.%5.%6.%7"/>
      <w:lvlJc w:val="left"/>
      <w:pPr>
        <w:ind w:left="194" w:hanging="284"/>
      </w:pPr>
      <w:rPr>
        <w:rFonts w:hint="default"/>
      </w:rPr>
    </w:lvl>
    <w:lvl w:ilvl="7">
      <w:start w:val="1"/>
      <w:numFmt w:val="decimal"/>
      <w:pStyle w:val="Heading8"/>
      <w:lvlText w:val="%1.%2.%3.%4.%5.%6.%7.%8"/>
      <w:lvlJc w:val="left"/>
      <w:pPr>
        <w:ind w:left="194" w:hanging="284"/>
      </w:pPr>
      <w:rPr>
        <w:rFonts w:hint="default"/>
      </w:rPr>
    </w:lvl>
    <w:lvl w:ilvl="8">
      <w:start w:val="1"/>
      <w:numFmt w:val="decimal"/>
      <w:pStyle w:val="Heading9"/>
      <w:lvlText w:val="%1.%2.%3.%4.%5.%6.%7.%8.%9"/>
      <w:lvlJc w:val="left"/>
      <w:pPr>
        <w:ind w:left="194" w:hanging="284"/>
      </w:pPr>
      <w:rPr>
        <w:rFonts w:hint="default"/>
      </w:rPr>
    </w:lvl>
  </w:abstractNum>
  <w:abstractNum w:abstractNumId="22">
    <w:nsid w:val="611D68DA"/>
    <w:multiLevelType w:val="hybridMultilevel"/>
    <w:tmpl w:val="EE222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883FE7"/>
    <w:multiLevelType w:val="hybridMultilevel"/>
    <w:tmpl w:val="78188CF6"/>
    <w:lvl w:ilvl="0" w:tplc="C466283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3A68E6"/>
    <w:multiLevelType w:val="hybridMultilevel"/>
    <w:tmpl w:val="03286ECE"/>
    <w:lvl w:ilvl="0" w:tplc="2FFC4A90">
      <w:start w:val="1"/>
      <w:numFmt w:val="decimal"/>
      <w:lvlText w:val="%1."/>
      <w:lvlJc w:val="left"/>
      <w:pPr>
        <w:ind w:left="720" w:hanging="360"/>
      </w:pPr>
      <w:rPr>
        <w:rFonts w:hint="default"/>
        <w:b w:val="0"/>
        <w:bCs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FA2A58"/>
    <w:multiLevelType w:val="hybridMultilevel"/>
    <w:tmpl w:val="497462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137A89"/>
    <w:multiLevelType w:val="hybridMultilevel"/>
    <w:tmpl w:val="191CA378"/>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18"/>
  </w:num>
  <w:num w:numId="4">
    <w:abstractNumId w:val="8"/>
  </w:num>
  <w:num w:numId="5">
    <w:abstractNumId w:val="9"/>
  </w:num>
  <w:num w:numId="6">
    <w:abstractNumId w:val="6"/>
  </w:num>
  <w:num w:numId="7">
    <w:abstractNumId w:val="26"/>
  </w:num>
  <w:num w:numId="8">
    <w:abstractNumId w:val="3"/>
  </w:num>
  <w:num w:numId="9">
    <w:abstractNumId w:val="7"/>
  </w:num>
  <w:num w:numId="10">
    <w:abstractNumId w:val="25"/>
  </w:num>
  <w:num w:numId="11">
    <w:abstractNumId w:val="14"/>
  </w:num>
  <w:num w:numId="12">
    <w:abstractNumId w:val="0"/>
  </w:num>
  <w:num w:numId="13">
    <w:abstractNumId w:val="20"/>
  </w:num>
  <w:num w:numId="14">
    <w:abstractNumId w:val="13"/>
  </w:num>
  <w:num w:numId="15">
    <w:abstractNumId w:val="1"/>
  </w:num>
  <w:num w:numId="16">
    <w:abstractNumId w:val="2"/>
  </w:num>
  <w:num w:numId="17">
    <w:abstractNumId w:val="12"/>
  </w:num>
  <w:num w:numId="18">
    <w:abstractNumId w:val="19"/>
  </w:num>
  <w:num w:numId="19">
    <w:abstractNumId w:val="10"/>
  </w:num>
  <w:num w:numId="20">
    <w:abstractNumId w:val="15"/>
  </w:num>
  <w:num w:numId="21">
    <w:abstractNumId w:val="23"/>
  </w:num>
  <w:num w:numId="22">
    <w:abstractNumId w:val="22"/>
  </w:num>
  <w:num w:numId="23">
    <w:abstractNumId w:val="16"/>
  </w:num>
  <w:num w:numId="24">
    <w:abstractNumId w:val="4"/>
  </w:num>
  <w:num w:numId="25">
    <w:abstractNumId w:val="17"/>
  </w:num>
  <w:num w:numId="26">
    <w:abstractNumId w:val="11"/>
  </w:num>
  <w:num w:numId="27">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20"/>
  <w:characterSpacingControl w:val="doNotCompress"/>
  <w:hdrShapeDefaults>
    <o:shapedefaults v:ext="edit" spidmax="5122"/>
    <o:shapelayout v:ext="edit">
      <o:idmap v:ext="edit" data="2"/>
    </o:shapelayout>
  </w:hdrShapeDefaults>
  <w:footnotePr>
    <w:numRestart w:val="eachPage"/>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53C44"/>
    <w:rsid w:val="000004B1"/>
    <w:rsid w:val="0000156A"/>
    <w:rsid w:val="000027F2"/>
    <w:rsid w:val="000030B6"/>
    <w:rsid w:val="00003DC9"/>
    <w:rsid w:val="0000453F"/>
    <w:rsid w:val="000047ED"/>
    <w:rsid w:val="00004804"/>
    <w:rsid w:val="00005610"/>
    <w:rsid w:val="00005988"/>
    <w:rsid w:val="00006D7C"/>
    <w:rsid w:val="0000732C"/>
    <w:rsid w:val="0000769F"/>
    <w:rsid w:val="00007705"/>
    <w:rsid w:val="00007A85"/>
    <w:rsid w:val="00007F03"/>
    <w:rsid w:val="00010332"/>
    <w:rsid w:val="00010934"/>
    <w:rsid w:val="000110C8"/>
    <w:rsid w:val="00011666"/>
    <w:rsid w:val="00011C6D"/>
    <w:rsid w:val="00012009"/>
    <w:rsid w:val="00012836"/>
    <w:rsid w:val="00012EC7"/>
    <w:rsid w:val="000130AC"/>
    <w:rsid w:val="0001390A"/>
    <w:rsid w:val="0001579D"/>
    <w:rsid w:val="00016131"/>
    <w:rsid w:val="00016BCF"/>
    <w:rsid w:val="00016CBE"/>
    <w:rsid w:val="00020167"/>
    <w:rsid w:val="000212D0"/>
    <w:rsid w:val="000214C6"/>
    <w:rsid w:val="00021893"/>
    <w:rsid w:val="00022D0E"/>
    <w:rsid w:val="00022EAB"/>
    <w:rsid w:val="00023131"/>
    <w:rsid w:val="0002366B"/>
    <w:rsid w:val="00023DE1"/>
    <w:rsid w:val="0002413C"/>
    <w:rsid w:val="00024354"/>
    <w:rsid w:val="00024E7A"/>
    <w:rsid w:val="000251BB"/>
    <w:rsid w:val="00025D00"/>
    <w:rsid w:val="0002640D"/>
    <w:rsid w:val="00026AEB"/>
    <w:rsid w:val="00027143"/>
    <w:rsid w:val="00027245"/>
    <w:rsid w:val="000308FD"/>
    <w:rsid w:val="00030D6D"/>
    <w:rsid w:val="00030D84"/>
    <w:rsid w:val="000338C9"/>
    <w:rsid w:val="000347AD"/>
    <w:rsid w:val="00035BCA"/>
    <w:rsid w:val="000362F7"/>
    <w:rsid w:val="000367A2"/>
    <w:rsid w:val="000368BD"/>
    <w:rsid w:val="0003779E"/>
    <w:rsid w:val="00037942"/>
    <w:rsid w:val="00037997"/>
    <w:rsid w:val="00037B61"/>
    <w:rsid w:val="00037D42"/>
    <w:rsid w:val="00040130"/>
    <w:rsid w:val="0004082E"/>
    <w:rsid w:val="00040AE5"/>
    <w:rsid w:val="00041EC9"/>
    <w:rsid w:val="00042097"/>
    <w:rsid w:val="00043712"/>
    <w:rsid w:val="00043D22"/>
    <w:rsid w:val="000444AE"/>
    <w:rsid w:val="00044B9F"/>
    <w:rsid w:val="00045BDC"/>
    <w:rsid w:val="00045C38"/>
    <w:rsid w:val="00046C0A"/>
    <w:rsid w:val="00046FCB"/>
    <w:rsid w:val="000471B8"/>
    <w:rsid w:val="000473FE"/>
    <w:rsid w:val="0004764E"/>
    <w:rsid w:val="0004793F"/>
    <w:rsid w:val="000511F9"/>
    <w:rsid w:val="000512A5"/>
    <w:rsid w:val="00051ED1"/>
    <w:rsid w:val="000522AB"/>
    <w:rsid w:val="00052323"/>
    <w:rsid w:val="0005339C"/>
    <w:rsid w:val="0005403A"/>
    <w:rsid w:val="00054169"/>
    <w:rsid w:val="000544F5"/>
    <w:rsid w:val="00054743"/>
    <w:rsid w:val="00054EC2"/>
    <w:rsid w:val="00055237"/>
    <w:rsid w:val="0005527A"/>
    <w:rsid w:val="0005575D"/>
    <w:rsid w:val="00055896"/>
    <w:rsid w:val="00055D12"/>
    <w:rsid w:val="00055FD8"/>
    <w:rsid w:val="00056799"/>
    <w:rsid w:val="00057002"/>
    <w:rsid w:val="0006053E"/>
    <w:rsid w:val="0006071B"/>
    <w:rsid w:val="00060AF7"/>
    <w:rsid w:val="00061316"/>
    <w:rsid w:val="000613AB"/>
    <w:rsid w:val="00062787"/>
    <w:rsid w:val="00062FC0"/>
    <w:rsid w:val="00063C18"/>
    <w:rsid w:val="00064198"/>
    <w:rsid w:val="00064CAF"/>
    <w:rsid w:val="00064D12"/>
    <w:rsid w:val="0006531F"/>
    <w:rsid w:val="00065764"/>
    <w:rsid w:val="0006617B"/>
    <w:rsid w:val="00066837"/>
    <w:rsid w:val="00067286"/>
    <w:rsid w:val="0006785B"/>
    <w:rsid w:val="00067876"/>
    <w:rsid w:val="0007017B"/>
    <w:rsid w:val="00070BA6"/>
    <w:rsid w:val="00071D24"/>
    <w:rsid w:val="00071F27"/>
    <w:rsid w:val="00072939"/>
    <w:rsid w:val="000729DE"/>
    <w:rsid w:val="0007334C"/>
    <w:rsid w:val="000744A2"/>
    <w:rsid w:val="0007458F"/>
    <w:rsid w:val="00074F8F"/>
    <w:rsid w:val="00076CAE"/>
    <w:rsid w:val="00076DC5"/>
    <w:rsid w:val="00077514"/>
    <w:rsid w:val="00080024"/>
    <w:rsid w:val="000813FD"/>
    <w:rsid w:val="00081AA5"/>
    <w:rsid w:val="00081BA9"/>
    <w:rsid w:val="0008208F"/>
    <w:rsid w:val="00082711"/>
    <w:rsid w:val="00083354"/>
    <w:rsid w:val="00083D11"/>
    <w:rsid w:val="000852A6"/>
    <w:rsid w:val="00085904"/>
    <w:rsid w:val="00085B38"/>
    <w:rsid w:val="000861A5"/>
    <w:rsid w:val="000872D6"/>
    <w:rsid w:val="000877CE"/>
    <w:rsid w:val="00087F5E"/>
    <w:rsid w:val="00090B59"/>
    <w:rsid w:val="00090E99"/>
    <w:rsid w:val="0009166F"/>
    <w:rsid w:val="0009177F"/>
    <w:rsid w:val="000922BC"/>
    <w:rsid w:val="00092B9E"/>
    <w:rsid w:val="00092FEE"/>
    <w:rsid w:val="0009365E"/>
    <w:rsid w:val="00094F59"/>
    <w:rsid w:val="00095566"/>
    <w:rsid w:val="00095B91"/>
    <w:rsid w:val="00096130"/>
    <w:rsid w:val="000961D1"/>
    <w:rsid w:val="00096E6B"/>
    <w:rsid w:val="000A02D4"/>
    <w:rsid w:val="000A06D2"/>
    <w:rsid w:val="000A0AB8"/>
    <w:rsid w:val="000A0C4D"/>
    <w:rsid w:val="000A17EF"/>
    <w:rsid w:val="000A1F08"/>
    <w:rsid w:val="000A3E55"/>
    <w:rsid w:val="000A4006"/>
    <w:rsid w:val="000A44CC"/>
    <w:rsid w:val="000A4703"/>
    <w:rsid w:val="000A5566"/>
    <w:rsid w:val="000A5BAE"/>
    <w:rsid w:val="000A6065"/>
    <w:rsid w:val="000A69FB"/>
    <w:rsid w:val="000B08BB"/>
    <w:rsid w:val="000B1624"/>
    <w:rsid w:val="000B168D"/>
    <w:rsid w:val="000B2352"/>
    <w:rsid w:val="000B29C7"/>
    <w:rsid w:val="000B2E7C"/>
    <w:rsid w:val="000B39EA"/>
    <w:rsid w:val="000B4309"/>
    <w:rsid w:val="000B48F1"/>
    <w:rsid w:val="000B4A17"/>
    <w:rsid w:val="000B5E47"/>
    <w:rsid w:val="000B60C9"/>
    <w:rsid w:val="000B60F6"/>
    <w:rsid w:val="000B70C9"/>
    <w:rsid w:val="000B71B5"/>
    <w:rsid w:val="000B7C3C"/>
    <w:rsid w:val="000B7E53"/>
    <w:rsid w:val="000C01BA"/>
    <w:rsid w:val="000C049E"/>
    <w:rsid w:val="000C04CC"/>
    <w:rsid w:val="000C06EF"/>
    <w:rsid w:val="000C15FD"/>
    <w:rsid w:val="000C1882"/>
    <w:rsid w:val="000C18BA"/>
    <w:rsid w:val="000C20ED"/>
    <w:rsid w:val="000C216F"/>
    <w:rsid w:val="000C2828"/>
    <w:rsid w:val="000C315F"/>
    <w:rsid w:val="000C410F"/>
    <w:rsid w:val="000C418A"/>
    <w:rsid w:val="000C4CDD"/>
    <w:rsid w:val="000C4CFB"/>
    <w:rsid w:val="000C5048"/>
    <w:rsid w:val="000C55CD"/>
    <w:rsid w:val="000C5C2D"/>
    <w:rsid w:val="000C5CD1"/>
    <w:rsid w:val="000C63B2"/>
    <w:rsid w:val="000C6519"/>
    <w:rsid w:val="000C6AE3"/>
    <w:rsid w:val="000C7884"/>
    <w:rsid w:val="000C7C54"/>
    <w:rsid w:val="000D05E6"/>
    <w:rsid w:val="000D1D2C"/>
    <w:rsid w:val="000D25C1"/>
    <w:rsid w:val="000D2A79"/>
    <w:rsid w:val="000D2EA5"/>
    <w:rsid w:val="000D2F27"/>
    <w:rsid w:val="000D4B16"/>
    <w:rsid w:val="000D5243"/>
    <w:rsid w:val="000D7B09"/>
    <w:rsid w:val="000E0B7A"/>
    <w:rsid w:val="000E1946"/>
    <w:rsid w:val="000E242C"/>
    <w:rsid w:val="000E4B85"/>
    <w:rsid w:val="000E4D15"/>
    <w:rsid w:val="000E4D42"/>
    <w:rsid w:val="000E5796"/>
    <w:rsid w:val="000E647A"/>
    <w:rsid w:val="000E6ABE"/>
    <w:rsid w:val="000E6B24"/>
    <w:rsid w:val="000F0D4E"/>
    <w:rsid w:val="000F0F02"/>
    <w:rsid w:val="000F149C"/>
    <w:rsid w:val="000F185B"/>
    <w:rsid w:val="000F1ABB"/>
    <w:rsid w:val="000F1F9C"/>
    <w:rsid w:val="000F2996"/>
    <w:rsid w:val="000F2C37"/>
    <w:rsid w:val="000F2D81"/>
    <w:rsid w:val="000F30FF"/>
    <w:rsid w:val="000F36E4"/>
    <w:rsid w:val="000F3A34"/>
    <w:rsid w:val="000F5257"/>
    <w:rsid w:val="000F5690"/>
    <w:rsid w:val="000F576F"/>
    <w:rsid w:val="000F59BA"/>
    <w:rsid w:val="000F5C26"/>
    <w:rsid w:val="000F6204"/>
    <w:rsid w:val="000F636A"/>
    <w:rsid w:val="001000F3"/>
    <w:rsid w:val="00100618"/>
    <w:rsid w:val="001007BD"/>
    <w:rsid w:val="00101305"/>
    <w:rsid w:val="0010139F"/>
    <w:rsid w:val="0010193C"/>
    <w:rsid w:val="00101FF7"/>
    <w:rsid w:val="0010212F"/>
    <w:rsid w:val="00102152"/>
    <w:rsid w:val="00102328"/>
    <w:rsid w:val="001030DA"/>
    <w:rsid w:val="00104B42"/>
    <w:rsid w:val="00105965"/>
    <w:rsid w:val="0010651E"/>
    <w:rsid w:val="0011009C"/>
    <w:rsid w:val="001103E4"/>
    <w:rsid w:val="001107CD"/>
    <w:rsid w:val="0011101D"/>
    <w:rsid w:val="0011245B"/>
    <w:rsid w:val="00113610"/>
    <w:rsid w:val="00113B38"/>
    <w:rsid w:val="00114265"/>
    <w:rsid w:val="00115BD3"/>
    <w:rsid w:val="00117166"/>
    <w:rsid w:val="00117772"/>
    <w:rsid w:val="00117994"/>
    <w:rsid w:val="00120024"/>
    <w:rsid w:val="0012049C"/>
    <w:rsid w:val="00120C73"/>
    <w:rsid w:val="00120D97"/>
    <w:rsid w:val="001223B5"/>
    <w:rsid w:val="00122690"/>
    <w:rsid w:val="001226F9"/>
    <w:rsid w:val="0012369A"/>
    <w:rsid w:val="0012423D"/>
    <w:rsid w:val="0012480F"/>
    <w:rsid w:val="00124BE8"/>
    <w:rsid w:val="00125B57"/>
    <w:rsid w:val="00125ECD"/>
    <w:rsid w:val="00127142"/>
    <w:rsid w:val="001276D1"/>
    <w:rsid w:val="00130168"/>
    <w:rsid w:val="001305F7"/>
    <w:rsid w:val="001306A2"/>
    <w:rsid w:val="00131982"/>
    <w:rsid w:val="00132B61"/>
    <w:rsid w:val="00133DCD"/>
    <w:rsid w:val="001346E2"/>
    <w:rsid w:val="0013481B"/>
    <w:rsid w:val="0013488B"/>
    <w:rsid w:val="00135CBE"/>
    <w:rsid w:val="00136D68"/>
    <w:rsid w:val="001375BE"/>
    <w:rsid w:val="001401AE"/>
    <w:rsid w:val="00140BCD"/>
    <w:rsid w:val="00141192"/>
    <w:rsid w:val="00141D91"/>
    <w:rsid w:val="00142113"/>
    <w:rsid w:val="0014223B"/>
    <w:rsid w:val="0014281A"/>
    <w:rsid w:val="00142BCC"/>
    <w:rsid w:val="00143471"/>
    <w:rsid w:val="001436C4"/>
    <w:rsid w:val="001443FF"/>
    <w:rsid w:val="001450AA"/>
    <w:rsid w:val="001457F0"/>
    <w:rsid w:val="00146824"/>
    <w:rsid w:val="001468E7"/>
    <w:rsid w:val="00146FC2"/>
    <w:rsid w:val="0014729C"/>
    <w:rsid w:val="001473E7"/>
    <w:rsid w:val="0014774D"/>
    <w:rsid w:val="00150DFE"/>
    <w:rsid w:val="001511AB"/>
    <w:rsid w:val="0015168A"/>
    <w:rsid w:val="00154832"/>
    <w:rsid w:val="00154A76"/>
    <w:rsid w:val="0015542E"/>
    <w:rsid w:val="0015543E"/>
    <w:rsid w:val="00155C37"/>
    <w:rsid w:val="00155EC3"/>
    <w:rsid w:val="0015754B"/>
    <w:rsid w:val="001576D3"/>
    <w:rsid w:val="0015776A"/>
    <w:rsid w:val="001577BA"/>
    <w:rsid w:val="0016017D"/>
    <w:rsid w:val="001602D1"/>
    <w:rsid w:val="0016058B"/>
    <w:rsid w:val="00160696"/>
    <w:rsid w:val="0016192B"/>
    <w:rsid w:val="00161D7E"/>
    <w:rsid w:val="00162C4B"/>
    <w:rsid w:val="0016328B"/>
    <w:rsid w:val="00163574"/>
    <w:rsid w:val="00163E3A"/>
    <w:rsid w:val="00163E89"/>
    <w:rsid w:val="001643B3"/>
    <w:rsid w:val="00164FE0"/>
    <w:rsid w:val="00165B3A"/>
    <w:rsid w:val="00167D1C"/>
    <w:rsid w:val="001705EB"/>
    <w:rsid w:val="001706E4"/>
    <w:rsid w:val="00170B19"/>
    <w:rsid w:val="00170F00"/>
    <w:rsid w:val="0017105C"/>
    <w:rsid w:val="0017141E"/>
    <w:rsid w:val="0017172F"/>
    <w:rsid w:val="00171FB2"/>
    <w:rsid w:val="00172325"/>
    <w:rsid w:val="001725FA"/>
    <w:rsid w:val="001728D3"/>
    <w:rsid w:val="00172AFD"/>
    <w:rsid w:val="00173CB7"/>
    <w:rsid w:val="00174C98"/>
    <w:rsid w:val="00174EAD"/>
    <w:rsid w:val="0017624E"/>
    <w:rsid w:val="001766E5"/>
    <w:rsid w:val="00177099"/>
    <w:rsid w:val="00181ED9"/>
    <w:rsid w:val="00182003"/>
    <w:rsid w:val="00182768"/>
    <w:rsid w:val="00182CAA"/>
    <w:rsid w:val="0018319C"/>
    <w:rsid w:val="00183520"/>
    <w:rsid w:val="00183A24"/>
    <w:rsid w:val="00184B2C"/>
    <w:rsid w:val="001854A4"/>
    <w:rsid w:val="00185802"/>
    <w:rsid w:val="00186703"/>
    <w:rsid w:val="00187571"/>
    <w:rsid w:val="00187A7E"/>
    <w:rsid w:val="00187D24"/>
    <w:rsid w:val="00187F39"/>
    <w:rsid w:val="00191059"/>
    <w:rsid w:val="00192297"/>
    <w:rsid w:val="00192756"/>
    <w:rsid w:val="00192A9E"/>
    <w:rsid w:val="00192EC7"/>
    <w:rsid w:val="00193C5D"/>
    <w:rsid w:val="001941DA"/>
    <w:rsid w:val="00195310"/>
    <w:rsid w:val="00196029"/>
    <w:rsid w:val="0019632C"/>
    <w:rsid w:val="00196482"/>
    <w:rsid w:val="001969D7"/>
    <w:rsid w:val="00197674"/>
    <w:rsid w:val="00197A82"/>
    <w:rsid w:val="00197E75"/>
    <w:rsid w:val="001A0BA0"/>
    <w:rsid w:val="001A1963"/>
    <w:rsid w:val="001A1D3B"/>
    <w:rsid w:val="001A31B5"/>
    <w:rsid w:val="001A339B"/>
    <w:rsid w:val="001A3570"/>
    <w:rsid w:val="001A3A7E"/>
    <w:rsid w:val="001A40E1"/>
    <w:rsid w:val="001A4111"/>
    <w:rsid w:val="001A4453"/>
    <w:rsid w:val="001A4901"/>
    <w:rsid w:val="001A51BC"/>
    <w:rsid w:val="001A53CC"/>
    <w:rsid w:val="001A5BB5"/>
    <w:rsid w:val="001A6207"/>
    <w:rsid w:val="001A621C"/>
    <w:rsid w:val="001A6456"/>
    <w:rsid w:val="001A7680"/>
    <w:rsid w:val="001B0D41"/>
    <w:rsid w:val="001B1AE5"/>
    <w:rsid w:val="001B1B80"/>
    <w:rsid w:val="001B39E3"/>
    <w:rsid w:val="001B45D8"/>
    <w:rsid w:val="001B4ACE"/>
    <w:rsid w:val="001B59D2"/>
    <w:rsid w:val="001B777F"/>
    <w:rsid w:val="001B7EB6"/>
    <w:rsid w:val="001C051C"/>
    <w:rsid w:val="001C11A7"/>
    <w:rsid w:val="001C1692"/>
    <w:rsid w:val="001C17C8"/>
    <w:rsid w:val="001C18EC"/>
    <w:rsid w:val="001C1C44"/>
    <w:rsid w:val="001C1E62"/>
    <w:rsid w:val="001C24B7"/>
    <w:rsid w:val="001C27A5"/>
    <w:rsid w:val="001C2947"/>
    <w:rsid w:val="001C34E6"/>
    <w:rsid w:val="001C3AC6"/>
    <w:rsid w:val="001C4785"/>
    <w:rsid w:val="001C4D4D"/>
    <w:rsid w:val="001C5572"/>
    <w:rsid w:val="001C6286"/>
    <w:rsid w:val="001C673D"/>
    <w:rsid w:val="001C6904"/>
    <w:rsid w:val="001C6DFC"/>
    <w:rsid w:val="001C73EC"/>
    <w:rsid w:val="001C78F6"/>
    <w:rsid w:val="001C7C33"/>
    <w:rsid w:val="001C7EBF"/>
    <w:rsid w:val="001D0475"/>
    <w:rsid w:val="001D05C7"/>
    <w:rsid w:val="001D14D5"/>
    <w:rsid w:val="001D1795"/>
    <w:rsid w:val="001D35C7"/>
    <w:rsid w:val="001D39DA"/>
    <w:rsid w:val="001D3DF9"/>
    <w:rsid w:val="001D5D33"/>
    <w:rsid w:val="001D723C"/>
    <w:rsid w:val="001D7975"/>
    <w:rsid w:val="001E1B5C"/>
    <w:rsid w:val="001E1EA5"/>
    <w:rsid w:val="001E31D3"/>
    <w:rsid w:val="001E405E"/>
    <w:rsid w:val="001E4690"/>
    <w:rsid w:val="001E54F0"/>
    <w:rsid w:val="001E5D84"/>
    <w:rsid w:val="001E6E0E"/>
    <w:rsid w:val="001E71C7"/>
    <w:rsid w:val="001F0BC7"/>
    <w:rsid w:val="001F1707"/>
    <w:rsid w:val="001F1714"/>
    <w:rsid w:val="001F2439"/>
    <w:rsid w:val="001F2FB7"/>
    <w:rsid w:val="001F2FC3"/>
    <w:rsid w:val="001F3144"/>
    <w:rsid w:val="001F3D2C"/>
    <w:rsid w:val="001F44F3"/>
    <w:rsid w:val="001F4FB5"/>
    <w:rsid w:val="001F52A9"/>
    <w:rsid w:val="001F5C00"/>
    <w:rsid w:val="001F5C88"/>
    <w:rsid w:val="001F618F"/>
    <w:rsid w:val="001F6354"/>
    <w:rsid w:val="001F63C5"/>
    <w:rsid w:val="001F7281"/>
    <w:rsid w:val="001F73D2"/>
    <w:rsid w:val="001F7B4B"/>
    <w:rsid w:val="001F7CA9"/>
    <w:rsid w:val="00200159"/>
    <w:rsid w:val="00200268"/>
    <w:rsid w:val="00200A9A"/>
    <w:rsid w:val="00200C35"/>
    <w:rsid w:val="00200EB6"/>
    <w:rsid w:val="002028A8"/>
    <w:rsid w:val="00202BF6"/>
    <w:rsid w:val="00203750"/>
    <w:rsid w:val="002047CD"/>
    <w:rsid w:val="00204932"/>
    <w:rsid w:val="00204A0B"/>
    <w:rsid w:val="0020530B"/>
    <w:rsid w:val="0020619B"/>
    <w:rsid w:val="00206411"/>
    <w:rsid w:val="00207951"/>
    <w:rsid w:val="00207E76"/>
    <w:rsid w:val="00212685"/>
    <w:rsid w:val="00212C81"/>
    <w:rsid w:val="002139C5"/>
    <w:rsid w:val="00214039"/>
    <w:rsid w:val="002153E9"/>
    <w:rsid w:val="00215A51"/>
    <w:rsid w:val="00215C02"/>
    <w:rsid w:val="002161D6"/>
    <w:rsid w:val="00216859"/>
    <w:rsid w:val="00216CAF"/>
    <w:rsid w:val="00217F17"/>
    <w:rsid w:val="002200AC"/>
    <w:rsid w:val="00220FDD"/>
    <w:rsid w:val="002211FE"/>
    <w:rsid w:val="0022148D"/>
    <w:rsid w:val="00221928"/>
    <w:rsid w:val="002220B3"/>
    <w:rsid w:val="00222A8F"/>
    <w:rsid w:val="00222B7D"/>
    <w:rsid w:val="0022395B"/>
    <w:rsid w:val="00223A6D"/>
    <w:rsid w:val="00223BC1"/>
    <w:rsid w:val="00223DD4"/>
    <w:rsid w:val="00224AE0"/>
    <w:rsid w:val="00224BAC"/>
    <w:rsid w:val="0022551F"/>
    <w:rsid w:val="00225F4C"/>
    <w:rsid w:val="0022614B"/>
    <w:rsid w:val="00226A82"/>
    <w:rsid w:val="00227680"/>
    <w:rsid w:val="00230741"/>
    <w:rsid w:val="00230916"/>
    <w:rsid w:val="00232DE1"/>
    <w:rsid w:val="00233319"/>
    <w:rsid w:val="002338F8"/>
    <w:rsid w:val="002339D2"/>
    <w:rsid w:val="00233EF6"/>
    <w:rsid w:val="00234690"/>
    <w:rsid w:val="00234797"/>
    <w:rsid w:val="00235DAA"/>
    <w:rsid w:val="00236096"/>
    <w:rsid w:val="00236715"/>
    <w:rsid w:val="00236B44"/>
    <w:rsid w:val="00236BE2"/>
    <w:rsid w:val="002376D6"/>
    <w:rsid w:val="00237F4B"/>
    <w:rsid w:val="002415EE"/>
    <w:rsid w:val="00241B2B"/>
    <w:rsid w:val="00241D6B"/>
    <w:rsid w:val="00241DE8"/>
    <w:rsid w:val="00242216"/>
    <w:rsid w:val="00242382"/>
    <w:rsid w:val="00242BBD"/>
    <w:rsid w:val="002435EC"/>
    <w:rsid w:val="002436C9"/>
    <w:rsid w:val="002439BA"/>
    <w:rsid w:val="00243D2D"/>
    <w:rsid w:val="00244BC0"/>
    <w:rsid w:val="0024539C"/>
    <w:rsid w:val="002463FC"/>
    <w:rsid w:val="0024673B"/>
    <w:rsid w:val="002468FA"/>
    <w:rsid w:val="00246B54"/>
    <w:rsid w:val="002470CF"/>
    <w:rsid w:val="00247692"/>
    <w:rsid w:val="00251648"/>
    <w:rsid w:val="00251804"/>
    <w:rsid w:val="00251976"/>
    <w:rsid w:val="00251D39"/>
    <w:rsid w:val="00253444"/>
    <w:rsid w:val="002535C8"/>
    <w:rsid w:val="002535D1"/>
    <w:rsid w:val="00253812"/>
    <w:rsid w:val="0025528A"/>
    <w:rsid w:val="00255568"/>
    <w:rsid w:val="0025586F"/>
    <w:rsid w:val="00256751"/>
    <w:rsid w:val="00257EFA"/>
    <w:rsid w:val="00260819"/>
    <w:rsid w:val="00260989"/>
    <w:rsid w:val="00261AA7"/>
    <w:rsid w:val="00261AC6"/>
    <w:rsid w:val="00262356"/>
    <w:rsid w:val="002624A7"/>
    <w:rsid w:val="00262890"/>
    <w:rsid w:val="00262C5E"/>
    <w:rsid w:val="0026466A"/>
    <w:rsid w:val="00264E82"/>
    <w:rsid w:val="002653D4"/>
    <w:rsid w:val="0026556E"/>
    <w:rsid w:val="00265D91"/>
    <w:rsid w:val="00267273"/>
    <w:rsid w:val="002673CE"/>
    <w:rsid w:val="002678ED"/>
    <w:rsid w:val="00270147"/>
    <w:rsid w:val="002701E6"/>
    <w:rsid w:val="00270344"/>
    <w:rsid w:val="00270C5D"/>
    <w:rsid w:val="002718FF"/>
    <w:rsid w:val="00271E58"/>
    <w:rsid w:val="0027216F"/>
    <w:rsid w:val="002737A6"/>
    <w:rsid w:val="002740BA"/>
    <w:rsid w:val="002745FD"/>
    <w:rsid w:val="002754C6"/>
    <w:rsid w:val="00275D02"/>
    <w:rsid w:val="00276427"/>
    <w:rsid w:val="00276D4E"/>
    <w:rsid w:val="002774F4"/>
    <w:rsid w:val="00277C3F"/>
    <w:rsid w:val="0028007D"/>
    <w:rsid w:val="002802A6"/>
    <w:rsid w:val="002812C6"/>
    <w:rsid w:val="00281AC3"/>
    <w:rsid w:val="00281FAB"/>
    <w:rsid w:val="00282923"/>
    <w:rsid w:val="002830BD"/>
    <w:rsid w:val="002832E5"/>
    <w:rsid w:val="00283426"/>
    <w:rsid w:val="002835E5"/>
    <w:rsid w:val="00283D5F"/>
    <w:rsid w:val="0028422C"/>
    <w:rsid w:val="00284348"/>
    <w:rsid w:val="002852EA"/>
    <w:rsid w:val="002853D7"/>
    <w:rsid w:val="00285DF8"/>
    <w:rsid w:val="00286723"/>
    <w:rsid w:val="002867CE"/>
    <w:rsid w:val="00286FD0"/>
    <w:rsid w:val="00287910"/>
    <w:rsid w:val="00287B17"/>
    <w:rsid w:val="00287B36"/>
    <w:rsid w:val="00290450"/>
    <w:rsid w:val="00290639"/>
    <w:rsid w:val="00290A95"/>
    <w:rsid w:val="002911DC"/>
    <w:rsid w:val="002922AC"/>
    <w:rsid w:val="00293D17"/>
    <w:rsid w:val="00293E10"/>
    <w:rsid w:val="00294A97"/>
    <w:rsid w:val="002954E5"/>
    <w:rsid w:val="002962F1"/>
    <w:rsid w:val="00296404"/>
    <w:rsid w:val="00296F77"/>
    <w:rsid w:val="00297375"/>
    <w:rsid w:val="00297379"/>
    <w:rsid w:val="0029759B"/>
    <w:rsid w:val="002977C0"/>
    <w:rsid w:val="00297A12"/>
    <w:rsid w:val="002A0683"/>
    <w:rsid w:val="002A0849"/>
    <w:rsid w:val="002A17CF"/>
    <w:rsid w:val="002A20A6"/>
    <w:rsid w:val="002A2664"/>
    <w:rsid w:val="002A2C74"/>
    <w:rsid w:val="002A3C38"/>
    <w:rsid w:val="002A4355"/>
    <w:rsid w:val="002A48BA"/>
    <w:rsid w:val="002A49A3"/>
    <w:rsid w:val="002A4A94"/>
    <w:rsid w:val="002A50B7"/>
    <w:rsid w:val="002A51BD"/>
    <w:rsid w:val="002A6444"/>
    <w:rsid w:val="002A6517"/>
    <w:rsid w:val="002A7F50"/>
    <w:rsid w:val="002B0504"/>
    <w:rsid w:val="002B13E1"/>
    <w:rsid w:val="002B16A3"/>
    <w:rsid w:val="002B16CE"/>
    <w:rsid w:val="002B2710"/>
    <w:rsid w:val="002B2A5D"/>
    <w:rsid w:val="002B2CA8"/>
    <w:rsid w:val="002B2EA0"/>
    <w:rsid w:val="002B438B"/>
    <w:rsid w:val="002B5367"/>
    <w:rsid w:val="002B587F"/>
    <w:rsid w:val="002B58D0"/>
    <w:rsid w:val="002B6BEF"/>
    <w:rsid w:val="002B76FB"/>
    <w:rsid w:val="002B784D"/>
    <w:rsid w:val="002C2495"/>
    <w:rsid w:val="002C2726"/>
    <w:rsid w:val="002C372E"/>
    <w:rsid w:val="002C45AD"/>
    <w:rsid w:val="002C62F8"/>
    <w:rsid w:val="002C6367"/>
    <w:rsid w:val="002C64A7"/>
    <w:rsid w:val="002C682A"/>
    <w:rsid w:val="002C7253"/>
    <w:rsid w:val="002C787C"/>
    <w:rsid w:val="002C7DAB"/>
    <w:rsid w:val="002C7EB5"/>
    <w:rsid w:val="002D002B"/>
    <w:rsid w:val="002D0204"/>
    <w:rsid w:val="002D238C"/>
    <w:rsid w:val="002D266E"/>
    <w:rsid w:val="002D2B17"/>
    <w:rsid w:val="002D53DF"/>
    <w:rsid w:val="002D723C"/>
    <w:rsid w:val="002D75E3"/>
    <w:rsid w:val="002D7DD8"/>
    <w:rsid w:val="002D7ED5"/>
    <w:rsid w:val="002E0389"/>
    <w:rsid w:val="002E0633"/>
    <w:rsid w:val="002E0993"/>
    <w:rsid w:val="002E0C51"/>
    <w:rsid w:val="002E17EC"/>
    <w:rsid w:val="002E1F46"/>
    <w:rsid w:val="002E3BCF"/>
    <w:rsid w:val="002E5235"/>
    <w:rsid w:val="002E55DE"/>
    <w:rsid w:val="002E5878"/>
    <w:rsid w:val="002E62E7"/>
    <w:rsid w:val="002E6E6C"/>
    <w:rsid w:val="002E79AF"/>
    <w:rsid w:val="002E7E2A"/>
    <w:rsid w:val="002E7F0C"/>
    <w:rsid w:val="002F0643"/>
    <w:rsid w:val="002F09B7"/>
    <w:rsid w:val="002F09E4"/>
    <w:rsid w:val="002F1299"/>
    <w:rsid w:val="002F26D1"/>
    <w:rsid w:val="002F29F4"/>
    <w:rsid w:val="002F3E3D"/>
    <w:rsid w:val="002F3FB4"/>
    <w:rsid w:val="002F49E2"/>
    <w:rsid w:val="002F4F28"/>
    <w:rsid w:val="002F6893"/>
    <w:rsid w:val="002F6B90"/>
    <w:rsid w:val="002F7C20"/>
    <w:rsid w:val="002F7C69"/>
    <w:rsid w:val="0030064D"/>
    <w:rsid w:val="00300D6D"/>
    <w:rsid w:val="00300DA4"/>
    <w:rsid w:val="00301952"/>
    <w:rsid w:val="00301E1C"/>
    <w:rsid w:val="0030213E"/>
    <w:rsid w:val="0030287B"/>
    <w:rsid w:val="003029D9"/>
    <w:rsid w:val="00302DC3"/>
    <w:rsid w:val="00302F57"/>
    <w:rsid w:val="00302F95"/>
    <w:rsid w:val="00303197"/>
    <w:rsid w:val="003031DA"/>
    <w:rsid w:val="003032BC"/>
    <w:rsid w:val="00303453"/>
    <w:rsid w:val="00303E41"/>
    <w:rsid w:val="00303FED"/>
    <w:rsid w:val="00304677"/>
    <w:rsid w:val="00304F0F"/>
    <w:rsid w:val="00306DC7"/>
    <w:rsid w:val="003103A5"/>
    <w:rsid w:val="003108A0"/>
    <w:rsid w:val="0031232D"/>
    <w:rsid w:val="00312453"/>
    <w:rsid w:val="00312C7E"/>
    <w:rsid w:val="00313A31"/>
    <w:rsid w:val="00314729"/>
    <w:rsid w:val="003148EF"/>
    <w:rsid w:val="003165D2"/>
    <w:rsid w:val="00317145"/>
    <w:rsid w:val="0031745C"/>
    <w:rsid w:val="0031782D"/>
    <w:rsid w:val="00320B2E"/>
    <w:rsid w:val="00320EB5"/>
    <w:rsid w:val="0032156B"/>
    <w:rsid w:val="003220A9"/>
    <w:rsid w:val="0032216B"/>
    <w:rsid w:val="00322FF0"/>
    <w:rsid w:val="003238F6"/>
    <w:rsid w:val="00323ACB"/>
    <w:rsid w:val="00325D17"/>
    <w:rsid w:val="00325E3B"/>
    <w:rsid w:val="00327612"/>
    <w:rsid w:val="00327B01"/>
    <w:rsid w:val="00327D6A"/>
    <w:rsid w:val="0033012D"/>
    <w:rsid w:val="00330524"/>
    <w:rsid w:val="00330743"/>
    <w:rsid w:val="0033087A"/>
    <w:rsid w:val="00330B96"/>
    <w:rsid w:val="00330ECA"/>
    <w:rsid w:val="0033111F"/>
    <w:rsid w:val="003311EB"/>
    <w:rsid w:val="00331D50"/>
    <w:rsid w:val="00332009"/>
    <w:rsid w:val="00332447"/>
    <w:rsid w:val="003328B8"/>
    <w:rsid w:val="00332CF9"/>
    <w:rsid w:val="003337D7"/>
    <w:rsid w:val="003337F5"/>
    <w:rsid w:val="00334756"/>
    <w:rsid w:val="00335224"/>
    <w:rsid w:val="00335B20"/>
    <w:rsid w:val="00336F7B"/>
    <w:rsid w:val="00337594"/>
    <w:rsid w:val="0033784D"/>
    <w:rsid w:val="0034046A"/>
    <w:rsid w:val="00340759"/>
    <w:rsid w:val="00340DDA"/>
    <w:rsid w:val="0034128D"/>
    <w:rsid w:val="0034194E"/>
    <w:rsid w:val="00341A67"/>
    <w:rsid w:val="003422B3"/>
    <w:rsid w:val="003425CA"/>
    <w:rsid w:val="00342B66"/>
    <w:rsid w:val="00342C42"/>
    <w:rsid w:val="00343A34"/>
    <w:rsid w:val="00343D5D"/>
    <w:rsid w:val="00344195"/>
    <w:rsid w:val="003457F3"/>
    <w:rsid w:val="0034581A"/>
    <w:rsid w:val="00345A88"/>
    <w:rsid w:val="0034712D"/>
    <w:rsid w:val="00347378"/>
    <w:rsid w:val="00347673"/>
    <w:rsid w:val="00347C0D"/>
    <w:rsid w:val="00347DB1"/>
    <w:rsid w:val="00350428"/>
    <w:rsid w:val="00350477"/>
    <w:rsid w:val="00350BC4"/>
    <w:rsid w:val="00350D9F"/>
    <w:rsid w:val="00351F33"/>
    <w:rsid w:val="0035205E"/>
    <w:rsid w:val="0035365B"/>
    <w:rsid w:val="00353674"/>
    <w:rsid w:val="00353E4A"/>
    <w:rsid w:val="00353EBF"/>
    <w:rsid w:val="0035401C"/>
    <w:rsid w:val="003549DA"/>
    <w:rsid w:val="00354F70"/>
    <w:rsid w:val="00354FCB"/>
    <w:rsid w:val="00355F4A"/>
    <w:rsid w:val="003563FC"/>
    <w:rsid w:val="00356F99"/>
    <w:rsid w:val="00357CA6"/>
    <w:rsid w:val="0036047D"/>
    <w:rsid w:val="0036197A"/>
    <w:rsid w:val="00361E65"/>
    <w:rsid w:val="00362ADD"/>
    <w:rsid w:val="0036430C"/>
    <w:rsid w:val="0036490A"/>
    <w:rsid w:val="0036538D"/>
    <w:rsid w:val="003657CD"/>
    <w:rsid w:val="003661CD"/>
    <w:rsid w:val="00366E0A"/>
    <w:rsid w:val="003700F6"/>
    <w:rsid w:val="003703CD"/>
    <w:rsid w:val="0037211B"/>
    <w:rsid w:val="00372696"/>
    <w:rsid w:val="00372AAE"/>
    <w:rsid w:val="00373EC5"/>
    <w:rsid w:val="00374063"/>
    <w:rsid w:val="00374AB6"/>
    <w:rsid w:val="003751D0"/>
    <w:rsid w:val="0037561B"/>
    <w:rsid w:val="003756AA"/>
    <w:rsid w:val="00375B76"/>
    <w:rsid w:val="003767B7"/>
    <w:rsid w:val="003768F7"/>
    <w:rsid w:val="003779C5"/>
    <w:rsid w:val="003820C9"/>
    <w:rsid w:val="003821C4"/>
    <w:rsid w:val="00382206"/>
    <w:rsid w:val="0038269A"/>
    <w:rsid w:val="003832D4"/>
    <w:rsid w:val="00383BB4"/>
    <w:rsid w:val="00383CAD"/>
    <w:rsid w:val="00384247"/>
    <w:rsid w:val="0038544D"/>
    <w:rsid w:val="00385D60"/>
    <w:rsid w:val="00387255"/>
    <w:rsid w:val="00387FA5"/>
    <w:rsid w:val="003901C7"/>
    <w:rsid w:val="003918F0"/>
    <w:rsid w:val="0039254F"/>
    <w:rsid w:val="00392FEE"/>
    <w:rsid w:val="003935C7"/>
    <w:rsid w:val="003936A3"/>
    <w:rsid w:val="00394065"/>
    <w:rsid w:val="003958C4"/>
    <w:rsid w:val="00395F89"/>
    <w:rsid w:val="0039705B"/>
    <w:rsid w:val="003977E9"/>
    <w:rsid w:val="00397980"/>
    <w:rsid w:val="003A05D0"/>
    <w:rsid w:val="003A0A7C"/>
    <w:rsid w:val="003A1BBC"/>
    <w:rsid w:val="003A1F74"/>
    <w:rsid w:val="003A32FF"/>
    <w:rsid w:val="003A374C"/>
    <w:rsid w:val="003A376B"/>
    <w:rsid w:val="003A38C2"/>
    <w:rsid w:val="003A4609"/>
    <w:rsid w:val="003A4F5E"/>
    <w:rsid w:val="003A56A5"/>
    <w:rsid w:val="003A66A9"/>
    <w:rsid w:val="003A7AF7"/>
    <w:rsid w:val="003B01D5"/>
    <w:rsid w:val="003B02A7"/>
    <w:rsid w:val="003B1DCB"/>
    <w:rsid w:val="003B2134"/>
    <w:rsid w:val="003B21C2"/>
    <w:rsid w:val="003B27AC"/>
    <w:rsid w:val="003B2BA2"/>
    <w:rsid w:val="003B3415"/>
    <w:rsid w:val="003B383A"/>
    <w:rsid w:val="003B385D"/>
    <w:rsid w:val="003B3CBB"/>
    <w:rsid w:val="003B3E6B"/>
    <w:rsid w:val="003B40C9"/>
    <w:rsid w:val="003B4C23"/>
    <w:rsid w:val="003B507A"/>
    <w:rsid w:val="003B512E"/>
    <w:rsid w:val="003B7225"/>
    <w:rsid w:val="003B75E4"/>
    <w:rsid w:val="003C0C41"/>
    <w:rsid w:val="003C15B5"/>
    <w:rsid w:val="003C19E4"/>
    <w:rsid w:val="003C2405"/>
    <w:rsid w:val="003C278C"/>
    <w:rsid w:val="003C3016"/>
    <w:rsid w:val="003C418C"/>
    <w:rsid w:val="003C54AC"/>
    <w:rsid w:val="003C591F"/>
    <w:rsid w:val="003C69EC"/>
    <w:rsid w:val="003C7251"/>
    <w:rsid w:val="003C782C"/>
    <w:rsid w:val="003C78DD"/>
    <w:rsid w:val="003C7BED"/>
    <w:rsid w:val="003D02E1"/>
    <w:rsid w:val="003D140C"/>
    <w:rsid w:val="003D1867"/>
    <w:rsid w:val="003D4571"/>
    <w:rsid w:val="003D4D72"/>
    <w:rsid w:val="003D511B"/>
    <w:rsid w:val="003D5727"/>
    <w:rsid w:val="003D5BE8"/>
    <w:rsid w:val="003D608F"/>
    <w:rsid w:val="003D759A"/>
    <w:rsid w:val="003E0538"/>
    <w:rsid w:val="003E05D9"/>
    <w:rsid w:val="003E069E"/>
    <w:rsid w:val="003E0C98"/>
    <w:rsid w:val="003E1BE7"/>
    <w:rsid w:val="003E1F35"/>
    <w:rsid w:val="003E2384"/>
    <w:rsid w:val="003E2D25"/>
    <w:rsid w:val="003E30D8"/>
    <w:rsid w:val="003E345F"/>
    <w:rsid w:val="003E4075"/>
    <w:rsid w:val="003E45A5"/>
    <w:rsid w:val="003E4751"/>
    <w:rsid w:val="003E54F1"/>
    <w:rsid w:val="003E661F"/>
    <w:rsid w:val="003E69E0"/>
    <w:rsid w:val="003E74AB"/>
    <w:rsid w:val="003E7524"/>
    <w:rsid w:val="003E7C7A"/>
    <w:rsid w:val="003E7F30"/>
    <w:rsid w:val="003F045C"/>
    <w:rsid w:val="003F05B7"/>
    <w:rsid w:val="003F0EF8"/>
    <w:rsid w:val="003F1B29"/>
    <w:rsid w:val="003F1BC3"/>
    <w:rsid w:val="003F2AED"/>
    <w:rsid w:val="003F3668"/>
    <w:rsid w:val="003F388D"/>
    <w:rsid w:val="003F3B8D"/>
    <w:rsid w:val="003F3FAC"/>
    <w:rsid w:val="003F4399"/>
    <w:rsid w:val="003F44BF"/>
    <w:rsid w:val="003F45BF"/>
    <w:rsid w:val="003F52A1"/>
    <w:rsid w:val="003F596E"/>
    <w:rsid w:val="003F5A3C"/>
    <w:rsid w:val="003F5B4B"/>
    <w:rsid w:val="003F5EEB"/>
    <w:rsid w:val="003F682D"/>
    <w:rsid w:val="003F759B"/>
    <w:rsid w:val="003F75A0"/>
    <w:rsid w:val="00402427"/>
    <w:rsid w:val="0040273B"/>
    <w:rsid w:val="0040296A"/>
    <w:rsid w:val="00403D1F"/>
    <w:rsid w:val="004042AC"/>
    <w:rsid w:val="004044D0"/>
    <w:rsid w:val="00404C67"/>
    <w:rsid w:val="0040586C"/>
    <w:rsid w:val="00406414"/>
    <w:rsid w:val="00406D10"/>
    <w:rsid w:val="004074FB"/>
    <w:rsid w:val="00410689"/>
    <w:rsid w:val="0041070A"/>
    <w:rsid w:val="00410AD8"/>
    <w:rsid w:val="00411C2D"/>
    <w:rsid w:val="00412269"/>
    <w:rsid w:val="00412750"/>
    <w:rsid w:val="004129C1"/>
    <w:rsid w:val="00413411"/>
    <w:rsid w:val="00413636"/>
    <w:rsid w:val="00413C3F"/>
    <w:rsid w:val="00414195"/>
    <w:rsid w:val="004159C2"/>
    <w:rsid w:val="00415F18"/>
    <w:rsid w:val="004167C7"/>
    <w:rsid w:val="00421EDD"/>
    <w:rsid w:val="0042570A"/>
    <w:rsid w:val="004264EE"/>
    <w:rsid w:val="004275D0"/>
    <w:rsid w:val="00427AE9"/>
    <w:rsid w:val="00427D5E"/>
    <w:rsid w:val="00430539"/>
    <w:rsid w:val="00430982"/>
    <w:rsid w:val="00432A35"/>
    <w:rsid w:val="004337E8"/>
    <w:rsid w:val="004340A1"/>
    <w:rsid w:val="00435040"/>
    <w:rsid w:val="0043689F"/>
    <w:rsid w:val="00436A8C"/>
    <w:rsid w:val="00437866"/>
    <w:rsid w:val="004414E0"/>
    <w:rsid w:val="0044155B"/>
    <w:rsid w:val="004418DB"/>
    <w:rsid w:val="004424DA"/>
    <w:rsid w:val="004443F2"/>
    <w:rsid w:val="0044454A"/>
    <w:rsid w:val="004458A2"/>
    <w:rsid w:val="00447FBD"/>
    <w:rsid w:val="004505E8"/>
    <w:rsid w:val="004511F5"/>
    <w:rsid w:val="004517DF"/>
    <w:rsid w:val="004517EB"/>
    <w:rsid w:val="00451B0C"/>
    <w:rsid w:val="00451C8C"/>
    <w:rsid w:val="00451E93"/>
    <w:rsid w:val="00451FF1"/>
    <w:rsid w:val="00452614"/>
    <w:rsid w:val="00453426"/>
    <w:rsid w:val="004535FF"/>
    <w:rsid w:val="004538A9"/>
    <w:rsid w:val="00454B06"/>
    <w:rsid w:val="004556A7"/>
    <w:rsid w:val="00456819"/>
    <w:rsid w:val="00456DD5"/>
    <w:rsid w:val="00456FD6"/>
    <w:rsid w:val="00457DAC"/>
    <w:rsid w:val="00457E62"/>
    <w:rsid w:val="00460253"/>
    <w:rsid w:val="004618F1"/>
    <w:rsid w:val="00461C4B"/>
    <w:rsid w:val="00461CCB"/>
    <w:rsid w:val="00461DE5"/>
    <w:rsid w:val="00462274"/>
    <w:rsid w:val="004622B2"/>
    <w:rsid w:val="0046362B"/>
    <w:rsid w:val="00463FC8"/>
    <w:rsid w:val="00464169"/>
    <w:rsid w:val="00464575"/>
    <w:rsid w:val="00464AA7"/>
    <w:rsid w:val="004652D2"/>
    <w:rsid w:val="0046792C"/>
    <w:rsid w:val="00467E0F"/>
    <w:rsid w:val="00470A7A"/>
    <w:rsid w:val="00470DEA"/>
    <w:rsid w:val="00470EC0"/>
    <w:rsid w:val="00471081"/>
    <w:rsid w:val="004710FE"/>
    <w:rsid w:val="00472553"/>
    <w:rsid w:val="00472554"/>
    <w:rsid w:val="00472F8F"/>
    <w:rsid w:val="00474B51"/>
    <w:rsid w:val="00477191"/>
    <w:rsid w:val="004771B3"/>
    <w:rsid w:val="00477B7D"/>
    <w:rsid w:val="004812B9"/>
    <w:rsid w:val="004815BB"/>
    <w:rsid w:val="00481B7C"/>
    <w:rsid w:val="004820CD"/>
    <w:rsid w:val="00482A99"/>
    <w:rsid w:val="004840D6"/>
    <w:rsid w:val="00484D04"/>
    <w:rsid w:val="00485A1A"/>
    <w:rsid w:val="004860A0"/>
    <w:rsid w:val="00486BB4"/>
    <w:rsid w:val="0048796F"/>
    <w:rsid w:val="004879C3"/>
    <w:rsid w:val="00487C18"/>
    <w:rsid w:val="00487EE1"/>
    <w:rsid w:val="00490E82"/>
    <w:rsid w:val="00491D15"/>
    <w:rsid w:val="00491D65"/>
    <w:rsid w:val="00491EA6"/>
    <w:rsid w:val="00492776"/>
    <w:rsid w:val="004935FB"/>
    <w:rsid w:val="00493C86"/>
    <w:rsid w:val="00493D58"/>
    <w:rsid w:val="0049432A"/>
    <w:rsid w:val="00495300"/>
    <w:rsid w:val="004960B0"/>
    <w:rsid w:val="00496F48"/>
    <w:rsid w:val="004975EC"/>
    <w:rsid w:val="00497699"/>
    <w:rsid w:val="004A0E81"/>
    <w:rsid w:val="004A0FD1"/>
    <w:rsid w:val="004A2892"/>
    <w:rsid w:val="004A2C37"/>
    <w:rsid w:val="004A324F"/>
    <w:rsid w:val="004A3632"/>
    <w:rsid w:val="004A47F9"/>
    <w:rsid w:val="004A49EC"/>
    <w:rsid w:val="004A4FA6"/>
    <w:rsid w:val="004A5C57"/>
    <w:rsid w:val="004A63DC"/>
    <w:rsid w:val="004A6C0D"/>
    <w:rsid w:val="004A6CBF"/>
    <w:rsid w:val="004A72E2"/>
    <w:rsid w:val="004A7BAF"/>
    <w:rsid w:val="004B05E8"/>
    <w:rsid w:val="004B084D"/>
    <w:rsid w:val="004B1165"/>
    <w:rsid w:val="004B297C"/>
    <w:rsid w:val="004B2B6D"/>
    <w:rsid w:val="004B3445"/>
    <w:rsid w:val="004B3FC0"/>
    <w:rsid w:val="004B451B"/>
    <w:rsid w:val="004B4793"/>
    <w:rsid w:val="004B5121"/>
    <w:rsid w:val="004B55D4"/>
    <w:rsid w:val="004B6B42"/>
    <w:rsid w:val="004B7189"/>
    <w:rsid w:val="004B7BC8"/>
    <w:rsid w:val="004B7C60"/>
    <w:rsid w:val="004B7F13"/>
    <w:rsid w:val="004C09DB"/>
    <w:rsid w:val="004C10D6"/>
    <w:rsid w:val="004C251E"/>
    <w:rsid w:val="004C361F"/>
    <w:rsid w:val="004C3A97"/>
    <w:rsid w:val="004C3B71"/>
    <w:rsid w:val="004C3CB3"/>
    <w:rsid w:val="004C42A2"/>
    <w:rsid w:val="004C45FC"/>
    <w:rsid w:val="004C4E59"/>
    <w:rsid w:val="004C4E6F"/>
    <w:rsid w:val="004C5320"/>
    <w:rsid w:val="004C5F7D"/>
    <w:rsid w:val="004C6507"/>
    <w:rsid w:val="004C6833"/>
    <w:rsid w:val="004C6B84"/>
    <w:rsid w:val="004C7823"/>
    <w:rsid w:val="004D01C5"/>
    <w:rsid w:val="004D0231"/>
    <w:rsid w:val="004D0FAC"/>
    <w:rsid w:val="004D120D"/>
    <w:rsid w:val="004D2666"/>
    <w:rsid w:val="004D27A8"/>
    <w:rsid w:val="004D2CA5"/>
    <w:rsid w:val="004D4453"/>
    <w:rsid w:val="004D4DE2"/>
    <w:rsid w:val="004D4E5D"/>
    <w:rsid w:val="004D5095"/>
    <w:rsid w:val="004D564F"/>
    <w:rsid w:val="004D5C7A"/>
    <w:rsid w:val="004E05E8"/>
    <w:rsid w:val="004E087B"/>
    <w:rsid w:val="004E2089"/>
    <w:rsid w:val="004E23FC"/>
    <w:rsid w:val="004E2B28"/>
    <w:rsid w:val="004E33F9"/>
    <w:rsid w:val="004E356C"/>
    <w:rsid w:val="004E3FCB"/>
    <w:rsid w:val="004E4084"/>
    <w:rsid w:val="004E5117"/>
    <w:rsid w:val="004E5897"/>
    <w:rsid w:val="004E58E1"/>
    <w:rsid w:val="004E5D26"/>
    <w:rsid w:val="004E5F57"/>
    <w:rsid w:val="004E5FCB"/>
    <w:rsid w:val="004E60B8"/>
    <w:rsid w:val="004E6EF5"/>
    <w:rsid w:val="004E6F6D"/>
    <w:rsid w:val="004E7BF2"/>
    <w:rsid w:val="004E7FEA"/>
    <w:rsid w:val="004F1797"/>
    <w:rsid w:val="004F22EF"/>
    <w:rsid w:val="004F247B"/>
    <w:rsid w:val="004F3678"/>
    <w:rsid w:val="004F4268"/>
    <w:rsid w:val="004F4DA7"/>
    <w:rsid w:val="004F6799"/>
    <w:rsid w:val="004F6933"/>
    <w:rsid w:val="004F774C"/>
    <w:rsid w:val="004F77E7"/>
    <w:rsid w:val="004F7820"/>
    <w:rsid w:val="005010EC"/>
    <w:rsid w:val="0050285A"/>
    <w:rsid w:val="00502ABF"/>
    <w:rsid w:val="00503194"/>
    <w:rsid w:val="0050363A"/>
    <w:rsid w:val="00503F62"/>
    <w:rsid w:val="0050464A"/>
    <w:rsid w:val="00504A70"/>
    <w:rsid w:val="00504C68"/>
    <w:rsid w:val="00504EE7"/>
    <w:rsid w:val="005062FC"/>
    <w:rsid w:val="005068A0"/>
    <w:rsid w:val="00506A5E"/>
    <w:rsid w:val="00506A78"/>
    <w:rsid w:val="00507AE0"/>
    <w:rsid w:val="00510863"/>
    <w:rsid w:val="00510ACF"/>
    <w:rsid w:val="00510AD1"/>
    <w:rsid w:val="005116F3"/>
    <w:rsid w:val="0051177E"/>
    <w:rsid w:val="00512121"/>
    <w:rsid w:val="00512643"/>
    <w:rsid w:val="0051275D"/>
    <w:rsid w:val="00512CE3"/>
    <w:rsid w:val="00512D1F"/>
    <w:rsid w:val="00513AB9"/>
    <w:rsid w:val="00514191"/>
    <w:rsid w:val="0051491B"/>
    <w:rsid w:val="005158CE"/>
    <w:rsid w:val="00516037"/>
    <w:rsid w:val="00516F0D"/>
    <w:rsid w:val="0051773F"/>
    <w:rsid w:val="00517825"/>
    <w:rsid w:val="0051787D"/>
    <w:rsid w:val="00521AC9"/>
    <w:rsid w:val="00522351"/>
    <w:rsid w:val="0052351F"/>
    <w:rsid w:val="00525B67"/>
    <w:rsid w:val="00525E22"/>
    <w:rsid w:val="005263E6"/>
    <w:rsid w:val="00526BAA"/>
    <w:rsid w:val="00527223"/>
    <w:rsid w:val="00527977"/>
    <w:rsid w:val="00527F75"/>
    <w:rsid w:val="0053037E"/>
    <w:rsid w:val="00533D1D"/>
    <w:rsid w:val="0053447A"/>
    <w:rsid w:val="00534D5B"/>
    <w:rsid w:val="005355FD"/>
    <w:rsid w:val="005356A5"/>
    <w:rsid w:val="00535940"/>
    <w:rsid w:val="00537706"/>
    <w:rsid w:val="005403A2"/>
    <w:rsid w:val="005403C3"/>
    <w:rsid w:val="00540C4E"/>
    <w:rsid w:val="00540ED2"/>
    <w:rsid w:val="005415F3"/>
    <w:rsid w:val="00542C2C"/>
    <w:rsid w:val="00543274"/>
    <w:rsid w:val="00543832"/>
    <w:rsid w:val="0054384F"/>
    <w:rsid w:val="005449E3"/>
    <w:rsid w:val="00544B02"/>
    <w:rsid w:val="00544BAA"/>
    <w:rsid w:val="00544C7A"/>
    <w:rsid w:val="0054531A"/>
    <w:rsid w:val="0054541E"/>
    <w:rsid w:val="00545C9E"/>
    <w:rsid w:val="0054622E"/>
    <w:rsid w:val="005467FC"/>
    <w:rsid w:val="00547493"/>
    <w:rsid w:val="00547501"/>
    <w:rsid w:val="00547C84"/>
    <w:rsid w:val="00550090"/>
    <w:rsid w:val="005503CC"/>
    <w:rsid w:val="005508DC"/>
    <w:rsid w:val="0055169C"/>
    <w:rsid w:val="005527F2"/>
    <w:rsid w:val="00552BF3"/>
    <w:rsid w:val="0055336D"/>
    <w:rsid w:val="00553B4D"/>
    <w:rsid w:val="00553C2C"/>
    <w:rsid w:val="00554A50"/>
    <w:rsid w:val="00554C20"/>
    <w:rsid w:val="005553D2"/>
    <w:rsid w:val="00555DF2"/>
    <w:rsid w:val="00555FC3"/>
    <w:rsid w:val="0055632F"/>
    <w:rsid w:val="00556331"/>
    <w:rsid w:val="005564BE"/>
    <w:rsid w:val="005565FE"/>
    <w:rsid w:val="0055661B"/>
    <w:rsid w:val="00557508"/>
    <w:rsid w:val="00557B88"/>
    <w:rsid w:val="00560589"/>
    <w:rsid w:val="005605EB"/>
    <w:rsid w:val="005615C7"/>
    <w:rsid w:val="00561ED0"/>
    <w:rsid w:val="005620A9"/>
    <w:rsid w:val="00562E55"/>
    <w:rsid w:val="0056319A"/>
    <w:rsid w:val="00563A55"/>
    <w:rsid w:val="00563D5F"/>
    <w:rsid w:val="00563E5D"/>
    <w:rsid w:val="005640D7"/>
    <w:rsid w:val="00564F7E"/>
    <w:rsid w:val="00565101"/>
    <w:rsid w:val="0056511E"/>
    <w:rsid w:val="005653C2"/>
    <w:rsid w:val="00565665"/>
    <w:rsid w:val="0056589D"/>
    <w:rsid w:val="00565C1A"/>
    <w:rsid w:val="0056691E"/>
    <w:rsid w:val="00567782"/>
    <w:rsid w:val="00570E14"/>
    <w:rsid w:val="005713BF"/>
    <w:rsid w:val="005715B5"/>
    <w:rsid w:val="005718FE"/>
    <w:rsid w:val="00571D31"/>
    <w:rsid w:val="00571F28"/>
    <w:rsid w:val="00571F79"/>
    <w:rsid w:val="00573C49"/>
    <w:rsid w:val="00574613"/>
    <w:rsid w:val="005773F3"/>
    <w:rsid w:val="005779CA"/>
    <w:rsid w:val="00577B1A"/>
    <w:rsid w:val="00577EBE"/>
    <w:rsid w:val="0058030C"/>
    <w:rsid w:val="00580382"/>
    <w:rsid w:val="005808D2"/>
    <w:rsid w:val="00580B49"/>
    <w:rsid w:val="00581401"/>
    <w:rsid w:val="00581405"/>
    <w:rsid w:val="00581509"/>
    <w:rsid w:val="005815CC"/>
    <w:rsid w:val="00581650"/>
    <w:rsid w:val="0058212E"/>
    <w:rsid w:val="00582587"/>
    <w:rsid w:val="00582DF0"/>
    <w:rsid w:val="00582F9E"/>
    <w:rsid w:val="00583071"/>
    <w:rsid w:val="005834C3"/>
    <w:rsid w:val="005834CF"/>
    <w:rsid w:val="005847E1"/>
    <w:rsid w:val="00584F66"/>
    <w:rsid w:val="00585774"/>
    <w:rsid w:val="00585FEC"/>
    <w:rsid w:val="00586120"/>
    <w:rsid w:val="005866C6"/>
    <w:rsid w:val="00590313"/>
    <w:rsid w:val="0059078D"/>
    <w:rsid w:val="00590A0D"/>
    <w:rsid w:val="00590EAD"/>
    <w:rsid w:val="005917E1"/>
    <w:rsid w:val="00591CA9"/>
    <w:rsid w:val="00593195"/>
    <w:rsid w:val="005931C9"/>
    <w:rsid w:val="00593C2C"/>
    <w:rsid w:val="00594174"/>
    <w:rsid w:val="005943CF"/>
    <w:rsid w:val="00594559"/>
    <w:rsid w:val="005951E7"/>
    <w:rsid w:val="005954D8"/>
    <w:rsid w:val="00595C27"/>
    <w:rsid w:val="005963AE"/>
    <w:rsid w:val="0059670F"/>
    <w:rsid w:val="00597081"/>
    <w:rsid w:val="00597183"/>
    <w:rsid w:val="0059759E"/>
    <w:rsid w:val="00597FAC"/>
    <w:rsid w:val="005A0CD3"/>
    <w:rsid w:val="005A20C8"/>
    <w:rsid w:val="005A2322"/>
    <w:rsid w:val="005A27CE"/>
    <w:rsid w:val="005A28B0"/>
    <w:rsid w:val="005A2E43"/>
    <w:rsid w:val="005A3372"/>
    <w:rsid w:val="005A36DA"/>
    <w:rsid w:val="005A6F4A"/>
    <w:rsid w:val="005A7027"/>
    <w:rsid w:val="005A7868"/>
    <w:rsid w:val="005B00E9"/>
    <w:rsid w:val="005B03F8"/>
    <w:rsid w:val="005B069B"/>
    <w:rsid w:val="005B0C84"/>
    <w:rsid w:val="005B0EC0"/>
    <w:rsid w:val="005B0F56"/>
    <w:rsid w:val="005B1C13"/>
    <w:rsid w:val="005B1F3B"/>
    <w:rsid w:val="005B25A5"/>
    <w:rsid w:val="005B2960"/>
    <w:rsid w:val="005B3EFA"/>
    <w:rsid w:val="005B437F"/>
    <w:rsid w:val="005B4BF6"/>
    <w:rsid w:val="005B635A"/>
    <w:rsid w:val="005B7ABB"/>
    <w:rsid w:val="005B7D62"/>
    <w:rsid w:val="005C0331"/>
    <w:rsid w:val="005C1B2D"/>
    <w:rsid w:val="005C2894"/>
    <w:rsid w:val="005C4D57"/>
    <w:rsid w:val="005C6033"/>
    <w:rsid w:val="005C616E"/>
    <w:rsid w:val="005C6A52"/>
    <w:rsid w:val="005C6CFD"/>
    <w:rsid w:val="005C73E2"/>
    <w:rsid w:val="005C7596"/>
    <w:rsid w:val="005C7821"/>
    <w:rsid w:val="005C7ACD"/>
    <w:rsid w:val="005D0E74"/>
    <w:rsid w:val="005D11D7"/>
    <w:rsid w:val="005D1E97"/>
    <w:rsid w:val="005D1FF4"/>
    <w:rsid w:val="005D2549"/>
    <w:rsid w:val="005D3185"/>
    <w:rsid w:val="005D4555"/>
    <w:rsid w:val="005D4A2A"/>
    <w:rsid w:val="005D5972"/>
    <w:rsid w:val="005D5EC2"/>
    <w:rsid w:val="005D60B5"/>
    <w:rsid w:val="005D61B4"/>
    <w:rsid w:val="005D6C22"/>
    <w:rsid w:val="005D7768"/>
    <w:rsid w:val="005D7A83"/>
    <w:rsid w:val="005D7C4F"/>
    <w:rsid w:val="005E00A3"/>
    <w:rsid w:val="005E0CE6"/>
    <w:rsid w:val="005E11BA"/>
    <w:rsid w:val="005E1A08"/>
    <w:rsid w:val="005E1A97"/>
    <w:rsid w:val="005E2867"/>
    <w:rsid w:val="005E291F"/>
    <w:rsid w:val="005E2B5C"/>
    <w:rsid w:val="005E2ED9"/>
    <w:rsid w:val="005E341A"/>
    <w:rsid w:val="005E38FF"/>
    <w:rsid w:val="005E3AB4"/>
    <w:rsid w:val="005E404B"/>
    <w:rsid w:val="005E4360"/>
    <w:rsid w:val="005E4B68"/>
    <w:rsid w:val="005E4D4A"/>
    <w:rsid w:val="005E4E6F"/>
    <w:rsid w:val="005E5739"/>
    <w:rsid w:val="005E5F52"/>
    <w:rsid w:val="005E6261"/>
    <w:rsid w:val="005E665A"/>
    <w:rsid w:val="005E70F6"/>
    <w:rsid w:val="005F0E12"/>
    <w:rsid w:val="005F264E"/>
    <w:rsid w:val="005F265F"/>
    <w:rsid w:val="005F37F4"/>
    <w:rsid w:val="005F4C74"/>
    <w:rsid w:val="005F5252"/>
    <w:rsid w:val="005F537A"/>
    <w:rsid w:val="005F593F"/>
    <w:rsid w:val="005F5DE6"/>
    <w:rsid w:val="005F62AE"/>
    <w:rsid w:val="005F663A"/>
    <w:rsid w:val="005F6679"/>
    <w:rsid w:val="005F675C"/>
    <w:rsid w:val="005F6D17"/>
    <w:rsid w:val="005F72F0"/>
    <w:rsid w:val="005F7AC2"/>
    <w:rsid w:val="0060035A"/>
    <w:rsid w:val="00600B12"/>
    <w:rsid w:val="00600E1F"/>
    <w:rsid w:val="006016B5"/>
    <w:rsid w:val="00601C80"/>
    <w:rsid w:val="006025B4"/>
    <w:rsid w:val="00602B16"/>
    <w:rsid w:val="00603022"/>
    <w:rsid w:val="00603913"/>
    <w:rsid w:val="00604770"/>
    <w:rsid w:val="00604C3D"/>
    <w:rsid w:val="00605CE3"/>
    <w:rsid w:val="00606621"/>
    <w:rsid w:val="00606B13"/>
    <w:rsid w:val="006071EA"/>
    <w:rsid w:val="00607743"/>
    <w:rsid w:val="0061015E"/>
    <w:rsid w:val="0061059D"/>
    <w:rsid w:val="00613B8F"/>
    <w:rsid w:val="00613EBA"/>
    <w:rsid w:val="00614EC7"/>
    <w:rsid w:val="006169BE"/>
    <w:rsid w:val="006170B1"/>
    <w:rsid w:val="006172EC"/>
    <w:rsid w:val="006203D1"/>
    <w:rsid w:val="00622285"/>
    <w:rsid w:val="0062249E"/>
    <w:rsid w:val="006242C1"/>
    <w:rsid w:val="006246F7"/>
    <w:rsid w:val="006254F1"/>
    <w:rsid w:val="00625FEF"/>
    <w:rsid w:val="006261EF"/>
    <w:rsid w:val="006262EB"/>
    <w:rsid w:val="00626476"/>
    <w:rsid w:val="006267A1"/>
    <w:rsid w:val="00626D21"/>
    <w:rsid w:val="00627080"/>
    <w:rsid w:val="00627549"/>
    <w:rsid w:val="00627921"/>
    <w:rsid w:val="00627BCE"/>
    <w:rsid w:val="00627DF4"/>
    <w:rsid w:val="0063019A"/>
    <w:rsid w:val="00630331"/>
    <w:rsid w:val="00630831"/>
    <w:rsid w:val="0063159A"/>
    <w:rsid w:val="00631730"/>
    <w:rsid w:val="0063229E"/>
    <w:rsid w:val="00632E65"/>
    <w:rsid w:val="00633A4F"/>
    <w:rsid w:val="006342EB"/>
    <w:rsid w:val="00634428"/>
    <w:rsid w:val="006345A2"/>
    <w:rsid w:val="0063467B"/>
    <w:rsid w:val="006349D1"/>
    <w:rsid w:val="00634D10"/>
    <w:rsid w:val="00634F9C"/>
    <w:rsid w:val="00635201"/>
    <w:rsid w:val="0063525A"/>
    <w:rsid w:val="00635AA0"/>
    <w:rsid w:val="00636B7A"/>
    <w:rsid w:val="00636FF8"/>
    <w:rsid w:val="0063700A"/>
    <w:rsid w:val="00637F89"/>
    <w:rsid w:val="00640C7A"/>
    <w:rsid w:val="00641FF6"/>
    <w:rsid w:val="00642646"/>
    <w:rsid w:val="006427C4"/>
    <w:rsid w:val="00642825"/>
    <w:rsid w:val="00643F3D"/>
    <w:rsid w:val="00644423"/>
    <w:rsid w:val="00644C34"/>
    <w:rsid w:val="00645382"/>
    <w:rsid w:val="006455FC"/>
    <w:rsid w:val="00645659"/>
    <w:rsid w:val="00646399"/>
    <w:rsid w:val="00647142"/>
    <w:rsid w:val="006476A5"/>
    <w:rsid w:val="00650D58"/>
    <w:rsid w:val="00650E2B"/>
    <w:rsid w:val="006516FC"/>
    <w:rsid w:val="0065186A"/>
    <w:rsid w:val="006518DB"/>
    <w:rsid w:val="006524D9"/>
    <w:rsid w:val="00652BB0"/>
    <w:rsid w:val="00652EF4"/>
    <w:rsid w:val="0065322E"/>
    <w:rsid w:val="00653789"/>
    <w:rsid w:val="006538DA"/>
    <w:rsid w:val="00654CAF"/>
    <w:rsid w:val="006561E7"/>
    <w:rsid w:val="00656383"/>
    <w:rsid w:val="006566C8"/>
    <w:rsid w:val="00656B2E"/>
    <w:rsid w:val="0066025F"/>
    <w:rsid w:val="006606AC"/>
    <w:rsid w:val="00660CA6"/>
    <w:rsid w:val="00660E83"/>
    <w:rsid w:val="00661CD8"/>
    <w:rsid w:val="00662675"/>
    <w:rsid w:val="006626EB"/>
    <w:rsid w:val="0066327E"/>
    <w:rsid w:val="0066370E"/>
    <w:rsid w:val="00664155"/>
    <w:rsid w:val="0066438C"/>
    <w:rsid w:val="00664915"/>
    <w:rsid w:val="00666A70"/>
    <w:rsid w:val="00666D05"/>
    <w:rsid w:val="006676FA"/>
    <w:rsid w:val="00667892"/>
    <w:rsid w:val="00667910"/>
    <w:rsid w:val="006723C6"/>
    <w:rsid w:val="00672D70"/>
    <w:rsid w:val="00672EB1"/>
    <w:rsid w:val="0067365C"/>
    <w:rsid w:val="0067397F"/>
    <w:rsid w:val="00674212"/>
    <w:rsid w:val="006744A4"/>
    <w:rsid w:val="0067474D"/>
    <w:rsid w:val="00674ED4"/>
    <w:rsid w:val="00675285"/>
    <w:rsid w:val="00675E0F"/>
    <w:rsid w:val="006764D5"/>
    <w:rsid w:val="00676650"/>
    <w:rsid w:val="006770F5"/>
    <w:rsid w:val="0067769E"/>
    <w:rsid w:val="00680239"/>
    <w:rsid w:val="0068091D"/>
    <w:rsid w:val="00680ADE"/>
    <w:rsid w:val="00682618"/>
    <w:rsid w:val="00683348"/>
    <w:rsid w:val="0068426B"/>
    <w:rsid w:val="00685B26"/>
    <w:rsid w:val="00686780"/>
    <w:rsid w:val="006908FE"/>
    <w:rsid w:val="00691390"/>
    <w:rsid w:val="00691910"/>
    <w:rsid w:val="00692E00"/>
    <w:rsid w:val="00694160"/>
    <w:rsid w:val="0069425D"/>
    <w:rsid w:val="00694A00"/>
    <w:rsid w:val="00694AD2"/>
    <w:rsid w:val="00694D5E"/>
    <w:rsid w:val="00695AFE"/>
    <w:rsid w:val="00695B63"/>
    <w:rsid w:val="00696039"/>
    <w:rsid w:val="00696828"/>
    <w:rsid w:val="00696B3E"/>
    <w:rsid w:val="00697049"/>
    <w:rsid w:val="00697C3D"/>
    <w:rsid w:val="00697C75"/>
    <w:rsid w:val="006A05E0"/>
    <w:rsid w:val="006A0B9D"/>
    <w:rsid w:val="006A10E3"/>
    <w:rsid w:val="006A329A"/>
    <w:rsid w:val="006A33D4"/>
    <w:rsid w:val="006A3587"/>
    <w:rsid w:val="006A38C6"/>
    <w:rsid w:val="006A502E"/>
    <w:rsid w:val="006A5114"/>
    <w:rsid w:val="006A5FA3"/>
    <w:rsid w:val="006A6777"/>
    <w:rsid w:val="006A6EE0"/>
    <w:rsid w:val="006A766A"/>
    <w:rsid w:val="006B02A4"/>
    <w:rsid w:val="006B076C"/>
    <w:rsid w:val="006B0B0C"/>
    <w:rsid w:val="006B15AD"/>
    <w:rsid w:val="006B17AB"/>
    <w:rsid w:val="006B2253"/>
    <w:rsid w:val="006B25D5"/>
    <w:rsid w:val="006B3669"/>
    <w:rsid w:val="006B38C0"/>
    <w:rsid w:val="006B3D11"/>
    <w:rsid w:val="006B3D19"/>
    <w:rsid w:val="006B4A03"/>
    <w:rsid w:val="006B4EF1"/>
    <w:rsid w:val="006B53A5"/>
    <w:rsid w:val="006B6277"/>
    <w:rsid w:val="006B733D"/>
    <w:rsid w:val="006B758E"/>
    <w:rsid w:val="006B790E"/>
    <w:rsid w:val="006C01D9"/>
    <w:rsid w:val="006C0DCA"/>
    <w:rsid w:val="006C1252"/>
    <w:rsid w:val="006C18E7"/>
    <w:rsid w:val="006C1F11"/>
    <w:rsid w:val="006C202E"/>
    <w:rsid w:val="006C2073"/>
    <w:rsid w:val="006C2328"/>
    <w:rsid w:val="006C4233"/>
    <w:rsid w:val="006C5299"/>
    <w:rsid w:val="006C52AF"/>
    <w:rsid w:val="006C5575"/>
    <w:rsid w:val="006C5DC3"/>
    <w:rsid w:val="006C719F"/>
    <w:rsid w:val="006C7B9D"/>
    <w:rsid w:val="006D0462"/>
    <w:rsid w:val="006D1C59"/>
    <w:rsid w:val="006D27D4"/>
    <w:rsid w:val="006D3339"/>
    <w:rsid w:val="006D3585"/>
    <w:rsid w:val="006D44D6"/>
    <w:rsid w:val="006D5749"/>
    <w:rsid w:val="006D6710"/>
    <w:rsid w:val="006D6EB6"/>
    <w:rsid w:val="006D752E"/>
    <w:rsid w:val="006D7D09"/>
    <w:rsid w:val="006D7D75"/>
    <w:rsid w:val="006E08B6"/>
    <w:rsid w:val="006E0E00"/>
    <w:rsid w:val="006E0E6A"/>
    <w:rsid w:val="006E12A1"/>
    <w:rsid w:val="006E134A"/>
    <w:rsid w:val="006E1575"/>
    <w:rsid w:val="006E1C67"/>
    <w:rsid w:val="006E1D6F"/>
    <w:rsid w:val="006E29DD"/>
    <w:rsid w:val="006E2AA4"/>
    <w:rsid w:val="006E3308"/>
    <w:rsid w:val="006E3564"/>
    <w:rsid w:val="006E41D9"/>
    <w:rsid w:val="006E4870"/>
    <w:rsid w:val="006E5F2F"/>
    <w:rsid w:val="006E6AA7"/>
    <w:rsid w:val="006E773B"/>
    <w:rsid w:val="006E7910"/>
    <w:rsid w:val="006F0777"/>
    <w:rsid w:val="006F0970"/>
    <w:rsid w:val="006F18AA"/>
    <w:rsid w:val="006F1BCC"/>
    <w:rsid w:val="006F1D77"/>
    <w:rsid w:val="006F1F4A"/>
    <w:rsid w:val="006F248D"/>
    <w:rsid w:val="006F304E"/>
    <w:rsid w:val="006F3506"/>
    <w:rsid w:val="006F3A59"/>
    <w:rsid w:val="006F3AF1"/>
    <w:rsid w:val="006F3F2C"/>
    <w:rsid w:val="006F41F8"/>
    <w:rsid w:val="006F488C"/>
    <w:rsid w:val="006F4B70"/>
    <w:rsid w:val="006F5D14"/>
    <w:rsid w:val="006F5F84"/>
    <w:rsid w:val="006F6D7C"/>
    <w:rsid w:val="006F747D"/>
    <w:rsid w:val="006F774E"/>
    <w:rsid w:val="006F7853"/>
    <w:rsid w:val="00700A8E"/>
    <w:rsid w:val="00700FD9"/>
    <w:rsid w:val="007024CC"/>
    <w:rsid w:val="007040E7"/>
    <w:rsid w:val="007041C6"/>
    <w:rsid w:val="007046A7"/>
    <w:rsid w:val="00704895"/>
    <w:rsid w:val="00704DCC"/>
    <w:rsid w:val="00705A22"/>
    <w:rsid w:val="00705EF1"/>
    <w:rsid w:val="0070668F"/>
    <w:rsid w:val="007069D0"/>
    <w:rsid w:val="00707359"/>
    <w:rsid w:val="00710577"/>
    <w:rsid w:val="007111A7"/>
    <w:rsid w:val="0071263F"/>
    <w:rsid w:val="007129B7"/>
    <w:rsid w:val="00714391"/>
    <w:rsid w:val="00715008"/>
    <w:rsid w:val="00715379"/>
    <w:rsid w:val="007155BF"/>
    <w:rsid w:val="00717B40"/>
    <w:rsid w:val="00717C37"/>
    <w:rsid w:val="00720851"/>
    <w:rsid w:val="007209E1"/>
    <w:rsid w:val="00720A0F"/>
    <w:rsid w:val="00720C0A"/>
    <w:rsid w:val="00720C6C"/>
    <w:rsid w:val="0072159F"/>
    <w:rsid w:val="0072179C"/>
    <w:rsid w:val="00721896"/>
    <w:rsid w:val="00722568"/>
    <w:rsid w:val="007227B3"/>
    <w:rsid w:val="007227D1"/>
    <w:rsid w:val="007232A6"/>
    <w:rsid w:val="00725FAC"/>
    <w:rsid w:val="00726786"/>
    <w:rsid w:val="00727639"/>
    <w:rsid w:val="007279F4"/>
    <w:rsid w:val="00730179"/>
    <w:rsid w:val="00730956"/>
    <w:rsid w:val="00730AEF"/>
    <w:rsid w:val="007319B1"/>
    <w:rsid w:val="00732E51"/>
    <w:rsid w:val="007331F0"/>
    <w:rsid w:val="00733BB1"/>
    <w:rsid w:val="00733E29"/>
    <w:rsid w:val="007344DC"/>
    <w:rsid w:val="00734CAA"/>
    <w:rsid w:val="00735E17"/>
    <w:rsid w:val="00735F1A"/>
    <w:rsid w:val="00736758"/>
    <w:rsid w:val="007368F7"/>
    <w:rsid w:val="00736C53"/>
    <w:rsid w:val="00736F8C"/>
    <w:rsid w:val="00737DFB"/>
    <w:rsid w:val="007407F6"/>
    <w:rsid w:val="0074094C"/>
    <w:rsid w:val="00741CFB"/>
    <w:rsid w:val="007420F4"/>
    <w:rsid w:val="00742D65"/>
    <w:rsid w:val="00743DB7"/>
    <w:rsid w:val="00745065"/>
    <w:rsid w:val="007454E4"/>
    <w:rsid w:val="00745DED"/>
    <w:rsid w:val="00746E39"/>
    <w:rsid w:val="00747A88"/>
    <w:rsid w:val="0075003C"/>
    <w:rsid w:val="00750141"/>
    <w:rsid w:val="007503F9"/>
    <w:rsid w:val="0075102D"/>
    <w:rsid w:val="007515EC"/>
    <w:rsid w:val="00751BFC"/>
    <w:rsid w:val="00752684"/>
    <w:rsid w:val="00752A57"/>
    <w:rsid w:val="00752C6F"/>
    <w:rsid w:val="00752C7F"/>
    <w:rsid w:val="007539E9"/>
    <w:rsid w:val="00754229"/>
    <w:rsid w:val="0075519B"/>
    <w:rsid w:val="00755270"/>
    <w:rsid w:val="0075543E"/>
    <w:rsid w:val="00755D36"/>
    <w:rsid w:val="00755F6C"/>
    <w:rsid w:val="0075637F"/>
    <w:rsid w:val="00756DF3"/>
    <w:rsid w:val="00760F3F"/>
    <w:rsid w:val="0076204B"/>
    <w:rsid w:val="00763491"/>
    <w:rsid w:val="007636BC"/>
    <w:rsid w:val="00763CD3"/>
    <w:rsid w:val="00764A20"/>
    <w:rsid w:val="0076543C"/>
    <w:rsid w:val="007661AD"/>
    <w:rsid w:val="0076731C"/>
    <w:rsid w:val="00767A31"/>
    <w:rsid w:val="00767CE2"/>
    <w:rsid w:val="0077013A"/>
    <w:rsid w:val="00770ACD"/>
    <w:rsid w:val="00770AEE"/>
    <w:rsid w:val="007713A8"/>
    <w:rsid w:val="00771B97"/>
    <w:rsid w:val="00771DFC"/>
    <w:rsid w:val="0077239F"/>
    <w:rsid w:val="00772595"/>
    <w:rsid w:val="007735CF"/>
    <w:rsid w:val="00773CBE"/>
    <w:rsid w:val="007747C6"/>
    <w:rsid w:val="00774E45"/>
    <w:rsid w:val="00775887"/>
    <w:rsid w:val="007759C6"/>
    <w:rsid w:val="00777096"/>
    <w:rsid w:val="00777391"/>
    <w:rsid w:val="007775D3"/>
    <w:rsid w:val="00777A43"/>
    <w:rsid w:val="00777F0A"/>
    <w:rsid w:val="0078067E"/>
    <w:rsid w:val="00780806"/>
    <w:rsid w:val="00780A54"/>
    <w:rsid w:val="0078131F"/>
    <w:rsid w:val="00782337"/>
    <w:rsid w:val="00782819"/>
    <w:rsid w:val="00782C3E"/>
    <w:rsid w:val="00784031"/>
    <w:rsid w:val="0078441D"/>
    <w:rsid w:val="00784A45"/>
    <w:rsid w:val="00787694"/>
    <w:rsid w:val="0079062C"/>
    <w:rsid w:val="00790799"/>
    <w:rsid w:val="00791783"/>
    <w:rsid w:val="00792F9E"/>
    <w:rsid w:val="007931E0"/>
    <w:rsid w:val="00794B51"/>
    <w:rsid w:val="00794CA5"/>
    <w:rsid w:val="007952BC"/>
    <w:rsid w:val="007952F9"/>
    <w:rsid w:val="00796173"/>
    <w:rsid w:val="007965D1"/>
    <w:rsid w:val="007967BB"/>
    <w:rsid w:val="0079686D"/>
    <w:rsid w:val="007976E4"/>
    <w:rsid w:val="00797AB5"/>
    <w:rsid w:val="00797D1C"/>
    <w:rsid w:val="007A0892"/>
    <w:rsid w:val="007A09E7"/>
    <w:rsid w:val="007A1831"/>
    <w:rsid w:val="007A35DC"/>
    <w:rsid w:val="007A3A23"/>
    <w:rsid w:val="007A3E08"/>
    <w:rsid w:val="007A4204"/>
    <w:rsid w:val="007A44C5"/>
    <w:rsid w:val="007A4588"/>
    <w:rsid w:val="007A6BED"/>
    <w:rsid w:val="007A7D78"/>
    <w:rsid w:val="007A7F19"/>
    <w:rsid w:val="007B036D"/>
    <w:rsid w:val="007B0922"/>
    <w:rsid w:val="007B093F"/>
    <w:rsid w:val="007B0BCA"/>
    <w:rsid w:val="007B1936"/>
    <w:rsid w:val="007B3372"/>
    <w:rsid w:val="007B3A75"/>
    <w:rsid w:val="007B3ACB"/>
    <w:rsid w:val="007B4083"/>
    <w:rsid w:val="007B5D24"/>
    <w:rsid w:val="007B64CF"/>
    <w:rsid w:val="007B6785"/>
    <w:rsid w:val="007B73D8"/>
    <w:rsid w:val="007B7B87"/>
    <w:rsid w:val="007C045B"/>
    <w:rsid w:val="007C0B34"/>
    <w:rsid w:val="007C0EA4"/>
    <w:rsid w:val="007C0F1E"/>
    <w:rsid w:val="007C173C"/>
    <w:rsid w:val="007C19AF"/>
    <w:rsid w:val="007C2839"/>
    <w:rsid w:val="007C2AA2"/>
    <w:rsid w:val="007C3FDB"/>
    <w:rsid w:val="007C431A"/>
    <w:rsid w:val="007C4E83"/>
    <w:rsid w:val="007C5647"/>
    <w:rsid w:val="007C61C2"/>
    <w:rsid w:val="007C629A"/>
    <w:rsid w:val="007C62BC"/>
    <w:rsid w:val="007C727D"/>
    <w:rsid w:val="007C7B92"/>
    <w:rsid w:val="007C7B98"/>
    <w:rsid w:val="007D0A42"/>
    <w:rsid w:val="007D177F"/>
    <w:rsid w:val="007D189B"/>
    <w:rsid w:val="007D2907"/>
    <w:rsid w:val="007D34BD"/>
    <w:rsid w:val="007D3C3F"/>
    <w:rsid w:val="007D44B3"/>
    <w:rsid w:val="007D4DE4"/>
    <w:rsid w:val="007D4DED"/>
    <w:rsid w:val="007D6244"/>
    <w:rsid w:val="007E1D55"/>
    <w:rsid w:val="007E1DE9"/>
    <w:rsid w:val="007E34BC"/>
    <w:rsid w:val="007E40A4"/>
    <w:rsid w:val="007E4991"/>
    <w:rsid w:val="007E4A4E"/>
    <w:rsid w:val="007E4E43"/>
    <w:rsid w:val="007E58B8"/>
    <w:rsid w:val="007E5AE3"/>
    <w:rsid w:val="007E60CA"/>
    <w:rsid w:val="007E6975"/>
    <w:rsid w:val="007E7051"/>
    <w:rsid w:val="007E71B4"/>
    <w:rsid w:val="007F00A8"/>
    <w:rsid w:val="007F0306"/>
    <w:rsid w:val="007F060E"/>
    <w:rsid w:val="007F08DA"/>
    <w:rsid w:val="007F0988"/>
    <w:rsid w:val="007F1758"/>
    <w:rsid w:val="007F2166"/>
    <w:rsid w:val="007F2D72"/>
    <w:rsid w:val="007F2DC9"/>
    <w:rsid w:val="007F33E6"/>
    <w:rsid w:val="007F35F3"/>
    <w:rsid w:val="007F40E7"/>
    <w:rsid w:val="007F5009"/>
    <w:rsid w:val="007F5319"/>
    <w:rsid w:val="007F5711"/>
    <w:rsid w:val="007F5874"/>
    <w:rsid w:val="007F69D5"/>
    <w:rsid w:val="007F76A6"/>
    <w:rsid w:val="007F7813"/>
    <w:rsid w:val="007F7ACA"/>
    <w:rsid w:val="0080015F"/>
    <w:rsid w:val="00800616"/>
    <w:rsid w:val="00801AEF"/>
    <w:rsid w:val="0080261F"/>
    <w:rsid w:val="00802ED3"/>
    <w:rsid w:val="008034FE"/>
    <w:rsid w:val="0080390B"/>
    <w:rsid w:val="00804257"/>
    <w:rsid w:val="0080467B"/>
    <w:rsid w:val="00804BE7"/>
    <w:rsid w:val="0080591E"/>
    <w:rsid w:val="0080598D"/>
    <w:rsid w:val="008059F5"/>
    <w:rsid w:val="00805D07"/>
    <w:rsid w:val="0080602D"/>
    <w:rsid w:val="00806593"/>
    <w:rsid w:val="00806AC6"/>
    <w:rsid w:val="0080708C"/>
    <w:rsid w:val="00807319"/>
    <w:rsid w:val="008073A2"/>
    <w:rsid w:val="008078CE"/>
    <w:rsid w:val="00807D24"/>
    <w:rsid w:val="008101B9"/>
    <w:rsid w:val="00810559"/>
    <w:rsid w:val="00811CC1"/>
    <w:rsid w:val="00812149"/>
    <w:rsid w:val="00812625"/>
    <w:rsid w:val="00812742"/>
    <w:rsid w:val="00814C37"/>
    <w:rsid w:val="008150F8"/>
    <w:rsid w:val="00815739"/>
    <w:rsid w:val="00815EAC"/>
    <w:rsid w:val="008166BC"/>
    <w:rsid w:val="00817F07"/>
    <w:rsid w:val="008205EA"/>
    <w:rsid w:val="00821479"/>
    <w:rsid w:val="008214C2"/>
    <w:rsid w:val="00822084"/>
    <w:rsid w:val="008221A9"/>
    <w:rsid w:val="00822A3B"/>
    <w:rsid w:val="00822D6E"/>
    <w:rsid w:val="00823AC7"/>
    <w:rsid w:val="00825EF8"/>
    <w:rsid w:val="00825FE3"/>
    <w:rsid w:val="00826625"/>
    <w:rsid w:val="0082676D"/>
    <w:rsid w:val="00826DB9"/>
    <w:rsid w:val="00827CE3"/>
    <w:rsid w:val="008303C3"/>
    <w:rsid w:val="00830906"/>
    <w:rsid w:val="00831368"/>
    <w:rsid w:val="008315DB"/>
    <w:rsid w:val="00831634"/>
    <w:rsid w:val="00831737"/>
    <w:rsid w:val="00831CA2"/>
    <w:rsid w:val="00833726"/>
    <w:rsid w:val="0083382A"/>
    <w:rsid w:val="00833C3B"/>
    <w:rsid w:val="008349E5"/>
    <w:rsid w:val="00834E03"/>
    <w:rsid w:val="00835810"/>
    <w:rsid w:val="0083661A"/>
    <w:rsid w:val="00836E7D"/>
    <w:rsid w:val="00836F41"/>
    <w:rsid w:val="00837691"/>
    <w:rsid w:val="00837831"/>
    <w:rsid w:val="008413B8"/>
    <w:rsid w:val="008431BA"/>
    <w:rsid w:val="00844AA1"/>
    <w:rsid w:val="0084569A"/>
    <w:rsid w:val="00845DA4"/>
    <w:rsid w:val="00847E7D"/>
    <w:rsid w:val="00850790"/>
    <w:rsid w:val="008508A9"/>
    <w:rsid w:val="00851D75"/>
    <w:rsid w:val="00851FF6"/>
    <w:rsid w:val="008521E6"/>
    <w:rsid w:val="00852F31"/>
    <w:rsid w:val="00853AAD"/>
    <w:rsid w:val="00854749"/>
    <w:rsid w:val="008547EA"/>
    <w:rsid w:val="00854D30"/>
    <w:rsid w:val="00854E36"/>
    <w:rsid w:val="008550BD"/>
    <w:rsid w:val="00855370"/>
    <w:rsid w:val="00855750"/>
    <w:rsid w:val="00855E7D"/>
    <w:rsid w:val="008569B4"/>
    <w:rsid w:val="008578F5"/>
    <w:rsid w:val="00857AF0"/>
    <w:rsid w:val="00860586"/>
    <w:rsid w:val="00861367"/>
    <w:rsid w:val="00863AB2"/>
    <w:rsid w:val="00864B69"/>
    <w:rsid w:val="00865711"/>
    <w:rsid w:val="008658BB"/>
    <w:rsid w:val="008665C2"/>
    <w:rsid w:val="00866988"/>
    <w:rsid w:val="008672FA"/>
    <w:rsid w:val="0086793D"/>
    <w:rsid w:val="00867B19"/>
    <w:rsid w:val="00870E0C"/>
    <w:rsid w:val="008711BA"/>
    <w:rsid w:val="00871561"/>
    <w:rsid w:val="00871AC9"/>
    <w:rsid w:val="0087292B"/>
    <w:rsid w:val="00872A7D"/>
    <w:rsid w:val="00872CB6"/>
    <w:rsid w:val="00874068"/>
    <w:rsid w:val="00874B37"/>
    <w:rsid w:val="00874C23"/>
    <w:rsid w:val="00875716"/>
    <w:rsid w:val="00876778"/>
    <w:rsid w:val="00876A2B"/>
    <w:rsid w:val="0087719B"/>
    <w:rsid w:val="008803CB"/>
    <w:rsid w:val="00880AF5"/>
    <w:rsid w:val="008813FC"/>
    <w:rsid w:val="00882A01"/>
    <w:rsid w:val="00882A08"/>
    <w:rsid w:val="00883DE2"/>
    <w:rsid w:val="0088544E"/>
    <w:rsid w:val="00885F8B"/>
    <w:rsid w:val="0088667B"/>
    <w:rsid w:val="00886903"/>
    <w:rsid w:val="00886C23"/>
    <w:rsid w:val="00886F7C"/>
    <w:rsid w:val="00887029"/>
    <w:rsid w:val="00887255"/>
    <w:rsid w:val="00890A40"/>
    <w:rsid w:val="008910CE"/>
    <w:rsid w:val="00891274"/>
    <w:rsid w:val="008913CF"/>
    <w:rsid w:val="0089239C"/>
    <w:rsid w:val="0089346F"/>
    <w:rsid w:val="00893EC8"/>
    <w:rsid w:val="008940A9"/>
    <w:rsid w:val="00894BBA"/>
    <w:rsid w:val="00894E6B"/>
    <w:rsid w:val="00895EFD"/>
    <w:rsid w:val="00896CBA"/>
    <w:rsid w:val="00896EB7"/>
    <w:rsid w:val="008972D6"/>
    <w:rsid w:val="00897AD5"/>
    <w:rsid w:val="008A0385"/>
    <w:rsid w:val="008A0E8E"/>
    <w:rsid w:val="008A11D9"/>
    <w:rsid w:val="008A1A48"/>
    <w:rsid w:val="008A21C0"/>
    <w:rsid w:val="008A2548"/>
    <w:rsid w:val="008A32CB"/>
    <w:rsid w:val="008A340D"/>
    <w:rsid w:val="008A4688"/>
    <w:rsid w:val="008A4DDB"/>
    <w:rsid w:val="008A5372"/>
    <w:rsid w:val="008A5F34"/>
    <w:rsid w:val="008A612E"/>
    <w:rsid w:val="008A6288"/>
    <w:rsid w:val="008A6E76"/>
    <w:rsid w:val="008A7EBD"/>
    <w:rsid w:val="008A7EFD"/>
    <w:rsid w:val="008B03E9"/>
    <w:rsid w:val="008B17B9"/>
    <w:rsid w:val="008B1FD1"/>
    <w:rsid w:val="008B2475"/>
    <w:rsid w:val="008B3403"/>
    <w:rsid w:val="008B3BCB"/>
    <w:rsid w:val="008B4BFF"/>
    <w:rsid w:val="008B4EE3"/>
    <w:rsid w:val="008B5D10"/>
    <w:rsid w:val="008B62AF"/>
    <w:rsid w:val="008B740A"/>
    <w:rsid w:val="008C06ED"/>
    <w:rsid w:val="008C09A3"/>
    <w:rsid w:val="008C1A59"/>
    <w:rsid w:val="008C2DBA"/>
    <w:rsid w:val="008C35DC"/>
    <w:rsid w:val="008C39A5"/>
    <w:rsid w:val="008C43D9"/>
    <w:rsid w:val="008C4C68"/>
    <w:rsid w:val="008C4E9C"/>
    <w:rsid w:val="008C54B3"/>
    <w:rsid w:val="008C5BA3"/>
    <w:rsid w:val="008C6BB2"/>
    <w:rsid w:val="008C719E"/>
    <w:rsid w:val="008C7600"/>
    <w:rsid w:val="008C7C87"/>
    <w:rsid w:val="008D0462"/>
    <w:rsid w:val="008D07A2"/>
    <w:rsid w:val="008D083E"/>
    <w:rsid w:val="008D1834"/>
    <w:rsid w:val="008D1B8B"/>
    <w:rsid w:val="008D1CE0"/>
    <w:rsid w:val="008D1F23"/>
    <w:rsid w:val="008D329C"/>
    <w:rsid w:val="008D3F5B"/>
    <w:rsid w:val="008D422A"/>
    <w:rsid w:val="008D45DD"/>
    <w:rsid w:val="008D4815"/>
    <w:rsid w:val="008D4DEB"/>
    <w:rsid w:val="008D5E2F"/>
    <w:rsid w:val="008D6984"/>
    <w:rsid w:val="008D6CCE"/>
    <w:rsid w:val="008D720D"/>
    <w:rsid w:val="008E0A48"/>
    <w:rsid w:val="008E141F"/>
    <w:rsid w:val="008E14A4"/>
    <w:rsid w:val="008E4447"/>
    <w:rsid w:val="008E5508"/>
    <w:rsid w:val="008E5C21"/>
    <w:rsid w:val="008E6A9E"/>
    <w:rsid w:val="008E7010"/>
    <w:rsid w:val="008E7641"/>
    <w:rsid w:val="008E7C7C"/>
    <w:rsid w:val="008F0310"/>
    <w:rsid w:val="008F07C2"/>
    <w:rsid w:val="008F0B20"/>
    <w:rsid w:val="008F0D37"/>
    <w:rsid w:val="008F1640"/>
    <w:rsid w:val="008F2DC5"/>
    <w:rsid w:val="008F305C"/>
    <w:rsid w:val="008F35C9"/>
    <w:rsid w:val="008F37D9"/>
    <w:rsid w:val="008F3F63"/>
    <w:rsid w:val="008F43F2"/>
    <w:rsid w:val="008F4987"/>
    <w:rsid w:val="008F49F2"/>
    <w:rsid w:val="008F5254"/>
    <w:rsid w:val="008F6195"/>
    <w:rsid w:val="008F61A2"/>
    <w:rsid w:val="008F7382"/>
    <w:rsid w:val="008F7859"/>
    <w:rsid w:val="00900192"/>
    <w:rsid w:val="009002D8"/>
    <w:rsid w:val="0090057A"/>
    <w:rsid w:val="00900A74"/>
    <w:rsid w:val="00900BCA"/>
    <w:rsid w:val="00900D62"/>
    <w:rsid w:val="00901814"/>
    <w:rsid w:val="00901DEA"/>
    <w:rsid w:val="00902D13"/>
    <w:rsid w:val="00902E8A"/>
    <w:rsid w:val="00902F97"/>
    <w:rsid w:val="0090340E"/>
    <w:rsid w:val="009038D9"/>
    <w:rsid w:val="009039ED"/>
    <w:rsid w:val="00904586"/>
    <w:rsid w:val="00904B1C"/>
    <w:rsid w:val="00905299"/>
    <w:rsid w:val="009056D4"/>
    <w:rsid w:val="00905A06"/>
    <w:rsid w:val="0091014B"/>
    <w:rsid w:val="009102B7"/>
    <w:rsid w:val="009104CF"/>
    <w:rsid w:val="0091061C"/>
    <w:rsid w:val="0091084D"/>
    <w:rsid w:val="00910DA0"/>
    <w:rsid w:val="009111B4"/>
    <w:rsid w:val="0091162D"/>
    <w:rsid w:val="0091180E"/>
    <w:rsid w:val="00911A60"/>
    <w:rsid w:val="0091204E"/>
    <w:rsid w:val="00912266"/>
    <w:rsid w:val="00912432"/>
    <w:rsid w:val="0091385C"/>
    <w:rsid w:val="00913A2A"/>
    <w:rsid w:val="009145A4"/>
    <w:rsid w:val="00914651"/>
    <w:rsid w:val="00914CB6"/>
    <w:rsid w:val="009156FF"/>
    <w:rsid w:val="009159A7"/>
    <w:rsid w:val="00916974"/>
    <w:rsid w:val="00916BDC"/>
    <w:rsid w:val="00917899"/>
    <w:rsid w:val="00920102"/>
    <w:rsid w:val="00920FF8"/>
    <w:rsid w:val="009214EB"/>
    <w:rsid w:val="00921DA5"/>
    <w:rsid w:val="00921F93"/>
    <w:rsid w:val="0092203B"/>
    <w:rsid w:val="009237CA"/>
    <w:rsid w:val="00923AD5"/>
    <w:rsid w:val="00923D83"/>
    <w:rsid w:val="009245A5"/>
    <w:rsid w:val="00924757"/>
    <w:rsid w:val="00925EA0"/>
    <w:rsid w:val="00927A3E"/>
    <w:rsid w:val="00927C32"/>
    <w:rsid w:val="00927F38"/>
    <w:rsid w:val="009307DE"/>
    <w:rsid w:val="00931C69"/>
    <w:rsid w:val="009325DA"/>
    <w:rsid w:val="0093283F"/>
    <w:rsid w:val="00932EF5"/>
    <w:rsid w:val="00933114"/>
    <w:rsid w:val="00933C95"/>
    <w:rsid w:val="009347AC"/>
    <w:rsid w:val="00934924"/>
    <w:rsid w:val="00935442"/>
    <w:rsid w:val="009356F5"/>
    <w:rsid w:val="0093575F"/>
    <w:rsid w:val="00935FF1"/>
    <w:rsid w:val="009406B0"/>
    <w:rsid w:val="00940C8A"/>
    <w:rsid w:val="00941094"/>
    <w:rsid w:val="009419BC"/>
    <w:rsid w:val="00942E6E"/>
    <w:rsid w:val="009432C0"/>
    <w:rsid w:val="0094391A"/>
    <w:rsid w:val="009443DD"/>
    <w:rsid w:val="00944448"/>
    <w:rsid w:val="00944970"/>
    <w:rsid w:val="00944AB7"/>
    <w:rsid w:val="00944BDB"/>
    <w:rsid w:val="00945171"/>
    <w:rsid w:val="009457D0"/>
    <w:rsid w:val="009465F7"/>
    <w:rsid w:val="009467E5"/>
    <w:rsid w:val="00946AAA"/>
    <w:rsid w:val="0094716C"/>
    <w:rsid w:val="00947AA0"/>
    <w:rsid w:val="009500DE"/>
    <w:rsid w:val="009507C5"/>
    <w:rsid w:val="00950B26"/>
    <w:rsid w:val="0095116A"/>
    <w:rsid w:val="0095132A"/>
    <w:rsid w:val="00951540"/>
    <w:rsid w:val="00951A81"/>
    <w:rsid w:val="00951B27"/>
    <w:rsid w:val="00952071"/>
    <w:rsid w:val="00952853"/>
    <w:rsid w:val="00954391"/>
    <w:rsid w:val="00954B23"/>
    <w:rsid w:val="00954DCE"/>
    <w:rsid w:val="00954F2C"/>
    <w:rsid w:val="00955468"/>
    <w:rsid w:val="00955D2F"/>
    <w:rsid w:val="00955ED0"/>
    <w:rsid w:val="00956670"/>
    <w:rsid w:val="009567FC"/>
    <w:rsid w:val="00957793"/>
    <w:rsid w:val="009603DE"/>
    <w:rsid w:val="00960F12"/>
    <w:rsid w:val="0096105C"/>
    <w:rsid w:val="0096140B"/>
    <w:rsid w:val="009620E5"/>
    <w:rsid w:val="009638B6"/>
    <w:rsid w:val="00963EF7"/>
    <w:rsid w:val="00964158"/>
    <w:rsid w:val="009655CB"/>
    <w:rsid w:val="00965765"/>
    <w:rsid w:val="0096652B"/>
    <w:rsid w:val="009668E0"/>
    <w:rsid w:val="009668EB"/>
    <w:rsid w:val="009676F5"/>
    <w:rsid w:val="0096786E"/>
    <w:rsid w:val="009679AF"/>
    <w:rsid w:val="009679F8"/>
    <w:rsid w:val="00970683"/>
    <w:rsid w:val="0097099F"/>
    <w:rsid w:val="00970D7E"/>
    <w:rsid w:val="009715EC"/>
    <w:rsid w:val="00971EA6"/>
    <w:rsid w:val="00972123"/>
    <w:rsid w:val="009722F7"/>
    <w:rsid w:val="00972C22"/>
    <w:rsid w:val="009733D8"/>
    <w:rsid w:val="009733DF"/>
    <w:rsid w:val="00973465"/>
    <w:rsid w:val="00974AA0"/>
    <w:rsid w:val="009752D4"/>
    <w:rsid w:val="0097577A"/>
    <w:rsid w:val="0097665D"/>
    <w:rsid w:val="00977114"/>
    <w:rsid w:val="0097715C"/>
    <w:rsid w:val="00977271"/>
    <w:rsid w:val="00977724"/>
    <w:rsid w:val="0097781A"/>
    <w:rsid w:val="00977C87"/>
    <w:rsid w:val="00980F16"/>
    <w:rsid w:val="0098164C"/>
    <w:rsid w:val="00981A7E"/>
    <w:rsid w:val="00982FE3"/>
    <w:rsid w:val="00983FCD"/>
    <w:rsid w:val="0098528C"/>
    <w:rsid w:val="0098583B"/>
    <w:rsid w:val="00986029"/>
    <w:rsid w:val="00986A7E"/>
    <w:rsid w:val="00986B4A"/>
    <w:rsid w:val="009874F1"/>
    <w:rsid w:val="00987DF3"/>
    <w:rsid w:val="00990083"/>
    <w:rsid w:val="0099047B"/>
    <w:rsid w:val="009905C2"/>
    <w:rsid w:val="009924A3"/>
    <w:rsid w:val="00992C67"/>
    <w:rsid w:val="0099354A"/>
    <w:rsid w:val="00994028"/>
    <w:rsid w:val="00996121"/>
    <w:rsid w:val="00996679"/>
    <w:rsid w:val="00996A71"/>
    <w:rsid w:val="0099720A"/>
    <w:rsid w:val="00997554"/>
    <w:rsid w:val="009978F5"/>
    <w:rsid w:val="00997C51"/>
    <w:rsid w:val="009A0169"/>
    <w:rsid w:val="009A062D"/>
    <w:rsid w:val="009A1624"/>
    <w:rsid w:val="009A1ABF"/>
    <w:rsid w:val="009A1AF3"/>
    <w:rsid w:val="009A1E3D"/>
    <w:rsid w:val="009A3B2A"/>
    <w:rsid w:val="009A3EB9"/>
    <w:rsid w:val="009A4884"/>
    <w:rsid w:val="009A4FCF"/>
    <w:rsid w:val="009A638F"/>
    <w:rsid w:val="009B0DC5"/>
    <w:rsid w:val="009B1515"/>
    <w:rsid w:val="009B1E5C"/>
    <w:rsid w:val="009B1EF3"/>
    <w:rsid w:val="009B2499"/>
    <w:rsid w:val="009B265B"/>
    <w:rsid w:val="009B3B24"/>
    <w:rsid w:val="009B42F3"/>
    <w:rsid w:val="009B5122"/>
    <w:rsid w:val="009B562B"/>
    <w:rsid w:val="009B63A9"/>
    <w:rsid w:val="009B708A"/>
    <w:rsid w:val="009B753D"/>
    <w:rsid w:val="009C043E"/>
    <w:rsid w:val="009C14F1"/>
    <w:rsid w:val="009C18BA"/>
    <w:rsid w:val="009C2756"/>
    <w:rsid w:val="009C2CAD"/>
    <w:rsid w:val="009C4843"/>
    <w:rsid w:val="009C615D"/>
    <w:rsid w:val="009C6655"/>
    <w:rsid w:val="009C6C7B"/>
    <w:rsid w:val="009C6F46"/>
    <w:rsid w:val="009D09D2"/>
    <w:rsid w:val="009D0FBF"/>
    <w:rsid w:val="009D13D8"/>
    <w:rsid w:val="009D1C31"/>
    <w:rsid w:val="009D2240"/>
    <w:rsid w:val="009D2297"/>
    <w:rsid w:val="009D2A6B"/>
    <w:rsid w:val="009D39FF"/>
    <w:rsid w:val="009D45BF"/>
    <w:rsid w:val="009D49FF"/>
    <w:rsid w:val="009D4BCC"/>
    <w:rsid w:val="009D5207"/>
    <w:rsid w:val="009D54AE"/>
    <w:rsid w:val="009D5D8A"/>
    <w:rsid w:val="009D70D1"/>
    <w:rsid w:val="009D78CA"/>
    <w:rsid w:val="009E0F1E"/>
    <w:rsid w:val="009E1796"/>
    <w:rsid w:val="009E203B"/>
    <w:rsid w:val="009E3DA1"/>
    <w:rsid w:val="009E3DCE"/>
    <w:rsid w:val="009E3F28"/>
    <w:rsid w:val="009E4806"/>
    <w:rsid w:val="009E4A0B"/>
    <w:rsid w:val="009E5D66"/>
    <w:rsid w:val="009E637B"/>
    <w:rsid w:val="009E6623"/>
    <w:rsid w:val="009E74A0"/>
    <w:rsid w:val="009E787E"/>
    <w:rsid w:val="009F0A2E"/>
    <w:rsid w:val="009F0C8F"/>
    <w:rsid w:val="009F1854"/>
    <w:rsid w:val="009F1994"/>
    <w:rsid w:val="009F1E98"/>
    <w:rsid w:val="009F1FAB"/>
    <w:rsid w:val="009F29AF"/>
    <w:rsid w:val="009F3AFA"/>
    <w:rsid w:val="009F425B"/>
    <w:rsid w:val="009F4424"/>
    <w:rsid w:val="009F4FC6"/>
    <w:rsid w:val="009F5568"/>
    <w:rsid w:val="009F5728"/>
    <w:rsid w:val="009F589C"/>
    <w:rsid w:val="009F5A84"/>
    <w:rsid w:val="009F5C1B"/>
    <w:rsid w:val="009F69CC"/>
    <w:rsid w:val="00A00088"/>
    <w:rsid w:val="00A00DC5"/>
    <w:rsid w:val="00A022F9"/>
    <w:rsid w:val="00A02FB1"/>
    <w:rsid w:val="00A03114"/>
    <w:rsid w:val="00A03CA2"/>
    <w:rsid w:val="00A043F0"/>
    <w:rsid w:val="00A0509D"/>
    <w:rsid w:val="00A075EE"/>
    <w:rsid w:val="00A077FD"/>
    <w:rsid w:val="00A07C41"/>
    <w:rsid w:val="00A07C48"/>
    <w:rsid w:val="00A11242"/>
    <w:rsid w:val="00A11437"/>
    <w:rsid w:val="00A1159B"/>
    <w:rsid w:val="00A11A6B"/>
    <w:rsid w:val="00A1233A"/>
    <w:rsid w:val="00A127C4"/>
    <w:rsid w:val="00A1291C"/>
    <w:rsid w:val="00A13344"/>
    <w:rsid w:val="00A1341A"/>
    <w:rsid w:val="00A13532"/>
    <w:rsid w:val="00A13C72"/>
    <w:rsid w:val="00A141E3"/>
    <w:rsid w:val="00A1506C"/>
    <w:rsid w:val="00A15A7D"/>
    <w:rsid w:val="00A161CB"/>
    <w:rsid w:val="00A171CD"/>
    <w:rsid w:val="00A17F74"/>
    <w:rsid w:val="00A20024"/>
    <w:rsid w:val="00A2088E"/>
    <w:rsid w:val="00A20FCE"/>
    <w:rsid w:val="00A22707"/>
    <w:rsid w:val="00A227BF"/>
    <w:rsid w:val="00A2326E"/>
    <w:rsid w:val="00A247EC"/>
    <w:rsid w:val="00A248CA"/>
    <w:rsid w:val="00A24CBB"/>
    <w:rsid w:val="00A25BF7"/>
    <w:rsid w:val="00A264FC"/>
    <w:rsid w:val="00A272CF"/>
    <w:rsid w:val="00A30916"/>
    <w:rsid w:val="00A3137E"/>
    <w:rsid w:val="00A3155C"/>
    <w:rsid w:val="00A316D0"/>
    <w:rsid w:val="00A316D5"/>
    <w:rsid w:val="00A325EA"/>
    <w:rsid w:val="00A32829"/>
    <w:rsid w:val="00A3398C"/>
    <w:rsid w:val="00A34009"/>
    <w:rsid w:val="00A34AFF"/>
    <w:rsid w:val="00A350D1"/>
    <w:rsid w:val="00A352CD"/>
    <w:rsid w:val="00A35C04"/>
    <w:rsid w:val="00A35CDD"/>
    <w:rsid w:val="00A35E58"/>
    <w:rsid w:val="00A364E5"/>
    <w:rsid w:val="00A37B91"/>
    <w:rsid w:val="00A4090E"/>
    <w:rsid w:val="00A4147B"/>
    <w:rsid w:val="00A41832"/>
    <w:rsid w:val="00A41F18"/>
    <w:rsid w:val="00A425AF"/>
    <w:rsid w:val="00A430F4"/>
    <w:rsid w:val="00A43261"/>
    <w:rsid w:val="00A4345C"/>
    <w:rsid w:val="00A45397"/>
    <w:rsid w:val="00A46182"/>
    <w:rsid w:val="00A46B2F"/>
    <w:rsid w:val="00A46D60"/>
    <w:rsid w:val="00A47729"/>
    <w:rsid w:val="00A50CFA"/>
    <w:rsid w:val="00A51367"/>
    <w:rsid w:val="00A51414"/>
    <w:rsid w:val="00A52865"/>
    <w:rsid w:val="00A52BB0"/>
    <w:rsid w:val="00A52DA8"/>
    <w:rsid w:val="00A5313C"/>
    <w:rsid w:val="00A53BB2"/>
    <w:rsid w:val="00A54336"/>
    <w:rsid w:val="00A54BBB"/>
    <w:rsid w:val="00A54C87"/>
    <w:rsid w:val="00A55028"/>
    <w:rsid w:val="00A556F3"/>
    <w:rsid w:val="00A5652E"/>
    <w:rsid w:val="00A56956"/>
    <w:rsid w:val="00A56D2E"/>
    <w:rsid w:val="00A57736"/>
    <w:rsid w:val="00A57EEB"/>
    <w:rsid w:val="00A6016D"/>
    <w:rsid w:val="00A60560"/>
    <w:rsid w:val="00A605EF"/>
    <w:rsid w:val="00A60808"/>
    <w:rsid w:val="00A60F5A"/>
    <w:rsid w:val="00A60FA8"/>
    <w:rsid w:val="00A6155B"/>
    <w:rsid w:val="00A62826"/>
    <w:rsid w:val="00A6327D"/>
    <w:rsid w:val="00A63A27"/>
    <w:rsid w:val="00A64191"/>
    <w:rsid w:val="00A652F6"/>
    <w:rsid w:val="00A656E9"/>
    <w:rsid w:val="00A671B4"/>
    <w:rsid w:val="00A70D74"/>
    <w:rsid w:val="00A715BC"/>
    <w:rsid w:val="00A719AD"/>
    <w:rsid w:val="00A7265D"/>
    <w:rsid w:val="00A72B68"/>
    <w:rsid w:val="00A72E05"/>
    <w:rsid w:val="00A73247"/>
    <w:rsid w:val="00A7466C"/>
    <w:rsid w:val="00A75D68"/>
    <w:rsid w:val="00A764C0"/>
    <w:rsid w:val="00A77006"/>
    <w:rsid w:val="00A77242"/>
    <w:rsid w:val="00A80105"/>
    <w:rsid w:val="00A82D86"/>
    <w:rsid w:val="00A83A89"/>
    <w:rsid w:val="00A843B6"/>
    <w:rsid w:val="00A85053"/>
    <w:rsid w:val="00A850FE"/>
    <w:rsid w:val="00A85644"/>
    <w:rsid w:val="00A8723E"/>
    <w:rsid w:val="00A877ED"/>
    <w:rsid w:val="00A9035D"/>
    <w:rsid w:val="00A90504"/>
    <w:rsid w:val="00A915DA"/>
    <w:rsid w:val="00A915F6"/>
    <w:rsid w:val="00A91E3C"/>
    <w:rsid w:val="00A9204A"/>
    <w:rsid w:val="00A94042"/>
    <w:rsid w:val="00A94587"/>
    <w:rsid w:val="00A94DC0"/>
    <w:rsid w:val="00A9511A"/>
    <w:rsid w:val="00A95219"/>
    <w:rsid w:val="00A95810"/>
    <w:rsid w:val="00A95D13"/>
    <w:rsid w:val="00A96583"/>
    <w:rsid w:val="00A96595"/>
    <w:rsid w:val="00A9704B"/>
    <w:rsid w:val="00A97BCE"/>
    <w:rsid w:val="00AA205E"/>
    <w:rsid w:val="00AA22CA"/>
    <w:rsid w:val="00AA3677"/>
    <w:rsid w:val="00AA3949"/>
    <w:rsid w:val="00AA527C"/>
    <w:rsid w:val="00AA6844"/>
    <w:rsid w:val="00AA6FE2"/>
    <w:rsid w:val="00AB3572"/>
    <w:rsid w:val="00AB4308"/>
    <w:rsid w:val="00AB4421"/>
    <w:rsid w:val="00AB4D1A"/>
    <w:rsid w:val="00AB503B"/>
    <w:rsid w:val="00AB534D"/>
    <w:rsid w:val="00AB5E61"/>
    <w:rsid w:val="00AB61AC"/>
    <w:rsid w:val="00AB677C"/>
    <w:rsid w:val="00AB710B"/>
    <w:rsid w:val="00AB71D4"/>
    <w:rsid w:val="00AB7269"/>
    <w:rsid w:val="00AB7740"/>
    <w:rsid w:val="00AB7C50"/>
    <w:rsid w:val="00AB7DD9"/>
    <w:rsid w:val="00AC0090"/>
    <w:rsid w:val="00AC00CB"/>
    <w:rsid w:val="00AC071B"/>
    <w:rsid w:val="00AC1272"/>
    <w:rsid w:val="00AC1969"/>
    <w:rsid w:val="00AC1C15"/>
    <w:rsid w:val="00AC2709"/>
    <w:rsid w:val="00AC2EE9"/>
    <w:rsid w:val="00AC3538"/>
    <w:rsid w:val="00AC4D0F"/>
    <w:rsid w:val="00AC6141"/>
    <w:rsid w:val="00AC62A6"/>
    <w:rsid w:val="00AC67B0"/>
    <w:rsid w:val="00AC6804"/>
    <w:rsid w:val="00AC6B4B"/>
    <w:rsid w:val="00AC7172"/>
    <w:rsid w:val="00AD090E"/>
    <w:rsid w:val="00AD1587"/>
    <w:rsid w:val="00AD30BA"/>
    <w:rsid w:val="00AD343A"/>
    <w:rsid w:val="00AD35D8"/>
    <w:rsid w:val="00AD3B44"/>
    <w:rsid w:val="00AD3E25"/>
    <w:rsid w:val="00AD443F"/>
    <w:rsid w:val="00AD525F"/>
    <w:rsid w:val="00AD575A"/>
    <w:rsid w:val="00AD5DCD"/>
    <w:rsid w:val="00AD64A3"/>
    <w:rsid w:val="00AD66F6"/>
    <w:rsid w:val="00AD72F9"/>
    <w:rsid w:val="00AE0165"/>
    <w:rsid w:val="00AE034D"/>
    <w:rsid w:val="00AE0D6F"/>
    <w:rsid w:val="00AE18D9"/>
    <w:rsid w:val="00AE1D74"/>
    <w:rsid w:val="00AE2442"/>
    <w:rsid w:val="00AE28CB"/>
    <w:rsid w:val="00AE2C30"/>
    <w:rsid w:val="00AE2CF6"/>
    <w:rsid w:val="00AE3409"/>
    <w:rsid w:val="00AE39F6"/>
    <w:rsid w:val="00AE3F18"/>
    <w:rsid w:val="00AE44EC"/>
    <w:rsid w:val="00AE4B9E"/>
    <w:rsid w:val="00AE53A7"/>
    <w:rsid w:val="00AE5DF0"/>
    <w:rsid w:val="00AE6095"/>
    <w:rsid w:val="00AE626E"/>
    <w:rsid w:val="00AE6524"/>
    <w:rsid w:val="00AE76BF"/>
    <w:rsid w:val="00AE77C8"/>
    <w:rsid w:val="00AE7B07"/>
    <w:rsid w:val="00AE7E22"/>
    <w:rsid w:val="00AF0798"/>
    <w:rsid w:val="00AF1211"/>
    <w:rsid w:val="00AF17FE"/>
    <w:rsid w:val="00AF1AAB"/>
    <w:rsid w:val="00AF32DB"/>
    <w:rsid w:val="00AF3D05"/>
    <w:rsid w:val="00AF4055"/>
    <w:rsid w:val="00AF4097"/>
    <w:rsid w:val="00AF564C"/>
    <w:rsid w:val="00AF682C"/>
    <w:rsid w:val="00AF6FD9"/>
    <w:rsid w:val="00AF7877"/>
    <w:rsid w:val="00AF7A8F"/>
    <w:rsid w:val="00AF7B9C"/>
    <w:rsid w:val="00AF7FB6"/>
    <w:rsid w:val="00B003AD"/>
    <w:rsid w:val="00B01EFF"/>
    <w:rsid w:val="00B02265"/>
    <w:rsid w:val="00B028E4"/>
    <w:rsid w:val="00B02B1D"/>
    <w:rsid w:val="00B02C80"/>
    <w:rsid w:val="00B039DD"/>
    <w:rsid w:val="00B03A07"/>
    <w:rsid w:val="00B043B3"/>
    <w:rsid w:val="00B0458E"/>
    <w:rsid w:val="00B04F30"/>
    <w:rsid w:val="00B054F3"/>
    <w:rsid w:val="00B07390"/>
    <w:rsid w:val="00B078C8"/>
    <w:rsid w:val="00B07A3F"/>
    <w:rsid w:val="00B07C94"/>
    <w:rsid w:val="00B10181"/>
    <w:rsid w:val="00B101FE"/>
    <w:rsid w:val="00B10784"/>
    <w:rsid w:val="00B114ED"/>
    <w:rsid w:val="00B11865"/>
    <w:rsid w:val="00B12A4D"/>
    <w:rsid w:val="00B12BEC"/>
    <w:rsid w:val="00B13554"/>
    <w:rsid w:val="00B1389A"/>
    <w:rsid w:val="00B1594E"/>
    <w:rsid w:val="00B15D55"/>
    <w:rsid w:val="00B16C9A"/>
    <w:rsid w:val="00B17B93"/>
    <w:rsid w:val="00B21FEB"/>
    <w:rsid w:val="00B225D5"/>
    <w:rsid w:val="00B22FFD"/>
    <w:rsid w:val="00B23188"/>
    <w:rsid w:val="00B239A7"/>
    <w:rsid w:val="00B2548C"/>
    <w:rsid w:val="00B25B86"/>
    <w:rsid w:val="00B26632"/>
    <w:rsid w:val="00B269AD"/>
    <w:rsid w:val="00B26DE6"/>
    <w:rsid w:val="00B301D8"/>
    <w:rsid w:val="00B30FDC"/>
    <w:rsid w:val="00B31B40"/>
    <w:rsid w:val="00B32612"/>
    <w:rsid w:val="00B327BE"/>
    <w:rsid w:val="00B343D4"/>
    <w:rsid w:val="00B3468D"/>
    <w:rsid w:val="00B3546F"/>
    <w:rsid w:val="00B354E6"/>
    <w:rsid w:val="00B355B5"/>
    <w:rsid w:val="00B359C2"/>
    <w:rsid w:val="00B36078"/>
    <w:rsid w:val="00B36712"/>
    <w:rsid w:val="00B36AFE"/>
    <w:rsid w:val="00B36B04"/>
    <w:rsid w:val="00B3797D"/>
    <w:rsid w:val="00B401BA"/>
    <w:rsid w:val="00B40F91"/>
    <w:rsid w:val="00B41073"/>
    <w:rsid w:val="00B411F1"/>
    <w:rsid w:val="00B4143B"/>
    <w:rsid w:val="00B4194E"/>
    <w:rsid w:val="00B41FEE"/>
    <w:rsid w:val="00B421AA"/>
    <w:rsid w:val="00B42263"/>
    <w:rsid w:val="00B42385"/>
    <w:rsid w:val="00B42532"/>
    <w:rsid w:val="00B42D61"/>
    <w:rsid w:val="00B43ED0"/>
    <w:rsid w:val="00B45787"/>
    <w:rsid w:val="00B46872"/>
    <w:rsid w:val="00B46BBF"/>
    <w:rsid w:val="00B46E1B"/>
    <w:rsid w:val="00B46F6F"/>
    <w:rsid w:val="00B4701E"/>
    <w:rsid w:val="00B479B5"/>
    <w:rsid w:val="00B5088A"/>
    <w:rsid w:val="00B50CFF"/>
    <w:rsid w:val="00B51054"/>
    <w:rsid w:val="00B52407"/>
    <w:rsid w:val="00B5300C"/>
    <w:rsid w:val="00B53D63"/>
    <w:rsid w:val="00B54190"/>
    <w:rsid w:val="00B54404"/>
    <w:rsid w:val="00B54933"/>
    <w:rsid w:val="00B54B57"/>
    <w:rsid w:val="00B54BEA"/>
    <w:rsid w:val="00B54C57"/>
    <w:rsid w:val="00B56685"/>
    <w:rsid w:val="00B604D6"/>
    <w:rsid w:val="00B60B45"/>
    <w:rsid w:val="00B60BDE"/>
    <w:rsid w:val="00B6170C"/>
    <w:rsid w:val="00B62300"/>
    <w:rsid w:val="00B623FC"/>
    <w:rsid w:val="00B63C7B"/>
    <w:rsid w:val="00B640F5"/>
    <w:rsid w:val="00B64710"/>
    <w:rsid w:val="00B649FF"/>
    <w:rsid w:val="00B654CC"/>
    <w:rsid w:val="00B65E0B"/>
    <w:rsid w:val="00B66ACD"/>
    <w:rsid w:val="00B66C9F"/>
    <w:rsid w:val="00B66DB1"/>
    <w:rsid w:val="00B671E1"/>
    <w:rsid w:val="00B70330"/>
    <w:rsid w:val="00B713DB"/>
    <w:rsid w:val="00B71F4D"/>
    <w:rsid w:val="00B72B2A"/>
    <w:rsid w:val="00B72F54"/>
    <w:rsid w:val="00B732F8"/>
    <w:rsid w:val="00B73434"/>
    <w:rsid w:val="00B7346E"/>
    <w:rsid w:val="00B7347C"/>
    <w:rsid w:val="00B743CA"/>
    <w:rsid w:val="00B743D4"/>
    <w:rsid w:val="00B764C9"/>
    <w:rsid w:val="00B80031"/>
    <w:rsid w:val="00B8029B"/>
    <w:rsid w:val="00B80E3C"/>
    <w:rsid w:val="00B837D8"/>
    <w:rsid w:val="00B841CA"/>
    <w:rsid w:val="00B8466F"/>
    <w:rsid w:val="00B85542"/>
    <w:rsid w:val="00B855C5"/>
    <w:rsid w:val="00B8622E"/>
    <w:rsid w:val="00B86332"/>
    <w:rsid w:val="00B86A0E"/>
    <w:rsid w:val="00B907ED"/>
    <w:rsid w:val="00B90CA6"/>
    <w:rsid w:val="00B91A83"/>
    <w:rsid w:val="00B91B50"/>
    <w:rsid w:val="00B91E00"/>
    <w:rsid w:val="00B92737"/>
    <w:rsid w:val="00B92D6A"/>
    <w:rsid w:val="00B93342"/>
    <w:rsid w:val="00B93859"/>
    <w:rsid w:val="00B93E0F"/>
    <w:rsid w:val="00B94269"/>
    <w:rsid w:val="00B9598F"/>
    <w:rsid w:val="00B95EC2"/>
    <w:rsid w:val="00B96509"/>
    <w:rsid w:val="00B968A4"/>
    <w:rsid w:val="00B96F37"/>
    <w:rsid w:val="00B9708D"/>
    <w:rsid w:val="00B972ED"/>
    <w:rsid w:val="00B974B4"/>
    <w:rsid w:val="00B97999"/>
    <w:rsid w:val="00BA00C3"/>
    <w:rsid w:val="00BA0561"/>
    <w:rsid w:val="00BA1BB1"/>
    <w:rsid w:val="00BA2849"/>
    <w:rsid w:val="00BA353C"/>
    <w:rsid w:val="00BA3559"/>
    <w:rsid w:val="00BA3B9E"/>
    <w:rsid w:val="00BA6279"/>
    <w:rsid w:val="00BA6427"/>
    <w:rsid w:val="00BA713E"/>
    <w:rsid w:val="00BB0EEB"/>
    <w:rsid w:val="00BB0FAB"/>
    <w:rsid w:val="00BB123B"/>
    <w:rsid w:val="00BB130D"/>
    <w:rsid w:val="00BB133C"/>
    <w:rsid w:val="00BB1406"/>
    <w:rsid w:val="00BB1901"/>
    <w:rsid w:val="00BB1F82"/>
    <w:rsid w:val="00BB1F91"/>
    <w:rsid w:val="00BB2004"/>
    <w:rsid w:val="00BB233D"/>
    <w:rsid w:val="00BB2D78"/>
    <w:rsid w:val="00BB2FB6"/>
    <w:rsid w:val="00BB4767"/>
    <w:rsid w:val="00BB4824"/>
    <w:rsid w:val="00BB4BE8"/>
    <w:rsid w:val="00BB4F23"/>
    <w:rsid w:val="00BB57BB"/>
    <w:rsid w:val="00BB5A4F"/>
    <w:rsid w:val="00BB6B3F"/>
    <w:rsid w:val="00BB6E4A"/>
    <w:rsid w:val="00BB6FF9"/>
    <w:rsid w:val="00BC03A9"/>
    <w:rsid w:val="00BC0775"/>
    <w:rsid w:val="00BC08B3"/>
    <w:rsid w:val="00BC0B89"/>
    <w:rsid w:val="00BC0C89"/>
    <w:rsid w:val="00BC1506"/>
    <w:rsid w:val="00BC1BD4"/>
    <w:rsid w:val="00BC1F9C"/>
    <w:rsid w:val="00BC2B5B"/>
    <w:rsid w:val="00BC4193"/>
    <w:rsid w:val="00BC4546"/>
    <w:rsid w:val="00BC495E"/>
    <w:rsid w:val="00BC4971"/>
    <w:rsid w:val="00BC4B43"/>
    <w:rsid w:val="00BC5456"/>
    <w:rsid w:val="00BC5F26"/>
    <w:rsid w:val="00BC6303"/>
    <w:rsid w:val="00BC64EE"/>
    <w:rsid w:val="00BC66B1"/>
    <w:rsid w:val="00BC6DCA"/>
    <w:rsid w:val="00BC6E5B"/>
    <w:rsid w:val="00BD0544"/>
    <w:rsid w:val="00BD0836"/>
    <w:rsid w:val="00BD0C61"/>
    <w:rsid w:val="00BD0C8F"/>
    <w:rsid w:val="00BD2506"/>
    <w:rsid w:val="00BD26A8"/>
    <w:rsid w:val="00BD2FFD"/>
    <w:rsid w:val="00BD3824"/>
    <w:rsid w:val="00BD39E5"/>
    <w:rsid w:val="00BD40F3"/>
    <w:rsid w:val="00BD4BB2"/>
    <w:rsid w:val="00BD5A44"/>
    <w:rsid w:val="00BD73A4"/>
    <w:rsid w:val="00BD7A02"/>
    <w:rsid w:val="00BD7A32"/>
    <w:rsid w:val="00BE021C"/>
    <w:rsid w:val="00BE07FD"/>
    <w:rsid w:val="00BE0E9E"/>
    <w:rsid w:val="00BE1B7E"/>
    <w:rsid w:val="00BE3374"/>
    <w:rsid w:val="00BE35BF"/>
    <w:rsid w:val="00BE36A3"/>
    <w:rsid w:val="00BE37D0"/>
    <w:rsid w:val="00BE4113"/>
    <w:rsid w:val="00BE552E"/>
    <w:rsid w:val="00BE558C"/>
    <w:rsid w:val="00BE5757"/>
    <w:rsid w:val="00BE6A6F"/>
    <w:rsid w:val="00BE73A7"/>
    <w:rsid w:val="00BE740F"/>
    <w:rsid w:val="00BE767E"/>
    <w:rsid w:val="00BF0151"/>
    <w:rsid w:val="00BF0BB6"/>
    <w:rsid w:val="00BF0FC5"/>
    <w:rsid w:val="00BF25AA"/>
    <w:rsid w:val="00BF29D6"/>
    <w:rsid w:val="00BF30FE"/>
    <w:rsid w:val="00BF4960"/>
    <w:rsid w:val="00BF5424"/>
    <w:rsid w:val="00BF567F"/>
    <w:rsid w:val="00BF5CEF"/>
    <w:rsid w:val="00BF67D3"/>
    <w:rsid w:val="00BF7D41"/>
    <w:rsid w:val="00BF7EBA"/>
    <w:rsid w:val="00C001A0"/>
    <w:rsid w:val="00C004B7"/>
    <w:rsid w:val="00C00846"/>
    <w:rsid w:val="00C00F2E"/>
    <w:rsid w:val="00C01072"/>
    <w:rsid w:val="00C019FC"/>
    <w:rsid w:val="00C01C9E"/>
    <w:rsid w:val="00C0260B"/>
    <w:rsid w:val="00C027A2"/>
    <w:rsid w:val="00C02D50"/>
    <w:rsid w:val="00C042AC"/>
    <w:rsid w:val="00C054AC"/>
    <w:rsid w:val="00C05C56"/>
    <w:rsid w:val="00C068E8"/>
    <w:rsid w:val="00C06D04"/>
    <w:rsid w:val="00C072A8"/>
    <w:rsid w:val="00C07CA7"/>
    <w:rsid w:val="00C108B2"/>
    <w:rsid w:val="00C1311E"/>
    <w:rsid w:val="00C14C6B"/>
    <w:rsid w:val="00C14CF3"/>
    <w:rsid w:val="00C14ED3"/>
    <w:rsid w:val="00C1553B"/>
    <w:rsid w:val="00C16D2E"/>
    <w:rsid w:val="00C17DF5"/>
    <w:rsid w:val="00C202CE"/>
    <w:rsid w:val="00C2034F"/>
    <w:rsid w:val="00C20AE1"/>
    <w:rsid w:val="00C214B9"/>
    <w:rsid w:val="00C21791"/>
    <w:rsid w:val="00C22540"/>
    <w:rsid w:val="00C22A67"/>
    <w:rsid w:val="00C236FE"/>
    <w:rsid w:val="00C23984"/>
    <w:rsid w:val="00C24A7E"/>
    <w:rsid w:val="00C250FF"/>
    <w:rsid w:val="00C25309"/>
    <w:rsid w:val="00C26368"/>
    <w:rsid w:val="00C26FE8"/>
    <w:rsid w:val="00C27C48"/>
    <w:rsid w:val="00C27E49"/>
    <w:rsid w:val="00C30829"/>
    <w:rsid w:val="00C314E6"/>
    <w:rsid w:val="00C32F58"/>
    <w:rsid w:val="00C33134"/>
    <w:rsid w:val="00C3383A"/>
    <w:rsid w:val="00C33A54"/>
    <w:rsid w:val="00C35385"/>
    <w:rsid w:val="00C359A2"/>
    <w:rsid w:val="00C35C1F"/>
    <w:rsid w:val="00C36BE9"/>
    <w:rsid w:val="00C36C4B"/>
    <w:rsid w:val="00C36C60"/>
    <w:rsid w:val="00C4003B"/>
    <w:rsid w:val="00C4009F"/>
    <w:rsid w:val="00C4172A"/>
    <w:rsid w:val="00C41B99"/>
    <w:rsid w:val="00C41D71"/>
    <w:rsid w:val="00C42B38"/>
    <w:rsid w:val="00C43690"/>
    <w:rsid w:val="00C45147"/>
    <w:rsid w:val="00C4546E"/>
    <w:rsid w:val="00C45FB1"/>
    <w:rsid w:val="00C46B5B"/>
    <w:rsid w:val="00C479DE"/>
    <w:rsid w:val="00C47DA6"/>
    <w:rsid w:val="00C50663"/>
    <w:rsid w:val="00C50A92"/>
    <w:rsid w:val="00C50FEC"/>
    <w:rsid w:val="00C512B9"/>
    <w:rsid w:val="00C519DE"/>
    <w:rsid w:val="00C520F1"/>
    <w:rsid w:val="00C53381"/>
    <w:rsid w:val="00C537F0"/>
    <w:rsid w:val="00C53C44"/>
    <w:rsid w:val="00C54047"/>
    <w:rsid w:val="00C5472F"/>
    <w:rsid w:val="00C547BF"/>
    <w:rsid w:val="00C6001A"/>
    <w:rsid w:val="00C6091A"/>
    <w:rsid w:val="00C62B63"/>
    <w:rsid w:val="00C63F0E"/>
    <w:rsid w:val="00C65445"/>
    <w:rsid w:val="00C65EEA"/>
    <w:rsid w:val="00C65FB1"/>
    <w:rsid w:val="00C6645C"/>
    <w:rsid w:val="00C67231"/>
    <w:rsid w:val="00C67997"/>
    <w:rsid w:val="00C67CA6"/>
    <w:rsid w:val="00C719C1"/>
    <w:rsid w:val="00C726B6"/>
    <w:rsid w:val="00C736E6"/>
    <w:rsid w:val="00C737AC"/>
    <w:rsid w:val="00C75D27"/>
    <w:rsid w:val="00C76068"/>
    <w:rsid w:val="00C80511"/>
    <w:rsid w:val="00C80AA5"/>
    <w:rsid w:val="00C81AE4"/>
    <w:rsid w:val="00C83D89"/>
    <w:rsid w:val="00C85607"/>
    <w:rsid w:val="00C85B29"/>
    <w:rsid w:val="00C865E6"/>
    <w:rsid w:val="00C87ECC"/>
    <w:rsid w:val="00C90773"/>
    <w:rsid w:val="00C90F9F"/>
    <w:rsid w:val="00C91008"/>
    <w:rsid w:val="00C91C3B"/>
    <w:rsid w:val="00C91EA7"/>
    <w:rsid w:val="00C9213D"/>
    <w:rsid w:val="00C92BB3"/>
    <w:rsid w:val="00C92D93"/>
    <w:rsid w:val="00C92E54"/>
    <w:rsid w:val="00C930FF"/>
    <w:rsid w:val="00C95844"/>
    <w:rsid w:val="00C95A7F"/>
    <w:rsid w:val="00C95C8D"/>
    <w:rsid w:val="00C9626B"/>
    <w:rsid w:val="00C96C48"/>
    <w:rsid w:val="00C972EC"/>
    <w:rsid w:val="00C97838"/>
    <w:rsid w:val="00C97B78"/>
    <w:rsid w:val="00CA13B4"/>
    <w:rsid w:val="00CA1600"/>
    <w:rsid w:val="00CA1672"/>
    <w:rsid w:val="00CA220F"/>
    <w:rsid w:val="00CA2935"/>
    <w:rsid w:val="00CA2F22"/>
    <w:rsid w:val="00CA3CB8"/>
    <w:rsid w:val="00CA4BD8"/>
    <w:rsid w:val="00CA5966"/>
    <w:rsid w:val="00CA5B2A"/>
    <w:rsid w:val="00CA600B"/>
    <w:rsid w:val="00CA6D44"/>
    <w:rsid w:val="00CA7247"/>
    <w:rsid w:val="00CB043D"/>
    <w:rsid w:val="00CB1056"/>
    <w:rsid w:val="00CB112A"/>
    <w:rsid w:val="00CB11B2"/>
    <w:rsid w:val="00CB14EA"/>
    <w:rsid w:val="00CB150D"/>
    <w:rsid w:val="00CB16F6"/>
    <w:rsid w:val="00CB1DC3"/>
    <w:rsid w:val="00CB3177"/>
    <w:rsid w:val="00CB32DF"/>
    <w:rsid w:val="00CB3C0E"/>
    <w:rsid w:val="00CB3C68"/>
    <w:rsid w:val="00CB4008"/>
    <w:rsid w:val="00CB44DC"/>
    <w:rsid w:val="00CB5211"/>
    <w:rsid w:val="00CB549F"/>
    <w:rsid w:val="00CB561D"/>
    <w:rsid w:val="00CB5B0F"/>
    <w:rsid w:val="00CB5BFE"/>
    <w:rsid w:val="00CB6E1A"/>
    <w:rsid w:val="00CB75A4"/>
    <w:rsid w:val="00CC0DF4"/>
    <w:rsid w:val="00CC1039"/>
    <w:rsid w:val="00CC1821"/>
    <w:rsid w:val="00CC2CA4"/>
    <w:rsid w:val="00CC2EA2"/>
    <w:rsid w:val="00CC2EDA"/>
    <w:rsid w:val="00CC38EB"/>
    <w:rsid w:val="00CC3AB9"/>
    <w:rsid w:val="00CC3E1C"/>
    <w:rsid w:val="00CC3F25"/>
    <w:rsid w:val="00CC3FD2"/>
    <w:rsid w:val="00CC5254"/>
    <w:rsid w:val="00CC5433"/>
    <w:rsid w:val="00CC631D"/>
    <w:rsid w:val="00CC6337"/>
    <w:rsid w:val="00CC6471"/>
    <w:rsid w:val="00CC6B45"/>
    <w:rsid w:val="00CC6D54"/>
    <w:rsid w:val="00CC77DE"/>
    <w:rsid w:val="00CD03FA"/>
    <w:rsid w:val="00CD0C8D"/>
    <w:rsid w:val="00CD0DBD"/>
    <w:rsid w:val="00CD13C0"/>
    <w:rsid w:val="00CD1859"/>
    <w:rsid w:val="00CD1C7B"/>
    <w:rsid w:val="00CD260D"/>
    <w:rsid w:val="00CD29F1"/>
    <w:rsid w:val="00CD334B"/>
    <w:rsid w:val="00CD42B3"/>
    <w:rsid w:val="00CD5050"/>
    <w:rsid w:val="00CD6327"/>
    <w:rsid w:val="00CD6950"/>
    <w:rsid w:val="00CD6B24"/>
    <w:rsid w:val="00CD70BE"/>
    <w:rsid w:val="00CD763F"/>
    <w:rsid w:val="00CE0DF9"/>
    <w:rsid w:val="00CE0F2D"/>
    <w:rsid w:val="00CE139A"/>
    <w:rsid w:val="00CE1923"/>
    <w:rsid w:val="00CE1BF1"/>
    <w:rsid w:val="00CE1BFC"/>
    <w:rsid w:val="00CE264E"/>
    <w:rsid w:val="00CE33CE"/>
    <w:rsid w:val="00CE3633"/>
    <w:rsid w:val="00CE53FF"/>
    <w:rsid w:val="00CE6754"/>
    <w:rsid w:val="00CE6A24"/>
    <w:rsid w:val="00CE6FC1"/>
    <w:rsid w:val="00CE7795"/>
    <w:rsid w:val="00CF18D0"/>
    <w:rsid w:val="00CF1CD6"/>
    <w:rsid w:val="00CF23B1"/>
    <w:rsid w:val="00CF50C3"/>
    <w:rsid w:val="00CF6B7E"/>
    <w:rsid w:val="00CF6F77"/>
    <w:rsid w:val="00CF7693"/>
    <w:rsid w:val="00D00798"/>
    <w:rsid w:val="00D00C1F"/>
    <w:rsid w:val="00D00DE0"/>
    <w:rsid w:val="00D01D1D"/>
    <w:rsid w:val="00D01EFE"/>
    <w:rsid w:val="00D0237B"/>
    <w:rsid w:val="00D025E4"/>
    <w:rsid w:val="00D02D46"/>
    <w:rsid w:val="00D02DC1"/>
    <w:rsid w:val="00D03527"/>
    <w:rsid w:val="00D040F1"/>
    <w:rsid w:val="00D04D33"/>
    <w:rsid w:val="00D05805"/>
    <w:rsid w:val="00D05B9E"/>
    <w:rsid w:val="00D05BA0"/>
    <w:rsid w:val="00D067FB"/>
    <w:rsid w:val="00D06E79"/>
    <w:rsid w:val="00D10514"/>
    <w:rsid w:val="00D124C5"/>
    <w:rsid w:val="00D12A28"/>
    <w:rsid w:val="00D12C1C"/>
    <w:rsid w:val="00D12C5B"/>
    <w:rsid w:val="00D1330C"/>
    <w:rsid w:val="00D13532"/>
    <w:rsid w:val="00D1386C"/>
    <w:rsid w:val="00D15DA1"/>
    <w:rsid w:val="00D16029"/>
    <w:rsid w:val="00D1627D"/>
    <w:rsid w:val="00D17D9B"/>
    <w:rsid w:val="00D202EC"/>
    <w:rsid w:val="00D2035D"/>
    <w:rsid w:val="00D2109F"/>
    <w:rsid w:val="00D21DBC"/>
    <w:rsid w:val="00D22407"/>
    <w:rsid w:val="00D224DF"/>
    <w:rsid w:val="00D225E9"/>
    <w:rsid w:val="00D23171"/>
    <w:rsid w:val="00D23473"/>
    <w:rsid w:val="00D23A4B"/>
    <w:rsid w:val="00D24915"/>
    <w:rsid w:val="00D24FC8"/>
    <w:rsid w:val="00D25A57"/>
    <w:rsid w:val="00D27196"/>
    <w:rsid w:val="00D278F1"/>
    <w:rsid w:val="00D27B32"/>
    <w:rsid w:val="00D30032"/>
    <w:rsid w:val="00D30395"/>
    <w:rsid w:val="00D309A8"/>
    <w:rsid w:val="00D30E1E"/>
    <w:rsid w:val="00D314B2"/>
    <w:rsid w:val="00D31512"/>
    <w:rsid w:val="00D3199E"/>
    <w:rsid w:val="00D325FD"/>
    <w:rsid w:val="00D3368E"/>
    <w:rsid w:val="00D33751"/>
    <w:rsid w:val="00D33A13"/>
    <w:rsid w:val="00D340B5"/>
    <w:rsid w:val="00D346AD"/>
    <w:rsid w:val="00D34C9B"/>
    <w:rsid w:val="00D3577E"/>
    <w:rsid w:val="00D35804"/>
    <w:rsid w:val="00D35956"/>
    <w:rsid w:val="00D35DE9"/>
    <w:rsid w:val="00D361F3"/>
    <w:rsid w:val="00D36BC2"/>
    <w:rsid w:val="00D4090B"/>
    <w:rsid w:val="00D40E4F"/>
    <w:rsid w:val="00D41130"/>
    <w:rsid w:val="00D4148A"/>
    <w:rsid w:val="00D41669"/>
    <w:rsid w:val="00D42217"/>
    <w:rsid w:val="00D42A55"/>
    <w:rsid w:val="00D42DCE"/>
    <w:rsid w:val="00D44FE7"/>
    <w:rsid w:val="00D45EAB"/>
    <w:rsid w:val="00D46279"/>
    <w:rsid w:val="00D463A5"/>
    <w:rsid w:val="00D4646D"/>
    <w:rsid w:val="00D46C58"/>
    <w:rsid w:val="00D471B2"/>
    <w:rsid w:val="00D472D1"/>
    <w:rsid w:val="00D47963"/>
    <w:rsid w:val="00D5095C"/>
    <w:rsid w:val="00D51FA3"/>
    <w:rsid w:val="00D51FE0"/>
    <w:rsid w:val="00D529EA"/>
    <w:rsid w:val="00D53339"/>
    <w:rsid w:val="00D53EE3"/>
    <w:rsid w:val="00D540D4"/>
    <w:rsid w:val="00D544D5"/>
    <w:rsid w:val="00D54772"/>
    <w:rsid w:val="00D54CBA"/>
    <w:rsid w:val="00D553C5"/>
    <w:rsid w:val="00D556DA"/>
    <w:rsid w:val="00D55CE3"/>
    <w:rsid w:val="00D5603E"/>
    <w:rsid w:val="00D5612E"/>
    <w:rsid w:val="00D570F0"/>
    <w:rsid w:val="00D5742A"/>
    <w:rsid w:val="00D60644"/>
    <w:rsid w:val="00D6103A"/>
    <w:rsid w:val="00D61EB4"/>
    <w:rsid w:val="00D62120"/>
    <w:rsid w:val="00D62443"/>
    <w:rsid w:val="00D62B38"/>
    <w:rsid w:val="00D63385"/>
    <w:rsid w:val="00D6407D"/>
    <w:rsid w:val="00D6489D"/>
    <w:rsid w:val="00D64A04"/>
    <w:rsid w:val="00D65144"/>
    <w:rsid w:val="00D6539D"/>
    <w:rsid w:val="00D6564A"/>
    <w:rsid w:val="00D6609D"/>
    <w:rsid w:val="00D672B9"/>
    <w:rsid w:val="00D67CA8"/>
    <w:rsid w:val="00D7003A"/>
    <w:rsid w:val="00D70493"/>
    <w:rsid w:val="00D70932"/>
    <w:rsid w:val="00D74442"/>
    <w:rsid w:val="00D747C0"/>
    <w:rsid w:val="00D7635C"/>
    <w:rsid w:val="00D76391"/>
    <w:rsid w:val="00D767D8"/>
    <w:rsid w:val="00D76831"/>
    <w:rsid w:val="00D77AFF"/>
    <w:rsid w:val="00D77DEE"/>
    <w:rsid w:val="00D77FD3"/>
    <w:rsid w:val="00D80DC3"/>
    <w:rsid w:val="00D81F29"/>
    <w:rsid w:val="00D825D1"/>
    <w:rsid w:val="00D830F4"/>
    <w:rsid w:val="00D834F0"/>
    <w:rsid w:val="00D83798"/>
    <w:rsid w:val="00D8438E"/>
    <w:rsid w:val="00D85370"/>
    <w:rsid w:val="00D85B92"/>
    <w:rsid w:val="00D85C2E"/>
    <w:rsid w:val="00D864A2"/>
    <w:rsid w:val="00D8674C"/>
    <w:rsid w:val="00D867CD"/>
    <w:rsid w:val="00D87BA0"/>
    <w:rsid w:val="00D90AB2"/>
    <w:rsid w:val="00D90F3F"/>
    <w:rsid w:val="00D9183D"/>
    <w:rsid w:val="00D91D9A"/>
    <w:rsid w:val="00D926DB"/>
    <w:rsid w:val="00D92A7B"/>
    <w:rsid w:val="00D937E1"/>
    <w:rsid w:val="00D93960"/>
    <w:rsid w:val="00D93DE9"/>
    <w:rsid w:val="00D94784"/>
    <w:rsid w:val="00D9486D"/>
    <w:rsid w:val="00D94AA2"/>
    <w:rsid w:val="00D95321"/>
    <w:rsid w:val="00D95968"/>
    <w:rsid w:val="00D959B3"/>
    <w:rsid w:val="00D95EE4"/>
    <w:rsid w:val="00D95FED"/>
    <w:rsid w:val="00D972A4"/>
    <w:rsid w:val="00DA040F"/>
    <w:rsid w:val="00DA0421"/>
    <w:rsid w:val="00DA0725"/>
    <w:rsid w:val="00DA0781"/>
    <w:rsid w:val="00DA07F6"/>
    <w:rsid w:val="00DA1389"/>
    <w:rsid w:val="00DA2B35"/>
    <w:rsid w:val="00DA3307"/>
    <w:rsid w:val="00DA416D"/>
    <w:rsid w:val="00DA4338"/>
    <w:rsid w:val="00DA5071"/>
    <w:rsid w:val="00DA5478"/>
    <w:rsid w:val="00DA6F38"/>
    <w:rsid w:val="00DA77E1"/>
    <w:rsid w:val="00DB0AFF"/>
    <w:rsid w:val="00DB0DC6"/>
    <w:rsid w:val="00DB0DC8"/>
    <w:rsid w:val="00DB0E23"/>
    <w:rsid w:val="00DB0E26"/>
    <w:rsid w:val="00DB15C1"/>
    <w:rsid w:val="00DB1799"/>
    <w:rsid w:val="00DB320A"/>
    <w:rsid w:val="00DB4026"/>
    <w:rsid w:val="00DB4381"/>
    <w:rsid w:val="00DB4645"/>
    <w:rsid w:val="00DB4CEE"/>
    <w:rsid w:val="00DB4E75"/>
    <w:rsid w:val="00DB5083"/>
    <w:rsid w:val="00DB535B"/>
    <w:rsid w:val="00DB562A"/>
    <w:rsid w:val="00DB5AC4"/>
    <w:rsid w:val="00DB6FD8"/>
    <w:rsid w:val="00DC07E0"/>
    <w:rsid w:val="00DC0E80"/>
    <w:rsid w:val="00DC3329"/>
    <w:rsid w:val="00DC41C5"/>
    <w:rsid w:val="00DC53E6"/>
    <w:rsid w:val="00DC6363"/>
    <w:rsid w:val="00DC7505"/>
    <w:rsid w:val="00DC7B56"/>
    <w:rsid w:val="00DD2119"/>
    <w:rsid w:val="00DD21BB"/>
    <w:rsid w:val="00DD2D6F"/>
    <w:rsid w:val="00DD320B"/>
    <w:rsid w:val="00DD4166"/>
    <w:rsid w:val="00DD5331"/>
    <w:rsid w:val="00DD57C0"/>
    <w:rsid w:val="00DD594C"/>
    <w:rsid w:val="00DD5D51"/>
    <w:rsid w:val="00DD5FD7"/>
    <w:rsid w:val="00DD62D6"/>
    <w:rsid w:val="00DD6AD3"/>
    <w:rsid w:val="00DD6BA9"/>
    <w:rsid w:val="00DD6CA6"/>
    <w:rsid w:val="00DD77FC"/>
    <w:rsid w:val="00DD78E3"/>
    <w:rsid w:val="00DE02A0"/>
    <w:rsid w:val="00DE08D2"/>
    <w:rsid w:val="00DE0BCA"/>
    <w:rsid w:val="00DE1242"/>
    <w:rsid w:val="00DE2341"/>
    <w:rsid w:val="00DE312D"/>
    <w:rsid w:val="00DE31F0"/>
    <w:rsid w:val="00DE33FC"/>
    <w:rsid w:val="00DE36D2"/>
    <w:rsid w:val="00DE414F"/>
    <w:rsid w:val="00DE5688"/>
    <w:rsid w:val="00DE57B8"/>
    <w:rsid w:val="00DF056B"/>
    <w:rsid w:val="00DF05F0"/>
    <w:rsid w:val="00DF0637"/>
    <w:rsid w:val="00DF0A8C"/>
    <w:rsid w:val="00DF4C8E"/>
    <w:rsid w:val="00DF5074"/>
    <w:rsid w:val="00DF6E80"/>
    <w:rsid w:val="00DF7105"/>
    <w:rsid w:val="00DF7558"/>
    <w:rsid w:val="00DF77DA"/>
    <w:rsid w:val="00E00282"/>
    <w:rsid w:val="00E00778"/>
    <w:rsid w:val="00E00E93"/>
    <w:rsid w:val="00E0114B"/>
    <w:rsid w:val="00E02548"/>
    <w:rsid w:val="00E02647"/>
    <w:rsid w:val="00E028D0"/>
    <w:rsid w:val="00E03FEB"/>
    <w:rsid w:val="00E042EE"/>
    <w:rsid w:val="00E0522B"/>
    <w:rsid w:val="00E0583D"/>
    <w:rsid w:val="00E05940"/>
    <w:rsid w:val="00E05E26"/>
    <w:rsid w:val="00E06102"/>
    <w:rsid w:val="00E06635"/>
    <w:rsid w:val="00E06F7E"/>
    <w:rsid w:val="00E07275"/>
    <w:rsid w:val="00E07B49"/>
    <w:rsid w:val="00E10418"/>
    <w:rsid w:val="00E1086D"/>
    <w:rsid w:val="00E111FD"/>
    <w:rsid w:val="00E1138C"/>
    <w:rsid w:val="00E1382B"/>
    <w:rsid w:val="00E13FCA"/>
    <w:rsid w:val="00E14231"/>
    <w:rsid w:val="00E143B0"/>
    <w:rsid w:val="00E162F9"/>
    <w:rsid w:val="00E1641D"/>
    <w:rsid w:val="00E165F5"/>
    <w:rsid w:val="00E16E85"/>
    <w:rsid w:val="00E1705D"/>
    <w:rsid w:val="00E173C3"/>
    <w:rsid w:val="00E20248"/>
    <w:rsid w:val="00E206D6"/>
    <w:rsid w:val="00E20768"/>
    <w:rsid w:val="00E21646"/>
    <w:rsid w:val="00E21ECB"/>
    <w:rsid w:val="00E21F25"/>
    <w:rsid w:val="00E237B3"/>
    <w:rsid w:val="00E23C7B"/>
    <w:rsid w:val="00E2457C"/>
    <w:rsid w:val="00E247EC"/>
    <w:rsid w:val="00E25456"/>
    <w:rsid w:val="00E25F1B"/>
    <w:rsid w:val="00E25FAF"/>
    <w:rsid w:val="00E26BA6"/>
    <w:rsid w:val="00E27156"/>
    <w:rsid w:val="00E27953"/>
    <w:rsid w:val="00E27D6B"/>
    <w:rsid w:val="00E30827"/>
    <w:rsid w:val="00E3120E"/>
    <w:rsid w:val="00E31976"/>
    <w:rsid w:val="00E31D1C"/>
    <w:rsid w:val="00E32835"/>
    <w:rsid w:val="00E32980"/>
    <w:rsid w:val="00E338F7"/>
    <w:rsid w:val="00E33C4D"/>
    <w:rsid w:val="00E34401"/>
    <w:rsid w:val="00E3473A"/>
    <w:rsid w:val="00E349E4"/>
    <w:rsid w:val="00E35164"/>
    <w:rsid w:val="00E3557B"/>
    <w:rsid w:val="00E35724"/>
    <w:rsid w:val="00E35B57"/>
    <w:rsid w:val="00E36249"/>
    <w:rsid w:val="00E365A6"/>
    <w:rsid w:val="00E36661"/>
    <w:rsid w:val="00E369CC"/>
    <w:rsid w:val="00E36CD5"/>
    <w:rsid w:val="00E37C5F"/>
    <w:rsid w:val="00E37C74"/>
    <w:rsid w:val="00E4001D"/>
    <w:rsid w:val="00E40CA1"/>
    <w:rsid w:val="00E40F48"/>
    <w:rsid w:val="00E426F5"/>
    <w:rsid w:val="00E442ED"/>
    <w:rsid w:val="00E452F1"/>
    <w:rsid w:val="00E45481"/>
    <w:rsid w:val="00E45D93"/>
    <w:rsid w:val="00E46067"/>
    <w:rsid w:val="00E47632"/>
    <w:rsid w:val="00E4768B"/>
    <w:rsid w:val="00E47D9D"/>
    <w:rsid w:val="00E5039F"/>
    <w:rsid w:val="00E50757"/>
    <w:rsid w:val="00E50B63"/>
    <w:rsid w:val="00E51316"/>
    <w:rsid w:val="00E51784"/>
    <w:rsid w:val="00E51C60"/>
    <w:rsid w:val="00E5247B"/>
    <w:rsid w:val="00E52AD7"/>
    <w:rsid w:val="00E5339C"/>
    <w:rsid w:val="00E55884"/>
    <w:rsid w:val="00E55B8E"/>
    <w:rsid w:val="00E55DF7"/>
    <w:rsid w:val="00E569E6"/>
    <w:rsid w:val="00E56D44"/>
    <w:rsid w:val="00E573CD"/>
    <w:rsid w:val="00E573CE"/>
    <w:rsid w:val="00E600CC"/>
    <w:rsid w:val="00E6091E"/>
    <w:rsid w:val="00E61270"/>
    <w:rsid w:val="00E61310"/>
    <w:rsid w:val="00E61B86"/>
    <w:rsid w:val="00E62642"/>
    <w:rsid w:val="00E633EC"/>
    <w:rsid w:val="00E635FB"/>
    <w:rsid w:val="00E64AAC"/>
    <w:rsid w:val="00E65254"/>
    <w:rsid w:val="00E65797"/>
    <w:rsid w:val="00E672CE"/>
    <w:rsid w:val="00E676AD"/>
    <w:rsid w:val="00E6774E"/>
    <w:rsid w:val="00E67873"/>
    <w:rsid w:val="00E67C9A"/>
    <w:rsid w:val="00E67DA3"/>
    <w:rsid w:val="00E70392"/>
    <w:rsid w:val="00E70B28"/>
    <w:rsid w:val="00E70CF4"/>
    <w:rsid w:val="00E71146"/>
    <w:rsid w:val="00E711BC"/>
    <w:rsid w:val="00E715ED"/>
    <w:rsid w:val="00E716CA"/>
    <w:rsid w:val="00E7321B"/>
    <w:rsid w:val="00E73C44"/>
    <w:rsid w:val="00E74302"/>
    <w:rsid w:val="00E743EF"/>
    <w:rsid w:val="00E74569"/>
    <w:rsid w:val="00E75876"/>
    <w:rsid w:val="00E75946"/>
    <w:rsid w:val="00E75D8A"/>
    <w:rsid w:val="00E760D0"/>
    <w:rsid w:val="00E767B1"/>
    <w:rsid w:val="00E769E5"/>
    <w:rsid w:val="00E76F0B"/>
    <w:rsid w:val="00E77373"/>
    <w:rsid w:val="00E77969"/>
    <w:rsid w:val="00E80A8D"/>
    <w:rsid w:val="00E81C39"/>
    <w:rsid w:val="00E81F07"/>
    <w:rsid w:val="00E8214A"/>
    <w:rsid w:val="00E8263F"/>
    <w:rsid w:val="00E82C13"/>
    <w:rsid w:val="00E82C25"/>
    <w:rsid w:val="00E82F20"/>
    <w:rsid w:val="00E830AF"/>
    <w:rsid w:val="00E84084"/>
    <w:rsid w:val="00E850AF"/>
    <w:rsid w:val="00E8560A"/>
    <w:rsid w:val="00E864D4"/>
    <w:rsid w:val="00E87125"/>
    <w:rsid w:val="00E91093"/>
    <w:rsid w:val="00E91376"/>
    <w:rsid w:val="00E919D9"/>
    <w:rsid w:val="00E9286A"/>
    <w:rsid w:val="00E92C8D"/>
    <w:rsid w:val="00E941E5"/>
    <w:rsid w:val="00E95EB7"/>
    <w:rsid w:val="00E96419"/>
    <w:rsid w:val="00EA0D92"/>
    <w:rsid w:val="00EA15CD"/>
    <w:rsid w:val="00EA1900"/>
    <w:rsid w:val="00EA1A3C"/>
    <w:rsid w:val="00EA1A60"/>
    <w:rsid w:val="00EA1AAE"/>
    <w:rsid w:val="00EA2237"/>
    <w:rsid w:val="00EA2A0B"/>
    <w:rsid w:val="00EA2A11"/>
    <w:rsid w:val="00EA34A2"/>
    <w:rsid w:val="00EA35BF"/>
    <w:rsid w:val="00EA4151"/>
    <w:rsid w:val="00EA4A76"/>
    <w:rsid w:val="00EA4AD7"/>
    <w:rsid w:val="00EA56AD"/>
    <w:rsid w:val="00EA56D5"/>
    <w:rsid w:val="00EA631D"/>
    <w:rsid w:val="00EA734F"/>
    <w:rsid w:val="00EA7C7A"/>
    <w:rsid w:val="00EB0A22"/>
    <w:rsid w:val="00EB139C"/>
    <w:rsid w:val="00EB1A55"/>
    <w:rsid w:val="00EB1C9D"/>
    <w:rsid w:val="00EB1E95"/>
    <w:rsid w:val="00EB1EEE"/>
    <w:rsid w:val="00EB253C"/>
    <w:rsid w:val="00EB26A0"/>
    <w:rsid w:val="00EB270E"/>
    <w:rsid w:val="00EB2A44"/>
    <w:rsid w:val="00EB3339"/>
    <w:rsid w:val="00EB3A35"/>
    <w:rsid w:val="00EB3BDA"/>
    <w:rsid w:val="00EB48E9"/>
    <w:rsid w:val="00EB557F"/>
    <w:rsid w:val="00EB5DCD"/>
    <w:rsid w:val="00EB65D4"/>
    <w:rsid w:val="00EB6EB4"/>
    <w:rsid w:val="00EB7917"/>
    <w:rsid w:val="00EC23F4"/>
    <w:rsid w:val="00EC2A7D"/>
    <w:rsid w:val="00EC2AB1"/>
    <w:rsid w:val="00EC3BA5"/>
    <w:rsid w:val="00EC3E20"/>
    <w:rsid w:val="00EC447A"/>
    <w:rsid w:val="00EC46CA"/>
    <w:rsid w:val="00EC4DA1"/>
    <w:rsid w:val="00EC4DC7"/>
    <w:rsid w:val="00EC4FA9"/>
    <w:rsid w:val="00EC511E"/>
    <w:rsid w:val="00EC515D"/>
    <w:rsid w:val="00EC52AE"/>
    <w:rsid w:val="00EC57F7"/>
    <w:rsid w:val="00EC6B49"/>
    <w:rsid w:val="00EC6E06"/>
    <w:rsid w:val="00EC7F0F"/>
    <w:rsid w:val="00ED0D5D"/>
    <w:rsid w:val="00ED0FCB"/>
    <w:rsid w:val="00ED117E"/>
    <w:rsid w:val="00ED118E"/>
    <w:rsid w:val="00ED1E6C"/>
    <w:rsid w:val="00ED1F9A"/>
    <w:rsid w:val="00ED2079"/>
    <w:rsid w:val="00ED22A3"/>
    <w:rsid w:val="00ED2A6F"/>
    <w:rsid w:val="00ED3003"/>
    <w:rsid w:val="00ED32AF"/>
    <w:rsid w:val="00ED394D"/>
    <w:rsid w:val="00ED4D9C"/>
    <w:rsid w:val="00ED595E"/>
    <w:rsid w:val="00ED5A53"/>
    <w:rsid w:val="00ED5CEB"/>
    <w:rsid w:val="00ED5E9B"/>
    <w:rsid w:val="00ED60C4"/>
    <w:rsid w:val="00ED65E7"/>
    <w:rsid w:val="00ED70E7"/>
    <w:rsid w:val="00EE1B3B"/>
    <w:rsid w:val="00EE34F1"/>
    <w:rsid w:val="00EE3FF0"/>
    <w:rsid w:val="00EE4064"/>
    <w:rsid w:val="00EE482F"/>
    <w:rsid w:val="00EE4B25"/>
    <w:rsid w:val="00EE4CC9"/>
    <w:rsid w:val="00EE531F"/>
    <w:rsid w:val="00EE5A86"/>
    <w:rsid w:val="00EE6A22"/>
    <w:rsid w:val="00EE765C"/>
    <w:rsid w:val="00EE7D63"/>
    <w:rsid w:val="00EF0C89"/>
    <w:rsid w:val="00EF1605"/>
    <w:rsid w:val="00EF161F"/>
    <w:rsid w:val="00EF1D94"/>
    <w:rsid w:val="00EF23A6"/>
    <w:rsid w:val="00EF2B63"/>
    <w:rsid w:val="00EF332F"/>
    <w:rsid w:val="00EF558A"/>
    <w:rsid w:val="00EF5963"/>
    <w:rsid w:val="00EF67EE"/>
    <w:rsid w:val="00EF7CDB"/>
    <w:rsid w:val="00F00569"/>
    <w:rsid w:val="00F00C66"/>
    <w:rsid w:val="00F013CB"/>
    <w:rsid w:val="00F02006"/>
    <w:rsid w:val="00F0258F"/>
    <w:rsid w:val="00F02834"/>
    <w:rsid w:val="00F04168"/>
    <w:rsid w:val="00F0483C"/>
    <w:rsid w:val="00F04B35"/>
    <w:rsid w:val="00F05D46"/>
    <w:rsid w:val="00F060B7"/>
    <w:rsid w:val="00F073F2"/>
    <w:rsid w:val="00F075CD"/>
    <w:rsid w:val="00F10A7C"/>
    <w:rsid w:val="00F1144B"/>
    <w:rsid w:val="00F11AAA"/>
    <w:rsid w:val="00F12092"/>
    <w:rsid w:val="00F121E8"/>
    <w:rsid w:val="00F124CB"/>
    <w:rsid w:val="00F13C0D"/>
    <w:rsid w:val="00F13D48"/>
    <w:rsid w:val="00F13DA5"/>
    <w:rsid w:val="00F14474"/>
    <w:rsid w:val="00F1691C"/>
    <w:rsid w:val="00F1692A"/>
    <w:rsid w:val="00F16B44"/>
    <w:rsid w:val="00F20206"/>
    <w:rsid w:val="00F203CA"/>
    <w:rsid w:val="00F21115"/>
    <w:rsid w:val="00F21C2B"/>
    <w:rsid w:val="00F21F93"/>
    <w:rsid w:val="00F240BA"/>
    <w:rsid w:val="00F250A9"/>
    <w:rsid w:val="00F25526"/>
    <w:rsid w:val="00F26728"/>
    <w:rsid w:val="00F26E76"/>
    <w:rsid w:val="00F2780B"/>
    <w:rsid w:val="00F3001F"/>
    <w:rsid w:val="00F303A7"/>
    <w:rsid w:val="00F315F5"/>
    <w:rsid w:val="00F3372D"/>
    <w:rsid w:val="00F3426A"/>
    <w:rsid w:val="00F352CA"/>
    <w:rsid w:val="00F35A76"/>
    <w:rsid w:val="00F3735B"/>
    <w:rsid w:val="00F375C3"/>
    <w:rsid w:val="00F404D4"/>
    <w:rsid w:val="00F4259F"/>
    <w:rsid w:val="00F426D5"/>
    <w:rsid w:val="00F42AC3"/>
    <w:rsid w:val="00F43053"/>
    <w:rsid w:val="00F455CC"/>
    <w:rsid w:val="00F46D33"/>
    <w:rsid w:val="00F50499"/>
    <w:rsid w:val="00F514BA"/>
    <w:rsid w:val="00F518B5"/>
    <w:rsid w:val="00F528F5"/>
    <w:rsid w:val="00F52D0C"/>
    <w:rsid w:val="00F531E6"/>
    <w:rsid w:val="00F53482"/>
    <w:rsid w:val="00F53C25"/>
    <w:rsid w:val="00F546DA"/>
    <w:rsid w:val="00F5545F"/>
    <w:rsid w:val="00F558BE"/>
    <w:rsid w:val="00F573E6"/>
    <w:rsid w:val="00F57D8C"/>
    <w:rsid w:val="00F60057"/>
    <w:rsid w:val="00F6099E"/>
    <w:rsid w:val="00F60E86"/>
    <w:rsid w:val="00F6143D"/>
    <w:rsid w:val="00F618C8"/>
    <w:rsid w:val="00F63161"/>
    <w:rsid w:val="00F6337C"/>
    <w:rsid w:val="00F63F08"/>
    <w:rsid w:val="00F640A3"/>
    <w:rsid w:val="00F6472D"/>
    <w:rsid w:val="00F649AB"/>
    <w:rsid w:val="00F6586C"/>
    <w:rsid w:val="00F65FF0"/>
    <w:rsid w:val="00F66E96"/>
    <w:rsid w:val="00F679E1"/>
    <w:rsid w:val="00F7011B"/>
    <w:rsid w:val="00F71BD2"/>
    <w:rsid w:val="00F72902"/>
    <w:rsid w:val="00F72BB2"/>
    <w:rsid w:val="00F72EF8"/>
    <w:rsid w:val="00F74DB2"/>
    <w:rsid w:val="00F75044"/>
    <w:rsid w:val="00F75214"/>
    <w:rsid w:val="00F75700"/>
    <w:rsid w:val="00F75B4B"/>
    <w:rsid w:val="00F776A3"/>
    <w:rsid w:val="00F80777"/>
    <w:rsid w:val="00F80C53"/>
    <w:rsid w:val="00F80F8C"/>
    <w:rsid w:val="00F815C6"/>
    <w:rsid w:val="00F81BA8"/>
    <w:rsid w:val="00F81C54"/>
    <w:rsid w:val="00F82726"/>
    <w:rsid w:val="00F8326A"/>
    <w:rsid w:val="00F83A7E"/>
    <w:rsid w:val="00F84FBE"/>
    <w:rsid w:val="00F85776"/>
    <w:rsid w:val="00F919AF"/>
    <w:rsid w:val="00F922E3"/>
    <w:rsid w:val="00F92714"/>
    <w:rsid w:val="00F93206"/>
    <w:rsid w:val="00F93AA2"/>
    <w:rsid w:val="00F94245"/>
    <w:rsid w:val="00F946BD"/>
    <w:rsid w:val="00F94AE5"/>
    <w:rsid w:val="00F95311"/>
    <w:rsid w:val="00F95769"/>
    <w:rsid w:val="00F95C1E"/>
    <w:rsid w:val="00F9616E"/>
    <w:rsid w:val="00F96498"/>
    <w:rsid w:val="00F96DE6"/>
    <w:rsid w:val="00F96E37"/>
    <w:rsid w:val="00FA0CF8"/>
    <w:rsid w:val="00FA1091"/>
    <w:rsid w:val="00FA1258"/>
    <w:rsid w:val="00FA198A"/>
    <w:rsid w:val="00FA399C"/>
    <w:rsid w:val="00FA5444"/>
    <w:rsid w:val="00FA5AAA"/>
    <w:rsid w:val="00FA6CDB"/>
    <w:rsid w:val="00FA7B04"/>
    <w:rsid w:val="00FA7E3A"/>
    <w:rsid w:val="00FB03D9"/>
    <w:rsid w:val="00FB0467"/>
    <w:rsid w:val="00FB05FC"/>
    <w:rsid w:val="00FB06D7"/>
    <w:rsid w:val="00FB08A2"/>
    <w:rsid w:val="00FB0917"/>
    <w:rsid w:val="00FB0B39"/>
    <w:rsid w:val="00FB0B86"/>
    <w:rsid w:val="00FB0EFD"/>
    <w:rsid w:val="00FB1DA9"/>
    <w:rsid w:val="00FB2513"/>
    <w:rsid w:val="00FB2653"/>
    <w:rsid w:val="00FB2673"/>
    <w:rsid w:val="00FB28B8"/>
    <w:rsid w:val="00FB2908"/>
    <w:rsid w:val="00FB30A1"/>
    <w:rsid w:val="00FB3472"/>
    <w:rsid w:val="00FB3CAF"/>
    <w:rsid w:val="00FB413E"/>
    <w:rsid w:val="00FB44E7"/>
    <w:rsid w:val="00FB4C7D"/>
    <w:rsid w:val="00FB5122"/>
    <w:rsid w:val="00FB5691"/>
    <w:rsid w:val="00FB6473"/>
    <w:rsid w:val="00FB67CC"/>
    <w:rsid w:val="00FB68E1"/>
    <w:rsid w:val="00FB6D16"/>
    <w:rsid w:val="00FB75C0"/>
    <w:rsid w:val="00FB76A8"/>
    <w:rsid w:val="00FC0B88"/>
    <w:rsid w:val="00FC1784"/>
    <w:rsid w:val="00FC22BB"/>
    <w:rsid w:val="00FC4439"/>
    <w:rsid w:val="00FC4998"/>
    <w:rsid w:val="00FC503A"/>
    <w:rsid w:val="00FC5293"/>
    <w:rsid w:val="00FC5544"/>
    <w:rsid w:val="00FC5837"/>
    <w:rsid w:val="00FC6FC8"/>
    <w:rsid w:val="00FC7456"/>
    <w:rsid w:val="00FC7A84"/>
    <w:rsid w:val="00FC7BC3"/>
    <w:rsid w:val="00FD003B"/>
    <w:rsid w:val="00FD10FF"/>
    <w:rsid w:val="00FD12EA"/>
    <w:rsid w:val="00FD163D"/>
    <w:rsid w:val="00FD1F45"/>
    <w:rsid w:val="00FD31E6"/>
    <w:rsid w:val="00FD3BA7"/>
    <w:rsid w:val="00FD3F06"/>
    <w:rsid w:val="00FD4479"/>
    <w:rsid w:val="00FD5968"/>
    <w:rsid w:val="00FD5A42"/>
    <w:rsid w:val="00FD6A0D"/>
    <w:rsid w:val="00FD6E32"/>
    <w:rsid w:val="00FE125E"/>
    <w:rsid w:val="00FE14D6"/>
    <w:rsid w:val="00FE17CA"/>
    <w:rsid w:val="00FE1FF2"/>
    <w:rsid w:val="00FE26EC"/>
    <w:rsid w:val="00FE3106"/>
    <w:rsid w:val="00FE3B15"/>
    <w:rsid w:val="00FE4387"/>
    <w:rsid w:val="00FE4AB4"/>
    <w:rsid w:val="00FE4D11"/>
    <w:rsid w:val="00FE5167"/>
    <w:rsid w:val="00FE5E8D"/>
    <w:rsid w:val="00FE75D6"/>
    <w:rsid w:val="00FE7B6E"/>
    <w:rsid w:val="00FE7CBC"/>
    <w:rsid w:val="00FE7F0A"/>
    <w:rsid w:val="00FF0242"/>
    <w:rsid w:val="00FF14A8"/>
    <w:rsid w:val="00FF1882"/>
    <w:rsid w:val="00FF2FAF"/>
    <w:rsid w:val="00FF372E"/>
    <w:rsid w:val="00FF41F9"/>
    <w:rsid w:val="00FF493B"/>
    <w:rsid w:val="00FF4BAF"/>
    <w:rsid w:val="00FF508A"/>
    <w:rsid w:val="00FF52B2"/>
    <w:rsid w:val="00FF6524"/>
    <w:rsid w:val="00FF714F"/>
    <w:rsid w:val="00FF7F1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677"/>
    <w:pPr>
      <w:bidi/>
    </w:pPr>
    <w:rPr>
      <w:rFonts w:ascii="Times New Roman" w:hAnsi="Times New Roman" w:cs="B Nazanin"/>
      <w:sz w:val="22"/>
      <w:szCs w:val="24"/>
      <w:lang w:bidi="fa-IR"/>
    </w:rPr>
  </w:style>
  <w:style w:type="paragraph" w:styleId="Heading1">
    <w:name w:val="heading 1"/>
    <w:basedOn w:val="Normal"/>
    <w:next w:val="Normal"/>
    <w:link w:val="Heading1Char"/>
    <w:uiPriority w:val="9"/>
    <w:qFormat/>
    <w:rsid w:val="00A37B91"/>
    <w:pPr>
      <w:keepNext/>
      <w:keepLines/>
      <w:numPr>
        <w:numId w:val="1"/>
      </w:numPr>
      <w:spacing w:before="480" w:after="360" w:line="264" w:lineRule="auto"/>
      <w:ind w:left="284"/>
      <w:jc w:val="center"/>
      <w:outlineLvl w:val="0"/>
    </w:pPr>
    <w:rPr>
      <w:rFonts w:ascii="Arabic Typesetting" w:eastAsia="Times New Roman" w:hAnsi="Arabic Typesetting" w:cs="Times New Roman"/>
      <w:b/>
      <w:bCs/>
      <w:sz w:val="96"/>
      <w:szCs w:val="32"/>
      <w:lang w:bidi="ar-SA"/>
    </w:rPr>
  </w:style>
  <w:style w:type="paragraph" w:styleId="Heading2">
    <w:name w:val="heading 2"/>
    <w:basedOn w:val="Normal"/>
    <w:next w:val="Normal"/>
    <w:link w:val="Heading2Char"/>
    <w:uiPriority w:val="9"/>
    <w:unhideWhenUsed/>
    <w:qFormat/>
    <w:rsid w:val="00A37B91"/>
    <w:pPr>
      <w:keepNext/>
      <w:keepLines/>
      <w:numPr>
        <w:ilvl w:val="1"/>
        <w:numId w:val="1"/>
      </w:numPr>
      <w:spacing w:before="200" w:line="264" w:lineRule="auto"/>
      <w:jc w:val="lowKashida"/>
      <w:outlineLvl w:val="1"/>
    </w:pPr>
    <w:rPr>
      <w:rFonts w:eastAsia="Times New Roman" w:cs="Times New Roman"/>
      <w:b/>
      <w:bCs/>
      <w:sz w:val="28"/>
      <w:szCs w:val="30"/>
      <w:lang w:bidi="ar-SA"/>
    </w:rPr>
  </w:style>
  <w:style w:type="paragraph" w:styleId="Heading3">
    <w:name w:val="heading 3"/>
    <w:basedOn w:val="Normal"/>
    <w:next w:val="Normal"/>
    <w:link w:val="Heading3Char"/>
    <w:uiPriority w:val="9"/>
    <w:unhideWhenUsed/>
    <w:qFormat/>
    <w:rsid w:val="00A37B91"/>
    <w:pPr>
      <w:keepNext/>
      <w:keepLines/>
      <w:numPr>
        <w:ilvl w:val="2"/>
        <w:numId w:val="1"/>
      </w:numPr>
      <w:spacing w:before="240" w:line="264" w:lineRule="auto"/>
      <w:ind w:left="194"/>
      <w:jc w:val="lowKashida"/>
      <w:outlineLvl w:val="2"/>
    </w:pPr>
    <w:rPr>
      <w:rFonts w:eastAsia="Times New Roman" w:cs="Times New Roman"/>
      <w:b/>
      <w:bCs/>
      <w:sz w:val="24"/>
      <w:szCs w:val="28"/>
      <w:lang w:bidi="ar-SA"/>
    </w:rPr>
  </w:style>
  <w:style w:type="paragraph" w:styleId="Heading4">
    <w:name w:val="heading 4"/>
    <w:basedOn w:val="Normal"/>
    <w:next w:val="Normal"/>
    <w:link w:val="Heading4Char"/>
    <w:uiPriority w:val="9"/>
    <w:unhideWhenUsed/>
    <w:qFormat/>
    <w:rsid w:val="00A37B91"/>
    <w:pPr>
      <w:keepNext/>
      <w:keepLines/>
      <w:numPr>
        <w:ilvl w:val="3"/>
        <w:numId w:val="1"/>
      </w:numPr>
      <w:spacing w:before="120" w:line="264" w:lineRule="auto"/>
      <w:ind w:left="397"/>
      <w:jc w:val="lowKashida"/>
      <w:outlineLvl w:val="3"/>
    </w:pPr>
    <w:rPr>
      <w:rFonts w:eastAsia="Times New Roman" w:cs="Times New Roman"/>
      <w:b/>
      <w:bCs/>
      <w:sz w:val="24"/>
      <w:lang w:bidi="ar-SA"/>
    </w:rPr>
  </w:style>
  <w:style w:type="paragraph" w:styleId="Heading5">
    <w:name w:val="heading 5"/>
    <w:basedOn w:val="Normal"/>
    <w:next w:val="Normal"/>
    <w:link w:val="Heading5Char"/>
    <w:uiPriority w:val="9"/>
    <w:unhideWhenUsed/>
    <w:qFormat/>
    <w:rsid w:val="00A37B91"/>
    <w:pPr>
      <w:keepNext/>
      <w:keepLines/>
      <w:numPr>
        <w:ilvl w:val="4"/>
        <w:numId w:val="1"/>
      </w:numPr>
      <w:spacing w:before="200" w:line="264" w:lineRule="auto"/>
      <w:jc w:val="lowKashida"/>
      <w:outlineLvl w:val="4"/>
    </w:pPr>
    <w:rPr>
      <w:rFonts w:ascii="Cambria" w:eastAsia="Times New Roman" w:hAnsi="Cambria" w:cs="Times New Roman"/>
      <w:color w:val="243F60"/>
      <w:sz w:val="24"/>
      <w:szCs w:val="30"/>
      <w:lang w:bidi="ar-SA"/>
    </w:rPr>
  </w:style>
  <w:style w:type="paragraph" w:styleId="Heading6">
    <w:name w:val="heading 6"/>
    <w:basedOn w:val="Normal"/>
    <w:next w:val="Normal"/>
    <w:link w:val="Heading6Char"/>
    <w:uiPriority w:val="9"/>
    <w:semiHidden/>
    <w:unhideWhenUsed/>
    <w:rsid w:val="00A37B91"/>
    <w:pPr>
      <w:keepNext/>
      <w:keepLines/>
      <w:numPr>
        <w:ilvl w:val="5"/>
        <w:numId w:val="1"/>
      </w:numPr>
      <w:spacing w:before="200" w:line="264" w:lineRule="auto"/>
      <w:jc w:val="lowKashida"/>
      <w:outlineLvl w:val="5"/>
    </w:pPr>
    <w:rPr>
      <w:rFonts w:ascii="Cambria" w:eastAsia="Times New Roman" w:hAnsi="Cambria" w:cs="Times New Roman"/>
      <w:i/>
      <w:iCs/>
      <w:color w:val="243F60"/>
      <w:sz w:val="24"/>
      <w:szCs w:val="30"/>
      <w:lang w:bidi="ar-SA"/>
    </w:rPr>
  </w:style>
  <w:style w:type="paragraph" w:styleId="Heading7">
    <w:name w:val="heading 7"/>
    <w:basedOn w:val="Normal"/>
    <w:next w:val="Normal"/>
    <w:link w:val="Heading7Char"/>
    <w:uiPriority w:val="9"/>
    <w:semiHidden/>
    <w:unhideWhenUsed/>
    <w:qFormat/>
    <w:rsid w:val="00A37B91"/>
    <w:pPr>
      <w:keepNext/>
      <w:keepLines/>
      <w:numPr>
        <w:ilvl w:val="6"/>
        <w:numId w:val="1"/>
      </w:numPr>
      <w:spacing w:before="200" w:line="264" w:lineRule="auto"/>
      <w:jc w:val="lowKashida"/>
      <w:outlineLvl w:val="6"/>
    </w:pPr>
    <w:rPr>
      <w:rFonts w:ascii="Cambria" w:eastAsia="Times New Roman" w:hAnsi="Cambria" w:cs="Times New Roman"/>
      <w:i/>
      <w:iCs/>
      <w:color w:val="404040"/>
      <w:sz w:val="24"/>
      <w:szCs w:val="30"/>
      <w:lang w:bidi="ar-SA"/>
    </w:rPr>
  </w:style>
  <w:style w:type="paragraph" w:styleId="Heading8">
    <w:name w:val="heading 8"/>
    <w:basedOn w:val="Normal"/>
    <w:next w:val="Normal"/>
    <w:link w:val="Heading8Char"/>
    <w:uiPriority w:val="9"/>
    <w:unhideWhenUsed/>
    <w:qFormat/>
    <w:rsid w:val="00A37B91"/>
    <w:pPr>
      <w:keepNext/>
      <w:keepLines/>
      <w:numPr>
        <w:ilvl w:val="7"/>
        <w:numId w:val="1"/>
      </w:numPr>
      <w:spacing w:before="200" w:line="264" w:lineRule="auto"/>
      <w:jc w:val="lowKashida"/>
      <w:outlineLvl w:val="7"/>
    </w:pPr>
    <w:rPr>
      <w:rFonts w:ascii="Cambria" w:eastAsia="Times New Roman" w:hAnsi="Cambria" w:cs="Times New Roman"/>
      <w:color w:val="404040"/>
      <w:sz w:val="20"/>
      <w:szCs w:val="20"/>
      <w:lang w:bidi="ar-SA"/>
    </w:rPr>
  </w:style>
  <w:style w:type="paragraph" w:styleId="Heading9">
    <w:name w:val="heading 9"/>
    <w:basedOn w:val="Normal"/>
    <w:next w:val="Normal"/>
    <w:link w:val="Heading9Char"/>
    <w:uiPriority w:val="9"/>
    <w:semiHidden/>
    <w:unhideWhenUsed/>
    <w:qFormat/>
    <w:rsid w:val="00A37B91"/>
    <w:pPr>
      <w:keepNext/>
      <w:keepLines/>
      <w:numPr>
        <w:ilvl w:val="8"/>
        <w:numId w:val="1"/>
      </w:numPr>
      <w:spacing w:before="200" w:line="264" w:lineRule="auto"/>
      <w:jc w:val="lowKashida"/>
      <w:outlineLvl w:val="8"/>
    </w:pPr>
    <w:rPr>
      <w:rFonts w:ascii="Cambria" w:eastAsia="Times New Roman" w:hAnsi="Cambria" w:cs="Times New Roman"/>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A7B04"/>
    <w:rPr>
      <w:rFonts w:cs="Times New Roman"/>
      <w:sz w:val="20"/>
      <w:szCs w:val="20"/>
      <w:lang w:bidi="ar-SA"/>
    </w:rPr>
  </w:style>
  <w:style w:type="character" w:customStyle="1" w:styleId="FootnoteTextChar">
    <w:name w:val="Footnote Text Char"/>
    <w:link w:val="FootnoteText"/>
    <w:uiPriority w:val="99"/>
    <w:semiHidden/>
    <w:rsid w:val="00FA7B04"/>
    <w:rPr>
      <w:rFonts w:ascii="Times New Roman" w:hAnsi="Times New Roman" w:cs="B Nazanin"/>
      <w:sz w:val="20"/>
      <w:szCs w:val="20"/>
    </w:rPr>
  </w:style>
  <w:style w:type="character" w:styleId="FootnoteReference">
    <w:name w:val="footnote reference"/>
    <w:uiPriority w:val="99"/>
    <w:unhideWhenUsed/>
    <w:rsid w:val="00FA7B04"/>
    <w:rPr>
      <w:vertAlign w:val="superscript"/>
    </w:rPr>
  </w:style>
  <w:style w:type="table" w:styleId="TableGrid">
    <w:name w:val="Table Grid"/>
    <w:basedOn w:val="TableNormal"/>
    <w:uiPriority w:val="39"/>
    <w:rsid w:val="00920F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لیست,زیرنویس2,heading2,heading4,saber List Paragraph,Numbered Items"/>
    <w:basedOn w:val="Normal"/>
    <w:link w:val="ListParagraphChar"/>
    <w:uiPriority w:val="34"/>
    <w:qFormat/>
    <w:rsid w:val="006427C4"/>
    <w:pPr>
      <w:ind w:left="720"/>
      <w:contextualSpacing/>
    </w:pPr>
    <w:rPr>
      <w:lang/>
    </w:rPr>
  </w:style>
  <w:style w:type="paragraph" w:styleId="Header">
    <w:name w:val="header"/>
    <w:basedOn w:val="Normal"/>
    <w:link w:val="HeaderChar"/>
    <w:uiPriority w:val="99"/>
    <w:unhideWhenUsed/>
    <w:rsid w:val="005C73E2"/>
    <w:pPr>
      <w:tabs>
        <w:tab w:val="center" w:pos="4513"/>
        <w:tab w:val="right" w:pos="9026"/>
      </w:tabs>
    </w:pPr>
    <w:rPr>
      <w:rFonts w:cs="Times New Roman"/>
      <w:sz w:val="20"/>
      <w:lang w:bidi="ar-SA"/>
    </w:rPr>
  </w:style>
  <w:style w:type="character" w:customStyle="1" w:styleId="HeaderChar">
    <w:name w:val="Header Char"/>
    <w:link w:val="Header"/>
    <w:uiPriority w:val="99"/>
    <w:rsid w:val="005C73E2"/>
    <w:rPr>
      <w:rFonts w:ascii="Times New Roman" w:hAnsi="Times New Roman" w:cs="B Nazanin"/>
      <w:sz w:val="20"/>
      <w:szCs w:val="24"/>
    </w:rPr>
  </w:style>
  <w:style w:type="paragraph" w:styleId="Footer">
    <w:name w:val="footer"/>
    <w:basedOn w:val="Normal"/>
    <w:link w:val="FooterChar"/>
    <w:uiPriority w:val="99"/>
    <w:unhideWhenUsed/>
    <w:rsid w:val="005C73E2"/>
    <w:pPr>
      <w:tabs>
        <w:tab w:val="center" w:pos="4513"/>
        <w:tab w:val="right" w:pos="9026"/>
      </w:tabs>
    </w:pPr>
    <w:rPr>
      <w:rFonts w:cs="Times New Roman"/>
      <w:sz w:val="20"/>
      <w:lang w:bidi="ar-SA"/>
    </w:rPr>
  </w:style>
  <w:style w:type="character" w:customStyle="1" w:styleId="FooterChar">
    <w:name w:val="Footer Char"/>
    <w:link w:val="Footer"/>
    <w:uiPriority w:val="99"/>
    <w:rsid w:val="005C73E2"/>
    <w:rPr>
      <w:rFonts w:ascii="Times New Roman" w:hAnsi="Times New Roman" w:cs="B Nazanin"/>
      <w:sz w:val="20"/>
      <w:szCs w:val="24"/>
    </w:rPr>
  </w:style>
  <w:style w:type="paragraph" w:styleId="BlockText">
    <w:name w:val="Block Text"/>
    <w:basedOn w:val="Normal"/>
    <w:rsid w:val="003B383A"/>
    <w:pPr>
      <w:bidi w:val="0"/>
      <w:ind w:left="567" w:right="567"/>
      <w:jc w:val="both"/>
    </w:pPr>
    <w:rPr>
      <w:rFonts w:eastAsia="Times New Roman" w:cs="Times New Roman"/>
      <w:sz w:val="18"/>
      <w:lang w:bidi="ar-SA"/>
    </w:rPr>
  </w:style>
  <w:style w:type="character" w:styleId="CommentReference">
    <w:name w:val="annotation reference"/>
    <w:uiPriority w:val="99"/>
    <w:semiHidden/>
    <w:unhideWhenUsed/>
    <w:rsid w:val="008205EA"/>
    <w:rPr>
      <w:sz w:val="16"/>
      <w:szCs w:val="16"/>
    </w:rPr>
  </w:style>
  <w:style w:type="paragraph" w:styleId="CommentText">
    <w:name w:val="annotation text"/>
    <w:basedOn w:val="Normal"/>
    <w:link w:val="CommentTextChar"/>
    <w:uiPriority w:val="99"/>
    <w:semiHidden/>
    <w:unhideWhenUsed/>
    <w:rsid w:val="008205EA"/>
    <w:rPr>
      <w:sz w:val="20"/>
      <w:szCs w:val="20"/>
      <w:lang/>
    </w:rPr>
  </w:style>
  <w:style w:type="character" w:customStyle="1" w:styleId="CommentTextChar">
    <w:name w:val="Comment Text Char"/>
    <w:link w:val="CommentText"/>
    <w:uiPriority w:val="99"/>
    <w:semiHidden/>
    <w:rsid w:val="008205EA"/>
    <w:rPr>
      <w:rFonts w:ascii="Times New Roman" w:hAnsi="Times New Roman" w:cs="B Nazanin"/>
      <w:lang w:bidi="fa-IR"/>
    </w:rPr>
  </w:style>
  <w:style w:type="paragraph" w:styleId="CommentSubject">
    <w:name w:val="annotation subject"/>
    <w:basedOn w:val="CommentText"/>
    <w:next w:val="CommentText"/>
    <w:link w:val="CommentSubjectChar"/>
    <w:uiPriority w:val="99"/>
    <w:semiHidden/>
    <w:unhideWhenUsed/>
    <w:rsid w:val="008205EA"/>
    <w:rPr>
      <w:b/>
      <w:bCs/>
    </w:rPr>
  </w:style>
  <w:style w:type="character" w:customStyle="1" w:styleId="CommentSubjectChar">
    <w:name w:val="Comment Subject Char"/>
    <w:link w:val="CommentSubject"/>
    <w:uiPriority w:val="99"/>
    <w:semiHidden/>
    <w:rsid w:val="008205EA"/>
    <w:rPr>
      <w:rFonts w:ascii="Times New Roman" w:hAnsi="Times New Roman" w:cs="B Nazanin"/>
      <w:b/>
      <w:bCs/>
      <w:lang w:bidi="fa-IR"/>
    </w:rPr>
  </w:style>
  <w:style w:type="paragraph" w:styleId="BalloonText">
    <w:name w:val="Balloon Text"/>
    <w:basedOn w:val="Normal"/>
    <w:link w:val="BalloonTextChar"/>
    <w:uiPriority w:val="99"/>
    <w:semiHidden/>
    <w:unhideWhenUsed/>
    <w:rsid w:val="008205EA"/>
    <w:rPr>
      <w:rFonts w:ascii="Segoe UI" w:hAnsi="Segoe UI" w:cs="Segoe UI"/>
      <w:sz w:val="18"/>
      <w:szCs w:val="18"/>
      <w:lang/>
    </w:rPr>
  </w:style>
  <w:style w:type="character" w:customStyle="1" w:styleId="BalloonTextChar">
    <w:name w:val="Balloon Text Char"/>
    <w:link w:val="BalloonText"/>
    <w:uiPriority w:val="99"/>
    <w:semiHidden/>
    <w:rsid w:val="008205EA"/>
    <w:rPr>
      <w:rFonts w:ascii="Segoe UI" w:hAnsi="Segoe UI" w:cs="Segoe UI"/>
      <w:sz w:val="18"/>
      <w:szCs w:val="18"/>
      <w:lang w:bidi="fa-IR"/>
    </w:rPr>
  </w:style>
  <w:style w:type="character" w:styleId="Emphasis">
    <w:name w:val="Emphasis"/>
    <w:uiPriority w:val="20"/>
    <w:qFormat/>
    <w:rsid w:val="00BD7A02"/>
    <w:rPr>
      <w:i/>
      <w:iCs/>
    </w:rPr>
  </w:style>
  <w:style w:type="character" w:customStyle="1" w:styleId="apple-converted-space">
    <w:name w:val="apple-converted-space"/>
    <w:rsid w:val="00BD7A02"/>
  </w:style>
  <w:style w:type="table" w:customStyle="1" w:styleId="TableGrid1">
    <w:name w:val="Table Grid1"/>
    <w:basedOn w:val="TableNormal"/>
    <w:next w:val="TableGrid"/>
    <w:uiPriority w:val="59"/>
    <w:rsid w:val="006203D1"/>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6203D1"/>
    <w:rPr>
      <w:color w:val="0000FF"/>
      <w:u w:val="single"/>
    </w:rPr>
  </w:style>
  <w:style w:type="character" w:customStyle="1" w:styleId="Heading1Char">
    <w:name w:val="Heading 1 Char"/>
    <w:link w:val="Heading1"/>
    <w:uiPriority w:val="9"/>
    <w:rsid w:val="00A37B91"/>
    <w:rPr>
      <w:rFonts w:ascii="Arabic Typesetting" w:eastAsia="Times New Roman" w:hAnsi="Arabic Typesetting" w:cs="IRTitr"/>
      <w:b/>
      <w:bCs/>
      <w:sz w:val="96"/>
      <w:szCs w:val="32"/>
    </w:rPr>
  </w:style>
  <w:style w:type="character" w:customStyle="1" w:styleId="Heading2Char">
    <w:name w:val="Heading 2 Char"/>
    <w:link w:val="Heading2"/>
    <w:uiPriority w:val="9"/>
    <w:rsid w:val="00A37B91"/>
    <w:rPr>
      <w:rFonts w:ascii="Times New Roman" w:eastAsia="Times New Roman" w:hAnsi="Times New Roman" w:cs="B Zar"/>
      <w:b/>
      <w:bCs/>
      <w:sz w:val="28"/>
      <w:szCs w:val="30"/>
    </w:rPr>
  </w:style>
  <w:style w:type="character" w:customStyle="1" w:styleId="Heading3Char">
    <w:name w:val="Heading 3 Char"/>
    <w:link w:val="Heading3"/>
    <w:uiPriority w:val="9"/>
    <w:rsid w:val="00A37B91"/>
    <w:rPr>
      <w:rFonts w:ascii="Times New Roman" w:eastAsia="Times New Roman" w:hAnsi="Times New Roman" w:cs="B Zar"/>
      <w:b/>
      <w:bCs/>
      <w:sz w:val="24"/>
      <w:szCs w:val="28"/>
    </w:rPr>
  </w:style>
  <w:style w:type="character" w:customStyle="1" w:styleId="Heading4Char">
    <w:name w:val="Heading 4 Char"/>
    <w:link w:val="Heading4"/>
    <w:uiPriority w:val="9"/>
    <w:rsid w:val="00A37B91"/>
    <w:rPr>
      <w:rFonts w:ascii="Times New Roman" w:eastAsia="Times New Roman" w:hAnsi="Times New Roman" w:cs="B Zar"/>
      <w:b/>
      <w:bCs/>
      <w:sz w:val="24"/>
      <w:szCs w:val="24"/>
    </w:rPr>
  </w:style>
  <w:style w:type="character" w:customStyle="1" w:styleId="Heading5Char">
    <w:name w:val="Heading 5 Char"/>
    <w:link w:val="Heading5"/>
    <w:uiPriority w:val="9"/>
    <w:rsid w:val="00A37B91"/>
    <w:rPr>
      <w:rFonts w:ascii="Cambria" w:eastAsia="Times New Roman" w:hAnsi="Cambria" w:cs="Times New Roman"/>
      <w:color w:val="243F60"/>
      <w:sz w:val="24"/>
      <w:szCs w:val="30"/>
    </w:rPr>
  </w:style>
  <w:style w:type="character" w:customStyle="1" w:styleId="Heading6Char">
    <w:name w:val="Heading 6 Char"/>
    <w:link w:val="Heading6"/>
    <w:uiPriority w:val="9"/>
    <w:semiHidden/>
    <w:rsid w:val="00A37B91"/>
    <w:rPr>
      <w:rFonts w:ascii="Cambria" w:eastAsia="Times New Roman" w:hAnsi="Cambria" w:cs="Times New Roman"/>
      <w:i/>
      <w:iCs/>
      <w:color w:val="243F60"/>
      <w:sz w:val="24"/>
      <w:szCs w:val="30"/>
    </w:rPr>
  </w:style>
  <w:style w:type="character" w:customStyle="1" w:styleId="Heading7Char">
    <w:name w:val="Heading 7 Char"/>
    <w:link w:val="Heading7"/>
    <w:uiPriority w:val="9"/>
    <w:semiHidden/>
    <w:rsid w:val="00A37B91"/>
    <w:rPr>
      <w:rFonts w:ascii="Cambria" w:eastAsia="Times New Roman" w:hAnsi="Cambria" w:cs="Times New Roman"/>
      <w:i/>
      <w:iCs/>
      <w:color w:val="404040"/>
      <w:sz w:val="24"/>
      <w:szCs w:val="30"/>
    </w:rPr>
  </w:style>
  <w:style w:type="character" w:customStyle="1" w:styleId="Heading8Char">
    <w:name w:val="Heading 8 Char"/>
    <w:link w:val="Heading8"/>
    <w:uiPriority w:val="9"/>
    <w:rsid w:val="00A37B91"/>
    <w:rPr>
      <w:rFonts w:ascii="Cambria" w:eastAsia="Times New Roman" w:hAnsi="Cambria" w:cs="Times New Roman"/>
      <w:color w:val="404040"/>
    </w:rPr>
  </w:style>
  <w:style w:type="character" w:customStyle="1" w:styleId="Heading9Char">
    <w:name w:val="Heading 9 Char"/>
    <w:link w:val="Heading9"/>
    <w:uiPriority w:val="9"/>
    <w:semiHidden/>
    <w:rsid w:val="00A37B91"/>
    <w:rPr>
      <w:rFonts w:ascii="Cambria" w:eastAsia="Times New Roman" w:hAnsi="Cambria" w:cs="Times New Roman"/>
      <w:i/>
      <w:iCs/>
      <w:color w:val="404040"/>
    </w:rPr>
  </w:style>
  <w:style w:type="table" w:customStyle="1" w:styleId="TableGrid2">
    <w:name w:val="Table Grid2"/>
    <w:basedOn w:val="TableNormal"/>
    <w:next w:val="TableGrid"/>
    <w:uiPriority w:val="59"/>
    <w:rsid w:val="00ED4D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F785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2754C6"/>
  </w:style>
  <w:style w:type="table" w:customStyle="1" w:styleId="TableGrid4">
    <w:name w:val="Table Grid4"/>
    <w:basedOn w:val="TableNormal"/>
    <w:next w:val="TableGrid"/>
    <w:uiPriority w:val="39"/>
    <w:rsid w:val="002754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754C6"/>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754C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2754C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2754C6"/>
  </w:style>
  <w:style w:type="character" w:styleId="FollowedHyperlink">
    <w:name w:val="FollowedHyperlink"/>
    <w:uiPriority w:val="99"/>
    <w:semiHidden/>
    <w:unhideWhenUsed/>
    <w:rsid w:val="002754C6"/>
    <w:rPr>
      <w:color w:val="954F72"/>
      <w:u w:val="single"/>
    </w:rPr>
  </w:style>
  <w:style w:type="character" w:customStyle="1" w:styleId="ListParagraphChar">
    <w:name w:val="List Paragraph Char"/>
    <w:aliases w:val="لیست Char,زیرنویس2 Char,heading2 Char,heading4 Char,saber List Paragraph Char,Numbered Items Char"/>
    <w:link w:val="ListParagraph"/>
    <w:uiPriority w:val="34"/>
    <w:rsid w:val="00350477"/>
    <w:rPr>
      <w:rFonts w:ascii="Times New Roman" w:hAnsi="Times New Roman" w:cs="B Nazanin"/>
      <w:sz w:val="22"/>
      <w:szCs w:val="24"/>
      <w:lang w:bidi="fa-IR"/>
    </w:rPr>
  </w:style>
  <w:style w:type="paragraph" w:styleId="NoSpacing">
    <w:name w:val="No Spacing"/>
    <w:uiPriority w:val="1"/>
    <w:qFormat/>
    <w:rsid w:val="00304677"/>
    <w:pPr>
      <w:bidi/>
    </w:pPr>
    <w:rPr>
      <w:rFonts w:ascii="Times New Roman" w:hAnsi="Times New Roman" w:cs="B Nazanin"/>
      <w:sz w:val="22"/>
      <w:szCs w:val="24"/>
      <w:lang w:bidi="fa-IR"/>
    </w:rPr>
  </w:style>
  <w:style w:type="table" w:customStyle="1" w:styleId="TableGrid5">
    <w:name w:val="Table Grid5"/>
    <w:basedOn w:val="TableNormal"/>
    <w:next w:val="TableGrid"/>
    <w:uiPriority w:val="39"/>
    <w:rsid w:val="003337D7"/>
    <w:pPr>
      <w:bidi/>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B5122"/>
    <w:pPr>
      <w:bidi w:val="0"/>
      <w:spacing w:before="100" w:beforeAutospacing="1" w:after="100" w:afterAutospacing="1"/>
    </w:pPr>
    <w:rPr>
      <w:rFonts w:eastAsia="Times New Roman" w:cs="Times New Roman"/>
      <w:sz w:val="24"/>
      <w:lang w:bidi="ar-SA"/>
    </w:rPr>
  </w:style>
  <w:style w:type="table" w:customStyle="1" w:styleId="TableGrid6">
    <w:name w:val="Table Grid6"/>
    <w:basedOn w:val="TableNormal"/>
    <w:next w:val="TableGrid"/>
    <w:uiPriority w:val="39"/>
    <w:rsid w:val="00AE0165"/>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D972A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4789888">
      <w:bodyDiv w:val="1"/>
      <w:marLeft w:val="0"/>
      <w:marRight w:val="0"/>
      <w:marTop w:val="0"/>
      <w:marBottom w:val="0"/>
      <w:divBdr>
        <w:top w:val="none" w:sz="0" w:space="0" w:color="auto"/>
        <w:left w:val="none" w:sz="0" w:space="0" w:color="auto"/>
        <w:bottom w:val="none" w:sz="0" w:space="0" w:color="auto"/>
        <w:right w:val="none" w:sz="0" w:space="0" w:color="auto"/>
      </w:divBdr>
    </w:div>
    <w:div w:id="26029643">
      <w:bodyDiv w:val="1"/>
      <w:marLeft w:val="0"/>
      <w:marRight w:val="0"/>
      <w:marTop w:val="0"/>
      <w:marBottom w:val="0"/>
      <w:divBdr>
        <w:top w:val="none" w:sz="0" w:space="0" w:color="auto"/>
        <w:left w:val="none" w:sz="0" w:space="0" w:color="auto"/>
        <w:bottom w:val="none" w:sz="0" w:space="0" w:color="auto"/>
        <w:right w:val="none" w:sz="0" w:space="0" w:color="auto"/>
      </w:divBdr>
    </w:div>
    <w:div w:id="68619188">
      <w:bodyDiv w:val="1"/>
      <w:marLeft w:val="0"/>
      <w:marRight w:val="0"/>
      <w:marTop w:val="0"/>
      <w:marBottom w:val="0"/>
      <w:divBdr>
        <w:top w:val="none" w:sz="0" w:space="0" w:color="auto"/>
        <w:left w:val="none" w:sz="0" w:space="0" w:color="auto"/>
        <w:bottom w:val="none" w:sz="0" w:space="0" w:color="auto"/>
        <w:right w:val="none" w:sz="0" w:space="0" w:color="auto"/>
      </w:divBdr>
      <w:divsChild>
        <w:div w:id="430202940">
          <w:marLeft w:val="0"/>
          <w:marRight w:val="0"/>
          <w:marTop w:val="0"/>
          <w:marBottom w:val="0"/>
          <w:divBdr>
            <w:top w:val="none" w:sz="0" w:space="0" w:color="auto"/>
            <w:left w:val="none" w:sz="0" w:space="0" w:color="auto"/>
            <w:bottom w:val="none" w:sz="0" w:space="0" w:color="auto"/>
            <w:right w:val="none" w:sz="0" w:space="0" w:color="auto"/>
          </w:divBdr>
          <w:divsChild>
            <w:div w:id="2145928734">
              <w:marLeft w:val="0"/>
              <w:marRight w:val="0"/>
              <w:marTop w:val="0"/>
              <w:marBottom w:val="0"/>
              <w:divBdr>
                <w:top w:val="none" w:sz="0" w:space="0" w:color="auto"/>
                <w:left w:val="none" w:sz="0" w:space="0" w:color="auto"/>
                <w:bottom w:val="none" w:sz="0" w:space="0" w:color="auto"/>
                <w:right w:val="none" w:sz="0" w:space="0" w:color="auto"/>
              </w:divBdr>
              <w:divsChild>
                <w:div w:id="766266660">
                  <w:marLeft w:val="0"/>
                  <w:marRight w:val="0"/>
                  <w:marTop w:val="0"/>
                  <w:marBottom w:val="0"/>
                  <w:divBdr>
                    <w:top w:val="none" w:sz="0" w:space="0" w:color="auto"/>
                    <w:left w:val="none" w:sz="0" w:space="0" w:color="auto"/>
                    <w:bottom w:val="none" w:sz="0" w:space="0" w:color="auto"/>
                    <w:right w:val="none" w:sz="0" w:space="0" w:color="auto"/>
                  </w:divBdr>
                  <w:divsChild>
                    <w:div w:id="1369255260">
                      <w:marLeft w:val="0"/>
                      <w:marRight w:val="0"/>
                      <w:marTop w:val="0"/>
                      <w:marBottom w:val="0"/>
                      <w:divBdr>
                        <w:top w:val="none" w:sz="0" w:space="0" w:color="auto"/>
                        <w:left w:val="none" w:sz="0" w:space="0" w:color="auto"/>
                        <w:bottom w:val="none" w:sz="0" w:space="0" w:color="auto"/>
                        <w:right w:val="none" w:sz="0" w:space="0" w:color="auto"/>
                      </w:divBdr>
                      <w:divsChild>
                        <w:div w:id="2023163733">
                          <w:marLeft w:val="0"/>
                          <w:marRight w:val="0"/>
                          <w:marTop w:val="0"/>
                          <w:marBottom w:val="0"/>
                          <w:divBdr>
                            <w:top w:val="none" w:sz="0" w:space="0" w:color="auto"/>
                            <w:left w:val="none" w:sz="0" w:space="0" w:color="auto"/>
                            <w:bottom w:val="none" w:sz="0" w:space="0" w:color="auto"/>
                            <w:right w:val="none" w:sz="0" w:space="0" w:color="auto"/>
                          </w:divBdr>
                          <w:divsChild>
                            <w:div w:id="207554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94328">
      <w:bodyDiv w:val="1"/>
      <w:marLeft w:val="0"/>
      <w:marRight w:val="0"/>
      <w:marTop w:val="0"/>
      <w:marBottom w:val="0"/>
      <w:divBdr>
        <w:top w:val="none" w:sz="0" w:space="0" w:color="auto"/>
        <w:left w:val="none" w:sz="0" w:space="0" w:color="auto"/>
        <w:bottom w:val="none" w:sz="0" w:space="0" w:color="auto"/>
        <w:right w:val="none" w:sz="0" w:space="0" w:color="auto"/>
      </w:divBdr>
    </w:div>
    <w:div w:id="94641807">
      <w:bodyDiv w:val="1"/>
      <w:marLeft w:val="0"/>
      <w:marRight w:val="0"/>
      <w:marTop w:val="0"/>
      <w:marBottom w:val="0"/>
      <w:divBdr>
        <w:top w:val="none" w:sz="0" w:space="0" w:color="auto"/>
        <w:left w:val="none" w:sz="0" w:space="0" w:color="auto"/>
        <w:bottom w:val="none" w:sz="0" w:space="0" w:color="auto"/>
        <w:right w:val="none" w:sz="0" w:space="0" w:color="auto"/>
      </w:divBdr>
      <w:divsChild>
        <w:div w:id="704331303">
          <w:marLeft w:val="0"/>
          <w:marRight w:val="0"/>
          <w:marTop w:val="0"/>
          <w:marBottom w:val="0"/>
          <w:divBdr>
            <w:top w:val="none" w:sz="0" w:space="0" w:color="auto"/>
            <w:left w:val="none" w:sz="0" w:space="0" w:color="auto"/>
            <w:bottom w:val="none" w:sz="0" w:space="0" w:color="auto"/>
            <w:right w:val="none" w:sz="0" w:space="0" w:color="auto"/>
          </w:divBdr>
          <w:divsChild>
            <w:div w:id="485360181">
              <w:marLeft w:val="0"/>
              <w:marRight w:val="0"/>
              <w:marTop w:val="0"/>
              <w:marBottom w:val="0"/>
              <w:divBdr>
                <w:top w:val="none" w:sz="0" w:space="0" w:color="auto"/>
                <w:left w:val="none" w:sz="0" w:space="0" w:color="auto"/>
                <w:bottom w:val="none" w:sz="0" w:space="0" w:color="auto"/>
                <w:right w:val="none" w:sz="0" w:space="0" w:color="auto"/>
              </w:divBdr>
            </w:div>
          </w:divsChild>
        </w:div>
        <w:div w:id="937758542">
          <w:marLeft w:val="0"/>
          <w:marRight w:val="0"/>
          <w:marTop w:val="0"/>
          <w:marBottom w:val="0"/>
          <w:divBdr>
            <w:top w:val="none" w:sz="0" w:space="0" w:color="auto"/>
            <w:left w:val="none" w:sz="0" w:space="0" w:color="auto"/>
            <w:bottom w:val="none" w:sz="0" w:space="0" w:color="auto"/>
            <w:right w:val="none" w:sz="0" w:space="0" w:color="auto"/>
          </w:divBdr>
          <w:divsChild>
            <w:div w:id="1391919986">
              <w:marLeft w:val="0"/>
              <w:marRight w:val="0"/>
              <w:marTop w:val="0"/>
              <w:marBottom w:val="0"/>
              <w:divBdr>
                <w:top w:val="none" w:sz="0" w:space="0" w:color="auto"/>
                <w:left w:val="none" w:sz="0" w:space="0" w:color="auto"/>
                <w:bottom w:val="none" w:sz="0" w:space="0" w:color="auto"/>
                <w:right w:val="none" w:sz="0" w:space="0" w:color="auto"/>
              </w:divBdr>
            </w:div>
          </w:divsChild>
        </w:div>
        <w:div w:id="1153453150">
          <w:marLeft w:val="0"/>
          <w:marRight w:val="0"/>
          <w:marTop w:val="0"/>
          <w:marBottom w:val="0"/>
          <w:divBdr>
            <w:top w:val="none" w:sz="0" w:space="0" w:color="auto"/>
            <w:left w:val="none" w:sz="0" w:space="0" w:color="auto"/>
            <w:bottom w:val="none" w:sz="0" w:space="0" w:color="auto"/>
            <w:right w:val="none" w:sz="0" w:space="0" w:color="auto"/>
          </w:divBdr>
          <w:divsChild>
            <w:div w:id="1312248369">
              <w:marLeft w:val="0"/>
              <w:marRight w:val="0"/>
              <w:marTop w:val="0"/>
              <w:marBottom w:val="0"/>
              <w:divBdr>
                <w:top w:val="none" w:sz="0" w:space="0" w:color="auto"/>
                <w:left w:val="none" w:sz="0" w:space="0" w:color="auto"/>
                <w:bottom w:val="none" w:sz="0" w:space="0" w:color="auto"/>
                <w:right w:val="none" w:sz="0" w:space="0" w:color="auto"/>
              </w:divBdr>
            </w:div>
          </w:divsChild>
        </w:div>
        <w:div w:id="1810779257">
          <w:marLeft w:val="0"/>
          <w:marRight w:val="0"/>
          <w:marTop w:val="0"/>
          <w:marBottom w:val="0"/>
          <w:divBdr>
            <w:top w:val="none" w:sz="0" w:space="0" w:color="auto"/>
            <w:left w:val="none" w:sz="0" w:space="0" w:color="auto"/>
            <w:bottom w:val="none" w:sz="0" w:space="0" w:color="auto"/>
            <w:right w:val="none" w:sz="0" w:space="0" w:color="auto"/>
          </w:divBdr>
          <w:divsChild>
            <w:div w:id="53038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444">
      <w:bodyDiv w:val="1"/>
      <w:marLeft w:val="0"/>
      <w:marRight w:val="0"/>
      <w:marTop w:val="0"/>
      <w:marBottom w:val="0"/>
      <w:divBdr>
        <w:top w:val="none" w:sz="0" w:space="0" w:color="auto"/>
        <w:left w:val="none" w:sz="0" w:space="0" w:color="auto"/>
        <w:bottom w:val="none" w:sz="0" w:space="0" w:color="auto"/>
        <w:right w:val="none" w:sz="0" w:space="0" w:color="auto"/>
      </w:divBdr>
    </w:div>
    <w:div w:id="179977670">
      <w:bodyDiv w:val="1"/>
      <w:marLeft w:val="0"/>
      <w:marRight w:val="0"/>
      <w:marTop w:val="0"/>
      <w:marBottom w:val="0"/>
      <w:divBdr>
        <w:top w:val="none" w:sz="0" w:space="0" w:color="auto"/>
        <w:left w:val="none" w:sz="0" w:space="0" w:color="auto"/>
        <w:bottom w:val="none" w:sz="0" w:space="0" w:color="auto"/>
        <w:right w:val="none" w:sz="0" w:space="0" w:color="auto"/>
      </w:divBdr>
      <w:divsChild>
        <w:div w:id="431779284">
          <w:marLeft w:val="0"/>
          <w:marRight w:val="0"/>
          <w:marTop w:val="0"/>
          <w:marBottom w:val="0"/>
          <w:divBdr>
            <w:top w:val="single" w:sz="6" w:space="11" w:color="F0F4F7"/>
            <w:left w:val="none" w:sz="0" w:space="0" w:color="auto"/>
            <w:bottom w:val="none" w:sz="0" w:space="0" w:color="auto"/>
            <w:right w:val="none" w:sz="0" w:space="0" w:color="auto"/>
          </w:divBdr>
        </w:div>
      </w:divsChild>
    </w:div>
    <w:div w:id="208684257">
      <w:bodyDiv w:val="1"/>
      <w:marLeft w:val="0"/>
      <w:marRight w:val="0"/>
      <w:marTop w:val="0"/>
      <w:marBottom w:val="0"/>
      <w:divBdr>
        <w:top w:val="none" w:sz="0" w:space="0" w:color="auto"/>
        <w:left w:val="none" w:sz="0" w:space="0" w:color="auto"/>
        <w:bottom w:val="none" w:sz="0" w:space="0" w:color="auto"/>
        <w:right w:val="none" w:sz="0" w:space="0" w:color="auto"/>
      </w:divBdr>
    </w:div>
    <w:div w:id="238029808">
      <w:bodyDiv w:val="1"/>
      <w:marLeft w:val="0"/>
      <w:marRight w:val="0"/>
      <w:marTop w:val="0"/>
      <w:marBottom w:val="0"/>
      <w:divBdr>
        <w:top w:val="none" w:sz="0" w:space="0" w:color="auto"/>
        <w:left w:val="none" w:sz="0" w:space="0" w:color="auto"/>
        <w:bottom w:val="none" w:sz="0" w:space="0" w:color="auto"/>
        <w:right w:val="none" w:sz="0" w:space="0" w:color="auto"/>
      </w:divBdr>
      <w:divsChild>
        <w:div w:id="954020335">
          <w:marLeft w:val="0"/>
          <w:marRight w:val="0"/>
          <w:marTop w:val="0"/>
          <w:marBottom w:val="0"/>
          <w:divBdr>
            <w:top w:val="none" w:sz="0" w:space="0" w:color="auto"/>
            <w:left w:val="none" w:sz="0" w:space="0" w:color="auto"/>
            <w:bottom w:val="none" w:sz="0" w:space="0" w:color="auto"/>
            <w:right w:val="none" w:sz="0" w:space="0" w:color="auto"/>
          </w:divBdr>
          <w:divsChild>
            <w:div w:id="5795162">
              <w:marLeft w:val="0"/>
              <w:marRight w:val="0"/>
              <w:marTop w:val="0"/>
              <w:marBottom w:val="0"/>
              <w:divBdr>
                <w:top w:val="none" w:sz="0" w:space="0" w:color="auto"/>
                <w:left w:val="none" w:sz="0" w:space="0" w:color="auto"/>
                <w:bottom w:val="none" w:sz="0" w:space="0" w:color="auto"/>
                <w:right w:val="none" w:sz="0" w:space="0" w:color="auto"/>
              </w:divBdr>
            </w:div>
          </w:divsChild>
        </w:div>
        <w:div w:id="1508638887">
          <w:marLeft w:val="0"/>
          <w:marRight w:val="0"/>
          <w:marTop w:val="0"/>
          <w:marBottom w:val="0"/>
          <w:divBdr>
            <w:top w:val="none" w:sz="0" w:space="0" w:color="auto"/>
            <w:left w:val="none" w:sz="0" w:space="0" w:color="auto"/>
            <w:bottom w:val="none" w:sz="0" w:space="0" w:color="auto"/>
            <w:right w:val="none" w:sz="0" w:space="0" w:color="auto"/>
          </w:divBdr>
          <w:divsChild>
            <w:div w:id="10085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831980">
      <w:bodyDiv w:val="1"/>
      <w:marLeft w:val="0"/>
      <w:marRight w:val="0"/>
      <w:marTop w:val="0"/>
      <w:marBottom w:val="0"/>
      <w:divBdr>
        <w:top w:val="none" w:sz="0" w:space="0" w:color="auto"/>
        <w:left w:val="none" w:sz="0" w:space="0" w:color="auto"/>
        <w:bottom w:val="none" w:sz="0" w:space="0" w:color="auto"/>
        <w:right w:val="none" w:sz="0" w:space="0" w:color="auto"/>
      </w:divBdr>
    </w:div>
    <w:div w:id="336157953">
      <w:bodyDiv w:val="1"/>
      <w:marLeft w:val="0"/>
      <w:marRight w:val="0"/>
      <w:marTop w:val="0"/>
      <w:marBottom w:val="0"/>
      <w:divBdr>
        <w:top w:val="none" w:sz="0" w:space="0" w:color="auto"/>
        <w:left w:val="none" w:sz="0" w:space="0" w:color="auto"/>
        <w:bottom w:val="none" w:sz="0" w:space="0" w:color="auto"/>
        <w:right w:val="none" w:sz="0" w:space="0" w:color="auto"/>
      </w:divBdr>
    </w:div>
    <w:div w:id="343938710">
      <w:bodyDiv w:val="1"/>
      <w:marLeft w:val="0"/>
      <w:marRight w:val="0"/>
      <w:marTop w:val="0"/>
      <w:marBottom w:val="0"/>
      <w:divBdr>
        <w:top w:val="none" w:sz="0" w:space="0" w:color="auto"/>
        <w:left w:val="none" w:sz="0" w:space="0" w:color="auto"/>
        <w:bottom w:val="none" w:sz="0" w:space="0" w:color="auto"/>
        <w:right w:val="none" w:sz="0" w:space="0" w:color="auto"/>
      </w:divBdr>
    </w:div>
    <w:div w:id="411925447">
      <w:bodyDiv w:val="1"/>
      <w:marLeft w:val="0"/>
      <w:marRight w:val="0"/>
      <w:marTop w:val="0"/>
      <w:marBottom w:val="0"/>
      <w:divBdr>
        <w:top w:val="none" w:sz="0" w:space="0" w:color="auto"/>
        <w:left w:val="none" w:sz="0" w:space="0" w:color="auto"/>
        <w:bottom w:val="none" w:sz="0" w:space="0" w:color="auto"/>
        <w:right w:val="none" w:sz="0" w:space="0" w:color="auto"/>
      </w:divBdr>
      <w:divsChild>
        <w:div w:id="824585113">
          <w:marLeft w:val="0"/>
          <w:marRight w:val="0"/>
          <w:marTop w:val="0"/>
          <w:marBottom w:val="0"/>
          <w:divBdr>
            <w:top w:val="none" w:sz="0" w:space="0" w:color="auto"/>
            <w:left w:val="none" w:sz="0" w:space="0" w:color="auto"/>
            <w:bottom w:val="none" w:sz="0" w:space="0" w:color="auto"/>
            <w:right w:val="none" w:sz="0" w:space="0" w:color="auto"/>
          </w:divBdr>
          <w:divsChild>
            <w:div w:id="1005785911">
              <w:marLeft w:val="0"/>
              <w:marRight w:val="0"/>
              <w:marTop w:val="0"/>
              <w:marBottom w:val="0"/>
              <w:divBdr>
                <w:top w:val="none" w:sz="0" w:space="0" w:color="auto"/>
                <w:left w:val="none" w:sz="0" w:space="0" w:color="auto"/>
                <w:bottom w:val="none" w:sz="0" w:space="0" w:color="auto"/>
                <w:right w:val="none" w:sz="0" w:space="0" w:color="auto"/>
              </w:divBdr>
            </w:div>
          </w:divsChild>
        </w:div>
        <w:div w:id="2106611676">
          <w:marLeft w:val="0"/>
          <w:marRight w:val="0"/>
          <w:marTop w:val="0"/>
          <w:marBottom w:val="0"/>
          <w:divBdr>
            <w:top w:val="none" w:sz="0" w:space="0" w:color="auto"/>
            <w:left w:val="none" w:sz="0" w:space="0" w:color="auto"/>
            <w:bottom w:val="none" w:sz="0" w:space="0" w:color="auto"/>
            <w:right w:val="none" w:sz="0" w:space="0" w:color="auto"/>
          </w:divBdr>
          <w:divsChild>
            <w:div w:id="772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4028">
      <w:bodyDiv w:val="1"/>
      <w:marLeft w:val="0"/>
      <w:marRight w:val="0"/>
      <w:marTop w:val="0"/>
      <w:marBottom w:val="0"/>
      <w:divBdr>
        <w:top w:val="none" w:sz="0" w:space="0" w:color="auto"/>
        <w:left w:val="none" w:sz="0" w:space="0" w:color="auto"/>
        <w:bottom w:val="none" w:sz="0" w:space="0" w:color="auto"/>
        <w:right w:val="none" w:sz="0" w:space="0" w:color="auto"/>
      </w:divBdr>
    </w:div>
    <w:div w:id="451826608">
      <w:bodyDiv w:val="1"/>
      <w:marLeft w:val="0"/>
      <w:marRight w:val="0"/>
      <w:marTop w:val="0"/>
      <w:marBottom w:val="0"/>
      <w:divBdr>
        <w:top w:val="none" w:sz="0" w:space="0" w:color="auto"/>
        <w:left w:val="none" w:sz="0" w:space="0" w:color="auto"/>
        <w:bottom w:val="none" w:sz="0" w:space="0" w:color="auto"/>
        <w:right w:val="none" w:sz="0" w:space="0" w:color="auto"/>
      </w:divBdr>
    </w:div>
    <w:div w:id="494994888">
      <w:bodyDiv w:val="1"/>
      <w:marLeft w:val="0"/>
      <w:marRight w:val="0"/>
      <w:marTop w:val="0"/>
      <w:marBottom w:val="0"/>
      <w:divBdr>
        <w:top w:val="none" w:sz="0" w:space="0" w:color="auto"/>
        <w:left w:val="none" w:sz="0" w:space="0" w:color="auto"/>
        <w:bottom w:val="none" w:sz="0" w:space="0" w:color="auto"/>
        <w:right w:val="none" w:sz="0" w:space="0" w:color="auto"/>
      </w:divBdr>
    </w:div>
    <w:div w:id="896739768">
      <w:bodyDiv w:val="1"/>
      <w:marLeft w:val="0"/>
      <w:marRight w:val="0"/>
      <w:marTop w:val="0"/>
      <w:marBottom w:val="0"/>
      <w:divBdr>
        <w:top w:val="none" w:sz="0" w:space="0" w:color="auto"/>
        <w:left w:val="none" w:sz="0" w:space="0" w:color="auto"/>
        <w:bottom w:val="none" w:sz="0" w:space="0" w:color="auto"/>
        <w:right w:val="none" w:sz="0" w:space="0" w:color="auto"/>
      </w:divBdr>
    </w:div>
    <w:div w:id="900946416">
      <w:bodyDiv w:val="1"/>
      <w:marLeft w:val="0"/>
      <w:marRight w:val="0"/>
      <w:marTop w:val="0"/>
      <w:marBottom w:val="0"/>
      <w:divBdr>
        <w:top w:val="none" w:sz="0" w:space="0" w:color="auto"/>
        <w:left w:val="none" w:sz="0" w:space="0" w:color="auto"/>
        <w:bottom w:val="none" w:sz="0" w:space="0" w:color="auto"/>
        <w:right w:val="none" w:sz="0" w:space="0" w:color="auto"/>
      </w:divBdr>
    </w:div>
    <w:div w:id="1007371153">
      <w:bodyDiv w:val="1"/>
      <w:marLeft w:val="0"/>
      <w:marRight w:val="0"/>
      <w:marTop w:val="0"/>
      <w:marBottom w:val="0"/>
      <w:divBdr>
        <w:top w:val="none" w:sz="0" w:space="0" w:color="auto"/>
        <w:left w:val="none" w:sz="0" w:space="0" w:color="auto"/>
        <w:bottom w:val="none" w:sz="0" w:space="0" w:color="auto"/>
        <w:right w:val="none" w:sz="0" w:space="0" w:color="auto"/>
      </w:divBdr>
    </w:div>
    <w:div w:id="1084718573">
      <w:bodyDiv w:val="1"/>
      <w:marLeft w:val="0"/>
      <w:marRight w:val="0"/>
      <w:marTop w:val="0"/>
      <w:marBottom w:val="0"/>
      <w:divBdr>
        <w:top w:val="none" w:sz="0" w:space="0" w:color="auto"/>
        <w:left w:val="none" w:sz="0" w:space="0" w:color="auto"/>
        <w:bottom w:val="none" w:sz="0" w:space="0" w:color="auto"/>
        <w:right w:val="none" w:sz="0" w:space="0" w:color="auto"/>
      </w:divBdr>
    </w:div>
    <w:div w:id="1244992622">
      <w:bodyDiv w:val="1"/>
      <w:marLeft w:val="0"/>
      <w:marRight w:val="0"/>
      <w:marTop w:val="0"/>
      <w:marBottom w:val="0"/>
      <w:divBdr>
        <w:top w:val="none" w:sz="0" w:space="0" w:color="auto"/>
        <w:left w:val="none" w:sz="0" w:space="0" w:color="auto"/>
        <w:bottom w:val="none" w:sz="0" w:space="0" w:color="auto"/>
        <w:right w:val="none" w:sz="0" w:space="0" w:color="auto"/>
      </w:divBdr>
    </w:div>
    <w:div w:id="1432093818">
      <w:bodyDiv w:val="1"/>
      <w:marLeft w:val="0"/>
      <w:marRight w:val="0"/>
      <w:marTop w:val="0"/>
      <w:marBottom w:val="0"/>
      <w:divBdr>
        <w:top w:val="none" w:sz="0" w:space="0" w:color="auto"/>
        <w:left w:val="none" w:sz="0" w:space="0" w:color="auto"/>
        <w:bottom w:val="none" w:sz="0" w:space="0" w:color="auto"/>
        <w:right w:val="none" w:sz="0" w:space="0" w:color="auto"/>
      </w:divBdr>
      <w:divsChild>
        <w:div w:id="652560268">
          <w:marLeft w:val="0"/>
          <w:marRight w:val="0"/>
          <w:marTop w:val="0"/>
          <w:marBottom w:val="0"/>
          <w:divBdr>
            <w:top w:val="none" w:sz="0" w:space="0" w:color="auto"/>
            <w:left w:val="none" w:sz="0" w:space="0" w:color="auto"/>
            <w:bottom w:val="none" w:sz="0" w:space="0" w:color="auto"/>
            <w:right w:val="none" w:sz="0" w:space="0" w:color="auto"/>
          </w:divBdr>
          <w:divsChild>
            <w:div w:id="883181571">
              <w:marLeft w:val="0"/>
              <w:marRight w:val="0"/>
              <w:marTop w:val="0"/>
              <w:marBottom w:val="0"/>
              <w:divBdr>
                <w:top w:val="none" w:sz="0" w:space="0" w:color="auto"/>
                <w:left w:val="none" w:sz="0" w:space="0" w:color="auto"/>
                <w:bottom w:val="none" w:sz="0" w:space="0" w:color="auto"/>
                <w:right w:val="none" w:sz="0" w:space="0" w:color="auto"/>
              </w:divBdr>
              <w:divsChild>
                <w:div w:id="1893886998">
                  <w:marLeft w:val="0"/>
                  <w:marRight w:val="0"/>
                  <w:marTop w:val="0"/>
                  <w:marBottom w:val="0"/>
                  <w:divBdr>
                    <w:top w:val="none" w:sz="0" w:space="0" w:color="auto"/>
                    <w:left w:val="none" w:sz="0" w:space="0" w:color="auto"/>
                    <w:bottom w:val="none" w:sz="0" w:space="0" w:color="auto"/>
                    <w:right w:val="none" w:sz="0" w:space="0" w:color="auto"/>
                  </w:divBdr>
                  <w:divsChild>
                    <w:div w:id="1690401823">
                      <w:marLeft w:val="0"/>
                      <w:marRight w:val="0"/>
                      <w:marTop w:val="0"/>
                      <w:marBottom w:val="0"/>
                      <w:divBdr>
                        <w:top w:val="none" w:sz="0" w:space="0" w:color="auto"/>
                        <w:left w:val="none" w:sz="0" w:space="0" w:color="auto"/>
                        <w:bottom w:val="none" w:sz="0" w:space="0" w:color="auto"/>
                        <w:right w:val="none" w:sz="0" w:space="0" w:color="auto"/>
                      </w:divBdr>
                      <w:divsChild>
                        <w:div w:id="1331635355">
                          <w:marLeft w:val="0"/>
                          <w:marRight w:val="0"/>
                          <w:marTop w:val="0"/>
                          <w:marBottom w:val="0"/>
                          <w:divBdr>
                            <w:top w:val="none" w:sz="0" w:space="0" w:color="auto"/>
                            <w:left w:val="none" w:sz="0" w:space="0" w:color="auto"/>
                            <w:bottom w:val="none" w:sz="0" w:space="0" w:color="auto"/>
                            <w:right w:val="none" w:sz="0" w:space="0" w:color="auto"/>
                          </w:divBdr>
                          <w:divsChild>
                            <w:div w:id="27086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444228">
      <w:bodyDiv w:val="1"/>
      <w:marLeft w:val="0"/>
      <w:marRight w:val="0"/>
      <w:marTop w:val="0"/>
      <w:marBottom w:val="0"/>
      <w:divBdr>
        <w:top w:val="none" w:sz="0" w:space="0" w:color="auto"/>
        <w:left w:val="none" w:sz="0" w:space="0" w:color="auto"/>
        <w:bottom w:val="none" w:sz="0" w:space="0" w:color="auto"/>
        <w:right w:val="none" w:sz="0" w:space="0" w:color="auto"/>
      </w:divBdr>
    </w:div>
    <w:div w:id="1454709434">
      <w:bodyDiv w:val="1"/>
      <w:marLeft w:val="0"/>
      <w:marRight w:val="0"/>
      <w:marTop w:val="0"/>
      <w:marBottom w:val="0"/>
      <w:divBdr>
        <w:top w:val="none" w:sz="0" w:space="0" w:color="auto"/>
        <w:left w:val="none" w:sz="0" w:space="0" w:color="auto"/>
        <w:bottom w:val="none" w:sz="0" w:space="0" w:color="auto"/>
        <w:right w:val="none" w:sz="0" w:space="0" w:color="auto"/>
      </w:divBdr>
    </w:div>
    <w:div w:id="1493371172">
      <w:bodyDiv w:val="1"/>
      <w:marLeft w:val="0"/>
      <w:marRight w:val="0"/>
      <w:marTop w:val="0"/>
      <w:marBottom w:val="0"/>
      <w:divBdr>
        <w:top w:val="none" w:sz="0" w:space="0" w:color="auto"/>
        <w:left w:val="none" w:sz="0" w:space="0" w:color="auto"/>
        <w:bottom w:val="none" w:sz="0" w:space="0" w:color="auto"/>
        <w:right w:val="none" w:sz="0" w:space="0" w:color="auto"/>
      </w:divBdr>
    </w:div>
    <w:div w:id="1503930024">
      <w:bodyDiv w:val="1"/>
      <w:marLeft w:val="0"/>
      <w:marRight w:val="0"/>
      <w:marTop w:val="0"/>
      <w:marBottom w:val="0"/>
      <w:divBdr>
        <w:top w:val="none" w:sz="0" w:space="0" w:color="auto"/>
        <w:left w:val="none" w:sz="0" w:space="0" w:color="auto"/>
        <w:bottom w:val="none" w:sz="0" w:space="0" w:color="auto"/>
        <w:right w:val="none" w:sz="0" w:space="0" w:color="auto"/>
      </w:divBdr>
      <w:divsChild>
        <w:div w:id="46612336">
          <w:marLeft w:val="0"/>
          <w:marRight w:val="0"/>
          <w:marTop w:val="0"/>
          <w:marBottom w:val="0"/>
          <w:divBdr>
            <w:top w:val="none" w:sz="0" w:space="0" w:color="auto"/>
            <w:left w:val="none" w:sz="0" w:space="0" w:color="auto"/>
            <w:bottom w:val="none" w:sz="0" w:space="0" w:color="auto"/>
            <w:right w:val="none" w:sz="0" w:space="0" w:color="auto"/>
          </w:divBdr>
          <w:divsChild>
            <w:div w:id="200409742">
              <w:marLeft w:val="0"/>
              <w:marRight w:val="0"/>
              <w:marTop w:val="0"/>
              <w:marBottom w:val="0"/>
              <w:divBdr>
                <w:top w:val="none" w:sz="0" w:space="0" w:color="auto"/>
                <w:left w:val="none" w:sz="0" w:space="0" w:color="auto"/>
                <w:bottom w:val="none" w:sz="0" w:space="0" w:color="auto"/>
                <w:right w:val="none" w:sz="0" w:space="0" w:color="auto"/>
              </w:divBdr>
            </w:div>
          </w:divsChild>
        </w:div>
        <w:div w:id="404881794">
          <w:marLeft w:val="0"/>
          <w:marRight w:val="0"/>
          <w:marTop w:val="0"/>
          <w:marBottom w:val="0"/>
          <w:divBdr>
            <w:top w:val="none" w:sz="0" w:space="0" w:color="auto"/>
            <w:left w:val="none" w:sz="0" w:space="0" w:color="auto"/>
            <w:bottom w:val="none" w:sz="0" w:space="0" w:color="auto"/>
            <w:right w:val="none" w:sz="0" w:space="0" w:color="auto"/>
          </w:divBdr>
          <w:divsChild>
            <w:div w:id="468741969">
              <w:marLeft w:val="0"/>
              <w:marRight w:val="0"/>
              <w:marTop w:val="0"/>
              <w:marBottom w:val="0"/>
              <w:divBdr>
                <w:top w:val="none" w:sz="0" w:space="0" w:color="auto"/>
                <w:left w:val="none" w:sz="0" w:space="0" w:color="auto"/>
                <w:bottom w:val="none" w:sz="0" w:space="0" w:color="auto"/>
                <w:right w:val="none" w:sz="0" w:space="0" w:color="auto"/>
              </w:divBdr>
            </w:div>
          </w:divsChild>
        </w:div>
        <w:div w:id="811866011">
          <w:marLeft w:val="0"/>
          <w:marRight w:val="0"/>
          <w:marTop w:val="0"/>
          <w:marBottom w:val="0"/>
          <w:divBdr>
            <w:top w:val="none" w:sz="0" w:space="0" w:color="auto"/>
            <w:left w:val="none" w:sz="0" w:space="0" w:color="auto"/>
            <w:bottom w:val="none" w:sz="0" w:space="0" w:color="auto"/>
            <w:right w:val="none" w:sz="0" w:space="0" w:color="auto"/>
          </w:divBdr>
          <w:divsChild>
            <w:div w:id="1867936550">
              <w:marLeft w:val="0"/>
              <w:marRight w:val="0"/>
              <w:marTop w:val="0"/>
              <w:marBottom w:val="0"/>
              <w:divBdr>
                <w:top w:val="none" w:sz="0" w:space="0" w:color="auto"/>
                <w:left w:val="none" w:sz="0" w:space="0" w:color="auto"/>
                <w:bottom w:val="none" w:sz="0" w:space="0" w:color="auto"/>
                <w:right w:val="none" w:sz="0" w:space="0" w:color="auto"/>
              </w:divBdr>
            </w:div>
          </w:divsChild>
        </w:div>
        <w:div w:id="1356271240">
          <w:marLeft w:val="0"/>
          <w:marRight w:val="0"/>
          <w:marTop w:val="0"/>
          <w:marBottom w:val="0"/>
          <w:divBdr>
            <w:top w:val="none" w:sz="0" w:space="0" w:color="auto"/>
            <w:left w:val="none" w:sz="0" w:space="0" w:color="auto"/>
            <w:bottom w:val="none" w:sz="0" w:space="0" w:color="auto"/>
            <w:right w:val="none" w:sz="0" w:space="0" w:color="auto"/>
          </w:divBdr>
          <w:divsChild>
            <w:div w:id="8031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47270">
      <w:bodyDiv w:val="1"/>
      <w:marLeft w:val="0"/>
      <w:marRight w:val="0"/>
      <w:marTop w:val="0"/>
      <w:marBottom w:val="0"/>
      <w:divBdr>
        <w:top w:val="none" w:sz="0" w:space="0" w:color="auto"/>
        <w:left w:val="none" w:sz="0" w:space="0" w:color="auto"/>
        <w:bottom w:val="none" w:sz="0" w:space="0" w:color="auto"/>
        <w:right w:val="none" w:sz="0" w:space="0" w:color="auto"/>
      </w:divBdr>
    </w:div>
    <w:div w:id="1579553380">
      <w:bodyDiv w:val="1"/>
      <w:marLeft w:val="0"/>
      <w:marRight w:val="0"/>
      <w:marTop w:val="0"/>
      <w:marBottom w:val="0"/>
      <w:divBdr>
        <w:top w:val="none" w:sz="0" w:space="0" w:color="auto"/>
        <w:left w:val="none" w:sz="0" w:space="0" w:color="auto"/>
        <w:bottom w:val="none" w:sz="0" w:space="0" w:color="auto"/>
        <w:right w:val="none" w:sz="0" w:space="0" w:color="auto"/>
      </w:divBdr>
    </w:div>
    <w:div w:id="1614093330">
      <w:bodyDiv w:val="1"/>
      <w:marLeft w:val="0"/>
      <w:marRight w:val="0"/>
      <w:marTop w:val="0"/>
      <w:marBottom w:val="0"/>
      <w:divBdr>
        <w:top w:val="none" w:sz="0" w:space="0" w:color="auto"/>
        <w:left w:val="none" w:sz="0" w:space="0" w:color="auto"/>
        <w:bottom w:val="none" w:sz="0" w:space="0" w:color="auto"/>
        <w:right w:val="none" w:sz="0" w:space="0" w:color="auto"/>
      </w:divBdr>
      <w:divsChild>
        <w:div w:id="649291125">
          <w:marLeft w:val="0"/>
          <w:marRight w:val="0"/>
          <w:marTop w:val="0"/>
          <w:marBottom w:val="0"/>
          <w:divBdr>
            <w:top w:val="none" w:sz="0" w:space="0" w:color="auto"/>
            <w:left w:val="none" w:sz="0" w:space="0" w:color="auto"/>
            <w:bottom w:val="none" w:sz="0" w:space="0" w:color="auto"/>
            <w:right w:val="none" w:sz="0" w:space="0" w:color="auto"/>
          </w:divBdr>
          <w:divsChild>
            <w:div w:id="2024165055">
              <w:marLeft w:val="0"/>
              <w:marRight w:val="0"/>
              <w:marTop w:val="0"/>
              <w:marBottom w:val="0"/>
              <w:divBdr>
                <w:top w:val="none" w:sz="0" w:space="0" w:color="auto"/>
                <w:left w:val="none" w:sz="0" w:space="0" w:color="auto"/>
                <w:bottom w:val="none" w:sz="0" w:space="0" w:color="auto"/>
                <w:right w:val="none" w:sz="0" w:space="0" w:color="auto"/>
              </w:divBdr>
            </w:div>
          </w:divsChild>
        </w:div>
        <w:div w:id="841509578">
          <w:marLeft w:val="0"/>
          <w:marRight w:val="0"/>
          <w:marTop w:val="0"/>
          <w:marBottom w:val="0"/>
          <w:divBdr>
            <w:top w:val="none" w:sz="0" w:space="0" w:color="auto"/>
            <w:left w:val="none" w:sz="0" w:space="0" w:color="auto"/>
            <w:bottom w:val="none" w:sz="0" w:space="0" w:color="auto"/>
            <w:right w:val="none" w:sz="0" w:space="0" w:color="auto"/>
          </w:divBdr>
          <w:divsChild>
            <w:div w:id="2675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2229">
      <w:bodyDiv w:val="1"/>
      <w:marLeft w:val="0"/>
      <w:marRight w:val="0"/>
      <w:marTop w:val="0"/>
      <w:marBottom w:val="0"/>
      <w:divBdr>
        <w:top w:val="none" w:sz="0" w:space="0" w:color="auto"/>
        <w:left w:val="none" w:sz="0" w:space="0" w:color="auto"/>
        <w:bottom w:val="none" w:sz="0" w:space="0" w:color="auto"/>
        <w:right w:val="none" w:sz="0" w:space="0" w:color="auto"/>
      </w:divBdr>
    </w:div>
    <w:div w:id="1660764813">
      <w:bodyDiv w:val="1"/>
      <w:marLeft w:val="0"/>
      <w:marRight w:val="0"/>
      <w:marTop w:val="0"/>
      <w:marBottom w:val="0"/>
      <w:divBdr>
        <w:top w:val="none" w:sz="0" w:space="0" w:color="auto"/>
        <w:left w:val="none" w:sz="0" w:space="0" w:color="auto"/>
        <w:bottom w:val="none" w:sz="0" w:space="0" w:color="auto"/>
        <w:right w:val="none" w:sz="0" w:space="0" w:color="auto"/>
      </w:divBdr>
    </w:div>
    <w:div w:id="1685982044">
      <w:bodyDiv w:val="1"/>
      <w:marLeft w:val="0"/>
      <w:marRight w:val="0"/>
      <w:marTop w:val="0"/>
      <w:marBottom w:val="0"/>
      <w:divBdr>
        <w:top w:val="none" w:sz="0" w:space="0" w:color="auto"/>
        <w:left w:val="none" w:sz="0" w:space="0" w:color="auto"/>
        <w:bottom w:val="none" w:sz="0" w:space="0" w:color="auto"/>
        <w:right w:val="none" w:sz="0" w:space="0" w:color="auto"/>
      </w:divBdr>
    </w:div>
    <w:div w:id="1735355524">
      <w:bodyDiv w:val="1"/>
      <w:marLeft w:val="0"/>
      <w:marRight w:val="0"/>
      <w:marTop w:val="0"/>
      <w:marBottom w:val="0"/>
      <w:divBdr>
        <w:top w:val="none" w:sz="0" w:space="0" w:color="auto"/>
        <w:left w:val="none" w:sz="0" w:space="0" w:color="auto"/>
        <w:bottom w:val="none" w:sz="0" w:space="0" w:color="auto"/>
        <w:right w:val="none" w:sz="0" w:space="0" w:color="auto"/>
      </w:divBdr>
    </w:div>
    <w:div w:id="1859584080">
      <w:bodyDiv w:val="1"/>
      <w:marLeft w:val="0"/>
      <w:marRight w:val="0"/>
      <w:marTop w:val="0"/>
      <w:marBottom w:val="0"/>
      <w:divBdr>
        <w:top w:val="none" w:sz="0" w:space="0" w:color="auto"/>
        <w:left w:val="none" w:sz="0" w:space="0" w:color="auto"/>
        <w:bottom w:val="none" w:sz="0" w:space="0" w:color="auto"/>
        <w:right w:val="none" w:sz="0" w:space="0" w:color="auto"/>
      </w:divBdr>
      <w:divsChild>
        <w:div w:id="1679846764">
          <w:marLeft w:val="0"/>
          <w:marRight w:val="0"/>
          <w:marTop w:val="0"/>
          <w:marBottom w:val="0"/>
          <w:divBdr>
            <w:top w:val="single" w:sz="6" w:space="11" w:color="F0F4F7"/>
            <w:left w:val="none" w:sz="0" w:space="0" w:color="auto"/>
            <w:bottom w:val="none" w:sz="0" w:space="0" w:color="auto"/>
            <w:right w:val="none" w:sz="0" w:space="0" w:color="auto"/>
          </w:divBdr>
        </w:div>
      </w:divsChild>
    </w:div>
    <w:div w:id="1872064705">
      <w:bodyDiv w:val="1"/>
      <w:marLeft w:val="0"/>
      <w:marRight w:val="0"/>
      <w:marTop w:val="0"/>
      <w:marBottom w:val="0"/>
      <w:divBdr>
        <w:top w:val="none" w:sz="0" w:space="0" w:color="auto"/>
        <w:left w:val="none" w:sz="0" w:space="0" w:color="auto"/>
        <w:bottom w:val="none" w:sz="0" w:space="0" w:color="auto"/>
        <w:right w:val="none" w:sz="0" w:space="0" w:color="auto"/>
      </w:divBdr>
    </w:div>
    <w:div w:id="1961186863">
      <w:bodyDiv w:val="1"/>
      <w:marLeft w:val="0"/>
      <w:marRight w:val="0"/>
      <w:marTop w:val="0"/>
      <w:marBottom w:val="0"/>
      <w:divBdr>
        <w:top w:val="none" w:sz="0" w:space="0" w:color="auto"/>
        <w:left w:val="none" w:sz="0" w:space="0" w:color="auto"/>
        <w:bottom w:val="none" w:sz="0" w:space="0" w:color="auto"/>
        <w:right w:val="none" w:sz="0" w:space="0" w:color="auto"/>
      </w:divBdr>
    </w:div>
    <w:div w:id="2082487658">
      <w:bodyDiv w:val="1"/>
      <w:marLeft w:val="0"/>
      <w:marRight w:val="0"/>
      <w:marTop w:val="0"/>
      <w:marBottom w:val="0"/>
      <w:divBdr>
        <w:top w:val="none" w:sz="0" w:space="0" w:color="auto"/>
        <w:left w:val="none" w:sz="0" w:space="0" w:color="auto"/>
        <w:bottom w:val="none" w:sz="0" w:space="0" w:color="auto"/>
        <w:right w:val="none" w:sz="0" w:space="0" w:color="auto"/>
      </w:divBdr>
    </w:div>
    <w:div w:id="2102993843">
      <w:bodyDiv w:val="1"/>
      <w:marLeft w:val="0"/>
      <w:marRight w:val="0"/>
      <w:marTop w:val="0"/>
      <w:marBottom w:val="0"/>
      <w:divBdr>
        <w:top w:val="none" w:sz="0" w:space="0" w:color="auto"/>
        <w:left w:val="none" w:sz="0" w:space="0" w:color="auto"/>
        <w:bottom w:val="none" w:sz="0" w:space="0" w:color="auto"/>
        <w:right w:val="none" w:sz="0" w:space="0" w:color="auto"/>
      </w:divBdr>
    </w:div>
    <w:div w:id="2118255974">
      <w:bodyDiv w:val="1"/>
      <w:marLeft w:val="0"/>
      <w:marRight w:val="0"/>
      <w:marTop w:val="0"/>
      <w:marBottom w:val="0"/>
      <w:divBdr>
        <w:top w:val="none" w:sz="0" w:space="0" w:color="auto"/>
        <w:left w:val="none" w:sz="0" w:space="0" w:color="auto"/>
        <w:bottom w:val="none" w:sz="0" w:space="0" w:color="auto"/>
        <w:right w:val="none" w:sz="0" w:space="0" w:color="auto"/>
      </w:divBdr>
    </w:div>
    <w:div w:id="2124684594">
      <w:bodyDiv w:val="1"/>
      <w:marLeft w:val="0"/>
      <w:marRight w:val="0"/>
      <w:marTop w:val="0"/>
      <w:marBottom w:val="0"/>
      <w:divBdr>
        <w:top w:val="none" w:sz="0" w:space="0" w:color="auto"/>
        <w:left w:val="none" w:sz="0" w:space="0" w:color="auto"/>
        <w:bottom w:val="none" w:sz="0" w:space="0" w:color="auto"/>
        <w:right w:val="none" w:sz="0" w:space="0" w:color="auto"/>
      </w:divBdr>
      <w:divsChild>
        <w:div w:id="1000162699">
          <w:marLeft w:val="0"/>
          <w:marRight w:val="0"/>
          <w:marTop w:val="0"/>
          <w:marBottom w:val="0"/>
          <w:divBdr>
            <w:top w:val="none" w:sz="0" w:space="0" w:color="auto"/>
            <w:left w:val="none" w:sz="0" w:space="0" w:color="auto"/>
            <w:bottom w:val="none" w:sz="0" w:space="0" w:color="auto"/>
            <w:right w:val="none" w:sz="0" w:space="0" w:color="auto"/>
          </w:divBdr>
          <w:divsChild>
            <w:div w:id="452286555">
              <w:marLeft w:val="0"/>
              <w:marRight w:val="0"/>
              <w:marTop w:val="0"/>
              <w:marBottom w:val="0"/>
              <w:divBdr>
                <w:top w:val="none" w:sz="0" w:space="0" w:color="auto"/>
                <w:left w:val="none" w:sz="0" w:space="0" w:color="auto"/>
                <w:bottom w:val="none" w:sz="0" w:space="0" w:color="auto"/>
                <w:right w:val="none" w:sz="0" w:space="0" w:color="auto"/>
              </w:divBdr>
            </w:div>
          </w:divsChild>
        </w:div>
        <w:div w:id="1442337625">
          <w:marLeft w:val="0"/>
          <w:marRight w:val="0"/>
          <w:marTop w:val="0"/>
          <w:marBottom w:val="0"/>
          <w:divBdr>
            <w:top w:val="none" w:sz="0" w:space="0" w:color="auto"/>
            <w:left w:val="none" w:sz="0" w:space="0" w:color="auto"/>
            <w:bottom w:val="none" w:sz="0" w:space="0" w:color="auto"/>
            <w:right w:val="none" w:sz="0" w:space="0" w:color="auto"/>
          </w:divBdr>
          <w:divsChild>
            <w:div w:id="15736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5459">
      <w:bodyDiv w:val="1"/>
      <w:marLeft w:val="0"/>
      <w:marRight w:val="0"/>
      <w:marTop w:val="0"/>
      <w:marBottom w:val="0"/>
      <w:divBdr>
        <w:top w:val="none" w:sz="0" w:space="0" w:color="auto"/>
        <w:left w:val="none" w:sz="0" w:space="0" w:color="auto"/>
        <w:bottom w:val="none" w:sz="0" w:space="0" w:color="auto"/>
        <w:right w:val="none" w:sz="0" w:space="0" w:color="auto"/>
      </w:divBdr>
    </w:div>
    <w:div w:id="2140104276">
      <w:bodyDiv w:val="1"/>
      <w:marLeft w:val="0"/>
      <w:marRight w:val="0"/>
      <w:marTop w:val="0"/>
      <w:marBottom w:val="0"/>
      <w:divBdr>
        <w:top w:val="none" w:sz="0" w:space="0" w:color="auto"/>
        <w:left w:val="none" w:sz="0" w:space="0" w:color="auto"/>
        <w:bottom w:val="none" w:sz="0" w:space="0" w:color="auto"/>
        <w:right w:val="none" w:sz="0" w:space="0" w:color="auto"/>
      </w:divBdr>
      <w:divsChild>
        <w:div w:id="462045328">
          <w:marLeft w:val="0"/>
          <w:marRight w:val="0"/>
          <w:marTop w:val="0"/>
          <w:marBottom w:val="0"/>
          <w:divBdr>
            <w:top w:val="single" w:sz="6" w:space="11" w:color="F0F4F7"/>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1016/j.rsma.2024.103484" TargetMode="External"/><Relationship Id="rId39" Type="http://schemas.openxmlformats.org/officeDocument/2006/relationships/hyperlink" Target="https://link.springer.com/journal/11069" TargetMode="External"/><Relationship Id="rId21" Type="http://schemas.openxmlformats.org/officeDocument/2006/relationships/image" Target="media/image14.emf"/><Relationship Id="rId34" Type="http://schemas.openxmlformats.org/officeDocument/2006/relationships/hyperlink" Target="https://link.springer.com/journal/12524" TargetMode="External"/><Relationship Id="rId42" Type="http://schemas.openxmlformats.org/officeDocument/2006/relationships/hyperlink" Target="https://doi.org/10.1016/j.jappgeo.2021.104515" TargetMode="External"/><Relationship Id="rId47" Type="http://schemas.openxmlformats.org/officeDocument/2006/relationships/hyperlink" Target="https://doi.org/10.22108/gep.2024.142342.1659" TargetMode="External"/><Relationship Id="rId50" Type="http://schemas.openxmlformats.org/officeDocument/2006/relationships/hyperlink" Target="https://doi.org/10.22067/geoeh.2021.71728.1094" TargetMode="External"/><Relationship Id="rId55" Type="http://schemas.openxmlformats.org/officeDocument/2006/relationships/hyperlink" Target="https://link.springer.com/journal/13753" TargetMode="External"/><Relationship Id="rId63" Type="http://schemas.openxmlformats.org/officeDocument/2006/relationships/hyperlink" Target="https://doi.org/10.22059/jhsci.2018.252694.341" TargetMode="External"/><Relationship Id="rId68" Type="http://schemas.openxmlformats.org/officeDocument/2006/relationships/hyperlink" Target="https://doi.org/10.1016/j.ecolind.2024.112046" TargetMode="External"/><Relationship Id="rId76" Type="http://schemas.openxmlformats.org/officeDocument/2006/relationships/hyperlink" Target="https://doi.org/10.22124/jsmd.2020.4096"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16/j.cities.2025.105770"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link.springer.com/journal/11069" TargetMode="External"/><Relationship Id="rId11" Type="http://schemas.openxmlformats.org/officeDocument/2006/relationships/image" Target="media/image4.jpeg"/><Relationship Id="rId24" Type="http://schemas.openxmlformats.org/officeDocument/2006/relationships/hyperlink" Target="https://doi.org/10.1016/j.cjpre.2023.06.007" TargetMode="External"/><Relationship Id="rId32" Type="http://schemas.openxmlformats.org/officeDocument/2006/relationships/hyperlink" Target="http://dx.doi.org/10.61186/jeer.14.2.6" TargetMode="External"/><Relationship Id="rId37" Type="http://schemas.openxmlformats.org/officeDocument/2006/relationships/hyperlink" Target="http://dx.doi.org/10.1142/S2345737616710020" TargetMode="External"/><Relationship Id="rId40" Type="http://schemas.openxmlformats.org/officeDocument/2006/relationships/hyperlink" Target="https://doi.org/10.1007/s11069-021-05182" TargetMode="External"/><Relationship Id="rId45" Type="http://schemas.openxmlformats.org/officeDocument/2006/relationships/hyperlink" Target="https://doi.org/10.22059/jurbangeo.2017.63213" TargetMode="External"/><Relationship Id="rId53" Type="http://schemas.openxmlformats.org/officeDocument/2006/relationships/hyperlink" Target="https://doi.org/10.1007/s41204-020-00073-1" TargetMode="External"/><Relationship Id="rId58" Type="http://schemas.openxmlformats.org/officeDocument/2006/relationships/hyperlink" Target="https://doi.org/10.1016/j.heliyon.2024.e27120" TargetMode="External"/><Relationship Id="rId66" Type="http://schemas.openxmlformats.org/officeDocument/2006/relationships/hyperlink" Target="https://doi.org/10.1016/j.xinn.2023.100529" TargetMode="External"/><Relationship Id="rId74" Type="http://schemas.openxmlformats.org/officeDocument/2006/relationships/hyperlink" Target="http://dx.doi.org/10.17221/27/2022-JFS"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oi.org/10.22034/jargs.2023.397791.1032" TargetMode="External"/><Relationship Id="rId82"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i.org/10.1016/j.ecoleng.2024.107240" TargetMode="External"/><Relationship Id="rId44" Type="http://schemas.openxmlformats.org/officeDocument/2006/relationships/hyperlink" Target="https://doi.org/10.22103/JUSG.2018.1961" TargetMode="External"/><Relationship Id="rId52" Type="http://schemas.openxmlformats.org/officeDocument/2006/relationships/hyperlink" Target="https://link.springer.com/journal/42452" TargetMode="External"/><Relationship Id="rId60" Type="http://schemas.openxmlformats.org/officeDocument/2006/relationships/hyperlink" Target="https://doi.org/10.1016/j.ejrs.2021.01.003" TargetMode="External"/><Relationship Id="rId65" Type="http://schemas.openxmlformats.org/officeDocument/2006/relationships/hyperlink" Target="https://doi.org/10.1016/j.landurbplan.2023.104755" TargetMode="External"/><Relationship Id="rId73" Type="http://schemas.openxmlformats.org/officeDocument/2006/relationships/hyperlink" Target="https://doi.org/10.52547/sustainearth.1.2.43"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16/j.ejrs.2017.12.004" TargetMode="External"/><Relationship Id="rId27" Type="http://schemas.openxmlformats.org/officeDocument/2006/relationships/hyperlink" Target="https://geoenvironmental-disasters.springeropen.com/articles/10.1186/s40677-019-0119-7" TargetMode="External"/><Relationship Id="rId30" Type="http://schemas.openxmlformats.org/officeDocument/2006/relationships/hyperlink" Target="https://doi.org/10.1016/j.ejrs.2017.08.002" TargetMode="External"/><Relationship Id="rId35" Type="http://schemas.openxmlformats.org/officeDocument/2006/relationships/hyperlink" Target="https://doi.org/10.1007/s41204-020-00073-1" TargetMode="External"/><Relationship Id="rId43" Type="http://schemas.openxmlformats.org/officeDocument/2006/relationships/hyperlink" Target="https://doi.org/10.1016/j.heliyon.2024.e24921" TargetMode="External"/><Relationship Id="rId48" Type="http://schemas.openxmlformats.org/officeDocument/2006/relationships/hyperlink" Target="https://doi.org/10.22111/jneh.2018.21943.1317" TargetMode="External"/><Relationship Id="rId56" Type="http://schemas.openxmlformats.org/officeDocument/2006/relationships/hyperlink" Target="https://doi.org/10.1007/s13753-023-00493-y" TargetMode="External"/><Relationship Id="rId64" Type="http://schemas.openxmlformats.org/officeDocument/2006/relationships/hyperlink" Target="https://doi.org/10.22034/gmpj.2020.109536" TargetMode="External"/><Relationship Id="rId69" Type="http://schemas.openxmlformats.org/officeDocument/2006/relationships/hyperlink" Target="https://doi.org/10.1016/j.apgeog.2024.103504" TargetMode="External"/><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doi.org/10.1016/j.ejrh.2019.100659" TargetMode="External"/><Relationship Id="rId72" Type="http://schemas.openxmlformats.org/officeDocument/2006/relationships/hyperlink" Target="https://doi.org/10.1016/j.scs.2022.104359"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1016/j.ejrs.2017.08.002" TargetMode="External"/><Relationship Id="rId33" Type="http://schemas.openxmlformats.org/officeDocument/2006/relationships/hyperlink" Target="https://doi.org/10.52547/sustainearth.1.2.43" TargetMode="External"/><Relationship Id="rId38" Type="http://schemas.openxmlformats.org/officeDocument/2006/relationships/hyperlink" Target="https://doi.org/10.4172/2473-3350.1000457" TargetMode="External"/><Relationship Id="rId46" Type="http://schemas.openxmlformats.org/officeDocument/2006/relationships/hyperlink" Target="https://doi.org/10.22059/jesphys.2019.275076.1007084" TargetMode="External"/><Relationship Id="rId59" Type="http://schemas.openxmlformats.org/officeDocument/2006/relationships/hyperlink" Target="https://doi.org/10.1016/j.ijdrr.2025.105286" TargetMode="External"/><Relationship Id="rId67" Type="http://schemas.openxmlformats.org/officeDocument/2006/relationships/hyperlink" Target="https://doi.org/10.1016/j.fct.2018.02.025" TargetMode="External"/><Relationship Id="rId20" Type="http://schemas.openxmlformats.org/officeDocument/2006/relationships/image" Target="media/image13.jpeg"/><Relationship Id="rId41" Type="http://schemas.openxmlformats.org/officeDocument/2006/relationships/hyperlink" Target="https://doi.org/10.1016/j.pce.2025.103884" TargetMode="External"/><Relationship Id="rId54" Type="http://schemas.openxmlformats.org/officeDocument/2006/relationships/hyperlink" Target="https://doi.org/10.1016/j.landusepol.2024.107407" TargetMode="External"/><Relationship Id="rId62" Type="http://schemas.openxmlformats.org/officeDocument/2006/relationships/hyperlink" Target="https://doi.org/10.22034/gmpj.2024.449586.1494" TargetMode="External"/><Relationship Id="rId70" Type="http://schemas.openxmlformats.org/officeDocument/2006/relationships/hyperlink" Target="https://doi.org/10.1016/j.enggeo.2024.107841" TargetMode="External"/><Relationship Id="rId75" Type="http://schemas.openxmlformats.org/officeDocument/2006/relationships/hyperlink" Target="https://doi.org/10.1007/s11269-022-03380-1"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016/j.ijdrr.2020.101893" TargetMode="External"/><Relationship Id="rId28" Type="http://schemas.openxmlformats.org/officeDocument/2006/relationships/hyperlink" Target="https://doi.org/10.1016/j.ecoinf.2024.102625" TargetMode="External"/><Relationship Id="rId36" Type="http://schemas.openxmlformats.org/officeDocument/2006/relationships/hyperlink" Target="https://doi.org/10.1016/j.ejrs.2017.08.002" TargetMode="External"/><Relationship Id="rId49" Type="http://schemas.openxmlformats.org/officeDocument/2006/relationships/hyperlink" Target="https://doi.org/10.22067/geoeh.2021.71728.1094" TargetMode="External"/><Relationship Id="rId57" Type="http://schemas.openxmlformats.org/officeDocument/2006/relationships/hyperlink" Target="https://doi.org/10.22034/gahr.2025.458065.21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7A702-B61D-4E85-938F-DF3A0EA8B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17</Pages>
  <Words>8465</Words>
  <Characters>48251</Characters>
  <Application>Microsoft Office Word</Application>
  <DocSecurity>0</DocSecurity>
  <Lines>402</Lines>
  <Paragraphs>113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56603</CharactersWithSpaces>
  <SharedDoc>false</SharedDoc>
  <HLinks>
    <vt:vector size="330" baseType="variant">
      <vt:variant>
        <vt:i4>3014780</vt:i4>
      </vt:variant>
      <vt:variant>
        <vt:i4>165</vt:i4>
      </vt:variant>
      <vt:variant>
        <vt:i4>0</vt:i4>
      </vt:variant>
      <vt:variant>
        <vt:i4>5</vt:i4>
      </vt:variant>
      <vt:variant>
        <vt:lpwstr>https://doi.org/10.22124/jsmd.2020.4096</vt:lpwstr>
      </vt:variant>
      <vt:variant>
        <vt:lpwstr/>
      </vt:variant>
      <vt:variant>
        <vt:i4>2687037</vt:i4>
      </vt:variant>
      <vt:variant>
        <vt:i4>162</vt:i4>
      </vt:variant>
      <vt:variant>
        <vt:i4>0</vt:i4>
      </vt:variant>
      <vt:variant>
        <vt:i4>5</vt:i4>
      </vt:variant>
      <vt:variant>
        <vt:lpwstr>https://doi.org/10.1007/s11269-022-03380-1</vt:lpwstr>
      </vt:variant>
      <vt:variant>
        <vt:lpwstr/>
      </vt:variant>
      <vt:variant>
        <vt:i4>7929917</vt:i4>
      </vt:variant>
      <vt:variant>
        <vt:i4>159</vt:i4>
      </vt:variant>
      <vt:variant>
        <vt:i4>0</vt:i4>
      </vt:variant>
      <vt:variant>
        <vt:i4>5</vt:i4>
      </vt:variant>
      <vt:variant>
        <vt:lpwstr>http://dx.doi.org/10.17221/27/2022-JFS</vt:lpwstr>
      </vt:variant>
      <vt:variant>
        <vt:lpwstr/>
      </vt:variant>
      <vt:variant>
        <vt:i4>852051</vt:i4>
      </vt:variant>
      <vt:variant>
        <vt:i4>156</vt:i4>
      </vt:variant>
      <vt:variant>
        <vt:i4>0</vt:i4>
      </vt:variant>
      <vt:variant>
        <vt:i4>5</vt:i4>
      </vt:variant>
      <vt:variant>
        <vt:lpwstr>https://doi.org/10.52547/sustainearth.1.2.43</vt:lpwstr>
      </vt:variant>
      <vt:variant>
        <vt:lpwstr/>
      </vt:variant>
      <vt:variant>
        <vt:i4>4390939</vt:i4>
      </vt:variant>
      <vt:variant>
        <vt:i4>153</vt:i4>
      </vt:variant>
      <vt:variant>
        <vt:i4>0</vt:i4>
      </vt:variant>
      <vt:variant>
        <vt:i4>5</vt:i4>
      </vt:variant>
      <vt:variant>
        <vt:lpwstr>https://doi.org/10.1016/j.scs.2022.104359</vt:lpwstr>
      </vt:variant>
      <vt:variant>
        <vt:lpwstr/>
      </vt:variant>
      <vt:variant>
        <vt:i4>5636188</vt:i4>
      </vt:variant>
      <vt:variant>
        <vt:i4>150</vt:i4>
      </vt:variant>
      <vt:variant>
        <vt:i4>0</vt:i4>
      </vt:variant>
      <vt:variant>
        <vt:i4>5</vt:i4>
      </vt:variant>
      <vt:variant>
        <vt:lpwstr>https://doi.org/10.1016/j.cities.2025.105770</vt:lpwstr>
      </vt:variant>
      <vt:variant>
        <vt:lpwstr/>
      </vt:variant>
      <vt:variant>
        <vt:i4>5046345</vt:i4>
      </vt:variant>
      <vt:variant>
        <vt:i4>147</vt:i4>
      </vt:variant>
      <vt:variant>
        <vt:i4>0</vt:i4>
      </vt:variant>
      <vt:variant>
        <vt:i4>5</vt:i4>
      </vt:variant>
      <vt:variant>
        <vt:lpwstr>https://doi.org/10.1016/j.enggeo.2024.107841</vt:lpwstr>
      </vt:variant>
      <vt:variant>
        <vt:lpwstr/>
      </vt:variant>
      <vt:variant>
        <vt:i4>5308487</vt:i4>
      </vt:variant>
      <vt:variant>
        <vt:i4>144</vt:i4>
      </vt:variant>
      <vt:variant>
        <vt:i4>0</vt:i4>
      </vt:variant>
      <vt:variant>
        <vt:i4>5</vt:i4>
      </vt:variant>
      <vt:variant>
        <vt:lpwstr>https://doi.org/10.1016/j.apgeog.2024.103504</vt:lpwstr>
      </vt:variant>
      <vt:variant>
        <vt:lpwstr/>
      </vt:variant>
      <vt:variant>
        <vt:i4>4194334</vt:i4>
      </vt:variant>
      <vt:variant>
        <vt:i4>141</vt:i4>
      </vt:variant>
      <vt:variant>
        <vt:i4>0</vt:i4>
      </vt:variant>
      <vt:variant>
        <vt:i4>5</vt:i4>
      </vt:variant>
      <vt:variant>
        <vt:lpwstr>https://doi.org/10.1016/j.ecolind.2024.112046</vt:lpwstr>
      </vt:variant>
      <vt:variant>
        <vt:lpwstr/>
      </vt:variant>
      <vt:variant>
        <vt:i4>5570571</vt:i4>
      </vt:variant>
      <vt:variant>
        <vt:i4>138</vt:i4>
      </vt:variant>
      <vt:variant>
        <vt:i4>0</vt:i4>
      </vt:variant>
      <vt:variant>
        <vt:i4>5</vt:i4>
      </vt:variant>
      <vt:variant>
        <vt:lpwstr>https://doi.org/10.1016/j.fct.2018.02.025</vt:lpwstr>
      </vt:variant>
      <vt:variant>
        <vt:lpwstr/>
      </vt:variant>
      <vt:variant>
        <vt:i4>2687038</vt:i4>
      </vt:variant>
      <vt:variant>
        <vt:i4>135</vt:i4>
      </vt:variant>
      <vt:variant>
        <vt:i4>0</vt:i4>
      </vt:variant>
      <vt:variant>
        <vt:i4>5</vt:i4>
      </vt:variant>
      <vt:variant>
        <vt:lpwstr>https://doi.org/10.1016/j.xinn.2023.100529</vt:lpwstr>
      </vt:variant>
      <vt:variant>
        <vt:lpwstr/>
      </vt:variant>
      <vt:variant>
        <vt:i4>4653064</vt:i4>
      </vt:variant>
      <vt:variant>
        <vt:i4>132</vt:i4>
      </vt:variant>
      <vt:variant>
        <vt:i4>0</vt:i4>
      </vt:variant>
      <vt:variant>
        <vt:i4>5</vt:i4>
      </vt:variant>
      <vt:variant>
        <vt:lpwstr>https://doi.org/10.1016/j.landurbplan.2023.104755</vt:lpwstr>
      </vt:variant>
      <vt:variant>
        <vt:lpwstr/>
      </vt:variant>
      <vt:variant>
        <vt:i4>589912</vt:i4>
      </vt:variant>
      <vt:variant>
        <vt:i4>129</vt:i4>
      </vt:variant>
      <vt:variant>
        <vt:i4>0</vt:i4>
      </vt:variant>
      <vt:variant>
        <vt:i4>5</vt:i4>
      </vt:variant>
      <vt:variant>
        <vt:lpwstr>https://doi.org/10.22034/gmpj.2020.109536</vt:lpwstr>
      </vt:variant>
      <vt:variant>
        <vt:lpwstr/>
      </vt:variant>
      <vt:variant>
        <vt:i4>7209084</vt:i4>
      </vt:variant>
      <vt:variant>
        <vt:i4>126</vt:i4>
      </vt:variant>
      <vt:variant>
        <vt:i4>0</vt:i4>
      </vt:variant>
      <vt:variant>
        <vt:i4>5</vt:i4>
      </vt:variant>
      <vt:variant>
        <vt:lpwstr>https://doi.org/10.22059/jhsci.2018.252694.341</vt:lpwstr>
      </vt:variant>
      <vt:variant>
        <vt:lpwstr/>
      </vt:variant>
      <vt:variant>
        <vt:i4>2949218</vt:i4>
      </vt:variant>
      <vt:variant>
        <vt:i4>123</vt:i4>
      </vt:variant>
      <vt:variant>
        <vt:i4>0</vt:i4>
      </vt:variant>
      <vt:variant>
        <vt:i4>5</vt:i4>
      </vt:variant>
      <vt:variant>
        <vt:lpwstr>https://doi.org/10.22034/gmpj.2024.449586.1494</vt:lpwstr>
      </vt:variant>
      <vt:variant>
        <vt:lpwstr/>
      </vt:variant>
      <vt:variant>
        <vt:i4>7536764</vt:i4>
      </vt:variant>
      <vt:variant>
        <vt:i4>120</vt:i4>
      </vt:variant>
      <vt:variant>
        <vt:i4>0</vt:i4>
      </vt:variant>
      <vt:variant>
        <vt:i4>5</vt:i4>
      </vt:variant>
      <vt:variant>
        <vt:lpwstr>https://doi.org/10.22034/jargs.2023.397791.1032</vt:lpwstr>
      </vt:variant>
      <vt:variant>
        <vt:lpwstr/>
      </vt:variant>
      <vt:variant>
        <vt:i4>3735584</vt:i4>
      </vt:variant>
      <vt:variant>
        <vt:i4>117</vt:i4>
      </vt:variant>
      <vt:variant>
        <vt:i4>0</vt:i4>
      </vt:variant>
      <vt:variant>
        <vt:i4>5</vt:i4>
      </vt:variant>
      <vt:variant>
        <vt:lpwstr>https://doi.org/10.1016/j.ejrs.2021.01.003</vt:lpwstr>
      </vt:variant>
      <vt:variant>
        <vt:lpwstr/>
      </vt:variant>
      <vt:variant>
        <vt:i4>3342437</vt:i4>
      </vt:variant>
      <vt:variant>
        <vt:i4>114</vt:i4>
      </vt:variant>
      <vt:variant>
        <vt:i4>0</vt:i4>
      </vt:variant>
      <vt:variant>
        <vt:i4>5</vt:i4>
      </vt:variant>
      <vt:variant>
        <vt:lpwstr>https://doi.org/10.1016/j.ijdrr.2025.105286</vt:lpwstr>
      </vt:variant>
      <vt:variant>
        <vt:lpwstr/>
      </vt:variant>
      <vt:variant>
        <vt:i4>1376264</vt:i4>
      </vt:variant>
      <vt:variant>
        <vt:i4>111</vt:i4>
      </vt:variant>
      <vt:variant>
        <vt:i4>0</vt:i4>
      </vt:variant>
      <vt:variant>
        <vt:i4>5</vt:i4>
      </vt:variant>
      <vt:variant>
        <vt:lpwstr>https://doi.org/10.1016/j.heliyon.2024.e27120</vt:lpwstr>
      </vt:variant>
      <vt:variant>
        <vt:lpwstr/>
      </vt:variant>
      <vt:variant>
        <vt:i4>4128888</vt:i4>
      </vt:variant>
      <vt:variant>
        <vt:i4>108</vt:i4>
      </vt:variant>
      <vt:variant>
        <vt:i4>0</vt:i4>
      </vt:variant>
      <vt:variant>
        <vt:i4>5</vt:i4>
      </vt:variant>
      <vt:variant>
        <vt:lpwstr>https://doi.org/10.22034/gahr.2025.458065.2135</vt:lpwstr>
      </vt:variant>
      <vt:variant>
        <vt:lpwstr/>
      </vt:variant>
      <vt:variant>
        <vt:i4>7012414</vt:i4>
      </vt:variant>
      <vt:variant>
        <vt:i4>105</vt:i4>
      </vt:variant>
      <vt:variant>
        <vt:i4>0</vt:i4>
      </vt:variant>
      <vt:variant>
        <vt:i4>5</vt:i4>
      </vt:variant>
      <vt:variant>
        <vt:lpwstr>https://doi.org/10.1007/s13753-023-00493-y</vt:lpwstr>
      </vt:variant>
      <vt:variant>
        <vt:lpwstr/>
      </vt:variant>
      <vt:variant>
        <vt:i4>2228341</vt:i4>
      </vt:variant>
      <vt:variant>
        <vt:i4>102</vt:i4>
      </vt:variant>
      <vt:variant>
        <vt:i4>0</vt:i4>
      </vt:variant>
      <vt:variant>
        <vt:i4>5</vt:i4>
      </vt:variant>
      <vt:variant>
        <vt:lpwstr>https://link.springer.com/journal/13753</vt:lpwstr>
      </vt:variant>
      <vt:variant>
        <vt:lpwstr/>
      </vt:variant>
      <vt:variant>
        <vt:i4>4915287</vt:i4>
      </vt:variant>
      <vt:variant>
        <vt:i4>99</vt:i4>
      </vt:variant>
      <vt:variant>
        <vt:i4>0</vt:i4>
      </vt:variant>
      <vt:variant>
        <vt:i4>5</vt:i4>
      </vt:variant>
      <vt:variant>
        <vt:lpwstr>https://doi.org/10.1016/j.landusepol.2024.107407</vt:lpwstr>
      </vt:variant>
      <vt:variant>
        <vt:lpwstr/>
      </vt:variant>
      <vt:variant>
        <vt:i4>2293815</vt:i4>
      </vt:variant>
      <vt:variant>
        <vt:i4>96</vt:i4>
      </vt:variant>
      <vt:variant>
        <vt:i4>0</vt:i4>
      </vt:variant>
      <vt:variant>
        <vt:i4>5</vt:i4>
      </vt:variant>
      <vt:variant>
        <vt:lpwstr>https://doi.org/10.1007/s41204-020-00073-1</vt:lpwstr>
      </vt:variant>
      <vt:variant>
        <vt:lpwstr/>
      </vt:variant>
      <vt:variant>
        <vt:i4>2293875</vt:i4>
      </vt:variant>
      <vt:variant>
        <vt:i4>93</vt:i4>
      </vt:variant>
      <vt:variant>
        <vt:i4>0</vt:i4>
      </vt:variant>
      <vt:variant>
        <vt:i4>5</vt:i4>
      </vt:variant>
      <vt:variant>
        <vt:lpwstr>https://link.springer.com/journal/42452</vt:lpwstr>
      </vt:variant>
      <vt:variant>
        <vt:lpwstr/>
      </vt:variant>
      <vt:variant>
        <vt:i4>2883634</vt:i4>
      </vt:variant>
      <vt:variant>
        <vt:i4>90</vt:i4>
      </vt:variant>
      <vt:variant>
        <vt:i4>0</vt:i4>
      </vt:variant>
      <vt:variant>
        <vt:i4>5</vt:i4>
      </vt:variant>
      <vt:variant>
        <vt:lpwstr>https://doi.org/10.1016/j.ejrh.2019.100659</vt:lpwstr>
      </vt:variant>
      <vt:variant>
        <vt:lpwstr/>
      </vt:variant>
      <vt:variant>
        <vt:i4>7274606</vt:i4>
      </vt:variant>
      <vt:variant>
        <vt:i4>87</vt:i4>
      </vt:variant>
      <vt:variant>
        <vt:i4>0</vt:i4>
      </vt:variant>
      <vt:variant>
        <vt:i4>5</vt:i4>
      </vt:variant>
      <vt:variant>
        <vt:lpwstr>https://doi.org/10.22067/geoeh.2021.71728.1094</vt:lpwstr>
      </vt:variant>
      <vt:variant>
        <vt:lpwstr/>
      </vt:variant>
      <vt:variant>
        <vt:i4>7274606</vt:i4>
      </vt:variant>
      <vt:variant>
        <vt:i4>84</vt:i4>
      </vt:variant>
      <vt:variant>
        <vt:i4>0</vt:i4>
      </vt:variant>
      <vt:variant>
        <vt:i4>5</vt:i4>
      </vt:variant>
      <vt:variant>
        <vt:lpwstr>https://doi.org/10.22067/geoeh.2021.71728.1094</vt:lpwstr>
      </vt:variant>
      <vt:variant>
        <vt:lpwstr/>
      </vt:variant>
      <vt:variant>
        <vt:i4>1966149</vt:i4>
      </vt:variant>
      <vt:variant>
        <vt:i4>81</vt:i4>
      </vt:variant>
      <vt:variant>
        <vt:i4>0</vt:i4>
      </vt:variant>
      <vt:variant>
        <vt:i4>5</vt:i4>
      </vt:variant>
      <vt:variant>
        <vt:lpwstr>https://doi.org/10.22111/jneh.2018.21943.1317</vt:lpwstr>
      </vt:variant>
      <vt:variant>
        <vt:lpwstr/>
      </vt:variant>
      <vt:variant>
        <vt:i4>917527</vt:i4>
      </vt:variant>
      <vt:variant>
        <vt:i4>78</vt:i4>
      </vt:variant>
      <vt:variant>
        <vt:i4>0</vt:i4>
      </vt:variant>
      <vt:variant>
        <vt:i4>5</vt:i4>
      </vt:variant>
      <vt:variant>
        <vt:lpwstr>https://doi.org/10.22108/gep.2024.142342.1659</vt:lpwstr>
      </vt:variant>
      <vt:variant>
        <vt:lpwstr/>
      </vt:variant>
      <vt:variant>
        <vt:i4>1900568</vt:i4>
      </vt:variant>
      <vt:variant>
        <vt:i4>75</vt:i4>
      </vt:variant>
      <vt:variant>
        <vt:i4>0</vt:i4>
      </vt:variant>
      <vt:variant>
        <vt:i4>5</vt:i4>
      </vt:variant>
      <vt:variant>
        <vt:lpwstr>https://doi.org/10.22059/jesphys.2019.275076.1007084</vt:lpwstr>
      </vt:variant>
      <vt:variant>
        <vt:lpwstr/>
      </vt:variant>
      <vt:variant>
        <vt:i4>5767235</vt:i4>
      </vt:variant>
      <vt:variant>
        <vt:i4>72</vt:i4>
      </vt:variant>
      <vt:variant>
        <vt:i4>0</vt:i4>
      </vt:variant>
      <vt:variant>
        <vt:i4>5</vt:i4>
      </vt:variant>
      <vt:variant>
        <vt:lpwstr>https://doi.org/10.22059/jurbangeo.2017.63213</vt:lpwstr>
      </vt:variant>
      <vt:variant>
        <vt:lpwstr/>
      </vt:variant>
      <vt:variant>
        <vt:i4>3473521</vt:i4>
      </vt:variant>
      <vt:variant>
        <vt:i4>69</vt:i4>
      </vt:variant>
      <vt:variant>
        <vt:i4>0</vt:i4>
      </vt:variant>
      <vt:variant>
        <vt:i4>5</vt:i4>
      </vt:variant>
      <vt:variant>
        <vt:lpwstr>https://doi.org/10.22103/JUSG.2018.1961</vt:lpwstr>
      </vt:variant>
      <vt:variant>
        <vt:lpwstr/>
      </vt:variant>
      <vt:variant>
        <vt:i4>1441792</vt:i4>
      </vt:variant>
      <vt:variant>
        <vt:i4>66</vt:i4>
      </vt:variant>
      <vt:variant>
        <vt:i4>0</vt:i4>
      </vt:variant>
      <vt:variant>
        <vt:i4>5</vt:i4>
      </vt:variant>
      <vt:variant>
        <vt:lpwstr>https://doi.org/10.1016/j.heliyon.2024.e24921</vt:lpwstr>
      </vt:variant>
      <vt:variant>
        <vt:lpwstr/>
      </vt:variant>
      <vt:variant>
        <vt:i4>5439503</vt:i4>
      </vt:variant>
      <vt:variant>
        <vt:i4>63</vt:i4>
      </vt:variant>
      <vt:variant>
        <vt:i4>0</vt:i4>
      </vt:variant>
      <vt:variant>
        <vt:i4>5</vt:i4>
      </vt:variant>
      <vt:variant>
        <vt:lpwstr>https://doi.org/10.1016/j.jappgeo.2021.104515</vt:lpwstr>
      </vt:variant>
      <vt:variant>
        <vt:lpwstr/>
      </vt:variant>
      <vt:variant>
        <vt:i4>5111813</vt:i4>
      </vt:variant>
      <vt:variant>
        <vt:i4>60</vt:i4>
      </vt:variant>
      <vt:variant>
        <vt:i4>0</vt:i4>
      </vt:variant>
      <vt:variant>
        <vt:i4>5</vt:i4>
      </vt:variant>
      <vt:variant>
        <vt:lpwstr>https://doi.org/10.1016/j.pce.2025.103884</vt:lpwstr>
      </vt:variant>
      <vt:variant>
        <vt:lpwstr/>
      </vt:variant>
      <vt:variant>
        <vt:i4>1638422</vt:i4>
      </vt:variant>
      <vt:variant>
        <vt:i4>57</vt:i4>
      </vt:variant>
      <vt:variant>
        <vt:i4>0</vt:i4>
      </vt:variant>
      <vt:variant>
        <vt:i4>5</vt:i4>
      </vt:variant>
      <vt:variant>
        <vt:lpwstr>https://doi.org/10.1007/s11069-021-05182</vt:lpwstr>
      </vt:variant>
      <vt:variant>
        <vt:lpwstr/>
      </vt:variant>
      <vt:variant>
        <vt:i4>2293874</vt:i4>
      </vt:variant>
      <vt:variant>
        <vt:i4>54</vt:i4>
      </vt:variant>
      <vt:variant>
        <vt:i4>0</vt:i4>
      </vt:variant>
      <vt:variant>
        <vt:i4>5</vt:i4>
      </vt:variant>
      <vt:variant>
        <vt:lpwstr>https://link.springer.com/journal/11069</vt:lpwstr>
      </vt:variant>
      <vt:variant>
        <vt:lpwstr/>
      </vt:variant>
      <vt:variant>
        <vt:i4>720967</vt:i4>
      </vt:variant>
      <vt:variant>
        <vt:i4>51</vt:i4>
      </vt:variant>
      <vt:variant>
        <vt:i4>0</vt:i4>
      </vt:variant>
      <vt:variant>
        <vt:i4>5</vt:i4>
      </vt:variant>
      <vt:variant>
        <vt:lpwstr>https://doi.org/10.4172/2473-3350.1000457</vt:lpwstr>
      </vt:variant>
      <vt:variant>
        <vt:lpwstr/>
      </vt:variant>
      <vt:variant>
        <vt:i4>6619183</vt:i4>
      </vt:variant>
      <vt:variant>
        <vt:i4>48</vt:i4>
      </vt:variant>
      <vt:variant>
        <vt:i4>0</vt:i4>
      </vt:variant>
      <vt:variant>
        <vt:i4>5</vt:i4>
      </vt:variant>
      <vt:variant>
        <vt:lpwstr>http://dx.doi.org/10.1142/S2345737616710020</vt:lpwstr>
      </vt:variant>
      <vt:variant>
        <vt:lpwstr/>
      </vt:variant>
      <vt:variant>
        <vt:i4>3276838</vt:i4>
      </vt:variant>
      <vt:variant>
        <vt:i4>45</vt:i4>
      </vt:variant>
      <vt:variant>
        <vt:i4>0</vt:i4>
      </vt:variant>
      <vt:variant>
        <vt:i4>5</vt:i4>
      </vt:variant>
      <vt:variant>
        <vt:lpwstr>https://doi.org/10.1016/j.ejrs.2017.08.002</vt:lpwstr>
      </vt:variant>
      <vt:variant>
        <vt:lpwstr/>
      </vt:variant>
      <vt:variant>
        <vt:i4>2293815</vt:i4>
      </vt:variant>
      <vt:variant>
        <vt:i4>42</vt:i4>
      </vt:variant>
      <vt:variant>
        <vt:i4>0</vt:i4>
      </vt:variant>
      <vt:variant>
        <vt:i4>5</vt:i4>
      </vt:variant>
      <vt:variant>
        <vt:lpwstr>https://doi.org/10.1007/s41204-020-00073-1</vt:lpwstr>
      </vt:variant>
      <vt:variant>
        <vt:lpwstr/>
      </vt:variant>
      <vt:variant>
        <vt:i4>2359415</vt:i4>
      </vt:variant>
      <vt:variant>
        <vt:i4>39</vt:i4>
      </vt:variant>
      <vt:variant>
        <vt:i4>0</vt:i4>
      </vt:variant>
      <vt:variant>
        <vt:i4>5</vt:i4>
      </vt:variant>
      <vt:variant>
        <vt:lpwstr>https://link.springer.com/journal/12524</vt:lpwstr>
      </vt:variant>
      <vt:variant>
        <vt:lpwstr/>
      </vt:variant>
      <vt:variant>
        <vt:i4>852051</vt:i4>
      </vt:variant>
      <vt:variant>
        <vt:i4>36</vt:i4>
      </vt:variant>
      <vt:variant>
        <vt:i4>0</vt:i4>
      </vt:variant>
      <vt:variant>
        <vt:i4>5</vt:i4>
      </vt:variant>
      <vt:variant>
        <vt:lpwstr>https://doi.org/10.52547/sustainearth.1.2.43</vt:lpwstr>
      </vt:variant>
      <vt:variant>
        <vt:lpwstr/>
      </vt:variant>
      <vt:variant>
        <vt:i4>7143531</vt:i4>
      </vt:variant>
      <vt:variant>
        <vt:i4>33</vt:i4>
      </vt:variant>
      <vt:variant>
        <vt:i4>0</vt:i4>
      </vt:variant>
      <vt:variant>
        <vt:i4>5</vt:i4>
      </vt:variant>
      <vt:variant>
        <vt:lpwstr>http://dx.doi.org/10.61186/jeer.14.2.6</vt:lpwstr>
      </vt:variant>
      <vt:variant>
        <vt:lpwstr/>
      </vt:variant>
      <vt:variant>
        <vt:i4>4522002</vt:i4>
      </vt:variant>
      <vt:variant>
        <vt:i4>30</vt:i4>
      </vt:variant>
      <vt:variant>
        <vt:i4>0</vt:i4>
      </vt:variant>
      <vt:variant>
        <vt:i4>5</vt:i4>
      </vt:variant>
      <vt:variant>
        <vt:lpwstr>https://doi.org/10.1016/j.ecoleng.2024.107240</vt:lpwstr>
      </vt:variant>
      <vt:variant>
        <vt:lpwstr/>
      </vt:variant>
      <vt:variant>
        <vt:i4>3276838</vt:i4>
      </vt:variant>
      <vt:variant>
        <vt:i4>27</vt:i4>
      </vt:variant>
      <vt:variant>
        <vt:i4>0</vt:i4>
      </vt:variant>
      <vt:variant>
        <vt:i4>5</vt:i4>
      </vt:variant>
      <vt:variant>
        <vt:lpwstr>https://doi.org/10.1016/j.ejrs.2017.08.002</vt:lpwstr>
      </vt:variant>
      <vt:variant>
        <vt:lpwstr/>
      </vt:variant>
      <vt:variant>
        <vt:i4>2293874</vt:i4>
      </vt:variant>
      <vt:variant>
        <vt:i4>24</vt:i4>
      </vt:variant>
      <vt:variant>
        <vt:i4>0</vt:i4>
      </vt:variant>
      <vt:variant>
        <vt:i4>5</vt:i4>
      </vt:variant>
      <vt:variant>
        <vt:lpwstr>https://link.springer.com/journal/11069</vt:lpwstr>
      </vt:variant>
      <vt:variant>
        <vt:lpwstr/>
      </vt:variant>
      <vt:variant>
        <vt:i4>5046345</vt:i4>
      </vt:variant>
      <vt:variant>
        <vt:i4>21</vt:i4>
      </vt:variant>
      <vt:variant>
        <vt:i4>0</vt:i4>
      </vt:variant>
      <vt:variant>
        <vt:i4>5</vt:i4>
      </vt:variant>
      <vt:variant>
        <vt:lpwstr>https://doi.org/10.1016/j.ecoinf.2024.102625</vt:lpwstr>
      </vt:variant>
      <vt:variant>
        <vt:lpwstr/>
      </vt:variant>
      <vt:variant>
        <vt:i4>8126569</vt:i4>
      </vt:variant>
      <vt:variant>
        <vt:i4>18</vt:i4>
      </vt:variant>
      <vt:variant>
        <vt:i4>0</vt:i4>
      </vt:variant>
      <vt:variant>
        <vt:i4>5</vt:i4>
      </vt:variant>
      <vt:variant>
        <vt:lpwstr>https://geoenvironmental-disasters.springeropen.com/articles/10.1186/s40677-019-0119-7</vt:lpwstr>
      </vt:variant>
      <vt:variant>
        <vt:lpwstr/>
      </vt:variant>
      <vt:variant>
        <vt:i4>3145785</vt:i4>
      </vt:variant>
      <vt:variant>
        <vt:i4>15</vt:i4>
      </vt:variant>
      <vt:variant>
        <vt:i4>0</vt:i4>
      </vt:variant>
      <vt:variant>
        <vt:i4>5</vt:i4>
      </vt:variant>
      <vt:variant>
        <vt:lpwstr>https://doi.org/10.1016/j.rsma.2024.103484</vt:lpwstr>
      </vt:variant>
      <vt:variant>
        <vt:lpwstr/>
      </vt:variant>
      <vt:variant>
        <vt:i4>3276838</vt:i4>
      </vt:variant>
      <vt:variant>
        <vt:i4>12</vt:i4>
      </vt:variant>
      <vt:variant>
        <vt:i4>0</vt:i4>
      </vt:variant>
      <vt:variant>
        <vt:i4>5</vt:i4>
      </vt:variant>
      <vt:variant>
        <vt:lpwstr>https://doi.org/10.1016/j.ejrs.2017.08.002</vt:lpwstr>
      </vt:variant>
      <vt:variant>
        <vt:lpwstr/>
      </vt:variant>
      <vt:variant>
        <vt:i4>2556008</vt:i4>
      </vt:variant>
      <vt:variant>
        <vt:i4>9</vt:i4>
      </vt:variant>
      <vt:variant>
        <vt:i4>0</vt:i4>
      </vt:variant>
      <vt:variant>
        <vt:i4>5</vt:i4>
      </vt:variant>
      <vt:variant>
        <vt:lpwstr>https://doi.org/10.1016/j.cjpre.2023.06.007</vt:lpwstr>
      </vt:variant>
      <vt:variant>
        <vt:lpwstr/>
      </vt:variant>
      <vt:variant>
        <vt:i4>3342447</vt:i4>
      </vt:variant>
      <vt:variant>
        <vt:i4>6</vt:i4>
      </vt:variant>
      <vt:variant>
        <vt:i4>0</vt:i4>
      </vt:variant>
      <vt:variant>
        <vt:i4>5</vt:i4>
      </vt:variant>
      <vt:variant>
        <vt:lpwstr>https://doi.org/10.1016/j.ijdrr.2020.101893</vt:lpwstr>
      </vt:variant>
      <vt:variant>
        <vt:lpwstr/>
      </vt:variant>
      <vt:variant>
        <vt:i4>4063271</vt:i4>
      </vt:variant>
      <vt:variant>
        <vt:i4>3</vt:i4>
      </vt:variant>
      <vt:variant>
        <vt:i4>0</vt:i4>
      </vt:variant>
      <vt:variant>
        <vt:i4>5</vt:i4>
      </vt:variant>
      <vt:variant>
        <vt:lpwstr>https://doi.org/10.1016/j.ejrs.2017.12.004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center</dc:creator>
  <cp:lastModifiedBy>Yasmeen</cp:lastModifiedBy>
  <cp:revision>16</cp:revision>
  <cp:lastPrinted>2025-10-01T20:25:00Z</cp:lastPrinted>
  <dcterms:created xsi:type="dcterms:W3CDTF">2025-10-25T08:42:00Z</dcterms:created>
  <dcterms:modified xsi:type="dcterms:W3CDTF">2025-10-26T10:43:00Z</dcterms:modified>
</cp:coreProperties>
</file>