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50F20" w14:textId="77777777" w:rsidR="00281F27" w:rsidRDefault="00281F27" w:rsidP="00281F27">
      <w:pPr>
        <w:spacing w:before="0" w:beforeAutospacing="0" w:after="0" w:line="360" w:lineRule="auto"/>
        <w:jc w:val="center"/>
        <w:rPr>
          <w:rFonts w:ascii="Times New Roman" w:eastAsia="Calibri" w:hAnsi="Times New Roman"/>
          <w:b/>
          <w:bCs/>
          <w:sz w:val="24"/>
          <w:szCs w:val="24"/>
        </w:rPr>
      </w:pPr>
    </w:p>
    <w:p w14:paraId="267223C8" w14:textId="77777777" w:rsidR="00281F27" w:rsidRDefault="00281F27" w:rsidP="00281F27">
      <w:pPr>
        <w:spacing w:before="0" w:beforeAutospacing="0" w:after="0" w:line="360" w:lineRule="auto"/>
        <w:jc w:val="center"/>
        <w:rPr>
          <w:rFonts w:ascii="Times New Roman" w:eastAsia="Calibri" w:hAnsi="Times New Roman"/>
          <w:b/>
          <w:bCs/>
          <w:sz w:val="24"/>
          <w:szCs w:val="24"/>
        </w:rPr>
      </w:pPr>
      <w:r>
        <w:rPr>
          <w:rFonts w:ascii="Times New Roman" w:eastAsia="Calibri" w:hAnsi="Times New Roman"/>
          <w:b/>
          <w:bCs/>
          <w:sz w:val="24"/>
          <w:szCs w:val="24"/>
        </w:rPr>
        <w:t xml:space="preserve"> </w:t>
      </w:r>
    </w:p>
    <w:p w14:paraId="204DAA7B" w14:textId="0FFB6902" w:rsidR="00BE402C" w:rsidRDefault="00BE402C" w:rsidP="00281F27">
      <w:pPr>
        <w:spacing w:before="0" w:beforeAutospacing="0" w:after="0" w:line="360" w:lineRule="auto"/>
        <w:jc w:val="center"/>
        <w:rPr>
          <w:rFonts w:ascii="Times New Roman" w:eastAsia="Calibri" w:hAnsi="Times New Roman"/>
          <w:b/>
          <w:bCs/>
          <w:sz w:val="24"/>
          <w:szCs w:val="24"/>
        </w:rPr>
      </w:pPr>
      <w:r w:rsidRPr="00BE402C">
        <w:rPr>
          <w:rFonts w:ascii="Times New Roman" w:eastAsia="Calibri" w:hAnsi="Times New Roman"/>
          <w:b/>
          <w:bCs/>
          <w:i/>
          <w:iCs/>
          <w:sz w:val="24"/>
          <w:szCs w:val="24"/>
          <w:u w:val="single"/>
          <w:lang w:val="en-US"/>
        </w:rPr>
        <w:t>Original Research Article</w:t>
      </w:r>
    </w:p>
    <w:p w14:paraId="03D36B61" w14:textId="27D48DB9" w:rsidR="00281F27" w:rsidRDefault="00281F27" w:rsidP="00281F27">
      <w:pPr>
        <w:spacing w:before="0" w:beforeAutospacing="0" w:after="0" w:line="360" w:lineRule="auto"/>
        <w:jc w:val="center"/>
        <w:rPr>
          <w:rFonts w:ascii="Times New Roman" w:eastAsia="Calibri" w:hAnsi="Times New Roman"/>
          <w:b/>
          <w:bCs/>
          <w:sz w:val="24"/>
          <w:szCs w:val="24"/>
        </w:rPr>
      </w:pPr>
      <w:proofErr w:type="spellStart"/>
      <w:r>
        <w:rPr>
          <w:rFonts w:ascii="Times New Roman" w:eastAsia="Calibri" w:hAnsi="Times New Roman"/>
          <w:b/>
          <w:bCs/>
          <w:sz w:val="24"/>
          <w:szCs w:val="24"/>
        </w:rPr>
        <w:t>Photochemicals</w:t>
      </w:r>
      <w:proofErr w:type="spellEnd"/>
      <w:r>
        <w:rPr>
          <w:rFonts w:ascii="Times New Roman" w:eastAsia="Calibri" w:hAnsi="Times New Roman"/>
          <w:b/>
          <w:bCs/>
          <w:sz w:val="24"/>
          <w:szCs w:val="24"/>
        </w:rPr>
        <w:t>, Functional Properties and Nutritional Potential of Baobab (</w:t>
      </w:r>
      <w:r>
        <w:rPr>
          <w:rFonts w:ascii="Times New Roman" w:hAnsi="Times New Roman"/>
          <w:b/>
          <w:bCs/>
          <w:i/>
          <w:iCs/>
          <w:color w:val="252525"/>
          <w:sz w:val="24"/>
          <w:szCs w:val="24"/>
        </w:rPr>
        <w:t xml:space="preserve">Adansonia digitata) </w:t>
      </w:r>
      <w:r>
        <w:rPr>
          <w:rFonts w:ascii="Times New Roman" w:hAnsi="Times New Roman"/>
          <w:b/>
          <w:bCs/>
          <w:color w:val="252525"/>
          <w:sz w:val="24"/>
          <w:szCs w:val="24"/>
        </w:rPr>
        <w:t>F</w:t>
      </w:r>
      <w:r>
        <w:rPr>
          <w:rFonts w:ascii="Times New Roman" w:eastAsia="Calibri" w:hAnsi="Times New Roman"/>
          <w:b/>
          <w:bCs/>
          <w:sz w:val="24"/>
          <w:szCs w:val="24"/>
        </w:rPr>
        <w:t>ruit Powder: Insights from Ghana’s Semi-Deciduous Forest</w:t>
      </w:r>
    </w:p>
    <w:p w14:paraId="60CB12CC" w14:textId="77777777" w:rsidR="00281F27" w:rsidRDefault="00281F27" w:rsidP="00281F27">
      <w:pPr>
        <w:spacing w:before="0" w:beforeAutospacing="0" w:after="0" w:line="360" w:lineRule="auto"/>
        <w:jc w:val="both"/>
        <w:rPr>
          <w:rFonts w:ascii="Times New Roman" w:eastAsia="Calibri" w:hAnsi="Times New Roman"/>
          <w:b/>
          <w:bCs/>
          <w:sz w:val="24"/>
          <w:szCs w:val="24"/>
        </w:rPr>
      </w:pPr>
      <w:r>
        <w:rPr>
          <w:rFonts w:ascii="Times New Roman" w:eastAsia="Calibri" w:hAnsi="Times New Roman"/>
          <w:b/>
          <w:bCs/>
          <w:sz w:val="24"/>
          <w:szCs w:val="24"/>
        </w:rPr>
        <w:t xml:space="preserve"> </w:t>
      </w:r>
    </w:p>
    <w:p w14:paraId="4B27760B" w14:textId="43F277FE" w:rsidR="00281F27" w:rsidRDefault="00281F27" w:rsidP="00281F27">
      <w:pPr>
        <w:spacing w:before="0" w:beforeAutospacing="0" w:after="0" w:line="360" w:lineRule="auto"/>
        <w:jc w:val="both"/>
        <w:rPr>
          <w:rFonts w:ascii="Times New Roman" w:eastAsia="Calibri" w:hAnsi="Times New Roman"/>
          <w:b/>
          <w:bCs/>
          <w:sz w:val="24"/>
          <w:szCs w:val="24"/>
        </w:rPr>
      </w:pPr>
    </w:p>
    <w:p w14:paraId="43E87331" w14:textId="77777777" w:rsidR="00281F27" w:rsidRDefault="00281F27" w:rsidP="00281F27">
      <w:pPr>
        <w:spacing w:before="0" w:beforeAutospacing="0" w:after="0" w:line="360" w:lineRule="auto"/>
      </w:pPr>
      <w:r>
        <w:t xml:space="preserve"> </w:t>
      </w:r>
    </w:p>
    <w:p w14:paraId="4797E78E" w14:textId="77777777" w:rsidR="00281F27" w:rsidRDefault="00281F27" w:rsidP="00281F27">
      <w:pPr>
        <w:pStyle w:val="Heading1"/>
        <w:spacing w:before="0" w:beforeAutospacing="0" w:after="0" w:afterAutospacing="0" w:line="360" w:lineRule="auto"/>
        <w:rPr>
          <w:rFonts w:ascii="Arial" w:hAnsi="Arial" w:cs="Arial"/>
          <w:sz w:val="22"/>
          <w:szCs w:val="22"/>
        </w:rPr>
      </w:pPr>
      <w:bookmarkStart w:id="0" w:name="_Toc144979549"/>
      <w:bookmarkStart w:id="1" w:name="_Toc143117657"/>
      <w:bookmarkEnd w:id="0"/>
      <w:r>
        <w:rPr>
          <w:rFonts w:ascii="Arial" w:hAnsi="Arial" w:cs="Arial"/>
          <w:sz w:val="22"/>
          <w:szCs w:val="22"/>
        </w:rPr>
        <w:t>ABSTRACT</w:t>
      </w:r>
      <w:bookmarkEnd w:id="1"/>
    </w:p>
    <w:p w14:paraId="299B1ABD"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The baobab (</w:t>
      </w:r>
      <w:r>
        <w:rPr>
          <w:rFonts w:ascii="Times New Roman" w:hAnsi="Times New Roman"/>
          <w:i/>
          <w:iCs/>
          <w:color w:val="252525"/>
          <w:sz w:val="24"/>
          <w:szCs w:val="24"/>
        </w:rPr>
        <w:t>Adansonia digitata</w:t>
      </w:r>
      <w:r>
        <w:rPr>
          <w:rFonts w:ascii="Times New Roman" w:hAnsi="Times New Roman"/>
          <w:color w:val="252525"/>
          <w:sz w:val="24"/>
          <w:szCs w:val="24"/>
        </w:rPr>
        <w:t>) plant, which grows naturally in Ghana's semi-deciduous forest of the Volta region, is unconventionally packaged and underutilised. To promote the use of this non-timber forest plant product in the mainstream food systems as complement to nutritional security; The study sought to examine the presence of phytochemicals and the functional properties of the baobab fruit powder found in this location, as well as draw conclusions from what is found in other countries. The study employed accepted methods and procedures for the determination of elemental mineral compositions, macro-nutrients and functional characteristics of the baobab fruit powder. The protein and the fat contents of the fruit powder were found to be 2.65±0.1% and 0.63±02%, respectively. Micro-minerals were found to predominate over macro-minerals. The water absorption capacity of baobab pulp was found at 332.73±6.2% among other functional parameters studied. The acidic content of the pulp makes it a preservative to prevent the growth of microbes. The findings in this study make the baobab pulp powder a good source of raw material for flour in food processing systems and its inclusion in diets of humans will aid in food nutrient security strategies.</w:t>
      </w:r>
    </w:p>
    <w:p w14:paraId="3E5D8A92"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eastAsia="Calibri" w:hAnsi="Times New Roman"/>
          <w:b/>
          <w:sz w:val="24"/>
          <w:szCs w:val="24"/>
        </w:rPr>
        <w:t>Keywords:</w:t>
      </w:r>
      <w:r>
        <w:rPr>
          <w:rFonts w:ascii="Times New Roman" w:eastAsia="Calibri" w:hAnsi="Times New Roman"/>
          <w:sz w:val="24"/>
          <w:szCs w:val="24"/>
        </w:rPr>
        <w:t xml:space="preserve"> baobab pulp powder, non-timber forest product, functional properties, oil absorption capacity, food security, nutritional composition.</w:t>
      </w:r>
    </w:p>
    <w:p w14:paraId="2599C893"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17B07876" w14:textId="77777777" w:rsidR="00281F27" w:rsidRDefault="00281F27" w:rsidP="00281F27">
      <w:pPr>
        <w:autoSpaceDE w:val="0"/>
        <w:autoSpaceDN w:val="0"/>
        <w:adjustRightInd w:val="0"/>
        <w:spacing w:before="0" w:beforeAutospacing="0" w:after="0" w:line="360" w:lineRule="auto"/>
        <w:jc w:val="both"/>
        <w:rPr>
          <w:rFonts w:ascii="Times New Roman" w:hAnsi="Times New Roman"/>
          <w:sz w:val="24"/>
          <w:szCs w:val="24"/>
        </w:rPr>
      </w:pPr>
      <w:r>
        <w:rPr>
          <w:rFonts w:ascii="Times New Roman" w:eastAsia="Calibri" w:hAnsi="Times New Roman"/>
          <w:sz w:val="24"/>
          <w:szCs w:val="24"/>
        </w:rPr>
        <w:t xml:space="preserve"> </w:t>
      </w:r>
    </w:p>
    <w:p w14:paraId="6809FE2A" w14:textId="77777777" w:rsidR="00281F27" w:rsidRDefault="00281F27" w:rsidP="00281F27">
      <w:pPr>
        <w:pStyle w:val="Heading2"/>
        <w:spacing w:before="0" w:after="0" w:line="360" w:lineRule="auto"/>
        <w:rPr>
          <w:rFonts w:ascii="Arial" w:hAnsi="Arial" w:cs="Arial"/>
          <w:sz w:val="22"/>
          <w:szCs w:val="22"/>
        </w:rPr>
      </w:pPr>
      <w:bookmarkStart w:id="2" w:name="_Toc144979550"/>
      <w:bookmarkStart w:id="3" w:name="_Toc143117658"/>
      <w:bookmarkEnd w:id="2"/>
      <w:r>
        <w:rPr>
          <w:rFonts w:ascii="Arial" w:hAnsi="Arial" w:cs="Arial"/>
          <w:sz w:val="22"/>
          <w:szCs w:val="22"/>
        </w:rPr>
        <w:t>1</w:t>
      </w:r>
      <w:bookmarkEnd w:id="3"/>
      <w:r>
        <w:rPr>
          <w:rFonts w:ascii="Arial" w:hAnsi="Arial" w:cs="Arial"/>
          <w:sz w:val="22"/>
          <w:szCs w:val="22"/>
        </w:rPr>
        <w:t xml:space="preserve">. INTRODUCTION </w:t>
      </w:r>
    </w:p>
    <w:p w14:paraId="62686D0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One of the most pressing issues today is the lack of access to adequate nutritional food, which affects people all over the world. It is estimated that 805 million people worldwide suffer from severe malnutrition (FAO, 2017), with over 162 million children under the age of five having </w:t>
      </w:r>
      <w:r>
        <w:rPr>
          <w:rFonts w:ascii="Times New Roman" w:eastAsia="Calibri" w:hAnsi="Times New Roman"/>
          <w:sz w:val="24"/>
          <w:szCs w:val="24"/>
        </w:rPr>
        <w:lastRenderedPageBreak/>
        <w:t xml:space="preserve">stunted growth (UNICEF, 2014). Sub-Saharan Africa has one of the worst rates of food and nutritional insecurity in the world. Global food and nutrition security issues is been addressed </w:t>
      </w:r>
      <w:commentRangeStart w:id="4"/>
      <w:r>
        <w:rPr>
          <w:rFonts w:ascii="Times New Roman" w:eastAsia="Calibri" w:hAnsi="Times New Roman"/>
          <w:sz w:val="24"/>
          <w:szCs w:val="24"/>
        </w:rPr>
        <w:t>through a number of policies</w:t>
      </w:r>
      <w:commentRangeEnd w:id="4"/>
      <w:r w:rsidR="0018183B">
        <w:rPr>
          <w:rStyle w:val="CommentReference"/>
        </w:rPr>
        <w:commentReference w:id="4"/>
      </w:r>
      <w:r>
        <w:rPr>
          <w:rFonts w:ascii="Times New Roman" w:eastAsia="Calibri" w:hAnsi="Times New Roman"/>
          <w:sz w:val="24"/>
          <w:szCs w:val="24"/>
        </w:rPr>
        <w:t xml:space="preserve">, thus the enactment of Sustainable Development Goals (SDGs).  The SDG 2 is aimed at eradicating hunger, achieving food security, enhancing nutrition and fostering sustainable agriculture by 2030. This policy is gradually becoming a mirage in most African countries due to food inadequacy and nutritional insecurity. Also, poor weather conditions and unpredictable rainfall in recent times have affected crop and animal production leading to insufficiency of food. In addition, a substantial </w:t>
      </w:r>
      <w:commentRangeStart w:id="5"/>
      <w:proofErr w:type="spellStart"/>
      <w:r>
        <w:rPr>
          <w:rFonts w:ascii="Times New Roman" w:eastAsia="Calibri" w:hAnsi="Times New Roman"/>
          <w:sz w:val="24"/>
          <w:szCs w:val="24"/>
        </w:rPr>
        <w:t>post harvest</w:t>
      </w:r>
      <w:proofErr w:type="spellEnd"/>
      <w:r>
        <w:rPr>
          <w:rFonts w:ascii="Times New Roman" w:eastAsia="Calibri" w:hAnsi="Times New Roman"/>
          <w:sz w:val="24"/>
          <w:szCs w:val="24"/>
        </w:rPr>
        <w:t xml:space="preserve"> </w:t>
      </w:r>
      <w:commentRangeEnd w:id="5"/>
      <w:r w:rsidR="0018183B">
        <w:rPr>
          <w:rStyle w:val="CommentReference"/>
        </w:rPr>
        <w:commentReference w:id="5"/>
      </w:r>
      <w:r>
        <w:rPr>
          <w:rFonts w:ascii="Times New Roman" w:eastAsia="Calibri" w:hAnsi="Times New Roman"/>
          <w:sz w:val="24"/>
          <w:szCs w:val="24"/>
        </w:rPr>
        <w:t xml:space="preserve">losses and food waste in Africa is culminating to the inability for the continent achieving objective 2 of the SDGs. </w:t>
      </w:r>
    </w:p>
    <w:p w14:paraId="5B2C2C64" w14:textId="77777777" w:rsidR="00281F27" w:rsidRDefault="00281F27" w:rsidP="00281F27">
      <w:pPr>
        <w:spacing w:before="0" w:beforeAutospacing="0" w:after="0" w:line="360" w:lineRule="auto"/>
        <w:jc w:val="both"/>
        <w:rPr>
          <w:rFonts w:ascii="Times New Roman" w:eastAsia="Calibri" w:hAnsi="Times New Roman"/>
          <w:sz w:val="24"/>
          <w:szCs w:val="24"/>
        </w:rPr>
      </w:pPr>
      <w:commentRangeStart w:id="6"/>
      <w:r>
        <w:rPr>
          <w:rFonts w:ascii="Times New Roman" w:eastAsia="Calibri" w:hAnsi="Times New Roman"/>
          <w:sz w:val="24"/>
          <w:szCs w:val="24"/>
        </w:rPr>
        <w:t xml:space="preserve">In order to </w:t>
      </w:r>
      <w:commentRangeEnd w:id="6"/>
      <w:r w:rsidR="0018183B">
        <w:rPr>
          <w:rStyle w:val="CommentReference"/>
        </w:rPr>
        <w:commentReference w:id="6"/>
      </w:r>
      <w:r>
        <w:rPr>
          <w:rFonts w:ascii="Times New Roman" w:eastAsia="Calibri" w:hAnsi="Times New Roman"/>
          <w:sz w:val="24"/>
          <w:szCs w:val="24"/>
        </w:rPr>
        <w:t>address the issue of nutrient deficiencies in developing nations, significant efforts are currently being made to find inexpensive food sources with good nutritional and functional qualities to augment the mainstream food systems. In Africa, the rural population relies on the African baobab (</w:t>
      </w:r>
      <w:r>
        <w:rPr>
          <w:rFonts w:ascii="Times New Roman" w:eastAsia="Calibri" w:hAnsi="Times New Roman"/>
          <w:i/>
          <w:sz w:val="24"/>
          <w:szCs w:val="24"/>
        </w:rPr>
        <w:t>Adansonia digitata</w:t>
      </w:r>
      <w:r>
        <w:rPr>
          <w:rFonts w:ascii="Times New Roman" w:eastAsia="Calibri" w:hAnsi="Times New Roman"/>
          <w:sz w:val="24"/>
          <w:szCs w:val="24"/>
        </w:rPr>
        <w:t>) for nutritional security and revenue (</w:t>
      </w:r>
      <w:proofErr w:type="spellStart"/>
      <w:r>
        <w:rPr>
          <w:rFonts w:ascii="Times New Roman" w:eastAsia="Calibri" w:hAnsi="Times New Roman"/>
          <w:sz w:val="24"/>
          <w:szCs w:val="24"/>
        </w:rPr>
        <w:t>Chadare</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2008; Sidibé and Williams, 2002). </w:t>
      </w:r>
    </w:p>
    <w:p w14:paraId="48AFD9A9"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According to </w:t>
      </w:r>
      <w:proofErr w:type="spellStart"/>
      <w:r>
        <w:rPr>
          <w:rFonts w:ascii="Times New Roman" w:eastAsia="Calibri" w:hAnsi="Times New Roman"/>
          <w:sz w:val="24"/>
          <w:szCs w:val="24"/>
        </w:rPr>
        <w:t>Dandago</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(2016), the baobab fruit powder (fruit pulp) provides nutritionally significant amounts of vital elements like fibre, protein, minerals and antioxidants. The pulp is a rich dietary source of fibre, potassium, calcium, magnesium, iron and zinc and can be thought of as a naturally dry and entirely organic food (</w:t>
      </w:r>
      <w:proofErr w:type="spellStart"/>
      <w:r>
        <w:rPr>
          <w:rFonts w:ascii="Times New Roman" w:eastAsia="Calibri" w:hAnsi="Times New Roman"/>
          <w:sz w:val="24"/>
          <w:szCs w:val="24"/>
        </w:rPr>
        <w:t>Fatokun</w:t>
      </w:r>
      <w:proofErr w:type="spellEnd"/>
      <w:r>
        <w:rPr>
          <w:rFonts w:ascii="Times New Roman" w:eastAsia="Calibri" w:hAnsi="Times New Roman"/>
          <w:sz w:val="24"/>
          <w:szCs w:val="24"/>
        </w:rPr>
        <w:t xml:space="preserve"> and </w:t>
      </w:r>
      <w:proofErr w:type="spellStart"/>
      <w:r>
        <w:rPr>
          <w:rFonts w:ascii="Times New Roman" w:eastAsia="Calibri" w:hAnsi="Times New Roman"/>
          <w:sz w:val="24"/>
          <w:szCs w:val="24"/>
        </w:rPr>
        <w:t>Akanji</w:t>
      </w:r>
      <w:proofErr w:type="spellEnd"/>
      <w:r>
        <w:rPr>
          <w:rFonts w:ascii="Times New Roman" w:eastAsia="Calibri" w:hAnsi="Times New Roman"/>
          <w:sz w:val="24"/>
          <w:szCs w:val="24"/>
        </w:rPr>
        <w:t>, 2012). In comparison to regularly consumed fruits like guava, mango, berries and bananas, the quantities of these nutrients found in the baobab powder are significantly higher (</w:t>
      </w:r>
      <w:proofErr w:type="spellStart"/>
      <w:r>
        <w:rPr>
          <w:rFonts w:ascii="Times New Roman" w:eastAsia="Calibri" w:hAnsi="Times New Roman"/>
          <w:sz w:val="24"/>
          <w:szCs w:val="24"/>
        </w:rPr>
        <w:t>Muthai</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2017). The fruit pulp could be consumed as a possible nutraceutical for the prevention of nutrient deficiency and disease prevention. </w:t>
      </w:r>
      <w:r>
        <w:rPr>
          <w:rFonts w:ascii="Times New Roman" w:eastAsia="Calibri" w:hAnsi="Times New Roman"/>
          <w:color w:val="252525"/>
          <w:sz w:val="24"/>
          <w:szCs w:val="24"/>
        </w:rPr>
        <w:t xml:space="preserve">Commercialization of this non-timber forest product (NTFP) through appropriate processing procedures will undoubtedly not only improve nutrition but also serve as a catalyst for wealth and job creation for the rural people where this fruit is grown (Ofori </w:t>
      </w:r>
      <w:r>
        <w:rPr>
          <w:rFonts w:ascii="Times New Roman" w:eastAsia="Calibri" w:hAnsi="Times New Roman"/>
          <w:i/>
          <w:color w:val="252525"/>
          <w:sz w:val="24"/>
          <w:szCs w:val="24"/>
        </w:rPr>
        <w:t>et al.,</w:t>
      </w:r>
      <w:r>
        <w:rPr>
          <w:rFonts w:ascii="Times New Roman" w:eastAsia="Calibri" w:hAnsi="Times New Roman"/>
          <w:color w:val="252525"/>
          <w:sz w:val="24"/>
          <w:szCs w:val="24"/>
        </w:rPr>
        <w:t xml:space="preserve"> 2023). According to the Global Market Insights Report (2018), the global market demand for baobab ingredients (pulp and oil) is projected to reach US$ 5.6 billion in 2024. Several nutritional studies have been conducted on baobab, but there is a great variation in the reported data depending on the source of the fruits and the analytical methods used (</w:t>
      </w:r>
      <w:proofErr w:type="spellStart"/>
      <w:r>
        <w:rPr>
          <w:rFonts w:ascii="Times New Roman" w:eastAsia="Calibri" w:hAnsi="Times New Roman"/>
          <w:color w:val="252525"/>
          <w:sz w:val="24"/>
          <w:szCs w:val="24"/>
        </w:rPr>
        <w:t>Chadare</w:t>
      </w:r>
      <w:proofErr w:type="spellEnd"/>
      <w:r>
        <w:rPr>
          <w:rFonts w:ascii="Times New Roman" w:eastAsia="Calibri" w:hAnsi="Times New Roman"/>
          <w:color w:val="252525"/>
          <w:sz w:val="24"/>
          <w:szCs w:val="24"/>
        </w:rPr>
        <w:t xml:space="preserve"> </w:t>
      </w:r>
      <w:r>
        <w:rPr>
          <w:rFonts w:ascii="Times New Roman" w:eastAsia="Calibri" w:hAnsi="Times New Roman"/>
          <w:i/>
          <w:color w:val="252525"/>
          <w:sz w:val="24"/>
          <w:szCs w:val="24"/>
        </w:rPr>
        <w:t>et al.,</w:t>
      </w:r>
      <w:r>
        <w:rPr>
          <w:rFonts w:ascii="Times New Roman" w:eastAsia="Calibri" w:hAnsi="Times New Roman"/>
          <w:color w:val="252525"/>
          <w:sz w:val="24"/>
          <w:szCs w:val="24"/>
        </w:rPr>
        <w:t xml:space="preserve"> </w:t>
      </w:r>
      <w:commentRangeStart w:id="7"/>
      <w:r>
        <w:rPr>
          <w:rFonts w:ascii="Times New Roman" w:eastAsia="Calibri" w:hAnsi="Times New Roman"/>
          <w:color w:val="252525"/>
          <w:sz w:val="24"/>
          <w:szCs w:val="24"/>
        </w:rPr>
        <w:t>2009</w:t>
      </w:r>
      <w:commentRangeEnd w:id="7"/>
      <w:r w:rsidR="001D5E48">
        <w:rPr>
          <w:rStyle w:val="CommentReference"/>
        </w:rPr>
        <w:commentReference w:id="7"/>
      </w:r>
      <w:r>
        <w:rPr>
          <w:rFonts w:ascii="Times New Roman" w:eastAsia="Calibri" w:hAnsi="Times New Roman"/>
          <w:color w:val="252525"/>
          <w:sz w:val="24"/>
          <w:szCs w:val="24"/>
        </w:rPr>
        <w:t xml:space="preserve">; </w:t>
      </w:r>
      <w:proofErr w:type="spellStart"/>
      <w:r>
        <w:rPr>
          <w:rFonts w:ascii="Times New Roman" w:eastAsia="Calibri" w:hAnsi="Times New Roman"/>
          <w:color w:val="252525"/>
          <w:sz w:val="24"/>
          <w:szCs w:val="24"/>
        </w:rPr>
        <w:t>Stadlmayr</w:t>
      </w:r>
      <w:proofErr w:type="spellEnd"/>
      <w:r>
        <w:rPr>
          <w:rFonts w:ascii="Times New Roman" w:eastAsia="Calibri" w:hAnsi="Times New Roman"/>
          <w:color w:val="252525"/>
          <w:sz w:val="24"/>
          <w:szCs w:val="24"/>
        </w:rPr>
        <w:t xml:space="preserve"> </w:t>
      </w:r>
      <w:r>
        <w:rPr>
          <w:rFonts w:ascii="Times New Roman" w:eastAsia="Calibri" w:hAnsi="Times New Roman"/>
          <w:i/>
          <w:color w:val="252525"/>
          <w:sz w:val="24"/>
          <w:szCs w:val="24"/>
        </w:rPr>
        <w:t>et al.,</w:t>
      </w:r>
      <w:r>
        <w:rPr>
          <w:rFonts w:ascii="Times New Roman" w:eastAsia="Calibri" w:hAnsi="Times New Roman"/>
          <w:color w:val="252525"/>
          <w:sz w:val="24"/>
          <w:szCs w:val="24"/>
        </w:rPr>
        <w:t xml:space="preserve"> 2013). </w:t>
      </w:r>
    </w:p>
    <w:p w14:paraId="1D3E005D" w14:textId="77777777" w:rsidR="00281F27" w:rsidRDefault="00281F27" w:rsidP="00281F27">
      <w:pPr>
        <w:pStyle w:val="NormalWeb"/>
        <w:spacing w:before="0" w:beforeAutospacing="0" w:after="0" w:afterAutospacing="0" w:line="360" w:lineRule="auto"/>
        <w:jc w:val="both"/>
        <w:rPr>
          <w:color w:val="252525"/>
        </w:rPr>
      </w:pPr>
      <w:r>
        <w:rPr>
          <w:color w:val="252525"/>
        </w:rPr>
        <w:t xml:space="preserve">The baobab fruits found within the semi-deciduous agro-ecological zone of the Volta region of Ghana are underutilised. The fruit is sold in the open market, unpackaged, unprocessed with lack </w:t>
      </w:r>
      <w:r>
        <w:rPr>
          <w:color w:val="252525"/>
        </w:rPr>
        <w:lastRenderedPageBreak/>
        <w:t xml:space="preserve">of nutritional information. The low patronage of the fruit pulp could be a paucity of information on the phytochemicals present. </w:t>
      </w:r>
      <w:r>
        <w:t xml:space="preserve">Also, a well-packaged product with nutritional details, uses and instructions for food preparation would be necessary to promote and support the use of the baobab pulp found in this agro-ecological zone. </w:t>
      </w:r>
      <w:r>
        <w:rPr>
          <w:color w:val="252525"/>
        </w:rPr>
        <w:t>Therefore, this study was done to assess the prevailing intrinsic phytochemical composition and functional properties of the baobab fruit pulp found in this location of the study area.</w:t>
      </w:r>
    </w:p>
    <w:p w14:paraId="6EA0ACB3" w14:textId="77777777" w:rsidR="00281F27" w:rsidRDefault="00281F27" w:rsidP="00281F27">
      <w:pPr>
        <w:pStyle w:val="Heading2"/>
        <w:spacing w:before="0" w:after="0" w:line="360" w:lineRule="auto"/>
        <w:rPr>
          <w:rFonts w:ascii="Arial" w:hAnsi="Arial" w:cs="Arial"/>
          <w:sz w:val="22"/>
          <w:szCs w:val="22"/>
        </w:rPr>
      </w:pPr>
      <w:bookmarkStart w:id="8" w:name="_Toc143117659"/>
      <w:bookmarkStart w:id="9" w:name="_Toc144979551"/>
      <w:bookmarkEnd w:id="8"/>
      <w:r>
        <w:rPr>
          <w:rFonts w:ascii="Arial" w:hAnsi="Arial" w:cs="Arial"/>
          <w:sz w:val="22"/>
          <w:szCs w:val="22"/>
        </w:rPr>
        <w:t>2</w:t>
      </w:r>
      <w:bookmarkEnd w:id="9"/>
      <w:r>
        <w:rPr>
          <w:rFonts w:ascii="Arial" w:hAnsi="Arial" w:cs="Arial"/>
          <w:sz w:val="22"/>
          <w:szCs w:val="22"/>
        </w:rPr>
        <w:t>. MATERIAL AND METHODS</w:t>
      </w:r>
    </w:p>
    <w:p w14:paraId="250E42B8" w14:textId="77777777" w:rsidR="00281F27" w:rsidRDefault="00281F27" w:rsidP="00281F27">
      <w:pPr>
        <w:pStyle w:val="Heading3"/>
        <w:spacing w:before="0" w:after="0" w:line="360" w:lineRule="auto"/>
        <w:rPr>
          <w:rFonts w:ascii="Arial" w:hAnsi="Arial" w:cs="Arial"/>
          <w:sz w:val="22"/>
          <w:szCs w:val="22"/>
        </w:rPr>
      </w:pPr>
      <w:bookmarkStart w:id="10" w:name="_Toc143117660"/>
      <w:bookmarkStart w:id="11" w:name="_Toc144979552"/>
      <w:bookmarkEnd w:id="10"/>
      <w:r>
        <w:rPr>
          <w:rFonts w:ascii="Arial" w:hAnsi="Arial" w:cs="Arial"/>
          <w:sz w:val="22"/>
          <w:szCs w:val="22"/>
        </w:rPr>
        <w:t xml:space="preserve">2.1 Fruit </w:t>
      </w:r>
      <w:bookmarkEnd w:id="11"/>
      <w:r>
        <w:rPr>
          <w:rFonts w:ascii="Arial" w:hAnsi="Arial" w:cs="Arial"/>
          <w:sz w:val="22"/>
          <w:szCs w:val="22"/>
        </w:rPr>
        <w:t>Sampling and Preparation</w:t>
      </w:r>
    </w:p>
    <w:p w14:paraId="2F2251B4" w14:textId="77777777" w:rsidR="00281F27" w:rsidRDefault="00281F27" w:rsidP="00281F27">
      <w:pPr>
        <w:pStyle w:val="NormalWeb"/>
        <w:spacing w:before="0" w:beforeAutospacing="0" w:after="0" w:afterAutospacing="0" w:line="360" w:lineRule="auto"/>
        <w:jc w:val="both"/>
        <w:rPr>
          <w:color w:val="252525"/>
        </w:rPr>
      </w:pPr>
      <w:r>
        <w:rPr>
          <w:color w:val="252525"/>
        </w:rPr>
        <w:t xml:space="preserve">Baobab fruits were harvested from different locality of the Volta region of Ghana (Figure 1). They were manually cracked open and emptied. Separation of the seed, pulp and fibre were done with a wooden pestle and mortar. The content was sieved to separate the seeds and fibre from the pulp using a 750 µmm sieve. The pulp was packaged in self-locking polyethylene bags and kept in a refrigerator below 10 °C for further analysis. </w:t>
      </w:r>
      <w:r>
        <w:rPr>
          <w:rFonts w:eastAsia="Calibri"/>
        </w:rPr>
        <w:t>Figures 2a and 2b are samples of baobab pods and packaged pulp powder, respectively.</w:t>
      </w:r>
    </w:p>
    <w:p w14:paraId="52A53D75" w14:textId="77777777" w:rsidR="00281F27" w:rsidRDefault="00281F27" w:rsidP="00281F27">
      <w:pPr>
        <w:pStyle w:val="NormalWeb"/>
        <w:spacing w:before="0" w:beforeAutospacing="0" w:after="0" w:afterAutospacing="0" w:line="360" w:lineRule="auto"/>
        <w:jc w:val="both"/>
      </w:pPr>
      <w:r>
        <w:rPr>
          <w:noProof/>
          <w:lang w:val="en-US" w:eastAsia="en-US"/>
        </w:rPr>
        <w:drawing>
          <wp:inline distT="0" distB="0" distL="0" distR="0" wp14:anchorId="39EC7C89" wp14:editId="407269B6">
            <wp:extent cx="3933825" cy="3038475"/>
            <wp:effectExtent l="0" t="0" r="9525" b="9525"/>
            <wp:docPr id="15" name="Picture 15" descr="C:\Users\USER\AppData\Local\Temp\ksohtml83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8316\wp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3038475"/>
                    </a:xfrm>
                    <a:prstGeom prst="rect">
                      <a:avLst/>
                    </a:prstGeom>
                    <a:noFill/>
                    <a:ln>
                      <a:noFill/>
                    </a:ln>
                  </pic:spPr>
                </pic:pic>
              </a:graphicData>
            </a:graphic>
          </wp:inline>
        </w:drawing>
      </w:r>
      <w:r>
        <w:t xml:space="preserve"> </w:t>
      </w:r>
    </w:p>
    <w:p w14:paraId="28338DE4" w14:textId="77777777" w:rsidR="00281F27" w:rsidRDefault="00281F27" w:rsidP="00281F27">
      <w:pPr>
        <w:pStyle w:val="NormalWeb"/>
        <w:spacing w:before="0" w:beforeAutospacing="0" w:after="0" w:afterAutospacing="0" w:line="360" w:lineRule="auto"/>
        <w:jc w:val="both"/>
      </w:pPr>
      <w:r>
        <w:t>Figure 1: Map of Volta region where the fruits were sampled for the study</w:t>
      </w:r>
    </w:p>
    <w:p w14:paraId="5CD73C3E"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482EFD40" w14:textId="77777777" w:rsidR="00281F27" w:rsidRDefault="00281F27" w:rsidP="00281F27">
      <w:pPr>
        <w:spacing w:before="0" w:beforeAutospacing="0" w:after="0" w:line="360" w:lineRule="auto"/>
        <w:rPr>
          <w:rFonts w:ascii="Times New Roman" w:eastAsia="Calibri" w:hAnsi="Times New Roman"/>
          <w:sz w:val="24"/>
          <w:szCs w:val="24"/>
        </w:rPr>
      </w:pPr>
      <w:r>
        <w:rPr>
          <w:noProof/>
          <w:lang w:val="en-US" w:eastAsia="en-US"/>
        </w:rPr>
        <w:lastRenderedPageBreak/>
        <w:drawing>
          <wp:inline distT="0" distB="0" distL="0" distR="0" wp14:anchorId="004E5213" wp14:editId="57AF460B">
            <wp:extent cx="1847850" cy="1885950"/>
            <wp:effectExtent l="0" t="0" r="0" b="0"/>
            <wp:docPr id="14" name="Picture 14" descr="C:\Users\USER\AppData\Local\Temp\ksohtml83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8316\wp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885950"/>
                    </a:xfrm>
                    <a:prstGeom prst="rect">
                      <a:avLst/>
                    </a:prstGeom>
                    <a:noFill/>
                    <a:ln>
                      <a:noFill/>
                    </a:ln>
                  </pic:spPr>
                </pic:pic>
              </a:graphicData>
            </a:graphic>
          </wp:inline>
        </w:drawing>
      </w:r>
      <w:r>
        <w:rPr>
          <w:noProof/>
          <w:lang w:val="en-US" w:eastAsia="en-US"/>
        </w:rPr>
        <w:drawing>
          <wp:inline distT="0" distB="0" distL="0" distR="0" wp14:anchorId="7A1EF51A" wp14:editId="10ADDE42">
            <wp:extent cx="1895475" cy="1885950"/>
            <wp:effectExtent l="0" t="0" r="9525" b="0"/>
            <wp:docPr id="13" name="Picture 13" descr="C:\Users\USER\AppData\Local\Temp\ksohtml83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8316\wp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885950"/>
                    </a:xfrm>
                    <a:prstGeom prst="rect">
                      <a:avLst/>
                    </a:prstGeom>
                    <a:noFill/>
                    <a:ln>
                      <a:noFill/>
                    </a:ln>
                  </pic:spPr>
                </pic:pic>
              </a:graphicData>
            </a:graphic>
          </wp:inline>
        </w:drawing>
      </w:r>
      <w:r>
        <w:rPr>
          <w:rFonts w:ascii="Times New Roman" w:eastAsia="Calibri" w:hAnsi="Times New Roman"/>
          <w:sz w:val="24"/>
          <w:szCs w:val="24"/>
        </w:rPr>
        <w:t xml:space="preserve"> </w:t>
      </w:r>
    </w:p>
    <w:p w14:paraId="4DB65B36"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Fig. 2a                                   Fig. 2b</w:t>
      </w:r>
    </w:p>
    <w:p w14:paraId="67D61416"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Figures 2a and 2b are samples of baobab pods and pulp powder, respectively.</w:t>
      </w:r>
    </w:p>
    <w:p w14:paraId="1ACD784C"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578CA917" w14:textId="77777777" w:rsidR="00281F27" w:rsidRDefault="00281F27" w:rsidP="00281F27">
      <w:pPr>
        <w:pStyle w:val="Heading3"/>
        <w:spacing w:before="0" w:after="0" w:line="360" w:lineRule="auto"/>
        <w:rPr>
          <w:rFonts w:ascii="Arial" w:hAnsi="Arial" w:cs="Arial"/>
          <w:sz w:val="22"/>
          <w:szCs w:val="22"/>
        </w:rPr>
      </w:pPr>
      <w:bookmarkStart w:id="12" w:name="_Toc144979553"/>
      <w:bookmarkStart w:id="13" w:name="_Toc143117661"/>
      <w:bookmarkEnd w:id="12"/>
      <w:r>
        <w:rPr>
          <w:rFonts w:ascii="Arial" w:hAnsi="Arial" w:cs="Arial"/>
          <w:sz w:val="22"/>
          <w:szCs w:val="22"/>
        </w:rPr>
        <w:t xml:space="preserve">2.2 Determination of </w:t>
      </w:r>
      <w:bookmarkEnd w:id="13"/>
      <w:r>
        <w:rPr>
          <w:rFonts w:ascii="Arial" w:hAnsi="Arial" w:cs="Arial"/>
          <w:sz w:val="22"/>
          <w:szCs w:val="22"/>
        </w:rPr>
        <w:t xml:space="preserve">Proximate Composition </w:t>
      </w:r>
    </w:p>
    <w:p w14:paraId="4A3FBB0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The proximate composition of the pulp was determined using AOAC (2005) procedures. The moisture content was found by weighing 2 g of the sample differently before and after it had been dried in an oven (model 600; </w:t>
      </w:r>
      <w:proofErr w:type="spellStart"/>
      <w:r>
        <w:rPr>
          <w:rFonts w:ascii="Times New Roman" w:eastAsia="Calibri" w:hAnsi="Times New Roman"/>
          <w:sz w:val="24"/>
          <w:szCs w:val="24"/>
        </w:rPr>
        <w:t>Memmert</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Schwabach</w:t>
      </w:r>
      <w:proofErr w:type="spellEnd"/>
      <w:r>
        <w:rPr>
          <w:rFonts w:ascii="Times New Roman" w:eastAsia="Calibri" w:hAnsi="Times New Roman"/>
          <w:sz w:val="24"/>
          <w:szCs w:val="24"/>
        </w:rPr>
        <w:t>, Germany) for 3 hours at 105 °C. The macro-Kjeldahl technique was used to determine crude protein, which was subsequently estimated by multiplying the observed nitrogen by a factor of 6.25. The total amount of ash was estimated after burning the dry sample (2 g) at 550 °C for 6 hours in a muffle furnace (</w:t>
      </w:r>
      <w:proofErr w:type="spellStart"/>
      <w:r>
        <w:rPr>
          <w:rFonts w:ascii="Times New Roman" w:eastAsia="Calibri" w:hAnsi="Times New Roman"/>
          <w:sz w:val="24"/>
          <w:szCs w:val="24"/>
        </w:rPr>
        <w:t>Gallenkamp</w:t>
      </w:r>
      <w:proofErr w:type="spellEnd"/>
      <w:r>
        <w:rPr>
          <w:rFonts w:ascii="Times New Roman" w:eastAsia="Calibri" w:hAnsi="Times New Roman"/>
          <w:sz w:val="24"/>
          <w:szCs w:val="24"/>
        </w:rPr>
        <w:t xml:space="preserve">, England). To determine crude fat, a sample (100 g) was extracted with n-hexane at 60 °C in a </w:t>
      </w:r>
      <w:proofErr w:type="spellStart"/>
      <w:r>
        <w:rPr>
          <w:rFonts w:ascii="Times New Roman" w:eastAsia="Calibri" w:hAnsi="Times New Roman"/>
          <w:sz w:val="24"/>
          <w:szCs w:val="24"/>
        </w:rPr>
        <w:t>soxhlet</w:t>
      </w:r>
      <w:proofErr w:type="spellEnd"/>
      <w:r>
        <w:rPr>
          <w:rFonts w:ascii="Times New Roman" w:eastAsia="Calibri" w:hAnsi="Times New Roman"/>
          <w:sz w:val="24"/>
          <w:szCs w:val="24"/>
        </w:rPr>
        <w:t xml:space="preserve"> system. The defatted sample (2 g) was digested in 1.25 HCl and 1.25 NaOH to estimate the crude fibre content. The difference of [100 – (total sum moisture, crude protein, crude fat and ash)] was used in the determination of carbohydrates.</w:t>
      </w:r>
    </w:p>
    <w:p w14:paraId="09F62BE6"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43FEC6CF" w14:textId="77777777" w:rsidR="00281F27" w:rsidRDefault="00281F27" w:rsidP="00281F27">
      <w:pPr>
        <w:pStyle w:val="Heading3"/>
        <w:spacing w:before="0" w:after="0" w:line="360" w:lineRule="auto"/>
        <w:rPr>
          <w:rFonts w:ascii="Arial" w:hAnsi="Arial" w:cs="Arial"/>
          <w:sz w:val="22"/>
          <w:szCs w:val="22"/>
        </w:rPr>
      </w:pPr>
      <w:bookmarkStart w:id="14" w:name="_Toc144979554"/>
      <w:bookmarkStart w:id="15" w:name="_Toc143117662"/>
      <w:bookmarkEnd w:id="14"/>
      <w:r>
        <w:rPr>
          <w:rFonts w:ascii="Arial" w:hAnsi="Arial" w:cs="Arial"/>
          <w:sz w:val="22"/>
          <w:szCs w:val="22"/>
        </w:rPr>
        <w:t xml:space="preserve">2.3 Determination of </w:t>
      </w:r>
      <w:bookmarkEnd w:id="15"/>
      <w:r>
        <w:rPr>
          <w:rFonts w:ascii="Arial" w:hAnsi="Arial" w:cs="Arial"/>
          <w:sz w:val="22"/>
          <w:szCs w:val="22"/>
        </w:rPr>
        <w:t>Metabolizable Energy</w:t>
      </w:r>
    </w:p>
    <w:p w14:paraId="201DCC24" w14:textId="77777777" w:rsidR="00281F27" w:rsidRDefault="00281F27" w:rsidP="00281F27">
      <w:pPr>
        <w:spacing w:before="0" w:beforeAutospacing="0" w:after="0" w:line="360" w:lineRule="auto"/>
        <w:jc w:val="both"/>
        <w:rPr>
          <w:rFonts w:ascii="Times New Roman" w:eastAsia="Calibri" w:hAnsi="Times New Roman"/>
          <w:color w:val="000000"/>
          <w:sz w:val="24"/>
          <w:szCs w:val="24"/>
        </w:rPr>
      </w:pPr>
      <w:r>
        <w:rPr>
          <w:rFonts w:ascii="Times New Roman" w:eastAsia="Calibri" w:hAnsi="Times New Roman"/>
          <w:sz w:val="24"/>
          <w:szCs w:val="24"/>
        </w:rPr>
        <w:t xml:space="preserve">The method used by </w:t>
      </w:r>
      <w:proofErr w:type="spellStart"/>
      <w:r>
        <w:rPr>
          <w:rFonts w:ascii="Times New Roman" w:eastAsia="Calibri" w:hAnsi="Times New Roman"/>
          <w:color w:val="000000"/>
          <w:sz w:val="24"/>
          <w:szCs w:val="24"/>
        </w:rPr>
        <w:t>Akusu</w:t>
      </w:r>
      <w:proofErr w:type="spellEnd"/>
      <w:r>
        <w:rPr>
          <w:rFonts w:ascii="Times New Roman" w:eastAsia="Calibri" w:hAnsi="Times New Roman"/>
          <w:color w:val="000000"/>
          <w:sz w:val="24"/>
          <w:szCs w:val="24"/>
        </w:rPr>
        <w:t xml:space="preserve"> </w:t>
      </w:r>
      <w:r>
        <w:rPr>
          <w:rFonts w:ascii="Times New Roman" w:eastAsia="Calibri" w:hAnsi="Times New Roman"/>
          <w:i/>
          <w:color w:val="000000"/>
          <w:sz w:val="24"/>
          <w:szCs w:val="24"/>
        </w:rPr>
        <w:t xml:space="preserve">et al. </w:t>
      </w:r>
      <w:r>
        <w:rPr>
          <w:rFonts w:ascii="Times New Roman" w:eastAsia="Calibri" w:hAnsi="Times New Roman"/>
          <w:color w:val="000000"/>
          <w:sz w:val="24"/>
          <w:szCs w:val="24"/>
        </w:rPr>
        <w:t>(2019) was used to calculate the metabolizable energy of the baobab pulp. The macronutrients (carbohydrates, fats and protein) obtained were multiply by factors 4 kcal/g, 9 kcal/g and 4 kcal/g, respectively for carbohydrates, fats and protein. All the properties determined were in triplicates.</w:t>
      </w:r>
    </w:p>
    <w:p w14:paraId="322D4BDC"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EC3F50A" w14:textId="77777777" w:rsidR="00281F27" w:rsidRDefault="00281F27" w:rsidP="00281F27">
      <w:pPr>
        <w:pStyle w:val="Heading3"/>
        <w:spacing w:before="0" w:after="0" w:line="360" w:lineRule="auto"/>
        <w:rPr>
          <w:rFonts w:ascii="Arial" w:hAnsi="Arial" w:cs="Arial"/>
          <w:sz w:val="22"/>
          <w:szCs w:val="22"/>
        </w:rPr>
      </w:pPr>
      <w:bookmarkStart w:id="16" w:name="_Toc144979555"/>
      <w:bookmarkStart w:id="17" w:name="_Toc143117663"/>
      <w:bookmarkEnd w:id="16"/>
      <w:r>
        <w:rPr>
          <w:rFonts w:ascii="Arial" w:hAnsi="Arial" w:cs="Arial"/>
          <w:sz w:val="22"/>
          <w:szCs w:val="22"/>
        </w:rPr>
        <w:lastRenderedPageBreak/>
        <w:t xml:space="preserve">2.4 Determination of </w:t>
      </w:r>
      <w:bookmarkEnd w:id="17"/>
      <w:r>
        <w:rPr>
          <w:rFonts w:ascii="Arial" w:hAnsi="Arial" w:cs="Arial"/>
          <w:sz w:val="22"/>
          <w:szCs w:val="22"/>
        </w:rPr>
        <w:t>Functional Properties</w:t>
      </w:r>
    </w:p>
    <w:p w14:paraId="0E9C4A5E"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2.4.1 Swelling capacity</w:t>
      </w:r>
    </w:p>
    <w:p w14:paraId="1CDDA170" w14:textId="77777777" w:rsidR="00281F27" w:rsidRDefault="00281F27" w:rsidP="00281F27">
      <w:pPr>
        <w:spacing w:before="0" w:beforeAutospacing="0" w:after="0" w:line="360" w:lineRule="auto"/>
        <w:jc w:val="both"/>
        <w:rPr>
          <w:rFonts w:ascii="Times New Roman" w:eastAsia="Calibri" w:hAnsi="Times New Roman"/>
          <w:bCs/>
          <w:sz w:val="24"/>
          <w:szCs w:val="24"/>
        </w:rPr>
      </w:pPr>
      <w:r>
        <w:rPr>
          <w:rFonts w:ascii="Times New Roman" w:eastAsia="Calibri" w:hAnsi="Times New Roman"/>
          <w:sz w:val="24"/>
          <w:szCs w:val="24"/>
        </w:rPr>
        <w:t xml:space="preserve">The method described by </w:t>
      </w:r>
      <w:r>
        <w:rPr>
          <w:rFonts w:ascii="Times New Roman" w:eastAsia="Calibri" w:hAnsi="Times New Roman"/>
          <w:bCs/>
          <w:sz w:val="24"/>
          <w:szCs w:val="24"/>
        </w:rPr>
        <w:t>Suresh and Shamsher (2013) was adapted for the swelling capacity of the baobab flour. A 100 mL graduated cylinder was filled to 10 mL with baobab pulp. 50 mL of distilled water was added and the top of the cylinder was tightly covered. The cylinder was inverted more times after 2 minutes and left to stand for a further 8 minutes. The volume occupied by the sample after 8 minutes was read and recorded as the swelling capacity.</w:t>
      </w:r>
    </w:p>
    <w:p w14:paraId="7D86FC62" w14:textId="77777777" w:rsidR="00281F27" w:rsidRDefault="00281F27" w:rsidP="00281F27">
      <w:pPr>
        <w:spacing w:before="0" w:beforeAutospacing="0" w:after="0" w:line="360" w:lineRule="auto"/>
        <w:jc w:val="both"/>
        <w:rPr>
          <w:rFonts w:ascii="Arial" w:eastAsia="Calibri" w:hAnsi="Arial" w:cs="Arial"/>
          <w:b/>
          <w:bCs/>
          <w:sz w:val="20"/>
          <w:szCs w:val="20"/>
          <w:u w:val="single"/>
        </w:rPr>
      </w:pPr>
      <w:r>
        <w:rPr>
          <w:rFonts w:ascii="Arial" w:eastAsia="Calibri" w:hAnsi="Arial" w:cs="Arial"/>
          <w:b/>
          <w:bCs/>
          <w:sz w:val="20"/>
          <w:szCs w:val="20"/>
          <w:u w:val="single"/>
        </w:rPr>
        <w:t>2.4.2 Water absorption capacity</w:t>
      </w:r>
    </w:p>
    <w:p w14:paraId="3E8D2C5E" w14:textId="77777777" w:rsidR="00281F27" w:rsidRDefault="00281F27" w:rsidP="00281F27">
      <w:pPr>
        <w:spacing w:before="0" w:beforeAutospacing="0" w:after="0" w:line="360" w:lineRule="auto"/>
        <w:jc w:val="both"/>
        <w:rPr>
          <w:rFonts w:ascii="Times New Roman" w:hAnsi="Times New Roman"/>
          <w:bCs/>
          <w:sz w:val="24"/>
          <w:szCs w:val="24"/>
        </w:rPr>
      </w:pPr>
      <w:r>
        <w:rPr>
          <w:rFonts w:ascii="Times New Roman" w:eastAsia="Calibri" w:hAnsi="Times New Roman"/>
          <w:bCs/>
          <w:sz w:val="24"/>
          <w:szCs w:val="24"/>
        </w:rPr>
        <w:t xml:space="preserve">The method used by </w:t>
      </w:r>
      <w:r>
        <w:rPr>
          <w:rFonts w:ascii="Times New Roman" w:hAnsi="Times New Roman"/>
          <w:bCs/>
          <w:sz w:val="24"/>
          <w:szCs w:val="24"/>
        </w:rPr>
        <w:t xml:space="preserve">Buckman </w:t>
      </w:r>
      <w:r>
        <w:rPr>
          <w:rFonts w:ascii="Times New Roman" w:hAnsi="Times New Roman"/>
          <w:bCs/>
          <w:i/>
          <w:sz w:val="24"/>
          <w:szCs w:val="24"/>
        </w:rPr>
        <w:t xml:space="preserve">et al. </w:t>
      </w:r>
      <w:r>
        <w:rPr>
          <w:rFonts w:ascii="Times New Roman" w:hAnsi="Times New Roman"/>
          <w:bCs/>
          <w:sz w:val="24"/>
          <w:szCs w:val="24"/>
        </w:rPr>
        <w:t xml:space="preserve">(2018) was adapted for determination of </w:t>
      </w:r>
      <w:r>
        <w:rPr>
          <w:rFonts w:ascii="Times New Roman" w:eastAsia="Calibri" w:hAnsi="Times New Roman"/>
          <w:bCs/>
          <w:sz w:val="24"/>
          <w:szCs w:val="24"/>
        </w:rPr>
        <w:t>water absorption capacity (WAC)</w:t>
      </w:r>
      <w:r>
        <w:rPr>
          <w:rFonts w:ascii="Times New Roman" w:hAnsi="Times New Roman"/>
          <w:bCs/>
          <w:sz w:val="24"/>
          <w:szCs w:val="24"/>
        </w:rPr>
        <w:t>. An aqueous solution was made using one gram of baobab pulp and 10 mL of distilled water. The solution was vortexed using Fisher Scientific top-mix, FB15024 for 5 min allowed to stand for 5 min, after which it was centrifuged for 10 min at 250 rpm with a centrifuge NEUZL43, MedGroup. The excess water found on the wet sample was drained for 5 min. The WAC was computed for using equation 1.</w:t>
      </w:r>
    </w:p>
    <w:p w14:paraId="48EBFA39" w14:textId="77777777" w:rsidR="00281F27" w:rsidRDefault="00281F27" w:rsidP="00281F27">
      <w:pPr>
        <w:pStyle w:val="Heading4"/>
        <w:spacing w:before="0" w:after="0" w:line="360" w:lineRule="auto"/>
        <w:jc w:val="both"/>
        <w:rPr>
          <w:bCs/>
          <w:i/>
        </w:rPr>
      </w:pPr>
      <w:r>
        <w:rPr>
          <w:bCs/>
          <w:noProof/>
          <w:lang w:val="en-US" w:eastAsia="en-US"/>
        </w:rPr>
        <w:drawing>
          <wp:inline distT="0" distB="0" distL="0" distR="0" wp14:anchorId="79344E88" wp14:editId="66B5BF53">
            <wp:extent cx="5734050" cy="466725"/>
            <wp:effectExtent l="0" t="0" r="0" b="9525"/>
            <wp:docPr id="12" name="Picture 12" descr="C:\Users\USER\AppData\Local\Temp\ksohtml831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8316\wp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66725"/>
                    </a:xfrm>
                    <a:prstGeom prst="rect">
                      <a:avLst/>
                    </a:prstGeom>
                    <a:noFill/>
                    <a:ln>
                      <a:noFill/>
                    </a:ln>
                  </pic:spPr>
                </pic:pic>
              </a:graphicData>
            </a:graphic>
          </wp:inline>
        </w:drawing>
      </w:r>
      <w:r>
        <w:rPr>
          <w:bCs/>
          <w:i/>
        </w:rPr>
        <w:t xml:space="preserve"> </w:t>
      </w:r>
    </w:p>
    <w:p w14:paraId="1FEB4203"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i/>
          <w:color w:val="131413"/>
          <w:sz w:val="24"/>
          <w:szCs w:val="24"/>
        </w:rPr>
      </w:pPr>
      <w:r>
        <w:rPr>
          <w:rFonts w:ascii="Times New Roman" w:eastAsia="Calibri" w:hAnsi="Times New Roman"/>
          <w:i/>
          <w:color w:val="131413"/>
          <w:sz w:val="24"/>
          <w:szCs w:val="24"/>
        </w:rPr>
        <w:t xml:space="preserve"> </w:t>
      </w:r>
    </w:p>
    <w:p w14:paraId="1F5036BF"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 xml:space="preserve">Where, </w:t>
      </w:r>
      <w:r>
        <w:rPr>
          <w:rFonts w:ascii="Times New Roman" w:eastAsia="Calibri" w:hAnsi="Times New Roman"/>
          <w:i/>
          <w:color w:val="131413"/>
          <w:sz w:val="24"/>
          <w:szCs w:val="24"/>
        </w:rPr>
        <w:t>W</w:t>
      </w:r>
      <w:r>
        <w:rPr>
          <w:rFonts w:ascii="Times New Roman" w:eastAsia="Calibri" w:hAnsi="Times New Roman"/>
          <w:i/>
          <w:color w:val="131413"/>
          <w:sz w:val="24"/>
          <w:szCs w:val="24"/>
          <w:vertAlign w:val="subscript"/>
        </w:rPr>
        <w:t xml:space="preserve">B  </w:t>
      </w:r>
      <w:r>
        <w:rPr>
          <w:rFonts w:ascii="Times New Roman" w:eastAsia="Calibri" w:hAnsi="Times New Roman"/>
          <w:color w:val="131413"/>
          <w:sz w:val="24"/>
          <w:szCs w:val="24"/>
        </w:rPr>
        <w:t xml:space="preserve">is the bound water and </w:t>
      </w:r>
      <w:proofErr w:type="spellStart"/>
      <w:r>
        <w:rPr>
          <w:rFonts w:ascii="Times New Roman" w:eastAsia="Calibri" w:hAnsi="Times New Roman"/>
          <w:i/>
          <w:color w:val="131413"/>
          <w:sz w:val="24"/>
          <w:szCs w:val="24"/>
        </w:rPr>
        <w:t>S</w:t>
      </w:r>
      <w:r>
        <w:rPr>
          <w:rFonts w:ascii="Times New Roman" w:eastAsia="Calibri" w:hAnsi="Times New Roman"/>
          <w:i/>
          <w:color w:val="131413"/>
          <w:sz w:val="24"/>
          <w:szCs w:val="24"/>
          <w:vertAlign w:val="subscript"/>
        </w:rPr>
        <w:t>w</w:t>
      </w:r>
      <w:proofErr w:type="spellEnd"/>
      <w:r>
        <w:rPr>
          <w:rFonts w:ascii="Times New Roman" w:eastAsia="Calibri" w:hAnsi="Times New Roman"/>
          <w:color w:val="131413"/>
          <w:sz w:val="24"/>
          <w:szCs w:val="24"/>
        </w:rPr>
        <w:t xml:space="preserve"> is the weight of sample.</w:t>
      </w:r>
    </w:p>
    <w:p w14:paraId="63510611"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6629B5C" w14:textId="77777777" w:rsidR="00281F27" w:rsidRDefault="00281F27" w:rsidP="00281F27">
      <w:pPr>
        <w:spacing w:before="0" w:beforeAutospacing="0" w:after="0" w:line="360" w:lineRule="auto"/>
        <w:jc w:val="both"/>
        <w:rPr>
          <w:rFonts w:ascii="Arial" w:hAnsi="Arial" w:cs="Arial"/>
          <w:b/>
          <w:bCs/>
          <w:sz w:val="20"/>
          <w:szCs w:val="20"/>
          <w:u w:val="single"/>
        </w:rPr>
      </w:pPr>
      <w:r>
        <w:rPr>
          <w:rFonts w:ascii="Arial" w:hAnsi="Arial" w:cs="Arial"/>
          <w:b/>
          <w:bCs/>
          <w:sz w:val="20"/>
          <w:szCs w:val="20"/>
          <w:u w:val="single"/>
        </w:rPr>
        <w:t>2.4.3 Solubility index</w:t>
      </w:r>
    </w:p>
    <w:p w14:paraId="7FEEE273" w14:textId="77777777" w:rsidR="00281F27" w:rsidRDefault="00281F27" w:rsidP="00281F27">
      <w:pPr>
        <w:spacing w:before="0" w:beforeAutospacing="0" w:after="0" w:line="360" w:lineRule="auto"/>
        <w:jc w:val="both"/>
        <w:rPr>
          <w:rFonts w:ascii="Times New Roman" w:hAnsi="Times New Roman"/>
          <w:sz w:val="24"/>
          <w:szCs w:val="24"/>
        </w:rPr>
      </w:pPr>
      <w:commentRangeStart w:id="18"/>
      <w:r>
        <w:rPr>
          <w:rFonts w:ascii="Times New Roman" w:hAnsi="Times New Roman"/>
          <w:sz w:val="24"/>
          <w:szCs w:val="24"/>
        </w:rPr>
        <w:t xml:space="preserve">The method employed by Buckman </w:t>
      </w:r>
      <w:r>
        <w:rPr>
          <w:rFonts w:ascii="Times New Roman" w:hAnsi="Times New Roman"/>
          <w:i/>
          <w:iCs/>
          <w:sz w:val="24"/>
          <w:szCs w:val="24"/>
        </w:rPr>
        <w:t>et al.</w:t>
      </w:r>
      <w:r>
        <w:rPr>
          <w:rFonts w:ascii="Times New Roman" w:hAnsi="Times New Roman"/>
          <w:sz w:val="24"/>
          <w:szCs w:val="24"/>
        </w:rPr>
        <w:t xml:space="preserve"> (2018) was adopted for the determination of the solubility index.</w:t>
      </w:r>
      <w:commentRangeEnd w:id="18"/>
      <w:r w:rsidR="00B94347">
        <w:rPr>
          <w:rStyle w:val="CommentReference"/>
        </w:rPr>
        <w:commentReference w:id="18"/>
      </w:r>
    </w:p>
    <w:p w14:paraId="0A72414E" w14:textId="77777777" w:rsidR="00281F27" w:rsidRDefault="00281F27" w:rsidP="00281F27">
      <w:pPr>
        <w:pStyle w:val="Heading4"/>
        <w:spacing w:before="0" w:after="0" w:line="360" w:lineRule="auto"/>
        <w:rPr>
          <w:rFonts w:ascii="Arial" w:hAnsi="Arial" w:cs="Arial"/>
          <w:sz w:val="20"/>
          <w:szCs w:val="20"/>
          <w:u w:val="single"/>
        </w:rPr>
      </w:pPr>
      <w:commentRangeStart w:id="19"/>
      <w:r>
        <w:rPr>
          <w:rFonts w:ascii="Arial" w:hAnsi="Arial" w:cs="Arial"/>
          <w:sz w:val="20"/>
          <w:szCs w:val="20"/>
          <w:u w:val="single"/>
        </w:rPr>
        <w:t xml:space="preserve">2.4.3 </w:t>
      </w:r>
      <w:commentRangeEnd w:id="19"/>
      <w:r w:rsidR="00B94347">
        <w:rPr>
          <w:rStyle w:val="CommentReference"/>
          <w:rFonts w:ascii="Calibri" w:eastAsia="Times New Roman" w:hAnsi="Calibri"/>
          <w:b w:val="0"/>
          <w:iCs w:val="0"/>
        </w:rPr>
        <w:commentReference w:id="19"/>
      </w:r>
      <w:r>
        <w:rPr>
          <w:rFonts w:ascii="Arial" w:hAnsi="Arial" w:cs="Arial"/>
          <w:sz w:val="20"/>
          <w:szCs w:val="20"/>
          <w:u w:val="single"/>
        </w:rPr>
        <w:t>Oil absorption capacity</w:t>
      </w:r>
    </w:p>
    <w:p w14:paraId="5C3FF39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eastAsia="Calibri" w:hAnsi="Times New Roman"/>
          <w:sz w:val="24"/>
          <w:szCs w:val="24"/>
        </w:rPr>
        <w:t xml:space="preserve">The oil absorption capacity (OAC) was determined similar to the water absorption capacity, however, with OAC refined </w:t>
      </w:r>
      <w:r>
        <w:rPr>
          <w:rFonts w:ascii="Times New Roman" w:hAnsi="Times New Roman"/>
          <w:sz w:val="24"/>
          <w:szCs w:val="24"/>
        </w:rPr>
        <w:t>soybean oil</w:t>
      </w:r>
      <w:r>
        <w:rPr>
          <w:rFonts w:ascii="Times New Roman" w:eastAsia="Calibri" w:hAnsi="Times New Roman"/>
          <w:sz w:val="24"/>
          <w:szCs w:val="24"/>
        </w:rPr>
        <w:t xml:space="preserve"> was used instead of water (</w:t>
      </w:r>
      <w:proofErr w:type="spellStart"/>
      <w:r>
        <w:rPr>
          <w:rFonts w:ascii="Times New Roman" w:hAnsi="Times New Roman"/>
          <w:sz w:val="24"/>
          <w:szCs w:val="24"/>
        </w:rPr>
        <w:t>Olawoye</w:t>
      </w:r>
      <w:proofErr w:type="spellEnd"/>
      <w:r>
        <w:rPr>
          <w:rFonts w:ascii="Times New Roman" w:hAnsi="Times New Roman"/>
          <w:sz w:val="24"/>
          <w:szCs w:val="24"/>
        </w:rPr>
        <w:t xml:space="preserve"> and </w:t>
      </w:r>
      <w:proofErr w:type="spellStart"/>
      <w:r>
        <w:rPr>
          <w:rFonts w:ascii="Times New Roman" w:hAnsi="Times New Roman"/>
          <w:sz w:val="24"/>
          <w:szCs w:val="24"/>
        </w:rPr>
        <w:t>Gbadamosi</w:t>
      </w:r>
      <w:proofErr w:type="spellEnd"/>
      <w:r>
        <w:rPr>
          <w:rFonts w:ascii="Times New Roman" w:hAnsi="Times New Roman"/>
          <w:sz w:val="24"/>
          <w:szCs w:val="24"/>
        </w:rPr>
        <w:t xml:space="preserve">, 2020). </w:t>
      </w:r>
    </w:p>
    <w:p w14:paraId="1C721400"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lang w:val="en-US" w:eastAsia="en-US"/>
        </w:rPr>
        <w:drawing>
          <wp:inline distT="0" distB="0" distL="0" distR="0" wp14:anchorId="6579C02C" wp14:editId="0ACE3CD7">
            <wp:extent cx="5657850" cy="371475"/>
            <wp:effectExtent l="0" t="0" r="0" b="9525"/>
            <wp:docPr id="11" name="Picture 11" descr="C:\Users\USER\AppData\Local\Temp\ksohtml83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8316\wps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5F75F36E"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 xml:space="preserve">Where, </w:t>
      </w:r>
      <w:r>
        <w:rPr>
          <w:rFonts w:ascii="Times New Roman" w:eastAsia="Calibri" w:hAnsi="Times New Roman"/>
          <w:i/>
          <w:color w:val="131413"/>
          <w:sz w:val="24"/>
          <w:szCs w:val="24"/>
        </w:rPr>
        <w:t>O</w:t>
      </w:r>
      <w:r>
        <w:rPr>
          <w:rFonts w:ascii="Times New Roman" w:eastAsia="Calibri" w:hAnsi="Times New Roman"/>
          <w:i/>
          <w:color w:val="131413"/>
          <w:sz w:val="24"/>
          <w:szCs w:val="24"/>
          <w:vertAlign w:val="subscript"/>
        </w:rPr>
        <w:t>B</w:t>
      </w:r>
      <w:r>
        <w:rPr>
          <w:rFonts w:ascii="Times New Roman" w:eastAsia="Calibri" w:hAnsi="Times New Roman"/>
          <w:color w:val="131413"/>
          <w:sz w:val="24"/>
          <w:szCs w:val="24"/>
          <w:vertAlign w:val="subscript"/>
        </w:rPr>
        <w:t xml:space="preserve">  </w:t>
      </w:r>
      <w:r>
        <w:rPr>
          <w:rFonts w:ascii="Times New Roman" w:eastAsia="Calibri" w:hAnsi="Times New Roman"/>
          <w:color w:val="131413"/>
          <w:sz w:val="24"/>
          <w:szCs w:val="24"/>
        </w:rPr>
        <w:t xml:space="preserve">is the bound oil and </w:t>
      </w:r>
      <w:proofErr w:type="spellStart"/>
      <w:r>
        <w:rPr>
          <w:rFonts w:ascii="Times New Roman" w:eastAsia="Calibri" w:hAnsi="Times New Roman"/>
          <w:i/>
          <w:color w:val="131413"/>
          <w:sz w:val="24"/>
          <w:szCs w:val="24"/>
        </w:rPr>
        <w:t>S</w:t>
      </w:r>
      <w:r>
        <w:rPr>
          <w:rFonts w:ascii="Times New Roman" w:eastAsia="Calibri" w:hAnsi="Times New Roman"/>
          <w:i/>
          <w:color w:val="131413"/>
          <w:sz w:val="24"/>
          <w:szCs w:val="24"/>
          <w:vertAlign w:val="subscript"/>
        </w:rPr>
        <w:t>w</w:t>
      </w:r>
      <w:proofErr w:type="spellEnd"/>
      <w:r>
        <w:rPr>
          <w:rFonts w:ascii="Times New Roman" w:eastAsia="Calibri" w:hAnsi="Times New Roman"/>
          <w:color w:val="131413"/>
          <w:sz w:val="24"/>
          <w:szCs w:val="24"/>
        </w:rPr>
        <w:t xml:space="preserve"> is the weight of sample.</w:t>
      </w:r>
    </w:p>
    <w:p w14:paraId="4B089BFA"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b/>
          <w:sz w:val="24"/>
          <w:szCs w:val="24"/>
        </w:rPr>
      </w:pPr>
      <w:r>
        <w:rPr>
          <w:rFonts w:ascii="Times New Roman" w:eastAsia="Calibri" w:hAnsi="Times New Roman"/>
          <w:b/>
          <w:sz w:val="24"/>
          <w:szCs w:val="24"/>
        </w:rPr>
        <w:t xml:space="preserve"> </w:t>
      </w:r>
    </w:p>
    <w:p w14:paraId="24549792" w14:textId="77777777" w:rsidR="00281F27" w:rsidRDefault="00281F27" w:rsidP="00281F27">
      <w:pPr>
        <w:pStyle w:val="Heading4"/>
        <w:spacing w:before="0" w:after="0" w:line="360" w:lineRule="auto"/>
        <w:rPr>
          <w:rFonts w:ascii="Arial" w:hAnsi="Arial" w:cs="Arial"/>
          <w:sz w:val="20"/>
          <w:szCs w:val="20"/>
          <w:u w:val="single"/>
        </w:rPr>
      </w:pPr>
      <w:commentRangeStart w:id="20"/>
      <w:r>
        <w:rPr>
          <w:rFonts w:ascii="Arial" w:hAnsi="Arial" w:cs="Arial"/>
          <w:sz w:val="20"/>
          <w:szCs w:val="20"/>
          <w:u w:val="single"/>
        </w:rPr>
        <w:lastRenderedPageBreak/>
        <w:t xml:space="preserve">2.4.4 </w:t>
      </w:r>
      <w:commentRangeEnd w:id="20"/>
      <w:r w:rsidR="00B94347">
        <w:rPr>
          <w:rStyle w:val="CommentReference"/>
          <w:rFonts w:ascii="Calibri" w:eastAsia="Times New Roman" w:hAnsi="Calibri"/>
          <w:b w:val="0"/>
          <w:iCs w:val="0"/>
        </w:rPr>
        <w:commentReference w:id="20"/>
      </w:r>
      <w:r>
        <w:rPr>
          <w:rFonts w:ascii="Arial" w:hAnsi="Arial" w:cs="Arial"/>
          <w:sz w:val="20"/>
          <w:szCs w:val="20"/>
          <w:u w:val="single"/>
        </w:rPr>
        <w:t>Bulk density</w:t>
      </w:r>
    </w:p>
    <w:p w14:paraId="5C477608"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A similar method describe by (</w:t>
      </w:r>
      <w:r>
        <w:rPr>
          <w:rFonts w:ascii="Times New Roman" w:hAnsi="Times New Roman"/>
          <w:sz w:val="24"/>
          <w:szCs w:val="24"/>
        </w:rPr>
        <w:t xml:space="preserve">Ratnawati </w:t>
      </w:r>
      <w:r>
        <w:rPr>
          <w:rFonts w:ascii="Times New Roman" w:hAnsi="Times New Roman"/>
          <w:i/>
          <w:sz w:val="24"/>
          <w:szCs w:val="24"/>
        </w:rPr>
        <w:t>et al.,</w:t>
      </w:r>
      <w:r>
        <w:rPr>
          <w:rFonts w:ascii="Times New Roman" w:hAnsi="Times New Roman"/>
          <w:sz w:val="24"/>
          <w:szCs w:val="24"/>
        </w:rPr>
        <w:t xml:space="preserve"> 2019)</w:t>
      </w:r>
      <w:r>
        <w:rPr>
          <w:rFonts w:ascii="Times New Roman" w:eastAsia="Calibri" w:hAnsi="Times New Roman"/>
          <w:color w:val="131413"/>
          <w:sz w:val="24"/>
          <w:szCs w:val="24"/>
        </w:rPr>
        <w:t xml:space="preserve"> was adapted for the bulk density of the baobab pulp. Ten grams of sample was put into a 100 mL graduated cylinder and tapped to a constant volume. Bulk density was determine as a mass per unit volume of the flour (equation 3).</w:t>
      </w:r>
    </w:p>
    <w:p w14:paraId="3C880160"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 xml:space="preserve"> </w:t>
      </w:r>
    </w:p>
    <w:p w14:paraId="48A98C00"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lang w:val="en-US" w:eastAsia="en-US"/>
        </w:rPr>
        <w:drawing>
          <wp:inline distT="0" distB="0" distL="0" distR="0" wp14:anchorId="2500CA51" wp14:editId="2A5E4079">
            <wp:extent cx="5562600" cy="381000"/>
            <wp:effectExtent l="0" t="0" r="0" b="0"/>
            <wp:docPr id="10" name="Picture 10" descr="C:\Users\USER\AppData\Local\Temp\ksohtml83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8316\wps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381000"/>
                    </a:xfrm>
                    <a:prstGeom prst="rect">
                      <a:avLst/>
                    </a:prstGeom>
                    <a:noFill/>
                    <a:ln>
                      <a:noFill/>
                    </a:ln>
                  </pic:spPr>
                </pic:pic>
              </a:graphicData>
            </a:graphic>
          </wp:inline>
        </w:drawing>
      </w:r>
      <w:r>
        <w:rPr>
          <w:rFonts w:ascii="Times New Roman" w:eastAsia="SimSun" w:hAnsi="Times New Roman"/>
          <w:i/>
          <w:sz w:val="24"/>
          <w:szCs w:val="24"/>
        </w:rPr>
        <w:t xml:space="preserve"> </w:t>
      </w:r>
    </w:p>
    <w:p w14:paraId="2B6CCAD2" w14:textId="77777777" w:rsidR="00281F27" w:rsidRDefault="00281F27" w:rsidP="00281F27">
      <w:pPr>
        <w:pStyle w:val="Heading3"/>
        <w:spacing w:before="0" w:after="0" w:line="360" w:lineRule="auto"/>
        <w:rPr>
          <w:i/>
        </w:rPr>
      </w:pPr>
      <w:r>
        <w:t xml:space="preserve">                                                                                                    </w:t>
      </w:r>
      <w:r>
        <w:rPr>
          <w:color w:val="131413"/>
        </w:rPr>
        <w:t xml:space="preserve">                                                                                           </w:t>
      </w:r>
    </w:p>
    <w:p w14:paraId="07ADA692" w14:textId="77777777" w:rsidR="00281F27" w:rsidRDefault="00281F27" w:rsidP="00281F27">
      <w:pPr>
        <w:pStyle w:val="Heading3"/>
        <w:spacing w:before="0" w:after="0" w:line="360" w:lineRule="auto"/>
        <w:rPr>
          <w:sz w:val="22"/>
          <w:szCs w:val="22"/>
        </w:rPr>
      </w:pPr>
      <w:bookmarkStart w:id="21" w:name="_Toc143117664"/>
      <w:bookmarkStart w:id="22" w:name="_Toc144979556"/>
      <w:bookmarkEnd w:id="21"/>
      <w:r>
        <w:rPr>
          <w:sz w:val="22"/>
          <w:szCs w:val="22"/>
        </w:rPr>
        <w:t xml:space="preserve">2.5 Determination of </w:t>
      </w:r>
      <w:bookmarkEnd w:id="22"/>
      <w:r>
        <w:rPr>
          <w:sz w:val="22"/>
          <w:szCs w:val="22"/>
        </w:rPr>
        <w:t>Elemental Mineral Properties</w:t>
      </w:r>
    </w:p>
    <w:p w14:paraId="2BDBDF12"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2.5.1 Manganese, copper, zinc, and iron</w:t>
      </w:r>
    </w:p>
    <w:p w14:paraId="2D09799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The mineral elements were determined using a method similar to </w:t>
      </w:r>
      <w:proofErr w:type="spellStart"/>
      <w:r>
        <w:rPr>
          <w:rFonts w:ascii="Times New Roman" w:eastAsia="Calibri" w:hAnsi="Times New Roman"/>
          <w:sz w:val="24"/>
          <w:szCs w:val="24"/>
        </w:rPr>
        <w:t>Motsara</w:t>
      </w:r>
      <w:proofErr w:type="spellEnd"/>
      <w:r>
        <w:rPr>
          <w:rFonts w:ascii="Times New Roman" w:eastAsia="Calibri" w:hAnsi="Times New Roman"/>
          <w:sz w:val="24"/>
          <w:szCs w:val="24"/>
        </w:rPr>
        <w:t xml:space="preserve"> and Roy (2008). A total of 2.0 g of samples were placed in crucibles and </w:t>
      </w:r>
      <w:proofErr w:type="spellStart"/>
      <w:r>
        <w:rPr>
          <w:rFonts w:ascii="Times New Roman" w:eastAsia="Calibri" w:hAnsi="Times New Roman"/>
          <w:sz w:val="24"/>
          <w:szCs w:val="24"/>
        </w:rPr>
        <w:t>ashed</w:t>
      </w:r>
      <w:proofErr w:type="spellEnd"/>
      <w:r>
        <w:rPr>
          <w:rFonts w:ascii="Times New Roman" w:eastAsia="Calibri" w:hAnsi="Times New Roman"/>
          <w:sz w:val="24"/>
          <w:szCs w:val="24"/>
        </w:rPr>
        <w:t xml:space="preserve"> for 2 hours in a cool muffle furnace at 500 °C. The samples were allowed to cool in the furnace. The ash samples were placed in 50 mL centrifuge tubes. 10 mL distilled water and aqua regia were used to rinse the crucibles. The samples were vortexed for 5 minutes before being centrifuged at 3000 rpm for 10 minutes and transferred to a 100 mL volumetric flask and made up to the mark. A clear supernatant digest was decanted into clean dried reagent bottles for manganese, copper, zinc, and iron estimation. Using the Buck Scientific 230 Automated Touch Screen (ATS) Atomic Absorption Spectrometry (AAS) model, a calibration curve was created for each of the elements to be examined using the stock standard. Each element's absorbance was calculated by comparing it to a standard linear regression curve produced from normal solutions.</w:t>
      </w:r>
    </w:p>
    <w:p w14:paraId="5F89D38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The percentage (%) copper, zinc, iron and manganese were determined using equation 4.</w:t>
      </w:r>
    </w:p>
    <w:p w14:paraId="45855EDA"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lang w:val="en-US" w:eastAsia="en-US"/>
        </w:rPr>
        <w:drawing>
          <wp:inline distT="0" distB="0" distL="0" distR="0" wp14:anchorId="7CDC1A86" wp14:editId="22F28C34">
            <wp:extent cx="5819775" cy="371475"/>
            <wp:effectExtent l="0" t="0" r="9525" b="9525"/>
            <wp:docPr id="9" name="Picture 9" descr="C:\Users\USER\AppData\Local\Temp\ksohtml83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8316\wps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2894A57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699D9382"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Where, </w:t>
      </w:r>
      <w:proofErr w:type="spellStart"/>
      <w:r>
        <w:rPr>
          <w:rFonts w:ascii="Times New Roman" w:eastAsia="Calibri" w:hAnsi="Times New Roman"/>
          <w:i/>
          <w:sz w:val="24"/>
          <w:szCs w:val="24"/>
        </w:rPr>
        <w:t>C</w:t>
      </w:r>
      <w:r>
        <w:rPr>
          <w:rFonts w:ascii="Times New Roman" w:eastAsia="Calibri" w:hAnsi="Times New Roman"/>
          <w:i/>
          <w:sz w:val="24"/>
          <w:szCs w:val="24"/>
          <w:vertAlign w:val="subscript"/>
        </w:rPr>
        <w:t>v</w:t>
      </w:r>
      <w:proofErr w:type="spellEnd"/>
      <w:r>
        <w:rPr>
          <w:rFonts w:ascii="Times New Roman" w:eastAsia="Calibri" w:hAnsi="Times New Roman"/>
          <w:sz w:val="24"/>
          <w:szCs w:val="24"/>
        </w:rPr>
        <w:t xml:space="preserve"> is the concentration recorded from the AAS (</w:t>
      </w:r>
      <w:r>
        <w:rPr>
          <w:rStyle w:val="15"/>
          <w:rFonts w:eastAsia="Calibri"/>
          <w:bCs/>
          <w:sz w:val="24"/>
          <w:szCs w:val="24"/>
        </w:rPr>
        <w:t>ppm or mg/L)</w:t>
      </w:r>
      <w:r>
        <w:rPr>
          <w:rFonts w:ascii="Times New Roman" w:eastAsia="Calibri" w:hAnsi="Times New Roman"/>
          <w:sz w:val="24"/>
          <w:szCs w:val="24"/>
        </w:rPr>
        <w:t xml:space="preserve">, </w:t>
      </w:r>
      <w:proofErr w:type="spellStart"/>
      <w:r>
        <w:rPr>
          <w:rFonts w:ascii="Times New Roman" w:eastAsia="Calibri" w:hAnsi="Times New Roman"/>
          <w:i/>
          <w:sz w:val="24"/>
          <w:szCs w:val="24"/>
        </w:rPr>
        <w:t>N</w:t>
      </w:r>
      <w:r>
        <w:rPr>
          <w:rFonts w:ascii="Times New Roman" w:eastAsia="Calibri" w:hAnsi="Times New Roman"/>
          <w:i/>
          <w:sz w:val="24"/>
          <w:szCs w:val="24"/>
          <w:vertAlign w:val="subscript"/>
        </w:rPr>
        <w:t>v</w:t>
      </w:r>
      <w:proofErr w:type="spellEnd"/>
      <w:r>
        <w:rPr>
          <w:rFonts w:ascii="Times New Roman" w:eastAsia="Calibri" w:hAnsi="Times New Roman"/>
          <w:sz w:val="24"/>
          <w:szCs w:val="24"/>
        </w:rPr>
        <w:t xml:space="preserve"> is the </w:t>
      </w:r>
      <w:proofErr w:type="spellStart"/>
      <w:r>
        <w:rPr>
          <w:rFonts w:ascii="Times New Roman" w:eastAsia="Calibri" w:hAnsi="Times New Roman"/>
          <w:sz w:val="24"/>
          <w:szCs w:val="24"/>
        </w:rPr>
        <w:t>norminal</w:t>
      </w:r>
      <w:proofErr w:type="spellEnd"/>
      <w:r>
        <w:rPr>
          <w:rFonts w:ascii="Times New Roman" w:eastAsia="Calibri" w:hAnsi="Times New Roman"/>
          <w:sz w:val="24"/>
          <w:szCs w:val="24"/>
        </w:rPr>
        <w:t xml:space="preserve"> value, </w:t>
      </w:r>
      <w:proofErr w:type="spellStart"/>
      <w:r>
        <w:rPr>
          <w:rFonts w:ascii="Times New Roman" w:eastAsia="Calibri" w:hAnsi="Times New Roman"/>
          <w:i/>
          <w:sz w:val="24"/>
          <w:szCs w:val="24"/>
        </w:rPr>
        <w:t>S</w:t>
      </w:r>
      <w:r>
        <w:rPr>
          <w:rFonts w:ascii="Times New Roman" w:eastAsia="Calibri" w:hAnsi="Times New Roman"/>
          <w:i/>
          <w:sz w:val="24"/>
          <w:szCs w:val="24"/>
          <w:vertAlign w:val="subscript"/>
        </w:rPr>
        <w:t>w</w:t>
      </w:r>
      <w:proofErr w:type="spellEnd"/>
      <w:r>
        <w:rPr>
          <w:rFonts w:ascii="Times New Roman" w:eastAsia="Calibri" w:hAnsi="Times New Roman"/>
          <w:sz w:val="24"/>
          <w:szCs w:val="24"/>
        </w:rPr>
        <w:t xml:space="preserve"> is the sample weight (g)</w:t>
      </w:r>
    </w:p>
    <w:p w14:paraId="5D30E008" w14:textId="77777777" w:rsidR="00281F27" w:rsidRDefault="00281F27" w:rsidP="00281F27">
      <w:pPr>
        <w:pStyle w:val="Heading4"/>
        <w:spacing w:before="0" w:after="0" w:line="360" w:lineRule="auto"/>
      </w:pPr>
      <w:r>
        <w:t xml:space="preserve"> </w:t>
      </w:r>
    </w:p>
    <w:p w14:paraId="370F6BC6"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 xml:space="preserve">2.5.2 Determination of phosphorus </w:t>
      </w:r>
    </w:p>
    <w:p w14:paraId="65A64EB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Reagents: A standard solutions were prepared for </w:t>
      </w:r>
      <w:proofErr w:type="spellStart"/>
      <w:r>
        <w:rPr>
          <w:rFonts w:ascii="Times New Roman" w:eastAsia="Calibri" w:hAnsi="Times New Roman"/>
          <w:sz w:val="24"/>
          <w:szCs w:val="24"/>
        </w:rPr>
        <w:t>vanadomolybdate</w:t>
      </w:r>
      <w:proofErr w:type="spellEnd"/>
      <w:r>
        <w:rPr>
          <w:rFonts w:ascii="Times New Roman" w:eastAsia="Calibri" w:hAnsi="Times New Roman"/>
          <w:sz w:val="24"/>
          <w:szCs w:val="24"/>
        </w:rPr>
        <w:t xml:space="preserve"> and phosphate. Standard curve was prepared from the standard solution. The absorbance concentrations were measured on </w:t>
      </w:r>
      <w:r>
        <w:rPr>
          <w:rFonts w:ascii="Times New Roman" w:eastAsia="Calibri" w:hAnsi="Times New Roman"/>
          <w:sz w:val="24"/>
          <w:szCs w:val="24"/>
        </w:rPr>
        <w:lastRenderedPageBreak/>
        <w:t xml:space="preserve">a </w:t>
      </w:r>
      <w:proofErr w:type="spellStart"/>
      <w:r>
        <w:rPr>
          <w:rFonts w:ascii="Times New Roman" w:eastAsia="Calibri" w:hAnsi="Times New Roman"/>
          <w:sz w:val="24"/>
          <w:szCs w:val="24"/>
        </w:rPr>
        <w:t>Spectonic</w:t>
      </w:r>
      <w:proofErr w:type="spellEnd"/>
      <w:r>
        <w:rPr>
          <w:rFonts w:ascii="Times New Roman" w:eastAsia="Calibri" w:hAnsi="Times New Roman"/>
          <w:sz w:val="24"/>
          <w:szCs w:val="24"/>
        </w:rPr>
        <w:t xml:space="preserve"> 20 Spectrophotometer at wavelength 420 nm. Equation 5 was used to compute for the phosphorus content. </w:t>
      </w:r>
    </w:p>
    <w:p w14:paraId="38279143"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lang w:val="en-US" w:eastAsia="en-US"/>
        </w:rPr>
        <w:drawing>
          <wp:inline distT="0" distB="0" distL="0" distR="0" wp14:anchorId="4DF974BE" wp14:editId="76006C4B">
            <wp:extent cx="5857875" cy="342900"/>
            <wp:effectExtent l="0" t="0" r="9525" b="0"/>
            <wp:docPr id="8" name="Picture 8" descr="C:\Users\USER\AppData\Local\Temp\ksohtml831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ksohtml8316\wps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342900"/>
                    </a:xfrm>
                    <a:prstGeom prst="rect">
                      <a:avLst/>
                    </a:prstGeom>
                    <a:noFill/>
                    <a:ln>
                      <a:noFill/>
                    </a:ln>
                  </pic:spPr>
                </pic:pic>
              </a:graphicData>
            </a:graphic>
          </wp:inline>
        </w:drawing>
      </w:r>
      <w:r>
        <w:rPr>
          <w:rFonts w:ascii="Times New Roman" w:eastAsia="SimSun" w:hAnsi="Times New Roman"/>
          <w:i/>
          <w:sz w:val="24"/>
          <w:szCs w:val="24"/>
        </w:rPr>
        <w:t xml:space="preserve"> </w:t>
      </w:r>
    </w:p>
    <w:p w14:paraId="60FC80B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SimSun" w:hAnsi="Times New Roman"/>
          <w:sz w:val="24"/>
          <w:szCs w:val="24"/>
        </w:rPr>
        <w:t xml:space="preserve">                         </w:t>
      </w:r>
    </w:p>
    <w:p w14:paraId="51E1FFD5"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Where, </w:t>
      </w:r>
      <w:r>
        <w:rPr>
          <w:rFonts w:ascii="Times New Roman" w:eastAsia="Calibri" w:hAnsi="Times New Roman"/>
          <w:i/>
          <w:sz w:val="24"/>
          <w:szCs w:val="24"/>
        </w:rPr>
        <w:t>C</w:t>
      </w:r>
      <w:r>
        <w:rPr>
          <w:rFonts w:ascii="Times New Roman" w:eastAsia="Calibri" w:hAnsi="Times New Roman"/>
          <w:sz w:val="24"/>
          <w:szCs w:val="24"/>
        </w:rPr>
        <w:t xml:space="preserve"> is the concentration of P (µg/mL) read from the standard curve, and </w:t>
      </w:r>
      <w:r>
        <w:rPr>
          <w:rFonts w:ascii="Times New Roman" w:eastAsia="Calibri" w:hAnsi="Times New Roman"/>
          <w:i/>
          <w:sz w:val="24"/>
          <w:szCs w:val="24"/>
        </w:rPr>
        <w:t>d</w:t>
      </w:r>
      <w:r>
        <w:rPr>
          <w:rFonts w:ascii="Times New Roman" w:eastAsia="Calibri" w:hAnsi="Times New Roman"/>
          <w:i/>
          <w:sz w:val="24"/>
          <w:szCs w:val="24"/>
          <w:vertAlign w:val="subscript"/>
        </w:rPr>
        <w:t>f</w:t>
      </w:r>
      <w:r>
        <w:rPr>
          <w:rFonts w:ascii="Times New Roman" w:eastAsia="Calibri" w:hAnsi="Times New Roman"/>
          <w:i/>
          <w:sz w:val="24"/>
          <w:szCs w:val="24"/>
        </w:rPr>
        <w:t xml:space="preserve"> </w:t>
      </w:r>
      <w:r>
        <w:rPr>
          <w:rFonts w:ascii="Times New Roman" w:eastAsia="Calibri" w:hAnsi="Times New Roman"/>
          <w:sz w:val="24"/>
          <w:szCs w:val="24"/>
        </w:rPr>
        <w:t>is the dilution factor (100 x 10).</w:t>
      </w:r>
    </w:p>
    <w:p w14:paraId="6620800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7DD14E5"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2.5.3 Determination of potassium (K)</w:t>
      </w:r>
    </w:p>
    <w:p w14:paraId="4777421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Reagents: Potassium chloride (</w:t>
      </w:r>
      <w:proofErr w:type="spellStart"/>
      <w:r>
        <w:rPr>
          <w:rFonts w:ascii="Times New Roman" w:eastAsia="Calibri" w:hAnsi="Times New Roman"/>
          <w:sz w:val="24"/>
          <w:szCs w:val="24"/>
        </w:rPr>
        <w:t>KCl</w:t>
      </w:r>
      <w:proofErr w:type="spellEnd"/>
      <w:r>
        <w:rPr>
          <w:rFonts w:ascii="Times New Roman" w:eastAsia="Calibri" w:hAnsi="Times New Roman"/>
          <w:sz w:val="24"/>
          <w:szCs w:val="24"/>
        </w:rPr>
        <w:t xml:space="preserve">) </w:t>
      </w:r>
    </w:p>
    <w:p w14:paraId="452EA52C"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In a 200 mL of deionized water, 1.908 of </w:t>
      </w:r>
      <w:proofErr w:type="spellStart"/>
      <w:r>
        <w:rPr>
          <w:rFonts w:ascii="Times New Roman" w:eastAsia="Calibri" w:hAnsi="Times New Roman"/>
          <w:sz w:val="24"/>
          <w:szCs w:val="24"/>
        </w:rPr>
        <w:t>KCl</w:t>
      </w:r>
      <w:proofErr w:type="spellEnd"/>
      <w:r>
        <w:rPr>
          <w:rFonts w:ascii="Times New Roman" w:eastAsia="Calibri" w:hAnsi="Times New Roman"/>
          <w:sz w:val="24"/>
          <w:szCs w:val="24"/>
        </w:rPr>
        <w:t xml:space="preserve"> that had previously been dried for 4 hours at 105 °C was dissolved. The two solutions were combined, and made up to 1000 </w:t>
      </w:r>
      <w:proofErr w:type="spellStart"/>
      <w:r>
        <w:rPr>
          <w:rFonts w:ascii="Times New Roman" w:eastAsia="Calibri" w:hAnsi="Times New Roman"/>
          <w:sz w:val="24"/>
          <w:szCs w:val="24"/>
        </w:rPr>
        <w:t>mL.</w:t>
      </w:r>
      <w:proofErr w:type="spellEnd"/>
      <w:r>
        <w:rPr>
          <w:rFonts w:ascii="Times New Roman" w:eastAsia="Calibri" w:hAnsi="Times New Roman"/>
          <w:sz w:val="24"/>
          <w:szCs w:val="24"/>
        </w:rPr>
        <w:t xml:space="preserve"> For potassium (K), a standard curve was prepared. Using the flame photometer, absorbance readings were taken. The flame photometer was used to measure the perchloric acid (HClO</w:t>
      </w:r>
      <w:r>
        <w:rPr>
          <w:rFonts w:ascii="Times New Roman" w:eastAsia="Calibri" w:hAnsi="Times New Roman"/>
          <w:sz w:val="24"/>
          <w:szCs w:val="24"/>
          <w:vertAlign w:val="subscript"/>
        </w:rPr>
        <w:t>4</w:t>
      </w:r>
      <w:r>
        <w:rPr>
          <w:rFonts w:ascii="Times New Roman" w:eastAsia="Calibri" w:hAnsi="Times New Roman"/>
          <w:sz w:val="24"/>
          <w:szCs w:val="24"/>
        </w:rPr>
        <w:t>) and nitric acid (HNO</w:t>
      </w:r>
      <w:r>
        <w:rPr>
          <w:rFonts w:ascii="Times New Roman" w:eastAsia="Calibri" w:hAnsi="Times New Roman"/>
          <w:sz w:val="24"/>
          <w:szCs w:val="24"/>
          <w:vertAlign w:val="subscript"/>
        </w:rPr>
        <w:t>3</w:t>
      </w:r>
      <w:r>
        <w:rPr>
          <w:rFonts w:ascii="Times New Roman" w:eastAsia="Calibri" w:hAnsi="Times New Roman"/>
          <w:sz w:val="24"/>
          <w:szCs w:val="24"/>
        </w:rPr>
        <w:t>) sample solutions. From the absorbance reading of the sample and the standard curve, the concentration of K was determined (equation 6).</w:t>
      </w:r>
    </w:p>
    <w:p w14:paraId="298373C2"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32FCAD19"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lang w:val="en-US" w:eastAsia="en-US"/>
        </w:rPr>
        <w:drawing>
          <wp:inline distT="0" distB="0" distL="0" distR="0" wp14:anchorId="09478032" wp14:editId="170DB6E3">
            <wp:extent cx="5686425" cy="342900"/>
            <wp:effectExtent l="0" t="0" r="9525" b="0"/>
            <wp:docPr id="7" name="Picture 7" descr="C:\Users\USER\AppData\Local\Temp\ksohtml83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8316\wps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342900"/>
                    </a:xfrm>
                    <a:prstGeom prst="rect">
                      <a:avLst/>
                    </a:prstGeom>
                    <a:noFill/>
                    <a:ln>
                      <a:noFill/>
                    </a:ln>
                  </pic:spPr>
                </pic:pic>
              </a:graphicData>
            </a:graphic>
          </wp:inline>
        </w:drawing>
      </w:r>
      <w:r>
        <w:rPr>
          <w:rFonts w:ascii="Times New Roman" w:eastAsia="SimSun" w:hAnsi="Times New Roman"/>
          <w:i/>
          <w:sz w:val="24"/>
          <w:szCs w:val="24"/>
        </w:rPr>
        <w:t xml:space="preserve"> </w:t>
      </w:r>
    </w:p>
    <w:p w14:paraId="228966D5"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C3ACF8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Where, </w:t>
      </w:r>
      <w:r>
        <w:rPr>
          <w:rFonts w:ascii="Times New Roman" w:eastAsia="Calibri" w:hAnsi="Times New Roman"/>
          <w:i/>
          <w:sz w:val="24"/>
          <w:szCs w:val="24"/>
        </w:rPr>
        <w:t>c</w:t>
      </w:r>
      <w:r>
        <w:rPr>
          <w:rFonts w:ascii="Times New Roman" w:eastAsia="Calibri" w:hAnsi="Times New Roman"/>
          <w:sz w:val="24"/>
          <w:szCs w:val="24"/>
        </w:rPr>
        <w:t xml:space="preserve"> is the concentration of K (µg/mL) read from the standard curve, and </w:t>
      </w:r>
      <w:r>
        <w:rPr>
          <w:rFonts w:ascii="Times New Roman" w:eastAsia="Calibri" w:hAnsi="Times New Roman"/>
          <w:i/>
          <w:sz w:val="24"/>
          <w:szCs w:val="24"/>
        </w:rPr>
        <w:t>d</w:t>
      </w:r>
      <w:r>
        <w:rPr>
          <w:rFonts w:ascii="Times New Roman" w:eastAsia="Calibri" w:hAnsi="Times New Roman"/>
          <w:i/>
          <w:sz w:val="24"/>
          <w:szCs w:val="24"/>
          <w:vertAlign w:val="subscript"/>
        </w:rPr>
        <w:t>f</w:t>
      </w:r>
      <w:r>
        <w:rPr>
          <w:rFonts w:ascii="Times New Roman" w:eastAsia="Calibri" w:hAnsi="Times New Roman"/>
          <w:sz w:val="24"/>
          <w:szCs w:val="24"/>
        </w:rPr>
        <w:t xml:space="preserve"> is the dilution factor (100 x 10).</w:t>
      </w:r>
    </w:p>
    <w:p w14:paraId="4739035A" w14:textId="77777777" w:rsidR="00281F27" w:rsidRDefault="00281F27" w:rsidP="00281F27">
      <w:pPr>
        <w:pStyle w:val="Heading4"/>
        <w:spacing w:before="0" w:after="0" w:line="360" w:lineRule="auto"/>
      </w:pPr>
      <w:r>
        <w:t xml:space="preserve"> </w:t>
      </w:r>
    </w:p>
    <w:p w14:paraId="71427733"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2.5.4 Determination of calcium and magnesium</w:t>
      </w:r>
    </w:p>
    <w:p w14:paraId="1DE3C1C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Preparation of reagents: </w:t>
      </w:r>
    </w:p>
    <w:p w14:paraId="458D0E69" w14:textId="77777777" w:rsidR="00281F27" w:rsidRDefault="00281F27" w:rsidP="00281F27">
      <w:pPr>
        <w:spacing w:before="0" w:beforeAutospacing="0" w:after="0" w:line="360" w:lineRule="auto"/>
        <w:jc w:val="both"/>
        <w:rPr>
          <w:rFonts w:ascii="Times New Roman" w:eastAsia="Calibri" w:hAnsi="Times New Roman"/>
          <w:sz w:val="24"/>
          <w:szCs w:val="24"/>
        </w:rPr>
      </w:pPr>
      <w:r>
        <w:rPr>
          <w:rStyle w:val="15"/>
          <w:rFonts w:eastAsia="Calibri"/>
          <w:sz w:val="24"/>
          <w:szCs w:val="24"/>
        </w:rPr>
        <w:t>E</w:t>
      </w:r>
      <w:r>
        <w:rPr>
          <w:rFonts w:ascii="Times New Roman" w:eastAsia="Calibri" w:hAnsi="Times New Roman"/>
          <w:sz w:val="24"/>
          <w:szCs w:val="24"/>
        </w:rPr>
        <w:t xml:space="preserve">thylene diamine tetra acetic acid (EDTA) solution preparation. Buffer solution was prepared from ammonium chloride and ammonium hydroxide. Potassium cyanide and potassium hydroxide were prepared for the determination of calcium ion. </w:t>
      </w:r>
      <w:proofErr w:type="spellStart"/>
      <w:r>
        <w:rPr>
          <w:rFonts w:ascii="Times New Roman" w:eastAsia="Calibri" w:hAnsi="Times New Roman"/>
          <w:sz w:val="24"/>
          <w:szCs w:val="24"/>
        </w:rPr>
        <w:t>Calcon</w:t>
      </w:r>
      <w:proofErr w:type="spellEnd"/>
      <w:r>
        <w:rPr>
          <w:rFonts w:ascii="Times New Roman" w:eastAsia="Calibri" w:hAnsi="Times New Roman"/>
          <w:sz w:val="24"/>
          <w:szCs w:val="24"/>
        </w:rPr>
        <w:t>-red was used as indicator for the present or absent of calcium ion. Triethanolamine (TEA), this was used to maintain the pH, and Eriochrome black T (EBT)as an indicator for determination of calcium ion and magnesium ion.</w:t>
      </w:r>
    </w:p>
    <w:p w14:paraId="4F6EB14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Calcium and magnesium standards were prepared from reagent grade.</w:t>
      </w:r>
    </w:p>
    <w:p w14:paraId="6494CB09"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lastRenderedPageBreak/>
        <w:t>A 5.0 mL each of sample solutions were put into 100 mL Erlenmeyer flasks. Then, 1 mL of 30% TEA was added after adding 10 mL of 10% KOH solution. Three drops of 10% potassium cyanide (KCN) and few drops of EBT indicator solution. The mixture was shaking to ensure homogeneity. A 0.02 N EDTA solutions was added to the mixture to titrate it from a red to blue end point. The percentage calcium and magnesium in milligram were determined using equations 7 and 8, respectively (</w:t>
      </w:r>
      <w:proofErr w:type="spellStart"/>
      <w:r>
        <w:rPr>
          <w:rFonts w:ascii="Times New Roman" w:eastAsia="Calibri" w:hAnsi="Times New Roman"/>
          <w:sz w:val="24"/>
          <w:szCs w:val="24"/>
        </w:rPr>
        <w:t>Motsara</w:t>
      </w:r>
      <w:proofErr w:type="spellEnd"/>
      <w:r>
        <w:rPr>
          <w:rFonts w:ascii="Times New Roman" w:eastAsia="Calibri" w:hAnsi="Times New Roman"/>
          <w:sz w:val="24"/>
          <w:szCs w:val="24"/>
        </w:rPr>
        <w:t xml:space="preserve"> and Roy, 2008).</w:t>
      </w:r>
    </w:p>
    <w:p w14:paraId="3B3DFFF9"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Calcium in mg = Titre value of EDTA x 0.4008</w:t>
      </w:r>
    </w:p>
    <w:p w14:paraId="5491B5E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74FCD6A1"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lang w:val="en-US" w:eastAsia="en-US"/>
        </w:rPr>
        <w:drawing>
          <wp:inline distT="0" distB="0" distL="0" distR="0" wp14:anchorId="042DE933" wp14:editId="70580EFC">
            <wp:extent cx="5553075" cy="371475"/>
            <wp:effectExtent l="0" t="0" r="9525" b="9525"/>
            <wp:docPr id="6" name="Picture 6" descr="C:\Users\USER\AppData\Local\Temp\ksohtml831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ksohtml8316\wps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22C2CBA9"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260BDEE6"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Magnesium in mg = Titre value of EDTA x 0.243</w:t>
      </w:r>
    </w:p>
    <w:p w14:paraId="3072E27D"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 xml:space="preserve"> </w:t>
      </w:r>
    </w:p>
    <w:p w14:paraId="4267B372"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lang w:val="en-US" w:eastAsia="en-US"/>
        </w:rPr>
        <w:drawing>
          <wp:inline distT="0" distB="0" distL="0" distR="0" wp14:anchorId="7D43C1FE" wp14:editId="2B763592">
            <wp:extent cx="5495925" cy="371475"/>
            <wp:effectExtent l="0" t="0" r="9525" b="9525"/>
            <wp:docPr id="5" name="Picture 5" descr="C:\Users\USER\AppData\Local\Temp\ksohtml831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ksohtml8316\wps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1F5BF4AF"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 xml:space="preserve"> </w:t>
      </w:r>
    </w:p>
    <w:p w14:paraId="25C6900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b/>
          <w:sz w:val="24"/>
          <w:szCs w:val="24"/>
        </w:rPr>
        <w:t xml:space="preserve">Where, </w:t>
      </w:r>
      <w:r>
        <w:rPr>
          <w:rFonts w:ascii="Times New Roman" w:eastAsia="Calibri" w:hAnsi="Times New Roman"/>
          <w:i/>
          <w:sz w:val="24"/>
          <w:szCs w:val="24"/>
        </w:rPr>
        <w:t xml:space="preserve">mg C and mg </w:t>
      </w:r>
      <w:proofErr w:type="spellStart"/>
      <w:r>
        <w:rPr>
          <w:rFonts w:ascii="Times New Roman" w:eastAsia="Calibri" w:hAnsi="Times New Roman"/>
          <w:i/>
          <w:sz w:val="24"/>
          <w:szCs w:val="24"/>
        </w:rPr>
        <w:t>Mg</w:t>
      </w:r>
      <w:proofErr w:type="spellEnd"/>
      <w:r>
        <w:rPr>
          <w:rFonts w:ascii="Times New Roman" w:eastAsia="Calibri" w:hAnsi="Times New Roman"/>
          <w:sz w:val="24"/>
          <w:szCs w:val="24"/>
        </w:rPr>
        <w:t xml:space="preserve"> are concentrations of milligram of calcium and magnesium, respectively; </w:t>
      </w:r>
      <w:proofErr w:type="spellStart"/>
      <w:r>
        <w:rPr>
          <w:rFonts w:ascii="Times New Roman" w:eastAsia="Calibri" w:hAnsi="Times New Roman"/>
          <w:i/>
          <w:sz w:val="24"/>
          <w:szCs w:val="24"/>
        </w:rPr>
        <w:t>S</w:t>
      </w:r>
      <w:r>
        <w:rPr>
          <w:rFonts w:ascii="Times New Roman" w:eastAsia="Calibri" w:hAnsi="Times New Roman"/>
          <w:i/>
          <w:sz w:val="24"/>
          <w:szCs w:val="24"/>
          <w:vertAlign w:val="subscript"/>
        </w:rPr>
        <w:t>w</w:t>
      </w:r>
      <w:proofErr w:type="spellEnd"/>
      <w:r>
        <w:rPr>
          <w:rFonts w:ascii="Times New Roman" w:eastAsia="Calibri" w:hAnsi="Times New Roman"/>
          <w:sz w:val="24"/>
          <w:szCs w:val="24"/>
        </w:rPr>
        <w:t xml:space="preserve"> is the sample weight (g) and </w:t>
      </w:r>
      <w:r>
        <w:rPr>
          <w:rFonts w:ascii="Times New Roman" w:eastAsia="Calibri" w:hAnsi="Times New Roman"/>
          <w:i/>
          <w:sz w:val="24"/>
          <w:szCs w:val="24"/>
        </w:rPr>
        <w:t>V</w:t>
      </w:r>
      <w:r>
        <w:rPr>
          <w:rFonts w:ascii="Times New Roman" w:eastAsia="Calibri" w:hAnsi="Times New Roman"/>
          <w:sz w:val="24"/>
          <w:szCs w:val="24"/>
        </w:rPr>
        <w:t xml:space="preserve"> is the volume (mL).</w:t>
      </w:r>
    </w:p>
    <w:p w14:paraId="4D8F3334"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9AC3E9D" w14:textId="77777777" w:rsidR="00281F27" w:rsidRDefault="00281F27" w:rsidP="00281F27">
      <w:pPr>
        <w:pStyle w:val="Heading2"/>
        <w:spacing w:before="0" w:after="0" w:line="360" w:lineRule="auto"/>
        <w:rPr>
          <w:rFonts w:ascii="Arial" w:hAnsi="Arial" w:cs="Arial"/>
          <w:sz w:val="22"/>
          <w:szCs w:val="22"/>
        </w:rPr>
      </w:pPr>
      <w:bookmarkStart w:id="23" w:name="_Toc144979557"/>
      <w:bookmarkEnd w:id="23"/>
      <w:r>
        <w:rPr>
          <w:rFonts w:ascii="Arial" w:hAnsi="Arial" w:cs="Arial"/>
          <w:sz w:val="22"/>
          <w:szCs w:val="22"/>
        </w:rPr>
        <w:t>2.6 Determination of Total Sugar in Baobab Pulp</w:t>
      </w:r>
    </w:p>
    <w:p w14:paraId="2FEAD604"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SimSun" w:hAnsi="Times New Roman"/>
          <w:color w:val="252525"/>
          <w:kern w:val="2"/>
          <w:sz w:val="24"/>
          <w:szCs w:val="24"/>
        </w:rPr>
        <w:t xml:space="preserve">The total sugar was estimated by calculating the carbohydrate content of the pulp using the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xml:space="preserve"> method with modification (Lam </w:t>
      </w:r>
      <w:r>
        <w:rPr>
          <w:rFonts w:ascii="Times New Roman" w:eastAsia="SimSun" w:hAnsi="Times New Roman"/>
          <w:i/>
          <w:color w:val="252525"/>
          <w:kern w:val="2"/>
          <w:sz w:val="24"/>
          <w:szCs w:val="24"/>
        </w:rPr>
        <w:t>et al.,</w:t>
      </w:r>
      <w:r>
        <w:rPr>
          <w:rFonts w:ascii="Times New Roman" w:eastAsia="SimSun" w:hAnsi="Times New Roman"/>
          <w:color w:val="252525"/>
          <w:kern w:val="2"/>
          <w:sz w:val="24"/>
          <w:szCs w:val="24"/>
        </w:rPr>
        <w:t xml:space="preserve"> 2021). One litre of concentrated sulfuric acid and 2.0 g of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xml:space="preserve"> were dissolved. Varying quantities of glucose solution (200 g/mL) from the supplied glucose stock solution were pipetted into a series of test tubes, and distilled water was added to make the total volume to 1 </w:t>
      </w:r>
      <w:proofErr w:type="spellStart"/>
      <w:r>
        <w:rPr>
          <w:rFonts w:ascii="Times New Roman" w:eastAsia="SimSun" w:hAnsi="Times New Roman"/>
          <w:color w:val="252525"/>
          <w:kern w:val="2"/>
          <w:sz w:val="24"/>
          <w:szCs w:val="24"/>
        </w:rPr>
        <w:t>mL.</w:t>
      </w:r>
      <w:proofErr w:type="spellEnd"/>
      <w:r>
        <w:rPr>
          <w:rFonts w:ascii="Times New Roman" w:eastAsia="SimSun" w:hAnsi="Times New Roman"/>
          <w:color w:val="252525"/>
          <w:kern w:val="2"/>
          <w:sz w:val="24"/>
          <w:szCs w:val="24"/>
        </w:rPr>
        <w:t xml:space="preserve"> In each test tube, 4.0 mL of the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xml:space="preserve"> reagent (supplied) was added and thoroughly mixed. The test tubes were cooled before being sealed with caps and incubated at 90 °C for 17 minutes. After cooling the tubes to room temperature, the optical density was measured at 620 nm with a spectrophotometer against a blank (made with 1 mL of distilled water and 5 mL of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The amount of glucose in the unknown sample was calculated by drawing a standard curve of absorbance and glucose (g). Equation (9) was used to determine the total sugar content in the baobab pulp.</w:t>
      </w:r>
    </w:p>
    <w:p w14:paraId="5F212E25" w14:textId="77777777" w:rsidR="00281F27" w:rsidRDefault="00281F27" w:rsidP="00281F27">
      <w:pPr>
        <w:spacing w:before="0" w:beforeAutospacing="0" w:after="0" w:line="360" w:lineRule="auto"/>
        <w:jc w:val="both"/>
        <w:rPr>
          <w:rFonts w:ascii="Times New Roman" w:eastAsia="SimSun" w:hAnsi="Times New Roman"/>
          <w:color w:val="252525"/>
          <w:kern w:val="2"/>
          <w:sz w:val="24"/>
          <w:szCs w:val="24"/>
        </w:rPr>
      </w:pPr>
      <w:r>
        <w:rPr>
          <w:rFonts w:ascii="Times New Roman" w:eastAsia="SimSun" w:hAnsi="Times New Roman"/>
          <w:color w:val="252525"/>
          <w:kern w:val="2"/>
          <w:sz w:val="24"/>
          <w:szCs w:val="24"/>
        </w:rPr>
        <w:t xml:space="preserve"> </w:t>
      </w:r>
    </w:p>
    <w:p w14:paraId="16F4215A" w14:textId="77777777" w:rsidR="00281F27" w:rsidRDefault="00281F27" w:rsidP="00281F27">
      <w:pPr>
        <w:spacing w:before="0" w:beforeAutospacing="0" w:after="0" w:line="360" w:lineRule="auto"/>
        <w:jc w:val="both"/>
        <w:rPr>
          <w:rFonts w:ascii="Times New Roman" w:eastAsia="SimSun" w:hAnsi="Times New Roman"/>
          <w:color w:val="252525"/>
          <w:kern w:val="2"/>
          <w:sz w:val="24"/>
          <w:szCs w:val="24"/>
        </w:rPr>
      </w:pPr>
      <w:r>
        <w:rPr>
          <w:noProof/>
          <w:lang w:val="en-US" w:eastAsia="en-US"/>
        </w:rPr>
        <w:lastRenderedPageBreak/>
        <w:drawing>
          <wp:inline distT="0" distB="0" distL="0" distR="0" wp14:anchorId="70F1E519" wp14:editId="0AEEDFBB">
            <wp:extent cx="5372100" cy="381000"/>
            <wp:effectExtent l="0" t="0" r="0" b="0"/>
            <wp:docPr id="4" name="Picture 4" descr="C:\Users\USER\AppData\Local\Temp\ksohtml831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ksohtml8316\wps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81000"/>
                    </a:xfrm>
                    <a:prstGeom prst="rect">
                      <a:avLst/>
                    </a:prstGeom>
                    <a:noFill/>
                    <a:ln>
                      <a:noFill/>
                    </a:ln>
                  </pic:spPr>
                </pic:pic>
              </a:graphicData>
            </a:graphic>
          </wp:inline>
        </w:drawing>
      </w:r>
      <w:r>
        <w:rPr>
          <w:rFonts w:ascii="Times New Roman" w:eastAsia="SimSun" w:hAnsi="Times New Roman"/>
          <w:color w:val="252525"/>
          <w:kern w:val="2"/>
          <w:sz w:val="24"/>
          <w:szCs w:val="24"/>
        </w:rPr>
        <w:t xml:space="preserve"> </w:t>
      </w:r>
    </w:p>
    <w:p w14:paraId="2EB0405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3AA1A18D" w14:textId="77777777" w:rsidR="00281F27" w:rsidRDefault="00281F27" w:rsidP="00281F27">
      <w:pPr>
        <w:pStyle w:val="Heading2"/>
        <w:spacing w:before="0" w:after="0" w:line="360" w:lineRule="auto"/>
        <w:rPr>
          <w:rFonts w:ascii="Arial" w:hAnsi="Arial" w:cs="Arial"/>
          <w:sz w:val="22"/>
          <w:szCs w:val="22"/>
        </w:rPr>
      </w:pPr>
      <w:bookmarkStart w:id="24" w:name="_Toc144979558"/>
      <w:bookmarkEnd w:id="24"/>
      <w:r>
        <w:rPr>
          <w:rFonts w:ascii="Arial" w:hAnsi="Arial" w:cs="Arial"/>
          <w:sz w:val="22"/>
          <w:szCs w:val="22"/>
        </w:rPr>
        <w:t>2.7 Determination of Vitamin C in Baobab Pulp</w:t>
      </w:r>
    </w:p>
    <w:p w14:paraId="65BF646E" w14:textId="77777777" w:rsidR="00281F27" w:rsidRDefault="00281F27" w:rsidP="00281F27">
      <w:pPr>
        <w:spacing w:before="0" w:beforeAutospacing="0" w:after="0" w:line="360" w:lineRule="auto"/>
        <w:jc w:val="both"/>
        <w:rPr>
          <w:rFonts w:ascii="Times New Roman" w:eastAsia="Calibri" w:hAnsi="Times New Roman"/>
          <w:b/>
          <w:sz w:val="24"/>
          <w:szCs w:val="24"/>
        </w:rPr>
      </w:pPr>
      <w:r>
        <w:rPr>
          <w:rFonts w:ascii="Times New Roman" w:eastAsia="Calibri" w:hAnsi="Times New Roman"/>
          <w:color w:val="252525"/>
          <w:sz w:val="24"/>
          <w:szCs w:val="24"/>
        </w:rPr>
        <w:t xml:space="preserve">The vitamin C content of the baobab fruit pulp was considered in relation to temperature. 25 mL of Vitamin C standard solution was placed in a 250 mL beaker; 5 mL of each potassium iodide and 0.1M hydrochloric acid, and one mL of the starch indicator solution were added. The potassium iodide solution was filled into the burette and titrated against the sample in the beaker until a blue-black colour was observed. Also, 25 mL of each of the vegetable solutions was titrated. The procedure was done in triplicate, and the average titre value for each sample was obtained. </w:t>
      </w:r>
    </w:p>
    <w:p w14:paraId="7A7CB15D" w14:textId="77777777" w:rsidR="00281F27" w:rsidRDefault="00281F27" w:rsidP="00281F27">
      <w:pPr>
        <w:pStyle w:val="NormalWeb"/>
        <w:spacing w:before="0" w:beforeAutospacing="0" w:after="0" w:afterAutospacing="0" w:line="360" w:lineRule="auto"/>
        <w:rPr>
          <w:color w:val="252525"/>
        </w:rPr>
      </w:pPr>
      <w:r>
        <w:rPr>
          <w:noProof/>
          <w:lang w:val="en-US" w:eastAsia="en-US"/>
        </w:rPr>
        <w:drawing>
          <wp:inline distT="0" distB="0" distL="0" distR="0" wp14:anchorId="0909AEED" wp14:editId="53887118">
            <wp:extent cx="5095875" cy="371475"/>
            <wp:effectExtent l="0" t="0" r="9525" b="9525"/>
            <wp:docPr id="3" name="Picture 3" descr="C:\Users\USER\AppData\Local\Temp\ksohtml831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ksohtml8316\wps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371475"/>
                    </a:xfrm>
                    <a:prstGeom prst="rect">
                      <a:avLst/>
                    </a:prstGeom>
                    <a:noFill/>
                    <a:ln>
                      <a:noFill/>
                    </a:ln>
                  </pic:spPr>
                </pic:pic>
              </a:graphicData>
            </a:graphic>
          </wp:inline>
        </w:drawing>
      </w:r>
      <w:r>
        <w:rPr>
          <w:color w:val="252525"/>
        </w:rPr>
        <w:t xml:space="preserve"> </w:t>
      </w:r>
    </w:p>
    <w:p w14:paraId="1CAD4216" w14:textId="77777777" w:rsidR="00281F27" w:rsidRDefault="00281F27" w:rsidP="00281F27">
      <w:pPr>
        <w:pStyle w:val="Heading2"/>
        <w:spacing w:before="0" w:after="0" w:line="360" w:lineRule="auto"/>
        <w:rPr>
          <w:rFonts w:ascii="Arial" w:hAnsi="Arial" w:cs="Arial"/>
          <w:sz w:val="22"/>
          <w:szCs w:val="22"/>
        </w:rPr>
      </w:pPr>
      <w:bookmarkStart w:id="25" w:name="_Toc144979559"/>
      <w:bookmarkEnd w:id="25"/>
      <w:r>
        <w:rPr>
          <w:rFonts w:ascii="Arial" w:hAnsi="Arial" w:cs="Arial"/>
          <w:sz w:val="22"/>
          <w:szCs w:val="22"/>
        </w:rPr>
        <w:t>2.8 Determination of Power of Hydrogen (pH)</w:t>
      </w:r>
    </w:p>
    <w:p w14:paraId="3DCCFED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The pH of the baobab pulp was measured using the pH meter, model ST 3100, OHAUS Corporation, USA with an accuracy of 0.01 and measuring range of -2 to 16.</w:t>
      </w:r>
    </w:p>
    <w:p w14:paraId="7C5A38F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2C47CC39" w14:textId="77777777" w:rsidR="00281F27" w:rsidRDefault="00281F27" w:rsidP="00281F27">
      <w:pPr>
        <w:spacing w:before="0" w:beforeAutospacing="0" w:after="0" w:line="360" w:lineRule="auto"/>
        <w:jc w:val="both"/>
        <w:rPr>
          <w:rFonts w:ascii="Arial" w:eastAsia="Calibri" w:hAnsi="Arial" w:cs="Arial"/>
          <w:b/>
        </w:rPr>
      </w:pPr>
      <w:r>
        <w:rPr>
          <w:rFonts w:ascii="Arial" w:eastAsia="Calibri" w:hAnsi="Arial" w:cs="Arial"/>
          <w:b/>
        </w:rPr>
        <w:t xml:space="preserve">2.9 Determination of Total Phenolic Content </w:t>
      </w:r>
    </w:p>
    <w:p w14:paraId="5972699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The total phenolic content was determine by adapting the method employed by Kujala </w:t>
      </w:r>
      <w:r>
        <w:rPr>
          <w:rFonts w:ascii="Times New Roman" w:eastAsia="Calibri" w:hAnsi="Times New Roman"/>
          <w:i/>
          <w:iCs/>
          <w:sz w:val="24"/>
          <w:szCs w:val="24"/>
        </w:rPr>
        <w:t xml:space="preserve">et al. </w:t>
      </w:r>
      <w:r>
        <w:rPr>
          <w:rFonts w:ascii="Times New Roman" w:eastAsia="Calibri" w:hAnsi="Times New Roman"/>
          <w:sz w:val="24"/>
          <w:szCs w:val="24"/>
        </w:rPr>
        <w:t xml:space="preserve">(2000) using the </w:t>
      </w:r>
      <w:proofErr w:type="spellStart"/>
      <w:r>
        <w:rPr>
          <w:rFonts w:ascii="Times New Roman" w:eastAsia="Calibri" w:hAnsi="Times New Roman"/>
          <w:sz w:val="24"/>
          <w:szCs w:val="24"/>
        </w:rPr>
        <w:t>Folin-Ciocalteau</w:t>
      </w:r>
      <w:proofErr w:type="spellEnd"/>
      <w:r>
        <w:rPr>
          <w:rFonts w:ascii="Times New Roman" w:eastAsia="Calibri" w:hAnsi="Times New Roman"/>
          <w:sz w:val="24"/>
          <w:szCs w:val="24"/>
        </w:rPr>
        <w:t xml:space="preserve"> method. 0.5 g of sample was dissolved in 100 mL of distilled water in a 100 mL volumetric flask. The mixture was swirl for 30 minutes and filtered. 2 mL were pipetted into different test tubes. Standard stock solution of gallic acid of 100 ppm was prepared and out of it, 5 ppm, 10ppm, 20 ppm, 40 ppm and 50 ppm were prepared. 2 mL of the prepared samples were pipetted into different test tubes and 1000 µL of 20% </w:t>
      </w:r>
      <w:r>
        <w:rPr>
          <w:rFonts w:ascii="Times New Roman" w:eastAsia="Calibri" w:hAnsi="Times New Roman"/>
          <w:color w:val="000000"/>
          <w:sz w:val="24"/>
          <w:szCs w:val="24"/>
        </w:rPr>
        <w:t>Na</w:t>
      </w:r>
      <w:r>
        <w:rPr>
          <w:rFonts w:ascii="Times New Roman" w:eastAsia="Calibri" w:hAnsi="Times New Roman"/>
          <w:color w:val="000000"/>
          <w:sz w:val="24"/>
          <w:szCs w:val="24"/>
          <w:vertAlign w:val="subscript"/>
        </w:rPr>
        <w:t>2</w:t>
      </w:r>
      <w:r>
        <w:rPr>
          <w:rFonts w:ascii="Times New Roman" w:eastAsia="Calibri" w:hAnsi="Times New Roman"/>
          <w:color w:val="000000"/>
          <w:sz w:val="24"/>
          <w:szCs w:val="24"/>
        </w:rPr>
        <w:t>CO</w:t>
      </w:r>
      <w:r>
        <w:rPr>
          <w:rFonts w:ascii="Times New Roman" w:eastAsia="Calibri" w:hAnsi="Times New Roman"/>
          <w:color w:val="000000"/>
          <w:sz w:val="24"/>
          <w:szCs w:val="24"/>
          <w:vertAlign w:val="subscript"/>
        </w:rPr>
        <w:t xml:space="preserve">3 </w:t>
      </w:r>
      <w:r>
        <w:rPr>
          <w:rFonts w:ascii="Times New Roman" w:eastAsia="Calibri" w:hAnsi="Times New Roman"/>
          <w:color w:val="000000"/>
          <w:sz w:val="24"/>
          <w:szCs w:val="24"/>
        </w:rPr>
        <w:t xml:space="preserve">added. 20 </w:t>
      </w:r>
      <w:r>
        <w:rPr>
          <w:rFonts w:ascii="Times New Roman" w:eastAsia="Calibri" w:hAnsi="Times New Roman"/>
          <w:sz w:val="24"/>
          <w:szCs w:val="24"/>
        </w:rPr>
        <w:t xml:space="preserve">µL </w:t>
      </w:r>
      <w:r>
        <w:rPr>
          <w:rFonts w:ascii="Times New Roman" w:eastAsia="Calibri" w:hAnsi="Times New Roman"/>
          <w:color w:val="000000"/>
          <w:sz w:val="24"/>
          <w:szCs w:val="24"/>
        </w:rPr>
        <w:t xml:space="preserve">of </w:t>
      </w:r>
      <w:proofErr w:type="spellStart"/>
      <w:r>
        <w:rPr>
          <w:rFonts w:ascii="Times New Roman" w:eastAsia="Calibri" w:hAnsi="Times New Roman"/>
          <w:color w:val="000000"/>
          <w:sz w:val="24"/>
          <w:szCs w:val="24"/>
        </w:rPr>
        <w:t>Folin-Ciocalteau</w:t>
      </w:r>
      <w:proofErr w:type="spellEnd"/>
      <w:r>
        <w:rPr>
          <w:rFonts w:ascii="Times New Roman" w:eastAsia="Calibri" w:hAnsi="Times New Roman"/>
          <w:color w:val="000000"/>
          <w:sz w:val="24"/>
          <w:szCs w:val="24"/>
        </w:rPr>
        <w:t xml:space="preserve"> were added to each test tubes and incubated for 30 minutes at room temperature. The samples were measured spectrophotometrically at 760 nm using a UV-VIS Spectrophotometer (Compact V-760 ST). The TPC was determined based on the equation of the curve and the absorbance.</w:t>
      </w:r>
    </w:p>
    <w:p w14:paraId="154AB41C" w14:textId="77777777" w:rsidR="00281F27" w:rsidRDefault="00281F27" w:rsidP="00281F27">
      <w:pPr>
        <w:tabs>
          <w:tab w:val="left" w:pos="8730"/>
        </w:tabs>
        <w:spacing w:before="0" w:beforeAutospacing="0" w:after="0" w:line="360" w:lineRule="auto"/>
        <w:jc w:val="both"/>
        <w:rPr>
          <w:rFonts w:ascii="Times New Roman" w:eastAsia="Calibri" w:hAnsi="Times New Roman"/>
          <w:b/>
          <w:sz w:val="24"/>
          <w:szCs w:val="24"/>
          <w:highlight w:val="yellow"/>
        </w:rPr>
      </w:pPr>
      <w:r>
        <w:rPr>
          <w:rFonts w:ascii="Times New Roman" w:eastAsia="Calibri" w:hAnsi="Times New Roman"/>
          <w:b/>
          <w:sz w:val="24"/>
          <w:szCs w:val="24"/>
          <w:highlight w:val="yellow"/>
        </w:rPr>
        <w:t xml:space="preserve"> </w:t>
      </w:r>
    </w:p>
    <w:p w14:paraId="6DEC4440" w14:textId="77777777" w:rsidR="00281F27" w:rsidRDefault="00281F27" w:rsidP="00281F27">
      <w:pPr>
        <w:pStyle w:val="Heading2"/>
        <w:spacing w:before="0" w:after="0" w:line="360" w:lineRule="auto"/>
        <w:rPr>
          <w:rFonts w:ascii="Arial" w:hAnsi="Arial" w:cs="Arial"/>
          <w:sz w:val="22"/>
          <w:szCs w:val="22"/>
        </w:rPr>
      </w:pPr>
      <w:bookmarkStart w:id="26" w:name="_Toc143117665"/>
      <w:bookmarkStart w:id="27" w:name="_Toc144979560"/>
      <w:bookmarkEnd w:id="26"/>
      <w:r>
        <w:rPr>
          <w:rFonts w:ascii="Arial" w:hAnsi="Arial" w:cs="Arial"/>
          <w:sz w:val="22"/>
          <w:szCs w:val="22"/>
        </w:rPr>
        <w:lastRenderedPageBreak/>
        <w:t>2.</w:t>
      </w:r>
      <w:bookmarkEnd w:id="27"/>
      <w:r>
        <w:rPr>
          <w:rFonts w:ascii="Arial" w:hAnsi="Arial" w:cs="Arial"/>
          <w:sz w:val="22"/>
          <w:szCs w:val="22"/>
        </w:rPr>
        <w:t>10 Data Analysis</w:t>
      </w:r>
    </w:p>
    <w:p w14:paraId="1C03404A" w14:textId="77777777" w:rsidR="00281F27" w:rsidRDefault="00281F27" w:rsidP="00281F27">
      <w:pPr>
        <w:pStyle w:val="Heading2"/>
        <w:spacing w:before="0" w:after="0" w:line="360" w:lineRule="auto"/>
        <w:rPr>
          <w:b w:val="0"/>
          <w:bCs/>
          <w:color w:val="252525"/>
        </w:rPr>
      </w:pPr>
      <w:bookmarkStart w:id="28" w:name="_Toc143117666"/>
      <w:bookmarkStart w:id="29" w:name="_Toc144979561"/>
      <w:bookmarkEnd w:id="28"/>
      <w:r>
        <w:rPr>
          <w:b w:val="0"/>
          <w:bCs/>
          <w:color w:val="252525"/>
        </w:rPr>
        <w:t xml:space="preserve">The data was </w:t>
      </w:r>
      <w:proofErr w:type="spellStart"/>
      <w:r>
        <w:rPr>
          <w:b w:val="0"/>
          <w:bCs/>
          <w:color w:val="252525"/>
        </w:rPr>
        <w:t>analyzed</w:t>
      </w:r>
      <w:proofErr w:type="spellEnd"/>
      <w:r>
        <w:rPr>
          <w:b w:val="0"/>
          <w:bCs/>
          <w:color w:val="252525"/>
        </w:rPr>
        <w:t xml:space="preserve"> with R-Studio 2022.12.0 Build 353. HSD Tukey's post-hoc test was used to determine whether there were significant differences between the mean treatments at the 5% significance level. The findings are presented as means from the current study and compared with results from different countries</w:t>
      </w:r>
      <w:bookmarkEnd w:id="29"/>
      <w:r>
        <w:rPr>
          <w:b w:val="0"/>
          <w:bCs/>
          <w:color w:val="252525"/>
        </w:rPr>
        <w:t xml:space="preserve"> where appropriate.</w:t>
      </w:r>
    </w:p>
    <w:p w14:paraId="43C6263B" w14:textId="77777777" w:rsidR="00281F27" w:rsidRDefault="00281F27" w:rsidP="00281F27">
      <w:pPr>
        <w:pStyle w:val="Heading2"/>
        <w:spacing w:before="0" w:after="0" w:line="360" w:lineRule="auto"/>
        <w:rPr>
          <w:b w:val="0"/>
          <w:bCs/>
          <w:color w:val="252525"/>
        </w:rPr>
      </w:pPr>
      <w:r>
        <w:rPr>
          <w:b w:val="0"/>
          <w:bCs/>
          <w:color w:val="252525"/>
        </w:rPr>
        <w:t xml:space="preserve"> </w:t>
      </w:r>
    </w:p>
    <w:p w14:paraId="23B58CFD" w14:textId="77777777" w:rsidR="00281F27" w:rsidRDefault="00281F27" w:rsidP="00281F27">
      <w:pPr>
        <w:pStyle w:val="Heading2"/>
        <w:spacing w:before="0" w:after="0" w:line="360" w:lineRule="auto"/>
        <w:rPr>
          <w:rFonts w:ascii="Arial" w:hAnsi="Arial" w:cs="Arial"/>
          <w:sz w:val="22"/>
          <w:szCs w:val="22"/>
        </w:rPr>
      </w:pPr>
      <w:r>
        <w:rPr>
          <w:rFonts w:ascii="Arial" w:hAnsi="Arial" w:cs="Arial"/>
          <w:sz w:val="22"/>
          <w:szCs w:val="22"/>
        </w:rPr>
        <w:t xml:space="preserve">3.0 </w:t>
      </w:r>
      <w:commentRangeStart w:id="30"/>
      <w:r>
        <w:rPr>
          <w:rFonts w:ascii="Arial" w:hAnsi="Arial" w:cs="Arial"/>
          <w:sz w:val="22"/>
          <w:szCs w:val="22"/>
        </w:rPr>
        <w:t>Results and Discussion</w:t>
      </w:r>
      <w:commentRangeEnd w:id="30"/>
      <w:r w:rsidR="00C428B3">
        <w:rPr>
          <w:rStyle w:val="CommentReference"/>
          <w:rFonts w:ascii="Calibri" w:eastAsia="Times New Roman" w:hAnsi="Calibri"/>
          <w:b w:val="0"/>
        </w:rPr>
        <w:commentReference w:id="30"/>
      </w:r>
    </w:p>
    <w:p w14:paraId="06EE7A70" w14:textId="77777777" w:rsidR="00281F27" w:rsidRDefault="00281F27" w:rsidP="00281F27">
      <w:pPr>
        <w:spacing w:before="0" w:beforeAutospacing="0" w:after="0" w:line="360" w:lineRule="auto"/>
        <w:jc w:val="both"/>
        <w:rPr>
          <w:rFonts w:ascii="Times New Roman" w:eastAsia="Calibri" w:hAnsi="Times New Roman"/>
          <w:b/>
          <w:sz w:val="24"/>
          <w:szCs w:val="24"/>
        </w:rPr>
      </w:pPr>
      <w:r>
        <w:rPr>
          <w:rFonts w:ascii="Times New Roman" w:hAnsi="Times New Roman"/>
          <w:color w:val="252525"/>
          <w:sz w:val="24"/>
          <w:szCs w:val="24"/>
        </w:rPr>
        <w:t xml:space="preserve">Plants contain an abundance of all the nutrients that humans require. The use of medicinal plants for therapeutic purposes or as nutritional supplements dates back further than is known, but it has significantly increased in recent decades. Table 1 indicates the proximate composition of the baobab fruit powder observed in this study, as well as levels permitted by the European Union Commission and other countries. The mean moisture content (MC) of the pulp was 11.17±0.3%. A similar study by Aluko et al. (2016) and Osman (2004) found the MC of the baobab pulp at 9.94% and 10.4%, respectively. The MC found in this study is within the range established by European Union Legislation (EUL) for baobab pulp which ranged from 11.1% to 12.0% (Vassiliou, 2008; Monteiro </w:t>
      </w:r>
      <w:commentRangeStart w:id="31"/>
      <w:r>
        <w:rPr>
          <w:rFonts w:ascii="Times New Roman" w:hAnsi="Times New Roman"/>
          <w:color w:val="252525"/>
          <w:sz w:val="24"/>
          <w:szCs w:val="24"/>
        </w:rPr>
        <w:t xml:space="preserve">et al., </w:t>
      </w:r>
      <w:commentRangeEnd w:id="31"/>
      <w:r w:rsidR="006D5132">
        <w:rPr>
          <w:rStyle w:val="CommentReference"/>
        </w:rPr>
        <w:commentReference w:id="31"/>
      </w:r>
      <w:r>
        <w:rPr>
          <w:rFonts w:ascii="Times New Roman" w:hAnsi="Times New Roman"/>
          <w:color w:val="252525"/>
          <w:sz w:val="24"/>
          <w:szCs w:val="24"/>
        </w:rPr>
        <w:t>2022). Higher MC of the pulp is a recipe for mould and other microbial growth.</w:t>
      </w:r>
    </w:p>
    <w:p w14:paraId="05DBDAD4" w14:textId="77777777" w:rsidR="00281F27" w:rsidRDefault="00281F27" w:rsidP="00281F27">
      <w:pPr>
        <w:spacing w:before="0" w:beforeAutospacing="0" w:after="0" w:line="360" w:lineRule="auto"/>
        <w:jc w:val="both"/>
        <w:rPr>
          <w:rFonts w:ascii="Times New Roman" w:eastAsia="Calibri" w:hAnsi="Times New Roman"/>
          <w:b/>
          <w:sz w:val="24"/>
          <w:szCs w:val="24"/>
        </w:rPr>
      </w:pPr>
      <w:r>
        <w:rPr>
          <w:rFonts w:ascii="Times New Roman" w:hAnsi="Times New Roman"/>
          <w:color w:val="252525"/>
          <w:sz w:val="24"/>
          <w:szCs w:val="24"/>
        </w:rPr>
        <w:t xml:space="preserve">The protein content of the baobab fruit powder was found at 2.65±0.1%, which was higher than that reported by </w:t>
      </w:r>
      <w:proofErr w:type="spellStart"/>
      <w:r>
        <w:rPr>
          <w:rFonts w:ascii="Times New Roman" w:hAnsi="Times New Roman"/>
          <w:color w:val="252525"/>
          <w:sz w:val="24"/>
          <w:szCs w:val="24"/>
        </w:rPr>
        <w:t>Erwa</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et al.</w:t>
      </w:r>
      <w:r>
        <w:rPr>
          <w:rFonts w:ascii="Times New Roman" w:hAnsi="Times New Roman"/>
          <w:color w:val="252525"/>
          <w:sz w:val="24"/>
          <w:szCs w:val="24"/>
        </w:rPr>
        <w:t xml:space="preserve"> (2019) and </w:t>
      </w:r>
      <w:proofErr w:type="spellStart"/>
      <w:r>
        <w:rPr>
          <w:rFonts w:ascii="Times New Roman" w:hAnsi="Times New Roman"/>
          <w:color w:val="252525"/>
          <w:sz w:val="24"/>
          <w:szCs w:val="24"/>
        </w:rPr>
        <w:t>Dangago</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et al.</w:t>
      </w:r>
      <w:r>
        <w:rPr>
          <w:rFonts w:ascii="Times New Roman" w:hAnsi="Times New Roman"/>
          <w:color w:val="252525"/>
          <w:sz w:val="24"/>
          <w:szCs w:val="24"/>
        </w:rPr>
        <w:t xml:space="preserve"> (2016), who found values of the protein at (2.35%) and (2.3%), respectively. In addition to meeting the protein needs of athletes, plant proteins can help lower cholesterol, maintain bone health, and increase muscle mass in older adults (George </w:t>
      </w:r>
      <w:r>
        <w:rPr>
          <w:rFonts w:ascii="Times New Roman" w:hAnsi="Times New Roman"/>
          <w:i/>
          <w:iCs/>
          <w:color w:val="252525"/>
          <w:sz w:val="24"/>
          <w:szCs w:val="24"/>
        </w:rPr>
        <w:t>et al.,</w:t>
      </w:r>
      <w:r>
        <w:rPr>
          <w:rFonts w:ascii="Times New Roman" w:hAnsi="Times New Roman"/>
          <w:color w:val="252525"/>
          <w:sz w:val="24"/>
          <w:szCs w:val="24"/>
        </w:rPr>
        <w:t xml:space="preserve"> 2020; Gavrilova </w:t>
      </w:r>
      <w:r>
        <w:rPr>
          <w:rFonts w:ascii="Times New Roman" w:hAnsi="Times New Roman"/>
          <w:i/>
          <w:iCs/>
          <w:color w:val="252525"/>
          <w:sz w:val="24"/>
          <w:szCs w:val="24"/>
        </w:rPr>
        <w:t>et al</w:t>
      </w:r>
      <w:r>
        <w:rPr>
          <w:rFonts w:ascii="Times New Roman" w:hAnsi="Times New Roman"/>
          <w:color w:val="252525"/>
          <w:sz w:val="24"/>
          <w:szCs w:val="24"/>
        </w:rPr>
        <w:t xml:space="preserve">., 2020). The inclusion of plant protein in the diet of humans has been found to maintain a balance health needs for all age brackets (George </w:t>
      </w:r>
      <w:r>
        <w:rPr>
          <w:rFonts w:ascii="Times New Roman" w:hAnsi="Times New Roman"/>
          <w:i/>
          <w:iCs/>
          <w:color w:val="252525"/>
          <w:sz w:val="24"/>
          <w:szCs w:val="24"/>
        </w:rPr>
        <w:t>et al.,</w:t>
      </w:r>
      <w:r>
        <w:rPr>
          <w:rFonts w:ascii="Times New Roman" w:hAnsi="Times New Roman"/>
          <w:color w:val="252525"/>
          <w:sz w:val="24"/>
          <w:szCs w:val="24"/>
        </w:rPr>
        <w:t xml:space="preserve"> 2020). The established protein content for baobab pulp by the EUL is in the range of 2.03 – 3.24% (Vassiliou, 2008). The protein content in this study as well as those found in literature were within the range established by ECU legislation decision for baobab pulp content. </w:t>
      </w:r>
    </w:p>
    <w:p w14:paraId="5E66BD12" w14:textId="77777777" w:rsidR="00281F27" w:rsidRDefault="00281F27" w:rsidP="00281F27">
      <w:pPr>
        <w:pStyle w:val="Caption"/>
        <w:spacing w:before="0" w:beforeAutospacing="0" w:after="0" w:line="360" w:lineRule="auto"/>
      </w:pPr>
      <w:bookmarkStart w:id="32" w:name="_Toc143196472"/>
      <w:bookmarkStart w:id="33" w:name="_Toc143175138"/>
      <w:bookmarkEnd w:id="32"/>
      <w:r>
        <w:t xml:space="preserve"> </w:t>
      </w:r>
      <w:bookmarkEnd w:id="33"/>
    </w:p>
    <w:p w14:paraId="26705560" w14:textId="77777777" w:rsidR="00281F27" w:rsidRDefault="00281F27" w:rsidP="00281F27">
      <w:pPr>
        <w:pStyle w:val="Caption"/>
        <w:spacing w:before="0" w:beforeAutospacing="0" w:after="0" w:line="360" w:lineRule="auto"/>
      </w:pPr>
      <w:r>
        <w:t xml:space="preserve">Table 1: </w:t>
      </w:r>
      <w:r>
        <w:rPr>
          <w:b w:val="0"/>
        </w:rPr>
        <w:t>Proximate compositions of baobab pulp powder found in this study, different countries, and EU approved range.</w:t>
      </w:r>
    </w:p>
    <w:tbl>
      <w:tblPr>
        <w:tblStyle w:val="TableGrid"/>
        <w:tblW w:w="9355" w:type="dxa"/>
        <w:tblLook w:val="04A0" w:firstRow="1" w:lastRow="0" w:firstColumn="1" w:lastColumn="0" w:noHBand="0" w:noVBand="1"/>
      </w:tblPr>
      <w:tblGrid>
        <w:gridCol w:w="1993"/>
        <w:gridCol w:w="1333"/>
        <w:gridCol w:w="1177"/>
        <w:gridCol w:w="1259"/>
        <w:gridCol w:w="1133"/>
        <w:gridCol w:w="1047"/>
        <w:gridCol w:w="1413"/>
      </w:tblGrid>
      <w:tr w:rsidR="00281F27" w14:paraId="4B4ED513" w14:textId="77777777" w:rsidTr="00281F27">
        <w:tc>
          <w:tcPr>
            <w:tcW w:w="7825" w:type="dxa"/>
            <w:gridSpan w:val="6"/>
            <w:tcBorders>
              <w:top w:val="single" w:sz="8" w:space="0" w:color="000000"/>
              <w:left w:val="dotted" w:sz="4" w:space="0" w:color="auto"/>
              <w:bottom w:val="single" w:sz="8" w:space="0" w:color="000000"/>
              <w:right w:val="dotted" w:sz="4" w:space="0" w:color="auto"/>
            </w:tcBorders>
            <w:hideMark/>
          </w:tcPr>
          <w:p w14:paraId="3E8804B0"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Author and Country</w:t>
            </w:r>
          </w:p>
        </w:tc>
        <w:tc>
          <w:tcPr>
            <w:tcW w:w="1530" w:type="dxa"/>
            <w:tcBorders>
              <w:top w:val="single" w:sz="8" w:space="0" w:color="000000"/>
              <w:left w:val="nil"/>
              <w:bottom w:val="single" w:sz="8" w:space="0" w:color="000000"/>
              <w:right w:val="dotted" w:sz="4" w:space="0" w:color="auto"/>
            </w:tcBorders>
            <w:hideMark/>
          </w:tcPr>
          <w:p w14:paraId="0328B25A"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 xml:space="preserve">EU Approved </w:t>
            </w:r>
            <w:r>
              <w:rPr>
                <w:rFonts w:ascii="Times New Roman" w:hAnsi="Times New Roman"/>
                <w:b/>
                <w:color w:val="000000"/>
                <w:sz w:val="24"/>
                <w:szCs w:val="24"/>
              </w:rPr>
              <w:lastRenderedPageBreak/>
              <w:t>range</w:t>
            </w:r>
          </w:p>
        </w:tc>
      </w:tr>
      <w:tr w:rsidR="00281F27" w14:paraId="7C3E945E" w14:textId="77777777" w:rsidTr="00281F27">
        <w:tc>
          <w:tcPr>
            <w:tcW w:w="1525" w:type="dxa"/>
            <w:tcBorders>
              <w:top w:val="single" w:sz="8" w:space="0" w:color="000000"/>
              <w:left w:val="dotted" w:sz="4" w:space="0" w:color="auto"/>
              <w:bottom w:val="dotted" w:sz="4" w:space="0" w:color="auto"/>
              <w:right w:val="dotted" w:sz="4" w:space="0" w:color="auto"/>
            </w:tcBorders>
            <w:hideMark/>
          </w:tcPr>
          <w:p w14:paraId="2A512474"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lastRenderedPageBreak/>
              <w:t>Property</w:t>
            </w:r>
          </w:p>
        </w:tc>
        <w:tc>
          <w:tcPr>
            <w:tcW w:w="1350" w:type="dxa"/>
            <w:tcBorders>
              <w:top w:val="single" w:sz="8" w:space="0" w:color="000000"/>
              <w:left w:val="nil"/>
              <w:bottom w:val="dotted" w:sz="4" w:space="0" w:color="auto"/>
              <w:right w:val="dotted" w:sz="4" w:space="0" w:color="auto"/>
            </w:tcBorders>
            <w:hideMark/>
          </w:tcPr>
          <w:p w14:paraId="05F04BDD"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This study</w:t>
            </w:r>
          </w:p>
        </w:tc>
        <w:tc>
          <w:tcPr>
            <w:tcW w:w="1177" w:type="dxa"/>
            <w:tcBorders>
              <w:top w:val="single" w:sz="8" w:space="0" w:color="000000"/>
              <w:left w:val="nil"/>
              <w:bottom w:val="dotted" w:sz="4" w:space="0" w:color="auto"/>
              <w:right w:val="dotted" w:sz="4" w:space="0" w:color="auto"/>
            </w:tcBorders>
            <w:hideMark/>
          </w:tcPr>
          <w:p w14:paraId="6E9B08F7"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Aluko et al. (2016)</w:t>
            </w:r>
          </w:p>
          <w:p w14:paraId="4CB3E7F6"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Tanzania</w:t>
            </w:r>
          </w:p>
        </w:tc>
        <w:tc>
          <w:tcPr>
            <w:tcW w:w="1343" w:type="dxa"/>
            <w:tcBorders>
              <w:top w:val="single" w:sz="8" w:space="0" w:color="000000"/>
              <w:left w:val="nil"/>
              <w:bottom w:val="dotted" w:sz="4" w:space="0" w:color="auto"/>
              <w:right w:val="dotted" w:sz="4" w:space="0" w:color="auto"/>
            </w:tcBorders>
            <w:hideMark/>
          </w:tcPr>
          <w:p w14:paraId="2CD6A880" w14:textId="77777777" w:rsidR="00281F27" w:rsidRDefault="00281F27">
            <w:pPr>
              <w:spacing w:before="0" w:beforeAutospacing="0" w:line="360" w:lineRule="auto"/>
              <w:jc w:val="both"/>
              <w:rPr>
                <w:rFonts w:ascii="Times New Roman" w:hAnsi="Times New Roman"/>
                <w:b/>
                <w:color w:val="000000"/>
                <w:sz w:val="24"/>
                <w:szCs w:val="24"/>
              </w:rPr>
            </w:pPr>
            <w:proofErr w:type="spellStart"/>
            <w:r>
              <w:rPr>
                <w:rFonts w:ascii="Times New Roman" w:hAnsi="Times New Roman"/>
                <w:b/>
                <w:color w:val="000000"/>
                <w:sz w:val="24"/>
                <w:szCs w:val="24"/>
              </w:rPr>
              <w:t>Dandago</w:t>
            </w:r>
            <w:proofErr w:type="spellEnd"/>
            <w:r>
              <w:rPr>
                <w:rFonts w:ascii="Times New Roman" w:hAnsi="Times New Roman"/>
                <w:b/>
                <w:color w:val="000000"/>
                <w:sz w:val="24"/>
                <w:szCs w:val="24"/>
              </w:rPr>
              <w:t xml:space="preserve"> et al. (2016)</w:t>
            </w:r>
          </w:p>
          <w:p w14:paraId="420B1210"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Nigeria</w:t>
            </w:r>
          </w:p>
        </w:tc>
        <w:tc>
          <w:tcPr>
            <w:tcW w:w="1260" w:type="dxa"/>
            <w:tcBorders>
              <w:top w:val="single" w:sz="8" w:space="0" w:color="000000"/>
              <w:left w:val="nil"/>
              <w:bottom w:val="dotted" w:sz="4" w:space="0" w:color="auto"/>
              <w:right w:val="dotted" w:sz="4" w:space="0" w:color="auto"/>
            </w:tcBorders>
            <w:hideMark/>
          </w:tcPr>
          <w:p w14:paraId="3DC0C84E"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Osman (2004)</w:t>
            </w:r>
          </w:p>
          <w:p w14:paraId="27D11FAB"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Saudi Arabia</w:t>
            </w:r>
          </w:p>
        </w:tc>
        <w:tc>
          <w:tcPr>
            <w:tcW w:w="1170" w:type="dxa"/>
            <w:tcBorders>
              <w:top w:val="single" w:sz="8" w:space="0" w:color="000000"/>
              <w:left w:val="nil"/>
              <w:bottom w:val="dotted" w:sz="4" w:space="0" w:color="auto"/>
              <w:right w:val="dotted" w:sz="4" w:space="0" w:color="auto"/>
            </w:tcBorders>
            <w:hideMark/>
          </w:tcPr>
          <w:p w14:paraId="1CB8B9F7" w14:textId="77777777" w:rsidR="00281F27" w:rsidRDefault="00281F27">
            <w:pPr>
              <w:spacing w:before="0" w:beforeAutospacing="0" w:line="360" w:lineRule="auto"/>
              <w:jc w:val="both"/>
              <w:rPr>
                <w:rFonts w:ascii="Times New Roman" w:hAnsi="Times New Roman"/>
                <w:b/>
                <w:color w:val="000000"/>
                <w:sz w:val="24"/>
                <w:szCs w:val="24"/>
              </w:rPr>
            </w:pPr>
            <w:proofErr w:type="spellStart"/>
            <w:r>
              <w:rPr>
                <w:rFonts w:ascii="Times New Roman" w:hAnsi="Times New Roman"/>
                <w:b/>
                <w:color w:val="000000"/>
                <w:sz w:val="24"/>
                <w:szCs w:val="24"/>
              </w:rPr>
              <w:t>Erwa</w:t>
            </w:r>
            <w:proofErr w:type="spellEnd"/>
            <w:r>
              <w:rPr>
                <w:rFonts w:ascii="Times New Roman" w:hAnsi="Times New Roman"/>
                <w:b/>
                <w:color w:val="000000"/>
                <w:sz w:val="24"/>
                <w:szCs w:val="24"/>
              </w:rPr>
              <w:t xml:space="preserve"> et al. (2019)</w:t>
            </w:r>
          </w:p>
          <w:p w14:paraId="75C30036"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Sudan</w:t>
            </w:r>
          </w:p>
        </w:tc>
        <w:tc>
          <w:tcPr>
            <w:tcW w:w="1530" w:type="dxa"/>
            <w:tcBorders>
              <w:top w:val="single" w:sz="8" w:space="0" w:color="000000"/>
              <w:left w:val="nil"/>
              <w:bottom w:val="dotted" w:sz="4" w:space="0" w:color="auto"/>
              <w:right w:val="dotted" w:sz="4" w:space="0" w:color="auto"/>
            </w:tcBorders>
            <w:hideMark/>
          </w:tcPr>
          <w:p w14:paraId="54EBFC65"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Vassiliou (2008)</w:t>
            </w:r>
          </w:p>
        </w:tc>
      </w:tr>
      <w:tr w:rsidR="00281F27" w14:paraId="4D2F3603"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07CEC6A6"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Moisture content (%)</w:t>
            </w:r>
          </w:p>
        </w:tc>
        <w:tc>
          <w:tcPr>
            <w:tcW w:w="1350" w:type="dxa"/>
            <w:tcBorders>
              <w:top w:val="dotted" w:sz="4" w:space="0" w:color="auto"/>
              <w:left w:val="nil"/>
              <w:bottom w:val="dotted" w:sz="4" w:space="0" w:color="auto"/>
              <w:right w:val="dotted" w:sz="4" w:space="0" w:color="auto"/>
            </w:tcBorders>
            <w:hideMark/>
          </w:tcPr>
          <w:p w14:paraId="22A78262"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11.17±0.3</w:t>
            </w:r>
          </w:p>
        </w:tc>
        <w:tc>
          <w:tcPr>
            <w:tcW w:w="1177" w:type="dxa"/>
            <w:tcBorders>
              <w:top w:val="dotted" w:sz="4" w:space="0" w:color="auto"/>
              <w:left w:val="nil"/>
              <w:bottom w:val="dotted" w:sz="4" w:space="0" w:color="auto"/>
              <w:right w:val="dotted" w:sz="4" w:space="0" w:color="auto"/>
            </w:tcBorders>
            <w:hideMark/>
          </w:tcPr>
          <w:p w14:paraId="0F41A64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9.94</w:t>
            </w:r>
          </w:p>
        </w:tc>
        <w:tc>
          <w:tcPr>
            <w:tcW w:w="1343" w:type="dxa"/>
            <w:tcBorders>
              <w:top w:val="dotted" w:sz="4" w:space="0" w:color="auto"/>
              <w:left w:val="nil"/>
              <w:bottom w:val="dotted" w:sz="4" w:space="0" w:color="auto"/>
              <w:right w:val="dotted" w:sz="4" w:space="0" w:color="auto"/>
            </w:tcBorders>
            <w:hideMark/>
          </w:tcPr>
          <w:p w14:paraId="64956A07"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6.35</w:t>
            </w:r>
          </w:p>
        </w:tc>
        <w:tc>
          <w:tcPr>
            <w:tcW w:w="1260" w:type="dxa"/>
            <w:tcBorders>
              <w:top w:val="dotted" w:sz="4" w:space="0" w:color="auto"/>
              <w:left w:val="nil"/>
              <w:bottom w:val="dotted" w:sz="4" w:space="0" w:color="auto"/>
              <w:right w:val="dotted" w:sz="4" w:space="0" w:color="auto"/>
            </w:tcBorders>
            <w:hideMark/>
          </w:tcPr>
          <w:p w14:paraId="53118621"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10.4</w:t>
            </w:r>
          </w:p>
        </w:tc>
        <w:tc>
          <w:tcPr>
            <w:tcW w:w="1170" w:type="dxa"/>
            <w:tcBorders>
              <w:top w:val="dotted" w:sz="4" w:space="0" w:color="auto"/>
              <w:left w:val="nil"/>
              <w:bottom w:val="dotted" w:sz="4" w:space="0" w:color="auto"/>
              <w:right w:val="dotted" w:sz="4" w:space="0" w:color="auto"/>
            </w:tcBorders>
            <w:hideMark/>
          </w:tcPr>
          <w:p w14:paraId="625375EE"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8.75</w:t>
            </w:r>
          </w:p>
        </w:tc>
        <w:tc>
          <w:tcPr>
            <w:tcW w:w="1530" w:type="dxa"/>
            <w:tcBorders>
              <w:top w:val="dotted" w:sz="4" w:space="0" w:color="auto"/>
              <w:left w:val="nil"/>
              <w:bottom w:val="dotted" w:sz="4" w:space="0" w:color="auto"/>
              <w:right w:val="dotted" w:sz="4" w:space="0" w:color="auto"/>
            </w:tcBorders>
            <w:hideMark/>
          </w:tcPr>
          <w:p w14:paraId="36E0126A"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11.1 </w:t>
            </w:r>
            <w:r>
              <w:rPr>
                <w:rFonts w:cs="Calibri"/>
                <w:color w:val="000000"/>
                <w:sz w:val="24"/>
                <w:szCs w:val="24"/>
              </w:rPr>
              <w:t xml:space="preserve">– </w:t>
            </w:r>
            <w:r>
              <w:rPr>
                <w:rFonts w:ascii="Times New Roman" w:hAnsi="Times New Roman"/>
                <w:color w:val="000000"/>
                <w:sz w:val="24"/>
                <w:szCs w:val="24"/>
              </w:rPr>
              <w:t>12.0</w:t>
            </w:r>
          </w:p>
        </w:tc>
      </w:tr>
      <w:tr w:rsidR="00281F27" w14:paraId="58F66A78"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2737F233"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Protein (%)</w:t>
            </w:r>
          </w:p>
        </w:tc>
        <w:tc>
          <w:tcPr>
            <w:tcW w:w="1350" w:type="dxa"/>
            <w:tcBorders>
              <w:top w:val="dotted" w:sz="4" w:space="0" w:color="auto"/>
              <w:left w:val="nil"/>
              <w:bottom w:val="dotted" w:sz="4" w:space="0" w:color="auto"/>
              <w:right w:val="dotted" w:sz="4" w:space="0" w:color="auto"/>
            </w:tcBorders>
            <w:hideMark/>
          </w:tcPr>
          <w:p w14:paraId="28535197"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2.65±0.1</w:t>
            </w:r>
          </w:p>
        </w:tc>
        <w:tc>
          <w:tcPr>
            <w:tcW w:w="1177" w:type="dxa"/>
            <w:tcBorders>
              <w:top w:val="dotted" w:sz="4" w:space="0" w:color="auto"/>
              <w:left w:val="nil"/>
              <w:bottom w:val="dotted" w:sz="4" w:space="0" w:color="auto"/>
              <w:right w:val="dotted" w:sz="4" w:space="0" w:color="auto"/>
            </w:tcBorders>
            <w:hideMark/>
          </w:tcPr>
          <w:p w14:paraId="1F6DD723"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3.23</w:t>
            </w:r>
          </w:p>
        </w:tc>
        <w:tc>
          <w:tcPr>
            <w:tcW w:w="1343" w:type="dxa"/>
            <w:tcBorders>
              <w:top w:val="dotted" w:sz="4" w:space="0" w:color="auto"/>
              <w:left w:val="nil"/>
              <w:bottom w:val="dotted" w:sz="4" w:space="0" w:color="auto"/>
              <w:right w:val="dotted" w:sz="4" w:space="0" w:color="auto"/>
            </w:tcBorders>
            <w:hideMark/>
          </w:tcPr>
          <w:p w14:paraId="53E325EB"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2.3</w:t>
            </w:r>
          </w:p>
        </w:tc>
        <w:tc>
          <w:tcPr>
            <w:tcW w:w="1260" w:type="dxa"/>
            <w:tcBorders>
              <w:top w:val="dotted" w:sz="4" w:space="0" w:color="auto"/>
              <w:left w:val="nil"/>
              <w:bottom w:val="dotted" w:sz="4" w:space="0" w:color="auto"/>
              <w:right w:val="dotted" w:sz="4" w:space="0" w:color="auto"/>
            </w:tcBorders>
            <w:hideMark/>
          </w:tcPr>
          <w:p w14:paraId="4C3277CB"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3.2</w:t>
            </w:r>
          </w:p>
        </w:tc>
        <w:tc>
          <w:tcPr>
            <w:tcW w:w="1170" w:type="dxa"/>
            <w:tcBorders>
              <w:top w:val="dotted" w:sz="4" w:space="0" w:color="auto"/>
              <w:left w:val="nil"/>
              <w:bottom w:val="dotted" w:sz="4" w:space="0" w:color="auto"/>
              <w:right w:val="dotted" w:sz="4" w:space="0" w:color="auto"/>
            </w:tcBorders>
            <w:hideMark/>
          </w:tcPr>
          <w:p w14:paraId="472A9544"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2.35</w:t>
            </w:r>
          </w:p>
        </w:tc>
        <w:tc>
          <w:tcPr>
            <w:tcW w:w="1530" w:type="dxa"/>
            <w:tcBorders>
              <w:top w:val="dotted" w:sz="4" w:space="0" w:color="auto"/>
              <w:left w:val="nil"/>
              <w:bottom w:val="dotted" w:sz="4" w:space="0" w:color="auto"/>
              <w:right w:val="dotted" w:sz="4" w:space="0" w:color="auto"/>
            </w:tcBorders>
            <w:hideMark/>
          </w:tcPr>
          <w:p w14:paraId="47AD2878"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2.10 </w:t>
            </w:r>
            <w:r>
              <w:rPr>
                <w:rFonts w:cs="Calibri"/>
                <w:color w:val="000000"/>
                <w:sz w:val="24"/>
                <w:szCs w:val="24"/>
              </w:rPr>
              <w:t xml:space="preserve">– </w:t>
            </w:r>
            <w:r>
              <w:rPr>
                <w:rFonts w:ascii="Times New Roman" w:hAnsi="Times New Roman"/>
                <w:color w:val="000000"/>
                <w:sz w:val="24"/>
                <w:szCs w:val="24"/>
              </w:rPr>
              <w:t>3.24</w:t>
            </w:r>
          </w:p>
        </w:tc>
      </w:tr>
      <w:tr w:rsidR="00281F27" w14:paraId="68FD51E8"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005F667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Fat (%)</w:t>
            </w:r>
          </w:p>
        </w:tc>
        <w:tc>
          <w:tcPr>
            <w:tcW w:w="1350" w:type="dxa"/>
            <w:tcBorders>
              <w:top w:val="dotted" w:sz="4" w:space="0" w:color="auto"/>
              <w:left w:val="nil"/>
              <w:bottom w:val="dotted" w:sz="4" w:space="0" w:color="auto"/>
              <w:right w:val="dotted" w:sz="4" w:space="0" w:color="auto"/>
            </w:tcBorders>
            <w:hideMark/>
          </w:tcPr>
          <w:p w14:paraId="66EBD500"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0.63±0.2</w:t>
            </w:r>
          </w:p>
        </w:tc>
        <w:tc>
          <w:tcPr>
            <w:tcW w:w="1177" w:type="dxa"/>
            <w:tcBorders>
              <w:top w:val="dotted" w:sz="4" w:space="0" w:color="auto"/>
              <w:left w:val="nil"/>
              <w:bottom w:val="dotted" w:sz="4" w:space="0" w:color="auto"/>
              <w:right w:val="dotted" w:sz="4" w:space="0" w:color="auto"/>
            </w:tcBorders>
            <w:hideMark/>
          </w:tcPr>
          <w:p w14:paraId="00574A0E"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1.98</w:t>
            </w:r>
          </w:p>
        </w:tc>
        <w:tc>
          <w:tcPr>
            <w:tcW w:w="1343" w:type="dxa"/>
            <w:tcBorders>
              <w:top w:val="dotted" w:sz="4" w:space="0" w:color="auto"/>
              <w:left w:val="nil"/>
              <w:bottom w:val="dotted" w:sz="4" w:space="0" w:color="auto"/>
              <w:right w:val="dotted" w:sz="4" w:space="0" w:color="auto"/>
            </w:tcBorders>
            <w:hideMark/>
          </w:tcPr>
          <w:p w14:paraId="2FC0AFE9"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0.2</w:t>
            </w:r>
          </w:p>
        </w:tc>
        <w:tc>
          <w:tcPr>
            <w:tcW w:w="1260" w:type="dxa"/>
            <w:tcBorders>
              <w:top w:val="dotted" w:sz="4" w:space="0" w:color="auto"/>
              <w:left w:val="nil"/>
              <w:bottom w:val="dotted" w:sz="4" w:space="0" w:color="auto"/>
              <w:right w:val="dotted" w:sz="4" w:space="0" w:color="auto"/>
            </w:tcBorders>
            <w:hideMark/>
          </w:tcPr>
          <w:p w14:paraId="0E2959A9"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0.3</w:t>
            </w:r>
          </w:p>
        </w:tc>
        <w:tc>
          <w:tcPr>
            <w:tcW w:w="1170" w:type="dxa"/>
            <w:tcBorders>
              <w:top w:val="dotted" w:sz="4" w:space="0" w:color="auto"/>
              <w:left w:val="nil"/>
              <w:bottom w:val="dotted" w:sz="4" w:space="0" w:color="auto"/>
              <w:right w:val="dotted" w:sz="4" w:space="0" w:color="auto"/>
            </w:tcBorders>
            <w:hideMark/>
          </w:tcPr>
          <w:p w14:paraId="63616C5A"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0.52</w:t>
            </w:r>
          </w:p>
        </w:tc>
        <w:tc>
          <w:tcPr>
            <w:tcW w:w="1530" w:type="dxa"/>
            <w:tcBorders>
              <w:top w:val="dotted" w:sz="4" w:space="0" w:color="auto"/>
              <w:left w:val="nil"/>
              <w:bottom w:val="dotted" w:sz="4" w:space="0" w:color="auto"/>
              <w:right w:val="dotted" w:sz="4" w:space="0" w:color="auto"/>
            </w:tcBorders>
            <w:hideMark/>
          </w:tcPr>
          <w:p w14:paraId="2B86AF3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0.4 </w:t>
            </w:r>
            <w:r>
              <w:rPr>
                <w:rFonts w:cs="Calibri"/>
                <w:color w:val="000000"/>
                <w:sz w:val="24"/>
                <w:szCs w:val="24"/>
              </w:rPr>
              <w:t xml:space="preserve">– </w:t>
            </w:r>
            <w:r>
              <w:rPr>
                <w:rFonts w:ascii="Times New Roman" w:hAnsi="Times New Roman"/>
                <w:color w:val="000000"/>
                <w:sz w:val="24"/>
                <w:szCs w:val="24"/>
              </w:rPr>
              <w:t>0.7</w:t>
            </w:r>
          </w:p>
        </w:tc>
      </w:tr>
      <w:tr w:rsidR="00281F27" w14:paraId="3C90D264"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593C2B90"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Ash (%)</w:t>
            </w:r>
          </w:p>
        </w:tc>
        <w:tc>
          <w:tcPr>
            <w:tcW w:w="1350" w:type="dxa"/>
            <w:tcBorders>
              <w:top w:val="dotted" w:sz="4" w:space="0" w:color="auto"/>
              <w:left w:val="nil"/>
              <w:bottom w:val="dotted" w:sz="4" w:space="0" w:color="auto"/>
              <w:right w:val="dotted" w:sz="4" w:space="0" w:color="auto"/>
            </w:tcBorders>
            <w:hideMark/>
          </w:tcPr>
          <w:p w14:paraId="74601DE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6.99±0.3</w:t>
            </w:r>
          </w:p>
        </w:tc>
        <w:tc>
          <w:tcPr>
            <w:tcW w:w="1177" w:type="dxa"/>
            <w:tcBorders>
              <w:top w:val="dotted" w:sz="4" w:space="0" w:color="auto"/>
              <w:left w:val="nil"/>
              <w:bottom w:val="dotted" w:sz="4" w:space="0" w:color="auto"/>
              <w:right w:val="dotted" w:sz="4" w:space="0" w:color="auto"/>
            </w:tcBorders>
            <w:hideMark/>
          </w:tcPr>
          <w:p w14:paraId="266945D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4.87</w:t>
            </w:r>
          </w:p>
        </w:tc>
        <w:tc>
          <w:tcPr>
            <w:tcW w:w="1343" w:type="dxa"/>
            <w:tcBorders>
              <w:top w:val="dotted" w:sz="4" w:space="0" w:color="auto"/>
              <w:left w:val="nil"/>
              <w:bottom w:val="dotted" w:sz="4" w:space="0" w:color="auto"/>
              <w:right w:val="dotted" w:sz="4" w:space="0" w:color="auto"/>
            </w:tcBorders>
            <w:hideMark/>
          </w:tcPr>
          <w:p w14:paraId="2FAA5328"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5.20</w:t>
            </w:r>
          </w:p>
        </w:tc>
        <w:tc>
          <w:tcPr>
            <w:tcW w:w="1260" w:type="dxa"/>
            <w:tcBorders>
              <w:top w:val="dotted" w:sz="4" w:space="0" w:color="auto"/>
              <w:left w:val="nil"/>
              <w:bottom w:val="dotted" w:sz="4" w:space="0" w:color="auto"/>
              <w:right w:val="dotted" w:sz="4" w:space="0" w:color="auto"/>
            </w:tcBorders>
            <w:hideMark/>
          </w:tcPr>
          <w:p w14:paraId="3444E286"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4.5</w:t>
            </w:r>
          </w:p>
        </w:tc>
        <w:tc>
          <w:tcPr>
            <w:tcW w:w="1170" w:type="dxa"/>
            <w:tcBorders>
              <w:top w:val="dotted" w:sz="4" w:space="0" w:color="auto"/>
              <w:left w:val="nil"/>
              <w:bottom w:val="dotted" w:sz="4" w:space="0" w:color="auto"/>
              <w:right w:val="dotted" w:sz="4" w:space="0" w:color="auto"/>
            </w:tcBorders>
            <w:hideMark/>
          </w:tcPr>
          <w:p w14:paraId="51B302F9"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5.83</w:t>
            </w:r>
          </w:p>
        </w:tc>
        <w:tc>
          <w:tcPr>
            <w:tcW w:w="1530" w:type="dxa"/>
            <w:tcBorders>
              <w:top w:val="dotted" w:sz="4" w:space="0" w:color="auto"/>
              <w:left w:val="nil"/>
              <w:bottom w:val="dotted" w:sz="4" w:space="0" w:color="auto"/>
              <w:right w:val="dotted" w:sz="4" w:space="0" w:color="auto"/>
            </w:tcBorders>
            <w:hideMark/>
          </w:tcPr>
          <w:p w14:paraId="5B85F18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5.5 </w:t>
            </w:r>
            <w:r>
              <w:rPr>
                <w:rFonts w:cs="Calibri"/>
                <w:color w:val="000000"/>
                <w:sz w:val="24"/>
                <w:szCs w:val="24"/>
              </w:rPr>
              <w:t xml:space="preserve">– </w:t>
            </w:r>
            <w:r>
              <w:rPr>
                <w:rFonts w:ascii="Times New Roman" w:hAnsi="Times New Roman"/>
                <w:color w:val="000000"/>
                <w:sz w:val="24"/>
                <w:szCs w:val="24"/>
              </w:rPr>
              <w:t xml:space="preserve">6.6 </w:t>
            </w:r>
          </w:p>
        </w:tc>
      </w:tr>
      <w:tr w:rsidR="00281F27" w14:paraId="79D521B6"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1AE41F32"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Crude fibre (%)</w:t>
            </w:r>
          </w:p>
        </w:tc>
        <w:tc>
          <w:tcPr>
            <w:tcW w:w="1350" w:type="dxa"/>
            <w:tcBorders>
              <w:top w:val="dotted" w:sz="4" w:space="0" w:color="auto"/>
              <w:left w:val="nil"/>
              <w:bottom w:val="dotted" w:sz="4" w:space="0" w:color="auto"/>
              <w:right w:val="dotted" w:sz="4" w:space="0" w:color="auto"/>
            </w:tcBorders>
            <w:hideMark/>
          </w:tcPr>
          <w:p w14:paraId="3C8D84FA"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6.96±0.1</w:t>
            </w:r>
          </w:p>
        </w:tc>
        <w:tc>
          <w:tcPr>
            <w:tcW w:w="1177" w:type="dxa"/>
            <w:tcBorders>
              <w:top w:val="dotted" w:sz="4" w:space="0" w:color="auto"/>
              <w:left w:val="nil"/>
              <w:bottom w:val="dotted" w:sz="4" w:space="0" w:color="auto"/>
              <w:right w:val="dotted" w:sz="4" w:space="0" w:color="auto"/>
            </w:tcBorders>
            <w:hideMark/>
          </w:tcPr>
          <w:p w14:paraId="1C332D0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6.29</w:t>
            </w:r>
          </w:p>
        </w:tc>
        <w:tc>
          <w:tcPr>
            <w:tcW w:w="1343" w:type="dxa"/>
            <w:tcBorders>
              <w:top w:val="dotted" w:sz="4" w:space="0" w:color="auto"/>
              <w:left w:val="nil"/>
              <w:bottom w:val="dotted" w:sz="4" w:space="0" w:color="auto"/>
              <w:right w:val="dotted" w:sz="4" w:space="0" w:color="auto"/>
            </w:tcBorders>
            <w:hideMark/>
          </w:tcPr>
          <w:p w14:paraId="725461C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5.63</w:t>
            </w:r>
          </w:p>
        </w:tc>
        <w:tc>
          <w:tcPr>
            <w:tcW w:w="1260" w:type="dxa"/>
            <w:tcBorders>
              <w:top w:val="dotted" w:sz="4" w:space="0" w:color="auto"/>
              <w:left w:val="nil"/>
              <w:bottom w:val="dotted" w:sz="4" w:space="0" w:color="auto"/>
              <w:right w:val="dotted" w:sz="4" w:space="0" w:color="auto"/>
            </w:tcBorders>
            <w:hideMark/>
          </w:tcPr>
          <w:p w14:paraId="2A38EF02"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170" w:type="dxa"/>
            <w:tcBorders>
              <w:top w:val="dotted" w:sz="4" w:space="0" w:color="auto"/>
              <w:left w:val="nil"/>
              <w:bottom w:val="dotted" w:sz="4" w:space="0" w:color="auto"/>
              <w:right w:val="dotted" w:sz="4" w:space="0" w:color="auto"/>
            </w:tcBorders>
            <w:hideMark/>
          </w:tcPr>
          <w:p w14:paraId="6535EB2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5.05</w:t>
            </w:r>
          </w:p>
        </w:tc>
        <w:tc>
          <w:tcPr>
            <w:tcW w:w="1530" w:type="dxa"/>
            <w:tcBorders>
              <w:top w:val="dotted" w:sz="4" w:space="0" w:color="auto"/>
              <w:left w:val="nil"/>
              <w:bottom w:val="dotted" w:sz="4" w:space="0" w:color="auto"/>
              <w:right w:val="dotted" w:sz="4" w:space="0" w:color="auto"/>
            </w:tcBorders>
            <w:hideMark/>
          </w:tcPr>
          <w:p w14:paraId="608C1A2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r>
      <w:tr w:rsidR="00281F27" w14:paraId="4557D45F"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007B3C81" w14:textId="77777777" w:rsidR="00281F27" w:rsidRDefault="00281F27">
            <w:pPr>
              <w:spacing w:before="0" w:beforeAutospacing="0" w:line="360" w:lineRule="auto"/>
              <w:jc w:val="both"/>
              <w:rPr>
                <w:rFonts w:ascii="Times New Roman" w:hAnsi="Times New Roman"/>
                <w:color w:val="000000"/>
                <w:sz w:val="24"/>
                <w:szCs w:val="24"/>
              </w:rPr>
            </w:pPr>
            <w:commentRangeStart w:id="34"/>
            <w:r>
              <w:rPr>
                <w:rFonts w:ascii="Times New Roman" w:hAnsi="Times New Roman"/>
                <w:color w:val="000000"/>
                <w:sz w:val="24"/>
                <w:szCs w:val="24"/>
              </w:rPr>
              <w:t>Carbohydrate</w:t>
            </w:r>
            <w:commentRangeEnd w:id="34"/>
            <w:r w:rsidR="00EC010F">
              <w:rPr>
                <w:rStyle w:val="CommentReference"/>
              </w:rPr>
              <w:commentReference w:id="34"/>
            </w:r>
            <w:r>
              <w:rPr>
                <w:rFonts w:ascii="Times New Roman" w:hAnsi="Times New Roman"/>
                <w:color w:val="000000"/>
                <w:sz w:val="24"/>
                <w:szCs w:val="24"/>
              </w:rPr>
              <w:t xml:space="preserve"> (%)</w:t>
            </w:r>
          </w:p>
        </w:tc>
        <w:tc>
          <w:tcPr>
            <w:tcW w:w="1350" w:type="dxa"/>
            <w:tcBorders>
              <w:top w:val="dotted" w:sz="4" w:space="0" w:color="auto"/>
              <w:left w:val="nil"/>
              <w:bottom w:val="dotted" w:sz="4" w:space="0" w:color="auto"/>
              <w:right w:val="dotted" w:sz="4" w:space="0" w:color="auto"/>
            </w:tcBorders>
            <w:hideMark/>
          </w:tcPr>
          <w:p w14:paraId="12CCDE3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78.55±0.2</w:t>
            </w:r>
          </w:p>
        </w:tc>
        <w:tc>
          <w:tcPr>
            <w:tcW w:w="1177" w:type="dxa"/>
            <w:tcBorders>
              <w:top w:val="dotted" w:sz="4" w:space="0" w:color="auto"/>
              <w:left w:val="nil"/>
              <w:bottom w:val="dotted" w:sz="4" w:space="0" w:color="auto"/>
              <w:right w:val="dotted" w:sz="4" w:space="0" w:color="auto"/>
            </w:tcBorders>
            <w:hideMark/>
          </w:tcPr>
          <w:p w14:paraId="58764E35"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83.58</w:t>
            </w:r>
          </w:p>
        </w:tc>
        <w:tc>
          <w:tcPr>
            <w:tcW w:w="1343" w:type="dxa"/>
            <w:tcBorders>
              <w:top w:val="dotted" w:sz="4" w:space="0" w:color="auto"/>
              <w:left w:val="nil"/>
              <w:bottom w:val="dotted" w:sz="4" w:space="0" w:color="auto"/>
              <w:right w:val="dotted" w:sz="4" w:space="0" w:color="auto"/>
            </w:tcBorders>
            <w:hideMark/>
          </w:tcPr>
          <w:p w14:paraId="4DA32540"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72.00</w:t>
            </w:r>
          </w:p>
        </w:tc>
        <w:tc>
          <w:tcPr>
            <w:tcW w:w="1260" w:type="dxa"/>
            <w:tcBorders>
              <w:top w:val="dotted" w:sz="4" w:space="0" w:color="auto"/>
              <w:left w:val="nil"/>
              <w:bottom w:val="dotted" w:sz="4" w:space="0" w:color="auto"/>
              <w:right w:val="dotted" w:sz="4" w:space="0" w:color="auto"/>
            </w:tcBorders>
            <w:hideMark/>
          </w:tcPr>
          <w:p w14:paraId="06D8F041"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76.2</w:t>
            </w:r>
          </w:p>
        </w:tc>
        <w:tc>
          <w:tcPr>
            <w:tcW w:w="1170" w:type="dxa"/>
            <w:tcBorders>
              <w:top w:val="dotted" w:sz="4" w:space="0" w:color="auto"/>
              <w:left w:val="nil"/>
              <w:bottom w:val="dotted" w:sz="4" w:space="0" w:color="auto"/>
              <w:right w:val="dotted" w:sz="4" w:space="0" w:color="auto"/>
            </w:tcBorders>
            <w:hideMark/>
          </w:tcPr>
          <w:p w14:paraId="4B85A596"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77.47</w:t>
            </w:r>
          </w:p>
        </w:tc>
        <w:tc>
          <w:tcPr>
            <w:tcW w:w="1530" w:type="dxa"/>
            <w:tcBorders>
              <w:top w:val="dotted" w:sz="4" w:space="0" w:color="auto"/>
              <w:left w:val="nil"/>
              <w:bottom w:val="dotted" w:sz="4" w:space="0" w:color="auto"/>
              <w:right w:val="dotted" w:sz="4" w:space="0" w:color="auto"/>
            </w:tcBorders>
            <w:hideMark/>
          </w:tcPr>
          <w:p w14:paraId="612E3944"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78.3 </w:t>
            </w:r>
            <w:r>
              <w:rPr>
                <w:rFonts w:cs="Calibri"/>
                <w:color w:val="000000"/>
                <w:sz w:val="24"/>
                <w:szCs w:val="24"/>
              </w:rPr>
              <w:t xml:space="preserve">– </w:t>
            </w:r>
            <w:r>
              <w:rPr>
                <w:rFonts w:ascii="Times New Roman" w:hAnsi="Times New Roman"/>
                <w:color w:val="000000"/>
                <w:sz w:val="24"/>
                <w:szCs w:val="24"/>
              </w:rPr>
              <w:t>78.9</w:t>
            </w:r>
          </w:p>
        </w:tc>
      </w:tr>
      <w:tr w:rsidR="00281F27" w14:paraId="5EDA9128" w14:textId="77777777" w:rsidTr="00281F27">
        <w:tc>
          <w:tcPr>
            <w:tcW w:w="1525" w:type="dxa"/>
            <w:tcBorders>
              <w:top w:val="dotted" w:sz="4" w:space="0" w:color="auto"/>
              <w:left w:val="dotted" w:sz="4" w:space="0" w:color="auto"/>
              <w:bottom w:val="single" w:sz="8" w:space="0" w:color="000000"/>
              <w:right w:val="dotted" w:sz="4" w:space="0" w:color="auto"/>
            </w:tcBorders>
            <w:hideMark/>
          </w:tcPr>
          <w:p w14:paraId="557B2537"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Energy (kcal/g)</w:t>
            </w:r>
          </w:p>
        </w:tc>
        <w:tc>
          <w:tcPr>
            <w:tcW w:w="1350" w:type="dxa"/>
            <w:tcBorders>
              <w:top w:val="dotted" w:sz="4" w:space="0" w:color="auto"/>
              <w:left w:val="nil"/>
              <w:bottom w:val="single" w:sz="8" w:space="0" w:color="000000"/>
              <w:right w:val="dotted" w:sz="4" w:space="0" w:color="auto"/>
            </w:tcBorders>
            <w:hideMark/>
          </w:tcPr>
          <w:p w14:paraId="704F8D9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330.53±1.4</w:t>
            </w:r>
          </w:p>
        </w:tc>
        <w:tc>
          <w:tcPr>
            <w:tcW w:w="1177" w:type="dxa"/>
            <w:tcBorders>
              <w:top w:val="dotted" w:sz="4" w:space="0" w:color="auto"/>
              <w:left w:val="nil"/>
              <w:bottom w:val="single" w:sz="8" w:space="0" w:color="000000"/>
              <w:right w:val="dotted" w:sz="4" w:space="0" w:color="auto"/>
            </w:tcBorders>
            <w:hideMark/>
          </w:tcPr>
          <w:p w14:paraId="36F8A9A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343" w:type="dxa"/>
            <w:tcBorders>
              <w:top w:val="dotted" w:sz="4" w:space="0" w:color="auto"/>
              <w:left w:val="nil"/>
              <w:bottom w:val="single" w:sz="8" w:space="0" w:color="000000"/>
              <w:right w:val="dotted" w:sz="4" w:space="0" w:color="auto"/>
            </w:tcBorders>
            <w:hideMark/>
          </w:tcPr>
          <w:p w14:paraId="7C927CE8"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260" w:type="dxa"/>
            <w:tcBorders>
              <w:top w:val="dotted" w:sz="4" w:space="0" w:color="auto"/>
              <w:left w:val="nil"/>
              <w:bottom w:val="single" w:sz="8" w:space="0" w:color="000000"/>
              <w:right w:val="dotted" w:sz="4" w:space="0" w:color="auto"/>
            </w:tcBorders>
            <w:hideMark/>
          </w:tcPr>
          <w:p w14:paraId="1ACEC46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320.3</w:t>
            </w:r>
          </w:p>
        </w:tc>
        <w:tc>
          <w:tcPr>
            <w:tcW w:w="1170" w:type="dxa"/>
            <w:tcBorders>
              <w:top w:val="dotted" w:sz="4" w:space="0" w:color="auto"/>
              <w:left w:val="nil"/>
              <w:bottom w:val="single" w:sz="8" w:space="0" w:color="000000"/>
              <w:right w:val="dotted" w:sz="4" w:space="0" w:color="auto"/>
            </w:tcBorders>
            <w:hideMark/>
          </w:tcPr>
          <w:p w14:paraId="09522BB2"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color w:val="000000"/>
                <w:sz w:val="24"/>
                <w:szCs w:val="24"/>
              </w:rPr>
              <w:t>NA</w:t>
            </w:r>
          </w:p>
        </w:tc>
        <w:tc>
          <w:tcPr>
            <w:tcW w:w="1530" w:type="dxa"/>
            <w:tcBorders>
              <w:top w:val="dotted" w:sz="4" w:space="0" w:color="auto"/>
              <w:left w:val="nil"/>
              <w:bottom w:val="single" w:sz="8" w:space="0" w:color="000000"/>
              <w:right w:val="dotted" w:sz="4" w:space="0" w:color="auto"/>
            </w:tcBorders>
            <w:hideMark/>
          </w:tcPr>
          <w:p w14:paraId="3062F194"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r>
    </w:tbl>
    <w:p w14:paraId="01FF95EF"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The fat content in baobab pulp powder was found to be very low at 0.63±0.2%. Similarly, the fat content in African locust bean pulp powder was 0.85±0.06% (Akubor, 2023). The fat content in Sudanese baobab pulp powder was found to be 0.52% (</w:t>
      </w:r>
      <w:proofErr w:type="spellStart"/>
      <w:r>
        <w:rPr>
          <w:rFonts w:ascii="Times New Roman" w:hAnsi="Times New Roman"/>
          <w:color w:val="252525"/>
          <w:sz w:val="24"/>
          <w:szCs w:val="24"/>
        </w:rPr>
        <w:t>Dangago</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et al.,</w:t>
      </w:r>
      <w:r>
        <w:rPr>
          <w:rFonts w:ascii="Times New Roman" w:hAnsi="Times New Roman"/>
          <w:color w:val="252525"/>
          <w:sz w:val="24"/>
          <w:szCs w:val="24"/>
        </w:rPr>
        <w:t xml:space="preserve"> 2016). Study has shown that the fat contents of non-timber forest products are low (Osman, 2004; Aluko </w:t>
      </w:r>
      <w:r>
        <w:rPr>
          <w:rFonts w:ascii="Times New Roman" w:hAnsi="Times New Roman"/>
          <w:i/>
          <w:iCs/>
          <w:color w:val="252525"/>
          <w:sz w:val="24"/>
          <w:szCs w:val="24"/>
        </w:rPr>
        <w:t>et al</w:t>
      </w:r>
      <w:r>
        <w:rPr>
          <w:rFonts w:ascii="Times New Roman" w:hAnsi="Times New Roman"/>
          <w:color w:val="252525"/>
          <w:sz w:val="24"/>
          <w:szCs w:val="24"/>
        </w:rPr>
        <w:t xml:space="preserve">., 2016), however, the fat content found in this study commensurate with what is recommended by EUC decision on fat content in baobab pulp which is 0.4 – 0.7% (Vassiliou, 2008). </w:t>
      </w:r>
    </w:p>
    <w:p w14:paraId="4527A29A"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The ash content of food influences the amount of minerals present. Minerals can be either macro or micro-minerals. Food ash content is advantageous for nutritional, quality, and microbiological stability (Bilge et al., 2016). In this investigation, the ash content was found to be 6.99±0.3%. Similar ash content values have been reported in baobab pulp powder from other countries (Aluko et al. (2016), </w:t>
      </w:r>
      <w:proofErr w:type="spellStart"/>
      <w:r>
        <w:rPr>
          <w:rFonts w:ascii="Times New Roman" w:hAnsi="Times New Roman"/>
          <w:color w:val="252525"/>
          <w:sz w:val="24"/>
          <w:szCs w:val="24"/>
        </w:rPr>
        <w:t>Dandago</w:t>
      </w:r>
      <w:proofErr w:type="spellEnd"/>
      <w:r>
        <w:rPr>
          <w:rFonts w:ascii="Times New Roman" w:hAnsi="Times New Roman"/>
          <w:color w:val="252525"/>
          <w:sz w:val="24"/>
          <w:szCs w:val="24"/>
        </w:rPr>
        <w:t xml:space="preserve"> </w:t>
      </w:r>
      <w:commentRangeStart w:id="35"/>
      <w:r>
        <w:rPr>
          <w:rFonts w:ascii="Times New Roman" w:hAnsi="Times New Roman"/>
          <w:color w:val="252525"/>
          <w:sz w:val="24"/>
          <w:szCs w:val="24"/>
        </w:rPr>
        <w:t>et al</w:t>
      </w:r>
      <w:commentRangeEnd w:id="35"/>
      <w:r w:rsidR="001D5E48">
        <w:rPr>
          <w:rStyle w:val="CommentReference"/>
        </w:rPr>
        <w:commentReference w:id="35"/>
      </w:r>
      <w:r>
        <w:rPr>
          <w:rFonts w:ascii="Times New Roman" w:hAnsi="Times New Roman"/>
          <w:color w:val="252525"/>
          <w:sz w:val="24"/>
          <w:szCs w:val="24"/>
        </w:rPr>
        <w:t xml:space="preserve">. (2016), and </w:t>
      </w:r>
      <w:proofErr w:type="spellStart"/>
      <w:r>
        <w:rPr>
          <w:rFonts w:ascii="Times New Roman" w:hAnsi="Times New Roman"/>
          <w:color w:val="252525"/>
          <w:sz w:val="24"/>
          <w:szCs w:val="24"/>
        </w:rPr>
        <w:t>Erwa</w:t>
      </w:r>
      <w:proofErr w:type="spellEnd"/>
      <w:r>
        <w:rPr>
          <w:rFonts w:ascii="Times New Roman" w:hAnsi="Times New Roman"/>
          <w:color w:val="252525"/>
          <w:sz w:val="24"/>
          <w:szCs w:val="24"/>
        </w:rPr>
        <w:t xml:space="preserve"> </w:t>
      </w:r>
      <w:commentRangeStart w:id="36"/>
      <w:r>
        <w:rPr>
          <w:rFonts w:ascii="Times New Roman" w:hAnsi="Times New Roman"/>
          <w:color w:val="252525"/>
          <w:sz w:val="24"/>
          <w:szCs w:val="24"/>
        </w:rPr>
        <w:t>et al</w:t>
      </w:r>
      <w:commentRangeEnd w:id="36"/>
      <w:r w:rsidR="001D5E48">
        <w:rPr>
          <w:rStyle w:val="CommentReference"/>
        </w:rPr>
        <w:commentReference w:id="36"/>
      </w:r>
      <w:r>
        <w:rPr>
          <w:rFonts w:ascii="Times New Roman" w:hAnsi="Times New Roman"/>
          <w:color w:val="252525"/>
          <w:sz w:val="24"/>
          <w:szCs w:val="24"/>
        </w:rPr>
        <w:t xml:space="preserve">. (2019). The ash concentration detected in this study was higher than the 5.5 - 5.6% range defined by the EUC decision for baobab pulp. Fibre content in food is vital for the prevention of constipation, maintaining a healthy weight and others. Studies have shown that the average intake of fibre is 14 grams for each 1000 calories for all ages (Madhu </w:t>
      </w:r>
      <w:r>
        <w:rPr>
          <w:rFonts w:ascii="Times New Roman" w:hAnsi="Times New Roman"/>
          <w:i/>
          <w:iCs/>
          <w:color w:val="252525"/>
          <w:sz w:val="24"/>
          <w:szCs w:val="24"/>
        </w:rPr>
        <w:t>et al.,</w:t>
      </w:r>
      <w:r>
        <w:rPr>
          <w:rFonts w:ascii="Times New Roman" w:hAnsi="Times New Roman"/>
          <w:color w:val="252525"/>
          <w:sz w:val="24"/>
          <w:szCs w:val="24"/>
        </w:rPr>
        <w:t xml:space="preserve"> 2017). The fibre content in this study was found to be 6.96±0.1%. Similar to this, </w:t>
      </w:r>
      <w:proofErr w:type="spellStart"/>
      <w:r>
        <w:rPr>
          <w:rFonts w:ascii="Times New Roman" w:hAnsi="Times New Roman"/>
          <w:sz w:val="24"/>
          <w:szCs w:val="24"/>
        </w:rPr>
        <w:t>Fatokun</w:t>
      </w:r>
      <w:proofErr w:type="spellEnd"/>
      <w:r>
        <w:rPr>
          <w:rFonts w:ascii="Times New Roman" w:hAnsi="Times New Roman"/>
          <w:sz w:val="24"/>
          <w:szCs w:val="24"/>
        </w:rPr>
        <w:t xml:space="preserve"> and </w:t>
      </w:r>
      <w:proofErr w:type="spellStart"/>
      <w:r>
        <w:rPr>
          <w:rFonts w:ascii="Times New Roman" w:hAnsi="Times New Roman"/>
          <w:sz w:val="24"/>
          <w:szCs w:val="24"/>
        </w:rPr>
        <w:t>Akanji</w:t>
      </w:r>
      <w:proofErr w:type="spellEnd"/>
      <w:r>
        <w:rPr>
          <w:rFonts w:ascii="Times New Roman" w:hAnsi="Times New Roman"/>
          <w:color w:val="252525"/>
          <w:sz w:val="24"/>
          <w:szCs w:val="24"/>
        </w:rPr>
        <w:t xml:space="preserve"> (2012) found 5.7± 0.3% fibre content in the pulp of baobab fruit.</w:t>
      </w:r>
    </w:p>
    <w:p w14:paraId="1C95D14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hAnsi="Times New Roman"/>
          <w:color w:val="252525"/>
          <w:sz w:val="24"/>
          <w:szCs w:val="24"/>
        </w:rPr>
        <w:lastRenderedPageBreak/>
        <w:t>The carbohydrate and energy contents were found to be 78.55±0.2% and 330.53±1.4 kcal/g, respectively. Osman (2004) observed 320.3 kJ/100 g of energy in baobab pulp powder. The carbohydrate content in African locust bean was observed at 63.7% (</w:t>
      </w:r>
      <w:proofErr w:type="spellStart"/>
      <w:r>
        <w:rPr>
          <w:rFonts w:ascii="Times New Roman" w:hAnsi="Times New Roman"/>
          <w:color w:val="252525"/>
          <w:sz w:val="24"/>
          <w:szCs w:val="24"/>
        </w:rPr>
        <w:t>Gernah</w:t>
      </w:r>
      <w:proofErr w:type="spellEnd"/>
      <w:r>
        <w:rPr>
          <w:rFonts w:ascii="Times New Roman" w:hAnsi="Times New Roman"/>
          <w:color w:val="252525"/>
          <w:sz w:val="24"/>
          <w:szCs w:val="24"/>
        </w:rPr>
        <w:t xml:space="preserve"> </w:t>
      </w:r>
      <w:commentRangeStart w:id="37"/>
      <w:r>
        <w:rPr>
          <w:rFonts w:ascii="Times New Roman" w:hAnsi="Times New Roman"/>
          <w:color w:val="252525"/>
          <w:sz w:val="24"/>
          <w:szCs w:val="24"/>
        </w:rPr>
        <w:t xml:space="preserve">et al., </w:t>
      </w:r>
      <w:commentRangeEnd w:id="37"/>
      <w:r w:rsidR="001D5E48">
        <w:rPr>
          <w:rStyle w:val="CommentReference"/>
        </w:rPr>
        <w:commentReference w:id="37"/>
      </w:r>
      <w:r>
        <w:rPr>
          <w:rFonts w:ascii="Times New Roman" w:hAnsi="Times New Roman"/>
          <w:color w:val="252525"/>
          <w:sz w:val="24"/>
          <w:szCs w:val="24"/>
        </w:rPr>
        <w:t xml:space="preserve">2007), which is lower than what was found in baobab pulp in this study. Monteiro </w:t>
      </w:r>
      <w:r>
        <w:rPr>
          <w:rFonts w:ascii="Times New Roman" w:hAnsi="Times New Roman"/>
          <w:i/>
          <w:color w:val="252525"/>
          <w:sz w:val="24"/>
          <w:szCs w:val="24"/>
        </w:rPr>
        <w:t xml:space="preserve">et al. </w:t>
      </w:r>
      <w:r>
        <w:rPr>
          <w:rFonts w:ascii="Times New Roman" w:hAnsi="Times New Roman"/>
          <w:color w:val="252525"/>
          <w:sz w:val="24"/>
          <w:szCs w:val="24"/>
        </w:rPr>
        <w:t xml:space="preserve">(2022) found the energy level of baobab pulp ranging from 1208kJ/100 g to 1262 kJ/100 g. The difference in the proximate analysis obtained in this study and what was found in other countries could be due to provenance, age, variety and sample pre-treatment and </w:t>
      </w:r>
      <w:proofErr w:type="spellStart"/>
      <w:r>
        <w:rPr>
          <w:rFonts w:ascii="Times New Roman" w:hAnsi="Times New Roman"/>
          <w:color w:val="252525"/>
          <w:sz w:val="24"/>
          <w:szCs w:val="24"/>
        </w:rPr>
        <w:t>proceddures</w:t>
      </w:r>
      <w:proofErr w:type="spellEnd"/>
      <w:r>
        <w:rPr>
          <w:rFonts w:ascii="Times New Roman" w:hAnsi="Times New Roman"/>
          <w:color w:val="252525"/>
          <w:sz w:val="24"/>
          <w:szCs w:val="24"/>
        </w:rPr>
        <w:t xml:space="preserve"> before analysis. The study has revealed a potential proximate composition of the baobab pulp powder which can be harnessed and included in food as nutrient supplement.</w:t>
      </w:r>
    </w:p>
    <w:p w14:paraId="3A8B6245" w14:textId="77777777" w:rsidR="00281F27" w:rsidRDefault="00281F27" w:rsidP="00281F27">
      <w:pPr>
        <w:spacing w:before="0" w:beforeAutospacing="0" w:after="0" w:line="360" w:lineRule="auto"/>
        <w:jc w:val="both"/>
        <w:rPr>
          <w:rFonts w:ascii="Times New Roman" w:eastAsia="Calibri" w:hAnsi="Times New Roman"/>
          <w:sz w:val="24"/>
          <w:szCs w:val="24"/>
        </w:rPr>
      </w:pPr>
      <w:commentRangeStart w:id="38"/>
      <w:commentRangeStart w:id="39"/>
      <w:r>
        <w:rPr>
          <w:noProof/>
          <w:lang w:val="en-US" w:eastAsia="en-US"/>
        </w:rPr>
        <w:drawing>
          <wp:inline distT="0" distB="0" distL="0" distR="0" wp14:anchorId="34678BFF" wp14:editId="03728D28">
            <wp:extent cx="5448300" cy="3486150"/>
            <wp:effectExtent l="0" t="0" r="0" b="0"/>
            <wp:docPr id="2" name="Picture 2" descr="C:\Users\USER\AppData\Local\Temp\ksohtml831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ksohtml8316\wps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3486150"/>
                    </a:xfrm>
                    <a:prstGeom prst="rect">
                      <a:avLst/>
                    </a:prstGeom>
                    <a:noFill/>
                    <a:ln>
                      <a:noFill/>
                    </a:ln>
                  </pic:spPr>
                </pic:pic>
              </a:graphicData>
            </a:graphic>
          </wp:inline>
        </w:drawing>
      </w:r>
      <w:commentRangeEnd w:id="38"/>
      <w:commentRangeEnd w:id="39"/>
      <w:r w:rsidR="002336BD">
        <w:rPr>
          <w:rStyle w:val="CommentReference"/>
        </w:rPr>
        <w:commentReference w:id="39"/>
      </w:r>
      <w:r w:rsidR="002336BD">
        <w:rPr>
          <w:rStyle w:val="CommentReference"/>
        </w:rPr>
        <w:commentReference w:id="38"/>
      </w:r>
      <w:r>
        <w:rPr>
          <w:rFonts w:ascii="Times New Roman" w:eastAsia="Calibri" w:hAnsi="Times New Roman"/>
          <w:sz w:val="24"/>
          <w:szCs w:val="24"/>
        </w:rPr>
        <w:t xml:space="preserve"> </w:t>
      </w:r>
    </w:p>
    <w:p w14:paraId="1045CF1B" w14:textId="77777777" w:rsidR="00281F27" w:rsidRDefault="00281F27" w:rsidP="00281F27">
      <w:pPr>
        <w:pStyle w:val="Caption"/>
        <w:spacing w:before="0" w:beforeAutospacing="0" w:after="0" w:line="360" w:lineRule="auto"/>
      </w:pPr>
      <w:bookmarkStart w:id="40" w:name="_Toc143783126"/>
      <w:bookmarkStart w:id="41" w:name="_Toc143783024"/>
      <w:bookmarkEnd w:id="40"/>
      <w:r>
        <w:t xml:space="preserve">Figure </w:t>
      </w:r>
      <w:bookmarkEnd w:id="41"/>
      <w:r>
        <w:t xml:space="preserve">3 </w:t>
      </w:r>
      <w:r>
        <w:rPr>
          <w:b w:val="0"/>
        </w:rPr>
        <w:t>Elemental mineral composition of baobab pulp</w:t>
      </w:r>
    </w:p>
    <w:p w14:paraId="6126F0B6"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The elemental mineral composition of the baobab pulp powder is shown in figure 3. For this study, the macro minerals were found at 2.39%, 0.42%, 0.16% and 0.08%, respectively for potassium, calcium, magnesium and phosphorus.  The micro minerals contents were observed at 130%, 85.5%, 31.81% and 2.6% for iron, zinc, copper and manganese, respectively. Iron (130%) was found to have the maximum elemental mineral in the fruit powder of the baobab, whereas, phosphorus (0.08%) had the lowest. Iron and zinc contents are used in fortification of food and the presence of these trace elements found in the baobab pulp is important. However, high contents in ingested food can be detrimental to human health and must be regulated (</w:t>
      </w:r>
      <w:proofErr w:type="spellStart"/>
      <w:r>
        <w:rPr>
          <w:rFonts w:ascii="Times New Roman" w:hAnsi="Times New Roman"/>
          <w:sz w:val="24"/>
          <w:szCs w:val="24"/>
        </w:rPr>
        <w:t>Kohgo</w:t>
      </w:r>
      <w:proofErr w:type="spellEnd"/>
      <w:r>
        <w:rPr>
          <w:rFonts w:ascii="Times New Roman" w:eastAsia="Calibri" w:hAnsi="Times New Roman"/>
          <w:sz w:val="24"/>
          <w:szCs w:val="24"/>
        </w:rPr>
        <w:t xml:space="preserve"> </w:t>
      </w:r>
      <w:r>
        <w:rPr>
          <w:rFonts w:ascii="Times New Roman" w:eastAsia="Calibri" w:hAnsi="Times New Roman"/>
          <w:i/>
          <w:sz w:val="24"/>
          <w:szCs w:val="24"/>
        </w:rPr>
        <w:t xml:space="preserve">et </w:t>
      </w:r>
      <w:r>
        <w:rPr>
          <w:rFonts w:ascii="Times New Roman" w:eastAsia="Calibri" w:hAnsi="Times New Roman"/>
          <w:i/>
          <w:sz w:val="24"/>
          <w:szCs w:val="24"/>
        </w:rPr>
        <w:lastRenderedPageBreak/>
        <w:t>al.,</w:t>
      </w:r>
      <w:r>
        <w:rPr>
          <w:rFonts w:ascii="Times New Roman" w:eastAsia="Calibri" w:hAnsi="Times New Roman"/>
          <w:sz w:val="24"/>
          <w:szCs w:val="24"/>
        </w:rPr>
        <w:t xml:space="preserve"> 2008). The potassium and phosphorus in baobab fruit powder are required in the human body for muscular contraction, nerve impulse transfer, correct bone and tooth maintenance and other physiological activities when consumed (</w:t>
      </w:r>
      <w:proofErr w:type="spellStart"/>
      <w:r>
        <w:rPr>
          <w:rFonts w:ascii="Times New Roman" w:eastAsia="Calibri" w:hAnsi="Times New Roman"/>
          <w:sz w:val="24"/>
          <w:szCs w:val="24"/>
        </w:rPr>
        <w:t>Muthai</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2017). These nutrients are necessary in meals for a balanced diet to prevent shortages that could lead to mild problems, but they can also hinder some of the body's essential processes and lead to life-threatening illnesses such as anaemia or even death in people with severe nutritional deficiencies (Schmitt </w:t>
      </w:r>
      <w:r>
        <w:rPr>
          <w:rFonts w:ascii="Times New Roman" w:eastAsia="Calibri" w:hAnsi="Times New Roman"/>
          <w:i/>
          <w:sz w:val="24"/>
          <w:szCs w:val="24"/>
        </w:rPr>
        <w:t>et al.,</w:t>
      </w:r>
      <w:r>
        <w:rPr>
          <w:rFonts w:ascii="Times New Roman" w:eastAsia="Calibri" w:hAnsi="Times New Roman"/>
          <w:sz w:val="24"/>
          <w:szCs w:val="24"/>
        </w:rPr>
        <w:t xml:space="preserve"> 2014).</w:t>
      </w:r>
    </w:p>
    <w:p w14:paraId="2DED4EE9"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Functional properties describe the behaviour of food ingredients during preparation and cooking as well as how they affect the final products' appearance, texture, structure, and flavours. The constituents of the food material, particularly the carbohydrates, proteins, fats and oils, moisture, fibre, ash, and other substances or food additives added to the food (flour), as well as the structures of these constituents, influence the functional properties of foods and flours (</w:t>
      </w:r>
      <w:proofErr w:type="spellStart"/>
      <w:r>
        <w:rPr>
          <w:rFonts w:ascii="Times New Roman" w:hAnsi="Times New Roman"/>
          <w:color w:val="252525"/>
          <w:sz w:val="24"/>
          <w:szCs w:val="24"/>
        </w:rPr>
        <w:t>Awuchi</w:t>
      </w:r>
      <w:proofErr w:type="spellEnd"/>
      <w:r>
        <w:rPr>
          <w:rFonts w:ascii="Times New Roman" w:hAnsi="Times New Roman"/>
          <w:color w:val="252525"/>
          <w:sz w:val="24"/>
          <w:szCs w:val="24"/>
        </w:rPr>
        <w:t xml:space="preserve"> et al., 2019). In Table 2 the oil absorption capacity (OAC) and water absorption capacity (WAC) were found to be 419.3±0.2 and 332.73±6.2, respectively. The WAC and OAC of the baobab pulp are dependent on the protein content of the pulp. An increase in OAC is due to an increase in the protein content of the pulp (</w:t>
      </w:r>
      <w:proofErr w:type="spellStart"/>
      <w:r>
        <w:rPr>
          <w:rFonts w:ascii="Times New Roman" w:hAnsi="Times New Roman"/>
          <w:color w:val="252525"/>
          <w:sz w:val="24"/>
          <w:szCs w:val="24"/>
        </w:rPr>
        <w:t>Awushi</w:t>
      </w:r>
      <w:proofErr w:type="spellEnd"/>
      <w:r>
        <w:rPr>
          <w:rFonts w:ascii="Times New Roman" w:hAnsi="Times New Roman"/>
          <w:color w:val="252525"/>
          <w:sz w:val="24"/>
          <w:szCs w:val="24"/>
        </w:rPr>
        <w:t xml:space="preserve"> et al., 2019). The OAC and WAC of the protein in the pulp are affected by intrinsic factors such as protein conformation, amino acid composition and surface polarity (Suresh and </w:t>
      </w:r>
      <w:proofErr w:type="spellStart"/>
      <w:r>
        <w:rPr>
          <w:rFonts w:ascii="Times New Roman" w:hAnsi="Times New Roman"/>
          <w:color w:val="252525"/>
          <w:sz w:val="24"/>
          <w:szCs w:val="24"/>
        </w:rPr>
        <w:t>Samshar</w:t>
      </w:r>
      <w:proofErr w:type="spellEnd"/>
      <w:r>
        <w:rPr>
          <w:rFonts w:ascii="Times New Roman" w:hAnsi="Times New Roman"/>
          <w:color w:val="252525"/>
          <w:sz w:val="24"/>
          <w:szCs w:val="24"/>
        </w:rPr>
        <w:t xml:space="preserve">, 2013). The higher WAC of the pulp in this study is associated with an increase in amylose leaching and solubility (Chandra </w:t>
      </w:r>
      <w:commentRangeStart w:id="42"/>
      <w:r>
        <w:rPr>
          <w:rFonts w:ascii="Times New Roman" w:hAnsi="Times New Roman"/>
          <w:color w:val="252525"/>
          <w:sz w:val="24"/>
          <w:szCs w:val="24"/>
        </w:rPr>
        <w:t>et al</w:t>
      </w:r>
      <w:commentRangeEnd w:id="42"/>
      <w:r w:rsidR="001D5E48">
        <w:rPr>
          <w:rStyle w:val="CommentReference"/>
        </w:rPr>
        <w:commentReference w:id="42"/>
      </w:r>
      <w:r>
        <w:rPr>
          <w:rFonts w:ascii="Times New Roman" w:hAnsi="Times New Roman"/>
          <w:color w:val="252525"/>
          <w:sz w:val="24"/>
          <w:szCs w:val="24"/>
        </w:rPr>
        <w:t xml:space="preserve">., 2015). The high WAC and OAC of the pulp in this study is due to the baobab pulp having high polar bonds, making it a hydrophilic constituent. Similar values for baobab pulp OAC and WAC from different countries have been reported (Ayobami </w:t>
      </w:r>
      <w:r>
        <w:rPr>
          <w:rFonts w:ascii="Times New Roman" w:hAnsi="Times New Roman"/>
          <w:i/>
          <w:iCs/>
          <w:color w:val="252525"/>
          <w:sz w:val="24"/>
          <w:szCs w:val="24"/>
        </w:rPr>
        <w:t>et al.,</w:t>
      </w:r>
      <w:r>
        <w:rPr>
          <w:rFonts w:ascii="Times New Roman" w:hAnsi="Times New Roman"/>
          <w:color w:val="252525"/>
          <w:sz w:val="24"/>
          <w:szCs w:val="24"/>
        </w:rPr>
        <w:t xml:space="preserve"> 2016; </w:t>
      </w:r>
      <w:proofErr w:type="spellStart"/>
      <w:r>
        <w:rPr>
          <w:rFonts w:ascii="Times New Roman" w:hAnsi="Times New Roman"/>
          <w:color w:val="252525"/>
          <w:sz w:val="24"/>
          <w:szCs w:val="24"/>
        </w:rPr>
        <w:t>Adeyeye</w:t>
      </w:r>
      <w:proofErr w:type="spellEnd"/>
      <w:r>
        <w:rPr>
          <w:rFonts w:ascii="Times New Roman" w:hAnsi="Times New Roman"/>
          <w:color w:val="252525"/>
          <w:sz w:val="24"/>
          <w:szCs w:val="24"/>
        </w:rPr>
        <w:t xml:space="preserve"> and </w:t>
      </w:r>
      <w:proofErr w:type="spellStart"/>
      <w:r>
        <w:rPr>
          <w:rFonts w:ascii="Times New Roman" w:hAnsi="Times New Roman"/>
          <w:color w:val="252525"/>
          <w:sz w:val="24"/>
          <w:szCs w:val="24"/>
        </w:rPr>
        <w:t>Akingbala</w:t>
      </w:r>
      <w:proofErr w:type="spellEnd"/>
      <w:r>
        <w:rPr>
          <w:rFonts w:ascii="Times New Roman" w:hAnsi="Times New Roman"/>
          <w:color w:val="252525"/>
          <w:sz w:val="24"/>
          <w:szCs w:val="24"/>
        </w:rPr>
        <w:t>, 2015).</w:t>
      </w:r>
    </w:p>
    <w:p w14:paraId="03F8FD7E"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 </w:t>
      </w:r>
    </w:p>
    <w:p w14:paraId="02216AC6" w14:textId="77777777" w:rsidR="00281F27" w:rsidRDefault="00281F27" w:rsidP="00281F27">
      <w:pPr>
        <w:pStyle w:val="Caption"/>
        <w:spacing w:before="0" w:beforeAutospacing="0" w:after="0" w:line="360" w:lineRule="auto"/>
      </w:pPr>
      <w:bookmarkStart w:id="43" w:name="_Toc143175139"/>
      <w:bookmarkStart w:id="44" w:name="_Toc143196473"/>
      <w:bookmarkEnd w:id="43"/>
      <w:r>
        <w:t xml:space="preserve">Table </w:t>
      </w:r>
      <w:bookmarkEnd w:id="44"/>
      <w:r>
        <w:t xml:space="preserve">2 </w:t>
      </w:r>
      <w:r>
        <w:rPr>
          <w:b w:val="0"/>
        </w:rPr>
        <w:t>Functional properties of baobab pulp</w:t>
      </w:r>
      <w:r>
        <w:t xml:space="preserve"> </w:t>
      </w:r>
    </w:p>
    <w:tbl>
      <w:tblPr>
        <w:tblStyle w:val="TableGrid"/>
        <w:tblW w:w="9777" w:type="dxa"/>
        <w:tblLayout w:type="fixed"/>
        <w:tblLook w:val="04A0" w:firstRow="1" w:lastRow="0" w:firstColumn="1" w:lastColumn="0" w:noHBand="0" w:noVBand="1"/>
      </w:tblPr>
      <w:tblGrid>
        <w:gridCol w:w="1596"/>
        <w:gridCol w:w="1596"/>
        <w:gridCol w:w="1596"/>
        <w:gridCol w:w="1596"/>
        <w:gridCol w:w="1653"/>
        <w:gridCol w:w="1740"/>
      </w:tblGrid>
      <w:tr w:rsidR="00281F27" w14:paraId="739BEEEE" w14:textId="77777777" w:rsidTr="00281F27">
        <w:tc>
          <w:tcPr>
            <w:tcW w:w="1596" w:type="dxa"/>
            <w:tcBorders>
              <w:top w:val="single" w:sz="4" w:space="0" w:color="auto"/>
              <w:left w:val="single" w:sz="4" w:space="0" w:color="auto"/>
              <w:bottom w:val="single" w:sz="4" w:space="0" w:color="auto"/>
              <w:right w:val="single" w:sz="4" w:space="0" w:color="auto"/>
            </w:tcBorders>
            <w:hideMark/>
          </w:tcPr>
          <w:p w14:paraId="5709D08C"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b/>
                <w:sz w:val="24"/>
                <w:szCs w:val="24"/>
              </w:rPr>
              <w:t>Property</w:t>
            </w:r>
          </w:p>
        </w:tc>
        <w:tc>
          <w:tcPr>
            <w:tcW w:w="1596" w:type="dxa"/>
            <w:tcBorders>
              <w:top w:val="single" w:sz="4" w:space="0" w:color="auto"/>
              <w:left w:val="nil"/>
              <w:bottom w:val="single" w:sz="4" w:space="0" w:color="auto"/>
              <w:right w:val="single" w:sz="4" w:space="0" w:color="auto"/>
            </w:tcBorders>
            <w:hideMark/>
          </w:tcPr>
          <w:p w14:paraId="2E92618E"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Oil Absorption Capacity (%)</w:t>
            </w:r>
          </w:p>
        </w:tc>
        <w:tc>
          <w:tcPr>
            <w:tcW w:w="1596" w:type="dxa"/>
            <w:tcBorders>
              <w:top w:val="single" w:sz="4" w:space="0" w:color="auto"/>
              <w:left w:val="nil"/>
              <w:bottom w:val="single" w:sz="4" w:space="0" w:color="auto"/>
              <w:right w:val="single" w:sz="4" w:space="0" w:color="auto"/>
            </w:tcBorders>
            <w:hideMark/>
          </w:tcPr>
          <w:p w14:paraId="40B55522"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Water Absorption Capacity (%)</w:t>
            </w:r>
          </w:p>
        </w:tc>
        <w:tc>
          <w:tcPr>
            <w:tcW w:w="1596" w:type="dxa"/>
            <w:tcBorders>
              <w:top w:val="single" w:sz="4" w:space="0" w:color="auto"/>
              <w:left w:val="nil"/>
              <w:bottom w:val="single" w:sz="4" w:space="0" w:color="auto"/>
              <w:right w:val="single" w:sz="4" w:space="0" w:color="auto"/>
            </w:tcBorders>
            <w:hideMark/>
          </w:tcPr>
          <w:p w14:paraId="078FDD4F"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Swelling Power (%)</w:t>
            </w:r>
          </w:p>
        </w:tc>
        <w:tc>
          <w:tcPr>
            <w:tcW w:w="1653" w:type="dxa"/>
            <w:tcBorders>
              <w:top w:val="single" w:sz="4" w:space="0" w:color="auto"/>
              <w:left w:val="nil"/>
              <w:bottom w:val="single" w:sz="4" w:space="0" w:color="auto"/>
              <w:right w:val="single" w:sz="4" w:space="0" w:color="auto"/>
            </w:tcBorders>
            <w:hideMark/>
          </w:tcPr>
          <w:p w14:paraId="3529DF04"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Bulk Density (g/cm</w:t>
            </w:r>
            <w:r>
              <w:rPr>
                <w:rFonts w:ascii="Times New Roman" w:hAnsi="Times New Roman"/>
                <w:sz w:val="24"/>
                <w:szCs w:val="24"/>
                <w:vertAlign w:val="superscript"/>
              </w:rPr>
              <w:t>3</w:t>
            </w:r>
            <w:r>
              <w:rPr>
                <w:rFonts w:ascii="Times New Roman" w:hAnsi="Times New Roman"/>
                <w:sz w:val="24"/>
                <w:szCs w:val="24"/>
              </w:rPr>
              <w:t>)</w:t>
            </w:r>
          </w:p>
        </w:tc>
        <w:tc>
          <w:tcPr>
            <w:tcW w:w="1740" w:type="dxa"/>
            <w:tcBorders>
              <w:top w:val="single" w:sz="4" w:space="0" w:color="auto"/>
              <w:left w:val="nil"/>
              <w:bottom w:val="single" w:sz="4" w:space="0" w:color="auto"/>
              <w:right w:val="single" w:sz="4" w:space="0" w:color="auto"/>
            </w:tcBorders>
            <w:hideMark/>
          </w:tcPr>
          <w:p w14:paraId="225D6297"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Solubility Index (%)</w:t>
            </w:r>
          </w:p>
        </w:tc>
      </w:tr>
      <w:tr w:rsidR="00281F27" w14:paraId="13574C78" w14:textId="77777777" w:rsidTr="00281F27">
        <w:trPr>
          <w:trHeight w:val="443"/>
        </w:trPr>
        <w:tc>
          <w:tcPr>
            <w:tcW w:w="1596" w:type="dxa"/>
            <w:tcBorders>
              <w:top w:val="single" w:sz="4" w:space="0" w:color="auto"/>
              <w:left w:val="single" w:sz="4" w:space="0" w:color="auto"/>
              <w:bottom w:val="single" w:sz="4" w:space="0" w:color="auto"/>
              <w:right w:val="single" w:sz="4" w:space="0" w:color="auto"/>
            </w:tcBorders>
            <w:hideMark/>
          </w:tcPr>
          <w:p w14:paraId="402A0384"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b/>
                <w:bCs/>
                <w:sz w:val="24"/>
                <w:szCs w:val="24"/>
              </w:rPr>
              <w:t>Value</w:t>
            </w:r>
          </w:p>
        </w:tc>
        <w:tc>
          <w:tcPr>
            <w:tcW w:w="1596" w:type="dxa"/>
            <w:tcBorders>
              <w:top w:val="single" w:sz="4" w:space="0" w:color="auto"/>
              <w:left w:val="nil"/>
              <w:bottom w:val="single" w:sz="4" w:space="0" w:color="auto"/>
              <w:right w:val="single" w:sz="4" w:space="0" w:color="auto"/>
            </w:tcBorders>
            <w:hideMark/>
          </w:tcPr>
          <w:p w14:paraId="26D5BDE4" w14:textId="77777777" w:rsidR="00281F27" w:rsidRDefault="00281F27">
            <w:pPr>
              <w:spacing w:before="0" w:beforeAutospacing="0" w:line="360" w:lineRule="auto"/>
              <w:jc w:val="both"/>
              <w:rPr>
                <w:rFonts w:ascii="Times New Roman" w:hAnsi="Times New Roman"/>
                <w:b/>
                <w:sz w:val="24"/>
                <w:szCs w:val="24"/>
              </w:rPr>
            </w:pPr>
            <w:r>
              <w:rPr>
                <w:rFonts w:ascii="Times New Roman" w:hAnsi="Times New Roman"/>
                <w:sz w:val="24"/>
                <w:szCs w:val="24"/>
              </w:rPr>
              <w:t>419.3</w:t>
            </w:r>
            <w:r>
              <w:rPr>
                <w:rFonts w:cs="Calibri"/>
                <w:sz w:val="24"/>
                <w:szCs w:val="24"/>
              </w:rPr>
              <w:t>±</w:t>
            </w:r>
            <w:r>
              <w:rPr>
                <w:rFonts w:ascii="Times New Roman" w:hAnsi="Times New Roman"/>
                <w:sz w:val="24"/>
                <w:szCs w:val="24"/>
              </w:rPr>
              <w:t>0.2</w:t>
            </w:r>
          </w:p>
        </w:tc>
        <w:tc>
          <w:tcPr>
            <w:tcW w:w="1596" w:type="dxa"/>
            <w:tcBorders>
              <w:top w:val="single" w:sz="4" w:space="0" w:color="auto"/>
              <w:left w:val="nil"/>
              <w:bottom w:val="single" w:sz="4" w:space="0" w:color="auto"/>
              <w:right w:val="single" w:sz="4" w:space="0" w:color="auto"/>
            </w:tcBorders>
            <w:hideMark/>
          </w:tcPr>
          <w:p w14:paraId="70E28C9F" w14:textId="77777777" w:rsidR="00281F27" w:rsidRDefault="00281F27">
            <w:pPr>
              <w:spacing w:before="0" w:beforeAutospacing="0" w:line="360" w:lineRule="auto"/>
              <w:jc w:val="both"/>
              <w:rPr>
                <w:rFonts w:ascii="Times New Roman" w:hAnsi="Times New Roman"/>
                <w:b/>
                <w:sz w:val="24"/>
                <w:szCs w:val="24"/>
              </w:rPr>
            </w:pPr>
            <w:r>
              <w:rPr>
                <w:rFonts w:ascii="Times New Roman" w:hAnsi="Times New Roman"/>
                <w:sz w:val="24"/>
                <w:szCs w:val="24"/>
              </w:rPr>
              <w:t>332.73</w:t>
            </w:r>
            <w:r>
              <w:rPr>
                <w:rFonts w:cs="Calibri"/>
                <w:sz w:val="24"/>
                <w:szCs w:val="24"/>
              </w:rPr>
              <w:t>±</w:t>
            </w:r>
            <w:r>
              <w:rPr>
                <w:rFonts w:ascii="Times New Roman" w:hAnsi="Times New Roman"/>
                <w:sz w:val="24"/>
                <w:szCs w:val="24"/>
              </w:rPr>
              <w:t>6.2</w:t>
            </w:r>
          </w:p>
        </w:tc>
        <w:tc>
          <w:tcPr>
            <w:tcW w:w="1596" w:type="dxa"/>
            <w:tcBorders>
              <w:top w:val="single" w:sz="4" w:space="0" w:color="auto"/>
              <w:left w:val="nil"/>
              <w:bottom w:val="single" w:sz="4" w:space="0" w:color="auto"/>
              <w:right w:val="single" w:sz="4" w:space="0" w:color="auto"/>
            </w:tcBorders>
            <w:hideMark/>
          </w:tcPr>
          <w:p w14:paraId="3E39A3D3"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4.9</w:t>
            </w:r>
            <w:r>
              <w:rPr>
                <w:rFonts w:cs="Calibri"/>
                <w:sz w:val="24"/>
                <w:szCs w:val="24"/>
              </w:rPr>
              <w:t>±</w:t>
            </w:r>
            <w:r>
              <w:rPr>
                <w:rFonts w:ascii="Times New Roman" w:hAnsi="Times New Roman"/>
                <w:sz w:val="24"/>
                <w:szCs w:val="24"/>
              </w:rPr>
              <w:t>0.1</w:t>
            </w:r>
          </w:p>
        </w:tc>
        <w:tc>
          <w:tcPr>
            <w:tcW w:w="1653" w:type="dxa"/>
            <w:tcBorders>
              <w:top w:val="single" w:sz="4" w:space="0" w:color="auto"/>
              <w:left w:val="nil"/>
              <w:bottom w:val="single" w:sz="4" w:space="0" w:color="auto"/>
              <w:right w:val="single" w:sz="4" w:space="0" w:color="auto"/>
            </w:tcBorders>
            <w:hideMark/>
          </w:tcPr>
          <w:p w14:paraId="444EBD6E" w14:textId="77777777" w:rsidR="00281F27" w:rsidRDefault="00281F27">
            <w:pPr>
              <w:spacing w:before="0" w:beforeAutospacing="0" w:line="360" w:lineRule="auto"/>
              <w:jc w:val="both"/>
              <w:rPr>
                <w:rFonts w:ascii="Times New Roman" w:hAnsi="Times New Roman"/>
                <w:b/>
                <w:sz w:val="24"/>
                <w:szCs w:val="24"/>
              </w:rPr>
            </w:pPr>
            <w:r>
              <w:rPr>
                <w:rFonts w:ascii="Times New Roman" w:hAnsi="Times New Roman"/>
                <w:sz w:val="24"/>
                <w:szCs w:val="24"/>
              </w:rPr>
              <w:t>0.36</w:t>
            </w:r>
            <w:r>
              <w:rPr>
                <w:rFonts w:cs="Calibri"/>
                <w:sz w:val="24"/>
                <w:szCs w:val="24"/>
              </w:rPr>
              <w:t>±</w:t>
            </w:r>
            <w:r>
              <w:rPr>
                <w:rFonts w:ascii="Times New Roman" w:hAnsi="Times New Roman"/>
                <w:sz w:val="24"/>
                <w:szCs w:val="24"/>
              </w:rPr>
              <w:t xml:space="preserve">0.0 </w:t>
            </w:r>
          </w:p>
        </w:tc>
        <w:tc>
          <w:tcPr>
            <w:tcW w:w="1740" w:type="dxa"/>
            <w:tcBorders>
              <w:top w:val="single" w:sz="4" w:space="0" w:color="auto"/>
              <w:left w:val="nil"/>
              <w:bottom w:val="single" w:sz="4" w:space="0" w:color="auto"/>
              <w:right w:val="single" w:sz="4" w:space="0" w:color="auto"/>
            </w:tcBorders>
            <w:hideMark/>
          </w:tcPr>
          <w:p w14:paraId="1BC5EE65" w14:textId="77777777" w:rsidR="00281F27" w:rsidRDefault="00281F27">
            <w:pPr>
              <w:spacing w:before="0" w:beforeAutospacing="0" w:line="360" w:lineRule="auto"/>
              <w:jc w:val="both"/>
              <w:textAlignment w:val="center"/>
              <w:rPr>
                <w:rFonts w:ascii="Times New Roman" w:hAnsi="Times New Roman"/>
                <w:color w:val="000000"/>
                <w:sz w:val="24"/>
                <w:szCs w:val="24"/>
              </w:rPr>
            </w:pPr>
            <w:r>
              <w:rPr>
                <w:rFonts w:ascii="Times New Roman" w:hAnsi="Times New Roman"/>
                <w:color w:val="000000"/>
                <w:sz w:val="24"/>
                <w:szCs w:val="24"/>
              </w:rPr>
              <w:t>60.61</w:t>
            </w:r>
            <w:r>
              <w:rPr>
                <w:rFonts w:cs="Calibri"/>
                <w:color w:val="000000"/>
                <w:sz w:val="24"/>
                <w:szCs w:val="24"/>
              </w:rPr>
              <w:t>±</w:t>
            </w:r>
            <w:r>
              <w:rPr>
                <w:rFonts w:ascii="Times New Roman" w:hAnsi="Times New Roman"/>
                <w:color w:val="000000"/>
                <w:sz w:val="24"/>
                <w:szCs w:val="24"/>
              </w:rPr>
              <w:t>0.0</w:t>
            </w:r>
          </w:p>
        </w:tc>
      </w:tr>
    </w:tbl>
    <w:p w14:paraId="171D5EC7"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5CC9C132" w14:textId="77777777" w:rsidR="00281F27" w:rsidRDefault="00281F27" w:rsidP="00281F27">
      <w:pPr>
        <w:spacing w:before="0" w:beforeAutospacing="0" w:after="0" w:line="360" w:lineRule="auto"/>
        <w:jc w:val="both"/>
        <w:rPr>
          <w:rFonts w:ascii="Times New Roman" w:eastAsia="Calibri" w:hAnsi="Times New Roman"/>
          <w:color w:val="000000"/>
          <w:sz w:val="24"/>
          <w:szCs w:val="24"/>
        </w:rPr>
      </w:pPr>
      <w:r>
        <w:rPr>
          <w:rFonts w:ascii="Times New Roman" w:hAnsi="Times New Roman"/>
          <w:color w:val="252525"/>
          <w:sz w:val="24"/>
          <w:szCs w:val="24"/>
        </w:rPr>
        <w:t>The swelling power (SP) of the baobab powder was found to be 4.90%, and its bulk density was 0.36 g/cm</w:t>
      </w:r>
      <w:r>
        <w:rPr>
          <w:rFonts w:ascii="Times New Roman" w:hAnsi="Times New Roman"/>
          <w:color w:val="252525"/>
          <w:sz w:val="24"/>
          <w:szCs w:val="24"/>
          <w:vertAlign w:val="superscript"/>
        </w:rPr>
        <w:t>3</w:t>
      </w:r>
      <w:r>
        <w:rPr>
          <w:rFonts w:ascii="Times New Roman" w:hAnsi="Times New Roman"/>
          <w:color w:val="252525"/>
          <w:sz w:val="24"/>
          <w:szCs w:val="24"/>
        </w:rPr>
        <w:t xml:space="preserve">. The swelling capacity reflects the strength of the associative forces present in the starch granules. It is an indication of the starch ability to absorb water and swell. According to </w:t>
      </w:r>
      <w:r>
        <w:rPr>
          <w:rFonts w:ascii="Times New Roman" w:hAnsi="Times New Roman"/>
          <w:color w:val="252525"/>
          <w:sz w:val="24"/>
          <w:szCs w:val="24"/>
        </w:rPr>
        <w:lastRenderedPageBreak/>
        <w:t xml:space="preserve">Suresh and Samsher (2013), the swelling capacity (index) of flour is dependent upon the particle size, species diversity and mode of processing. The starch composition of the baobab pulp also affects its swelling power, and the higher the starch content, the greater the swelling power. </w:t>
      </w:r>
      <w:proofErr w:type="spellStart"/>
      <w:r>
        <w:rPr>
          <w:rFonts w:ascii="Times New Roman" w:hAnsi="Times New Roman"/>
          <w:color w:val="252525"/>
          <w:sz w:val="24"/>
          <w:szCs w:val="24"/>
        </w:rPr>
        <w:t>Makawi</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 xml:space="preserve">et al. </w:t>
      </w:r>
      <w:r>
        <w:rPr>
          <w:rFonts w:ascii="Times New Roman" w:hAnsi="Times New Roman"/>
          <w:color w:val="252525"/>
          <w:sz w:val="24"/>
          <w:szCs w:val="24"/>
        </w:rPr>
        <w:t xml:space="preserve">(2019) observed a bulk density of 0.44 g/ml of baobab pulp. </w:t>
      </w:r>
      <w:proofErr w:type="spellStart"/>
      <w:r>
        <w:rPr>
          <w:rFonts w:ascii="Times New Roman" w:hAnsi="Times New Roman"/>
          <w:color w:val="252525"/>
          <w:sz w:val="24"/>
          <w:szCs w:val="24"/>
        </w:rPr>
        <w:t>Adeyeye</w:t>
      </w:r>
      <w:proofErr w:type="spellEnd"/>
      <w:r>
        <w:rPr>
          <w:rFonts w:ascii="Times New Roman" w:hAnsi="Times New Roman"/>
          <w:color w:val="252525"/>
          <w:sz w:val="24"/>
          <w:szCs w:val="24"/>
        </w:rPr>
        <w:t xml:space="preserve"> and </w:t>
      </w:r>
      <w:proofErr w:type="spellStart"/>
      <w:r>
        <w:rPr>
          <w:rFonts w:ascii="Times New Roman" w:hAnsi="Times New Roman"/>
          <w:color w:val="252525"/>
          <w:sz w:val="24"/>
          <w:szCs w:val="24"/>
        </w:rPr>
        <w:t>Akingbala</w:t>
      </w:r>
      <w:proofErr w:type="spellEnd"/>
      <w:r>
        <w:rPr>
          <w:rFonts w:ascii="Times New Roman" w:hAnsi="Times New Roman"/>
          <w:color w:val="252525"/>
          <w:sz w:val="24"/>
          <w:szCs w:val="24"/>
        </w:rPr>
        <w:t xml:space="preserve"> (2015) found the bulk density of wheat flour at 5.3 g/ml. Though the bulk density obtained in this study is lower than that found by </w:t>
      </w:r>
      <w:proofErr w:type="spellStart"/>
      <w:r>
        <w:rPr>
          <w:rFonts w:ascii="Times New Roman" w:hAnsi="Times New Roman"/>
          <w:color w:val="252525"/>
          <w:sz w:val="24"/>
          <w:szCs w:val="24"/>
        </w:rPr>
        <w:t>Makawi</w:t>
      </w:r>
      <w:proofErr w:type="spellEnd"/>
      <w:r>
        <w:rPr>
          <w:rFonts w:ascii="Times New Roman" w:hAnsi="Times New Roman"/>
          <w:i/>
          <w:iCs/>
          <w:color w:val="252525"/>
          <w:sz w:val="24"/>
          <w:szCs w:val="24"/>
        </w:rPr>
        <w:t xml:space="preserve"> et al.</w:t>
      </w:r>
      <w:r>
        <w:rPr>
          <w:rFonts w:ascii="Times New Roman" w:hAnsi="Times New Roman"/>
          <w:color w:val="252525"/>
          <w:sz w:val="24"/>
          <w:szCs w:val="24"/>
        </w:rPr>
        <w:t xml:space="preserve"> (2019), the bulk density of the pulp is significant during the packaging of the produce. A higher bulk density signifies that more produce will be packaged for a given volume of packaging material. The solubility index (SI) obtain in this study is an indication of the pulp dispensing into solution giving a smooth mixture. The percentage solubility of </w:t>
      </w:r>
      <w:r>
        <w:rPr>
          <w:rFonts w:ascii="Times New Roman" w:eastAsia="Calibri" w:hAnsi="Times New Roman"/>
          <w:color w:val="000000"/>
          <w:sz w:val="24"/>
          <w:szCs w:val="24"/>
        </w:rPr>
        <w:t>60.61±0.0% is ideal for viscosity. It is also an indication which could be due to high starch degradation given rise to more soluble molecules in the powder (</w:t>
      </w:r>
      <w:proofErr w:type="spellStart"/>
      <w:r>
        <w:rPr>
          <w:rFonts w:ascii="Times New Roman" w:eastAsia="SimSun" w:hAnsi="Times New Roman"/>
          <w:sz w:val="24"/>
          <w:szCs w:val="24"/>
        </w:rPr>
        <w:t>Kesselly</w:t>
      </w:r>
      <w:proofErr w:type="spellEnd"/>
      <w:r>
        <w:rPr>
          <w:rFonts w:ascii="Times New Roman" w:eastAsia="SimSun" w:hAnsi="Times New Roman"/>
          <w:sz w:val="24"/>
          <w:szCs w:val="24"/>
        </w:rPr>
        <w:t xml:space="preserve"> </w:t>
      </w:r>
      <w:r>
        <w:rPr>
          <w:rFonts w:ascii="Times New Roman" w:eastAsia="SimSun" w:hAnsi="Times New Roman"/>
          <w:i/>
          <w:iCs/>
          <w:sz w:val="24"/>
          <w:szCs w:val="24"/>
        </w:rPr>
        <w:t>et al</w:t>
      </w:r>
      <w:r>
        <w:rPr>
          <w:rFonts w:ascii="Times New Roman" w:eastAsia="SimSun" w:hAnsi="Times New Roman"/>
          <w:sz w:val="24"/>
          <w:szCs w:val="24"/>
        </w:rPr>
        <w:t>., 2023).</w:t>
      </w:r>
    </w:p>
    <w:p w14:paraId="43059140"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In this study, the baobab pulp had an average of 5.54 g/100 g of total sugar (glucose). Figure 4 depicts an absorbance and dilution calibration curve used as a standard in total sugar assessment.  This study noticed less total sugar as glucose than reported by Phyto-trade Africa (2009) and Nour </w:t>
      </w:r>
      <w:r>
        <w:rPr>
          <w:rFonts w:ascii="Times New Roman" w:eastAsia="Calibri" w:hAnsi="Times New Roman"/>
          <w:i/>
          <w:iCs/>
          <w:sz w:val="24"/>
          <w:szCs w:val="24"/>
        </w:rPr>
        <w:t>et al</w:t>
      </w:r>
      <w:r>
        <w:rPr>
          <w:rFonts w:ascii="Times New Roman" w:eastAsia="Calibri" w:hAnsi="Times New Roman"/>
          <w:sz w:val="24"/>
          <w:szCs w:val="24"/>
        </w:rPr>
        <w:t xml:space="preserve">. (1980), which indicated 16.9-25.3 and 23.2 g/100g of total sugar (as glucose), respectively. However, the overall sugar concentration in this study is greater than the 2.52 g/100g reported by </w:t>
      </w:r>
      <w:proofErr w:type="spellStart"/>
      <w:r>
        <w:rPr>
          <w:rFonts w:ascii="Times New Roman" w:eastAsia="Calibri" w:hAnsi="Times New Roman"/>
          <w:sz w:val="24"/>
          <w:szCs w:val="24"/>
        </w:rPr>
        <w:t>Ezeagu</w:t>
      </w:r>
      <w:proofErr w:type="spellEnd"/>
      <w:r>
        <w:rPr>
          <w:rFonts w:ascii="Times New Roman" w:eastAsia="Calibri" w:hAnsi="Times New Roman"/>
          <w:sz w:val="24"/>
          <w:szCs w:val="24"/>
        </w:rPr>
        <w:t xml:space="preserve"> (2005). Ibraheem </w:t>
      </w:r>
      <w:r>
        <w:rPr>
          <w:rFonts w:ascii="Times New Roman" w:eastAsia="Calibri" w:hAnsi="Times New Roman"/>
          <w:i/>
          <w:iCs/>
          <w:sz w:val="24"/>
          <w:szCs w:val="24"/>
        </w:rPr>
        <w:t>et al.</w:t>
      </w:r>
      <w:r>
        <w:rPr>
          <w:rFonts w:ascii="Times New Roman" w:eastAsia="Calibri" w:hAnsi="Times New Roman"/>
          <w:sz w:val="24"/>
          <w:szCs w:val="24"/>
        </w:rPr>
        <w:t xml:space="preserve"> (2019) reported that the sugar content (glucose) of baobab pulp from four Sudanese localities were 3.49, 5.32, 1.32, and 1.77 for Umm </w:t>
      </w:r>
      <w:proofErr w:type="spellStart"/>
      <w:r>
        <w:rPr>
          <w:rFonts w:ascii="Times New Roman" w:eastAsia="Calibri" w:hAnsi="Times New Roman"/>
          <w:sz w:val="24"/>
          <w:szCs w:val="24"/>
        </w:rPr>
        <w:t>Ruwaba</w:t>
      </w:r>
      <w:proofErr w:type="spellEnd"/>
      <w:r>
        <w:rPr>
          <w:rFonts w:ascii="Times New Roman" w:eastAsia="Calibri" w:hAnsi="Times New Roman"/>
          <w:sz w:val="24"/>
          <w:szCs w:val="24"/>
        </w:rPr>
        <w:t xml:space="preserve">, El </w:t>
      </w:r>
      <w:proofErr w:type="spellStart"/>
      <w:r>
        <w:rPr>
          <w:rFonts w:ascii="Times New Roman" w:eastAsia="Calibri" w:hAnsi="Times New Roman"/>
          <w:sz w:val="24"/>
          <w:szCs w:val="24"/>
        </w:rPr>
        <w:t>obeid</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Damazin</w:t>
      </w:r>
      <w:proofErr w:type="spellEnd"/>
      <w:r>
        <w:rPr>
          <w:rFonts w:ascii="Times New Roman" w:eastAsia="Calibri" w:hAnsi="Times New Roman"/>
          <w:sz w:val="24"/>
          <w:szCs w:val="24"/>
        </w:rPr>
        <w:t xml:space="preserve">, and Nyala, respectively. The variation in total sugar concentration could be attributed to varietal variances, sample preparation, method of analysis and provenance. Monteiro-Alfredo </w:t>
      </w:r>
      <w:r>
        <w:rPr>
          <w:rFonts w:ascii="Times New Roman" w:eastAsia="Calibri" w:hAnsi="Times New Roman"/>
          <w:i/>
          <w:sz w:val="24"/>
          <w:szCs w:val="24"/>
        </w:rPr>
        <w:t>et al.</w:t>
      </w:r>
      <w:r>
        <w:rPr>
          <w:rFonts w:ascii="Times New Roman" w:eastAsia="Calibri" w:hAnsi="Times New Roman"/>
          <w:sz w:val="24"/>
          <w:szCs w:val="24"/>
        </w:rPr>
        <w:t xml:space="preserve"> (2021) posit that natural sugars present in fruits, when consumed in moderation, are safe even for diabetics.</w:t>
      </w:r>
    </w:p>
    <w:p w14:paraId="47A22847" w14:textId="77777777" w:rsidR="00281F27" w:rsidRDefault="00281F27" w:rsidP="00281F27">
      <w:pPr>
        <w:spacing w:before="0" w:beforeAutospacing="0" w:after="0" w:line="360" w:lineRule="auto"/>
        <w:rPr>
          <w:rFonts w:ascii="Times New Roman" w:eastAsia="SimSun" w:hAnsi="Times New Roman"/>
          <w:color w:val="252525"/>
          <w:kern w:val="2"/>
          <w:sz w:val="24"/>
          <w:szCs w:val="24"/>
        </w:rPr>
      </w:pPr>
      <w:r>
        <w:rPr>
          <w:rFonts w:ascii="Times New Roman" w:eastAsia="SimSun" w:hAnsi="Times New Roman"/>
          <w:color w:val="252525"/>
          <w:kern w:val="2"/>
          <w:sz w:val="24"/>
          <w:szCs w:val="24"/>
        </w:rPr>
        <w:t xml:space="preserve"> </w:t>
      </w:r>
    </w:p>
    <w:p w14:paraId="32F01871" w14:textId="77777777" w:rsidR="00281F27" w:rsidRDefault="00281F27" w:rsidP="00281F27">
      <w:pPr>
        <w:spacing w:before="0" w:beforeAutospacing="0" w:after="0" w:line="360" w:lineRule="auto"/>
        <w:jc w:val="center"/>
        <w:rPr>
          <w:rFonts w:ascii="Times New Roman" w:eastAsia="SimSun" w:hAnsi="Times New Roman"/>
          <w:color w:val="252525"/>
          <w:kern w:val="2"/>
          <w:sz w:val="24"/>
          <w:szCs w:val="24"/>
        </w:rPr>
      </w:pPr>
      <w:r>
        <w:rPr>
          <w:noProof/>
          <w:lang w:val="en-US" w:eastAsia="en-US"/>
        </w:rPr>
        <w:lastRenderedPageBreak/>
        <w:drawing>
          <wp:inline distT="0" distB="0" distL="0" distR="0" wp14:anchorId="5C9DF100" wp14:editId="3233730E">
            <wp:extent cx="5724525" cy="2609850"/>
            <wp:effectExtent l="0" t="0" r="9525" b="0"/>
            <wp:docPr id="1" name="Picture 1" descr="C:\Users\USER\AppData\Local\Temp\ksohtml831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ksohtml8316\wps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bookmarkStart w:id="45" w:name="_Toc143783025"/>
      <w:bookmarkStart w:id="46" w:name="_Toc143783127"/>
      <w:bookmarkEnd w:id="45"/>
      <w:r>
        <w:rPr>
          <w:rFonts w:ascii="Times New Roman" w:eastAsia="SimSun" w:hAnsi="Times New Roman"/>
          <w:color w:val="252525"/>
          <w:kern w:val="2"/>
          <w:sz w:val="24"/>
          <w:szCs w:val="24"/>
        </w:rPr>
        <w:t xml:space="preserve"> </w:t>
      </w:r>
      <w:bookmarkEnd w:id="46"/>
    </w:p>
    <w:p w14:paraId="3FE66910" w14:textId="77777777" w:rsidR="00281F27" w:rsidRDefault="00281F27" w:rsidP="00281F27">
      <w:pPr>
        <w:pStyle w:val="Caption"/>
        <w:spacing w:before="0" w:beforeAutospacing="0" w:after="0" w:line="360" w:lineRule="auto"/>
        <w:rPr>
          <w:rFonts w:eastAsia="SimSun"/>
          <w:color w:val="252525"/>
          <w:kern w:val="2"/>
        </w:rPr>
      </w:pPr>
      <w:r>
        <w:t xml:space="preserve">Figure 4 </w:t>
      </w:r>
      <w:r>
        <w:rPr>
          <w:b w:val="0"/>
          <w:bCs/>
        </w:rPr>
        <w:t>A</w:t>
      </w:r>
      <w:r>
        <w:rPr>
          <w:rFonts w:eastAsia="SimSun"/>
          <w:b w:val="0"/>
          <w:color w:val="252525"/>
          <w:kern w:val="2"/>
        </w:rPr>
        <w:t>bsorbance and dilution curve for total sugar determination</w:t>
      </w:r>
      <w:r>
        <w:rPr>
          <w:rFonts w:eastAsia="SimSun"/>
          <w:color w:val="252525"/>
          <w:kern w:val="2"/>
        </w:rPr>
        <w:t xml:space="preserve"> </w:t>
      </w:r>
    </w:p>
    <w:p w14:paraId="055965A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519C8AA8"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Vitamin C concentration in plant fruit is one of the most important dietary supplement ingredients due to the multiple benefits it provides to humans (Dwyer </w:t>
      </w:r>
      <w:r>
        <w:rPr>
          <w:rFonts w:ascii="Times New Roman" w:eastAsia="Calibri" w:hAnsi="Times New Roman"/>
          <w:i/>
          <w:sz w:val="24"/>
          <w:szCs w:val="24"/>
        </w:rPr>
        <w:t>et al.</w:t>
      </w:r>
      <w:r>
        <w:rPr>
          <w:rFonts w:ascii="Times New Roman" w:eastAsia="Calibri" w:hAnsi="Times New Roman"/>
          <w:sz w:val="24"/>
          <w:szCs w:val="24"/>
        </w:rPr>
        <w:t xml:space="preserve">, 2006). Vitamin C concentration was found to be 55.5±0.22 mg/100g in this study. Though this was lower than what Phyto-trade Africa (2009) found, which was in the range of 74.00-163.00 mg/100g, it was within the range of 40-90 mg/100g of daily recommended intake (DRI) of vitamin C for all ages of growth (NIH/ODS, </w:t>
      </w:r>
      <w:commentRangeStart w:id="47"/>
      <w:r>
        <w:rPr>
          <w:rFonts w:ascii="Times New Roman" w:eastAsia="Calibri" w:hAnsi="Times New Roman"/>
          <w:sz w:val="24"/>
          <w:szCs w:val="24"/>
        </w:rPr>
        <w:t>2023</w:t>
      </w:r>
      <w:commentRangeEnd w:id="47"/>
      <w:r w:rsidR="001D5E48">
        <w:rPr>
          <w:rStyle w:val="CommentReference"/>
        </w:rPr>
        <w:commentReference w:id="47"/>
      </w:r>
      <w:r>
        <w:rPr>
          <w:rFonts w:ascii="Times New Roman" w:eastAsia="Calibri" w:hAnsi="Times New Roman"/>
          <w:sz w:val="24"/>
          <w:szCs w:val="24"/>
        </w:rPr>
        <w:t xml:space="preserve">). Monteiro </w:t>
      </w:r>
      <w:r>
        <w:rPr>
          <w:rFonts w:ascii="Times New Roman" w:eastAsia="Calibri" w:hAnsi="Times New Roman"/>
          <w:i/>
          <w:sz w:val="24"/>
          <w:szCs w:val="24"/>
        </w:rPr>
        <w:t>et al.</w:t>
      </w:r>
      <w:r>
        <w:rPr>
          <w:rFonts w:ascii="Times New Roman" w:eastAsia="Calibri" w:hAnsi="Times New Roman"/>
          <w:sz w:val="24"/>
          <w:szCs w:val="24"/>
        </w:rPr>
        <w:t xml:space="preserve"> (2022) observed variability in Vitamin C concentration in baobab pulp from four distinct communities in Angola, ranging from 163.8±12.8 to 288.9±130.2 mg/100g. These discrepancies could be attributed to provenances, variety, experimental methodologies and the period of </w:t>
      </w:r>
      <w:commentRangeStart w:id="48"/>
      <w:r>
        <w:rPr>
          <w:rFonts w:ascii="Times New Roman" w:eastAsia="Calibri" w:hAnsi="Times New Roman"/>
          <w:sz w:val="24"/>
          <w:szCs w:val="24"/>
        </w:rPr>
        <w:t>storage prior to analysis</w:t>
      </w:r>
      <w:commentRangeEnd w:id="48"/>
      <w:r w:rsidR="00FD3967">
        <w:rPr>
          <w:rStyle w:val="CommentReference"/>
        </w:rPr>
        <w:commentReference w:id="48"/>
      </w:r>
      <w:r>
        <w:rPr>
          <w:rFonts w:ascii="Times New Roman" w:eastAsia="Calibri" w:hAnsi="Times New Roman"/>
          <w:sz w:val="24"/>
          <w:szCs w:val="24"/>
        </w:rPr>
        <w:t xml:space="preserve">, as vitamin C is susceptible to loss owing to light and heat </w:t>
      </w:r>
      <w:commentRangeStart w:id="49"/>
      <w:r>
        <w:rPr>
          <w:rFonts w:ascii="Times New Roman" w:eastAsia="Calibri" w:hAnsi="Times New Roman"/>
          <w:sz w:val="24"/>
          <w:szCs w:val="24"/>
        </w:rPr>
        <w:t>(</w:t>
      </w:r>
      <w:proofErr w:type="spellStart"/>
      <w:r>
        <w:rPr>
          <w:rFonts w:ascii="Times New Roman" w:eastAsia="Calibri" w:hAnsi="Times New Roman"/>
          <w:sz w:val="24"/>
          <w:szCs w:val="24"/>
        </w:rPr>
        <w:t>Stadlmayr</w:t>
      </w:r>
      <w:proofErr w:type="spellEnd"/>
      <w:r>
        <w:rPr>
          <w:rFonts w:ascii="Times New Roman" w:eastAsia="Calibri" w:hAnsi="Times New Roman"/>
          <w:sz w:val="24"/>
          <w:szCs w:val="24"/>
        </w:rPr>
        <w:t xml:space="preserve"> </w:t>
      </w:r>
      <w:commentRangeStart w:id="50"/>
      <w:r>
        <w:rPr>
          <w:rFonts w:ascii="Times New Roman" w:eastAsia="Calibri" w:hAnsi="Times New Roman"/>
          <w:sz w:val="24"/>
          <w:szCs w:val="24"/>
        </w:rPr>
        <w:t>et al</w:t>
      </w:r>
      <w:commentRangeEnd w:id="50"/>
      <w:r w:rsidR="00FD3967">
        <w:rPr>
          <w:rStyle w:val="CommentReference"/>
        </w:rPr>
        <w:commentReference w:id="50"/>
      </w:r>
      <w:r>
        <w:rPr>
          <w:rFonts w:ascii="Times New Roman" w:eastAsia="Calibri" w:hAnsi="Times New Roman"/>
          <w:sz w:val="24"/>
          <w:szCs w:val="24"/>
        </w:rPr>
        <w:t>., 2020).</w:t>
      </w:r>
      <w:commentRangeEnd w:id="49"/>
      <w:r w:rsidR="006D5132">
        <w:rPr>
          <w:rStyle w:val="CommentReference"/>
        </w:rPr>
        <w:commentReference w:id="49"/>
      </w:r>
    </w:p>
    <w:p w14:paraId="7D803F92"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Calibri" w:hAnsi="Times New Roman"/>
          <w:sz w:val="24"/>
          <w:szCs w:val="24"/>
        </w:rPr>
        <w:t xml:space="preserve">The average pH of the baobab pulp was determined to be 2.97±0.01 which indicates that the pulp is acidic. The lower the pH of the pulp, the better the natural preservative of the pulp against microbe growth (Ibraheem </w:t>
      </w:r>
      <w:r>
        <w:rPr>
          <w:rFonts w:ascii="Times New Roman" w:eastAsia="Calibri" w:hAnsi="Times New Roman"/>
          <w:i/>
          <w:sz w:val="24"/>
          <w:szCs w:val="24"/>
        </w:rPr>
        <w:t>et al.,</w:t>
      </w:r>
      <w:r>
        <w:rPr>
          <w:rFonts w:ascii="Times New Roman" w:eastAsia="Calibri" w:hAnsi="Times New Roman"/>
          <w:sz w:val="24"/>
          <w:szCs w:val="24"/>
        </w:rPr>
        <w:t xml:space="preserve"> 2019). The pH of the baobab pulp was found to be 3.3 by Nour </w:t>
      </w:r>
      <w:r>
        <w:rPr>
          <w:rFonts w:ascii="Times New Roman" w:eastAsia="Calibri" w:hAnsi="Times New Roman"/>
          <w:i/>
          <w:sz w:val="24"/>
          <w:szCs w:val="24"/>
        </w:rPr>
        <w:t>et al.</w:t>
      </w:r>
      <w:r>
        <w:rPr>
          <w:rFonts w:ascii="Times New Roman" w:eastAsia="Calibri" w:hAnsi="Times New Roman"/>
          <w:sz w:val="24"/>
          <w:szCs w:val="24"/>
        </w:rPr>
        <w:t xml:space="preserve"> (1980). </w:t>
      </w:r>
      <w:commentRangeStart w:id="51"/>
      <w:proofErr w:type="spellStart"/>
      <w:r>
        <w:rPr>
          <w:rFonts w:ascii="Times New Roman" w:eastAsia="Calibri" w:hAnsi="Times New Roman"/>
          <w:sz w:val="24"/>
          <w:szCs w:val="24"/>
        </w:rPr>
        <w:t>Stadlmayr</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(2020) </w:t>
      </w:r>
      <w:commentRangeEnd w:id="51"/>
      <w:r w:rsidR="006D5132">
        <w:rPr>
          <w:rStyle w:val="CommentReference"/>
        </w:rPr>
        <w:commentReference w:id="51"/>
      </w:r>
      <w:r>
        <w:rPr>
          <w:rFonts w:ascii="Times New Roman" w:eastAsia="Calibri" w:hAnsi="Times New Roman"/>
          <w:sz w:val="24"/>
          <w:szCs w:val="24"/>
        </w:rPr>
        <w:t xml:space="preserve">also found pH values of 3.15 and 2.94 at Kenya's inland </w:t>
      </w:r>
      <w:proofErr w:type="spellStart"/>
      <w:r>
        <w:rPr>
          <w:rFonts w:ascii="Times New Roman" w:eastAsia="Calibri" w:hAnsi="Times New Roman"/>
          <w:sz w:val="24"/>
          <w:szCs w:val="24"/>
        </w:rPr>
        <w:t>Mtito</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Andei</w:t>
      </w:r>
      <w:proofErr w:type="spellEnd"/>
      <w:r>
        <w:rPr>
          <w:rFonts w:ascii="Times New Roman" w:eastAsia="Calibri" w:hAnsi="Times New Roman"/>
          <w:sz w:val="24"/>
          <w:szCs w:val="24"/>
        </w:rPr>
        <w:t xml:space="preserve"> and coastal Diani, respectively. The total phenolic content was found at </w:t>
      </w:r>
      <w:r>
        <w:rPr>
          <w:rFonts w:ascii="Times New Roman" w:eastAsia="SimSun" w:hAnsi="Times New Roman"/>
          <w:color w:val="000000"/>
          <w:sz w:val="24"/>
          <w:szCs w:val="24"/>
        </w:rPr>
        <w:t>4.4±0.16 mg GAE/g. This compound is essential to neutralize free radicals, anti-inflammatory, anti-cancer and also regulate blood sugar levels in the body (</w:t>
      </w:r>
      <w:proofErr w:type="spellStart"/>
      <w:r>
        <w:rPr>
          <w:rFonts w:ascii="Times New Roman" w:eastAsia="SimSun" w:hAnsi="Times New Roman"/>
          <w:sz w:val="24"/>
          <w:szCs w:val="24"/>
        </w:rPr>
        <w:t>Ogunkunle</w:t>
      </w:r>
      <w:proofErr w:type="spellEnd"/>
      <w:r>
        <w:rPr>
          <w:rFonts w:ascii="Times New Roman" w:eastAsia="SimSun" w:hAnsi="Times New Roman"/>
          <w:sz w:val="24"/>
          <w:szCs w:val="24"/>
        </w:rPr>
        <w:t xml:space="preserve"> </w:t>
      </w:r>
      <w:r>
        <w:rPr>
          <w:rFonts w:ascii="Times New Roman" w:eastAsia="SimSun" w:hAnsi="Times New Roman"/>
          <w:i/>
          <w:iCs/>
          <w:sz w:val="24"/>
          <w:szCs w:val="24"/>
        </w:rPr>
        <w:t>et al.,</w:t>
      </w:r>
      <w:r>
        <w:rPr>
          <w:rFonts w:ascii="Times New Roman" w:eastAsia="SimSun" w:hAnsi="Times New Roman"/>
          <w:sz w:val="24"/>
          <w:szCs w:val="24"/>
        </w:rPr>
        <w:t xml:space="preserve"> 2020). </w:t>
      </w:r>
      <w:bookmarkStart w:id="52" w:name="_Toc143117667"/>
      <w:bookmarkStart w:id="53" w:name="_Toc144979562"/>
      <w:bookmarkEnd w:id="52"/>
      <w:r>
        <w:rPr>
          <w:rFonts w:ascii="Times New Roman" w:eastAsia="SimSun" w:hAnsi="Times New Roman"/>
          <w:sz w:val="24"/>
          <w:szCs w:val="24"/>
        </w:rPr>
        <w:t xml:space="preserve">Higher phenolic contents were reported by Cissé </w:t>
      </w:r>
      <w:bookmarkEnd w:id="53"/>
      <w:r>
        <w:rPr>
          <w:rFonts w:ascii="Times New Roman" w:eastAsia="SimSun" w:hAnsi="Times New Roman"/>
          <w:i/>
          <w:iCs/>
          <w:sz w:val="24"/>
          <w:szCs w:val="24"/>
        </w:rPr>
        <w:t>et al.</w:t>
      </w:r>
      <w:r>
        <w:rPr>
          <w:rFonts w:ascii="Times New Roman" w:eastAsia="SimSun" w:hAnsi="Times New Roman"/>
          <w:sz w:val="24"/>
          <w:szCs w:val="24"/>
        </w:rPr>
        <w:t xml:space="preserve"> (2013) and Lamien </w:t>
      </w:r>
      <w:r>
        <w:rPr>
          <w:rFonts w:ascii="Times New Roman" w:eastAsia="SimSun" w:hAnsi="Times New Roman"/>
          <w:i/>
          <w:iCs/>
          <w:sz w:val="24"/>
          <w:szCs w:val="24"/>
        </w:rPr>
        <w:t>et al.</w:t>
      </w:r>
      <w:r>
        <w:rPr>
          <w:rFonts w:ascii="Times New Roman" w:eastAsia="SimSun" w:hAnsi="Times New Roman"/>
          <w:sz w:val="24"/>
          <w:szCs w:val="24"/>
        </w:rPr>
        <w:t xml:space="preserve"> (2008) from Madagascar and Burkina Faso, respectively.</w:t>
      </w:r>
    </w:p>
    <w:p w14:paraId="3C13BD80" w14:textId="77777777" w:rsidR="00EB0709" w:rsidRDefault="00EB0709" w:rsidP="00281F27">
      <w:pPr>
        <w:spacing w:before="0" w:beforeAutospacing="0" w:after="0" w:line="360" w:lineRule="auto"/>
        <w:jc w:val="both"/>
        <w:rPr>
          <w:rFonts w:ascii="Times New Roman" w:eastAsia="SimSun" w:hAnsi="Times New Roman"/>
          <w:sz w:val="24"/>
          <w:szCs w:val="24"/>
        </w:rPr>
      </w:pPr>
    </w:p>
    <w:p w14:paraId="5C599BE8" w14:textId="77777777" w:rsidR="00281F27" w:rsidRDefault="00281F27" w:rsidP="00281F27">
      <w:pPr>
        <w:spacing w:before="0" w:beforeAutospacing="0" w:after="0" w:line="360" w:lineRule="auto"/>
        <w:jc w:val="both"/>
        <w:rPr>
          <w:rFonts w:ascii="Arial" w:eastAsia="Calibri" w:hAnsi="Arial" w:cs="Arial"/>
          <w:b/>
          <w:bCs/>
        </w:rPr>
      </w:pPr>
      <w:r>
        <w:rPr>
          <w:rFonts w:ascii="Arial" w:eastAsia="Calibri" w:hAnsi="Arial" w:cs="Arial"/>
          <w:b/>
          <w:bCs/>
        </w:rPr>
        <w:t>4.0 Conclusion</w:t>
      </w:r>
    </w:p>
    <w:p w14:paraId="74BF0D4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The baobab plant, referred to as "</w:t>
      </w:r>
      <w:proofErr w:type="spellStart"/>
      <w:r>
        <w:rPr>
          <w:rFonts w:ascii="Times New Roman" w:eastAsia="Calibri" w:hAnsi="Times New Roman"/>
          <w:i/>
          <w:iCs/>
          <w:sz w:val="24"/>
          <w:szCs w:val="24"/>
        </w:rPr>
        <w:t>Adido</w:t>
      </w:r>
      <w:proofErr w:type="spellEnd"/>
      <w:r>
        <w:rPr>
          <w:rFonts w:ascii="Times New Roman" w:eastAsia="Calibri" w:hAnsi="Times New Roman"/>
          <w:sz w:val="24"/>
          <w:szCs w:val="24"/>
        </w:rPr>
        <w:t xml:space="preserve">" in the locality, possesses significant nutrient potential for processing, utilization and integrating it into the primary food supply for nutritional supplement. The pulp has significant quantity of naturally occurring macro- and micro-minerals, as well as macro-nutrients found in this study.  These nutrient components have the potential to meet the body's nutritional supplement needs. The functional properties of pulp, such as its significant water and oil absorption capacities, provide it as a suitable source of raw material for food preparation. Also, the presence of vitamin C, glucose and other nutrients make the baobab pulp a dietary supplement to aid in nutritional supplement. The findings of this study have practical implications for adding value to the baobab fruit pulp found in the locality. The study offers valuable insights for healthcare professionals specializing in nutrition as well as regulatory bodies responsible for overseeing food safety for the inclusion of baobab powder in mainstream food product. The study has addressed by ascertaining the inherent nutritional composition of the underutilized baobab pulp powder found within the locality and the need for its </w:t>
      </w:r>
      <w:proofErr w:type="spellStart"/>
      <w:r>
        <w:rPr>
          <w:rFonts w:ascii="Times New Roman" w:eastAsia="Calibri" w:hAnsi="Times New Roman"/>
          <w:sz w:val="24"/>
          <w:szCs w:val="24"/>
        </w:rPr>
        <w:t>valorization</w:t>
      </w:r>
      <w:proofErr w:type="spellEnd"/>
      <w:r>
        <w:rPr>
          <w:rFonts w:ascii="Times New Roman" w:eastAsia="Calibri" w:hAnsi="Times New Roman"/>
          <w:sz w:val="24"/>
          <w:szCs w:val="24"/>
        </w:rPr>
        <w:t>.</w:t>
      </w:r>
    </w:p>
    <w:p w14:paraId="606CB873" w14:textId="77777777" w:rsidR="00281F27" w:rsidRDefault="00281F27" w:rsidP="00281F27">
      <w:pPr>
        <w:pStyle w:val="Heading2"/>
        <w:spacing w:before="0" w:after="0" w:line="360" w:lineRule="auto"/>
      </w:pPr>
      <w:bookmarkStart w:id="54" w:name="_Toc144979563"/>
      <w:bookmarkEnd w:id="54"/>
      <w:r>
        <w:t xml:space="preserve"> </w:t>
      </w:r>
    </w:p>
    <w:p w14:paraId="5D1CD9C3" w14:textId="77777777" w:rsidR="00281F27" w:rsidRDefault="00281F27" w:rsidP="00281F27">
      <w:pPr>
        <w:pStyle w:val="Heading2"/>
        <w:spacing w:before="0" w:after="0" w:line="360" w:lineRule="auto"/>
      </w:pPr>
      <w:r>
        <w:t xml:space="preserve">References </w:t>
      </w:r>
    </w:p>
    <w:p w14:paraId="36DAE6E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Adeyeye, S. A. and </w:t>
      </w:r>
      <w:proofErr w:type="spellStart"/>
      <w:r>
        <w:rPr>
          <w:rFonts w:ascii="Times New Roman" w:hAnsi="Times New Roman"/>
          <w:sz w:val="24"/>
          <w:szCs w:val="24"/>
        </w:rPr>
        <w:t>Akingbala</w:t>
      </w:r>
      <w:proofErr w:type="spellEnd"/>
      <w:r>
        <w:rPr>
          <w:rFonts w:ascii="Times New Roman" w:hAnsi="Times New Roman"/>
          <w:sz w:val="24"/>
          <w:szCs w:val="24"/>
        </w:rPr>
        <w:t xml:space="preserve">, J. O. (2015). Physico-chemical and functional properties of cookies produced from sweet potato-maize flour blends. </w:t>
      </w:r>
      <w:r>
        <w:rPr>
          <w:rFonts w:ascii="Times New Roman" w:hAnsi="Times New Roman"/>
          <w:i/>
          <w:iCs/>
          <w:sz w:val="24"/>
          <w:szCs w:val="24"/>
        </w:rPr>
        <w:t>Food Science and Quality Management</w:t>
      </w:r>
      <w:r>
        <w:rPr>
          <w:rFonts w:ascii="Times New Roman" w:hAnsi="Times New Roman"/>
          <w:sz w:val="24"/>
          <w:szCs w:val="24"/>
        </w:rPr>
        <w:t xml:space="preserve">, </w:t>
      </w:r>
      <w:r>
        <w:rPr>
          <w:rFonts w:ascii="Times New Roman" w:hAnsi="Times New Roman"/>
          <w:i/>
          <w:iCs/>
          <w:sz w:val="24"/>
          <w:szCs w:val="24"/>
        </w:rPr>
        <w:t>43</w:t>
      </w:r>
      <w:r>
        <w:rPr>
          <w:rFonts w:ascii="Times New Roman" w:hAnsi="Times New Roman"/>
          <w:sz w:val="24"/>
          <w:szCs w:val="24"/>
        </w:rPr>
        <w:t>, 48-57.</w:t>
      </w:r>
    </w:p>
    <w:p w14:paraId="06DA112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6D1C79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Akubor, P. I. (2023). Quality evaluation of pulp powder and the developed functional jam from African locust bean fruit. </w:t>
      </w:r>
      <w:r>
        <w:rPr>
          <w:rFonts w:ascii="Times New Roman" w:hAnsi="Times New Roman"/>
          <w:i/>
          <w:iCs/>
          <w:sz w:val="24"/>
          <w:szCs w:val="24"/>
        </w:rPr>
        <w:t>Croatian Journal of Food Science and Technology</w:t>
      </w:r>
      <w:r>
        <w:rPr>
          <w:rFonts w:ascii="Times New Roman" w:hAnsi="Times New Roman"/>
          <w:sz w:val="24"/>
          <w:szCs w:val="24"/>
        </w:rPr>
        <w:t xml:space="preserve">, </w:t>
      </w:r>
      <w:r>
        <w:rPr>
          <w:rFonts w:ascii="Times New Roman" w:hAnsi="Times New Roman"/>
          <w:i/>
          <w:iCs/>
          <w:sz w:val="24"/>
          <w:szCs w:val="24"/>
        </w:rPr>
        <w:t>15</w:t>
      </w:r>
      <w:r>
        <w:rPr>
          <w:rFonts w:ascii="Times New Roman" w:hAnsi="Times New Roman"/>
          <w:sz w:val="24"/>
          <w:szCs w:val="24"/>
        </w:rPr>
        <w:t>(1), 63-72.</w:t>
      </w:r>
    </w:p>
    <w:p w14:paraId="68E28FF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6BA0C36"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Akusu</w:t>
      </w:r>
      <w:proofErr w:type="spellEnd"/>
      <w:r>
        <w:rPr>
          <w:rFonts w:ascii="Times New Roman" w:hAnsi="Times New Roman"/>
          <w:sz w:val="24"/>
          <w:szCs w:val="24"/>
        </w:rPr>
        <w:t xml:space="preserve">, O. M., Kiin-Kabari, D. B. and Isah, E. M. (2019). Effects of processing methods on the nutrient composition and sensory attributes of cookies produced from wheat and sesame seed flour blends. </w:t>
      </w:r>
      <w:r>
        <w:rPr>
          <w:rFonts w:ascii="Times New Roman" w:hAnsi="Times New Roman"/>
          <w:i/>
          <w:iCs/>
          <w:sz w:val="24"/>
          <w:szCs w:val="24"/>
        </w:rPr>
        <w:t>International Journal of Nutritional Science and Food Technology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(5), 34-50.</w:t>
      </w:r>
    </w:p>
    <w:p w14:paraId="3A735BC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6945A7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Aluko, A. E., </w:t>
      </w:r>
      <w:proofErr w:type="spellStart"/>
      <w:r>
        <w:rPr>
          <w:rFonts w:ascii="Times New Roman" w:hAnsi="Times New Roman"/>
          <w:sz w:val="24"/>
          <w:szCs w:val="24"/>
        </w:rPr>
        <w:t>Kinyuru</w:t>
      </w:r>
      <w:proofErr w:type="spellEnd"/>
      <w:r>
        <w:rPr>
          <w:rFonts w:ascii="Times New Roman" w:hAnsi="Times New Roman"/>
          <w:sz w:val="24"/>
          <w:szCs w:val="24"/>
        </w:rPr>
        <w:t xml:space="preserve">, J., </w:t>
      </w:r>
      <w:proofErr w:type="spellStart"/>
      <w:r>
        <w:rPr>
          <w:rFonts w:ascii="Times New Roman" w:hAnsi="Times New Roman"/>
          <w:sz w:val="24"/>
          <w:szCs w:val="24"/>
        </w:rPr>
        <w:t>Chove</w:t>
      </w:r>
      <w:proofErr w:type="spellEnd"/>
      <w:r>
        <w:rPr>
          <w:rFonts w:ascii="Times New Roman" w:hAnsi="Times New Roman"/>
          <w:sz w:val="24"/>
          <w:szCs w:val="24"/>
        </w:rPr>
        <w:t>, L. M., Kahenya, P. and Owino, W. (2016). Nutritional quality and functional properties of baobab (</w:t>
      </w:r>
      <w:r>
        <w:rPr>
          <w:rFonts w:ascii="Times New Roman" w:hAnsi="Times New Roman"/>
          <w:i/>
          <w:sz w:val="24"/>
          <w:szCs w:val="24"/>
        </w:rPr>
        <w:t>Adansonia digitata</w:t>
      </w:r>
      <w:r>
        <w:rPr>
          <w:rFonts w:ascii="Times New Roman" w:hAnsi="Times New Roman"/>
          <w:sz w:val="24"/>
          <w:szCs w:val="24"/>
        </w:rPr>
        <w:t xml:space="preserve">) pulp from Tanzania. </w:t>
      </w:r>
      <w:r>
        <w:rPr>
          <w:rFonts w:ascii="Times New Roman" w:hAnsi="Times New Roman"/>
          <w:i/>
          <w:iCs/>
          <w:sz w:val="24"/>
          <w:szCs w:val="24"/>
        </w:rPr>
        <w:t>Journal of Food Research</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(5), 23-31.</w:t>
      </w:r>
    </w:p>
    <w:p w14:paraId="345FBFD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lastRenderedPageBreak/>
        <w:t xml:space="preserve"> </w:t>
      </w:r>
    </w:p>
    <w:p w14:paraId="584FFD9D"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Association of Official Analytical Chemists (AOAC, 2005). Official methods of analysis of the Association of Analytical Chemists International. </w:t>
      </w:r>
      <w:r>
        <w:rPr>
          <w:rFonts w:ascii="Times New Roman" w:hAnsi="Times New Roman"/>
          <w:i/>
          <w:iCs/>
          <w:sz w:val="24"/>
          <w:szCs w:val="24"/>
        </w:rPr>
        <w:t>Official Methods: Gaithersburg, MD, USA</w:t>
      </w:r>
      <w:r>
        <w:rPr>
          <w:rFonts w:ascii="Times New Roman" w:hAnsi="Times New Roman"/>
          <w:sz w:val="24"/>
          <w:szCs w:val="24"/>
        </w:rPr>
        <w:t>.</w:t>
      </w:r>
    </w:p>
    <w:p w14:paraId="0FC14DB3"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Awuchi</w:t>
      </w:r>
      <w:proofErr w:type="spellEnd"/>
      <w:r>
        <w:rPr>
          <w:rFonts w:ascii="Times New Roman" w:hAnsi="Times New Roman"/>
          <w:sz w:val="24"/>
          <w:szCs w:val="24"/>
        </w:rPr>
        <w:t xml:space="preserve">, C. G., Igwe, V. S. and </w:t>
      </w:r>
      <w:proofErr w:type="spellStart"/>
      <w:r>
        <w:rPr>
          <w:rFonts w:ascii="Times New Roman" w:hAnsi="Times New Roman"/>
          <w:sz w:val="24"/>
          <w:szCs w:val="24"/>
        </w:rPr>
        <w:t>Echeta</w:t>
      </w:r>
      <w:proofErr w:type="spellEnd"/>
      <w:r>
        <w:rPr>
          <w:rFonts w:ascii="Times New Roman" w:hAnsi="Times New Roman"/>
          <w:sz w:val="24"/>
          <w:szCs w:val="24"/>
        </w:rPr>
        <w:t xml:space="preserve">, C. K. (2019). The functional properties of foods and flours. </w:t>
      </w:r>
      <w:r>
        <w:rPr>
          <w:rFonts w:ascii="Times New Roman" w:hAnsi="Times New Roman"/>
          <w:i/>
          <w:iCs/>
          <w:sz w:val="24"/>
          <w:szCs w:val="24"/>
        </w:rPr>
        <w:t>International Journal of Advanced Academic Research</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(11), 139-160.</w:t>
      </w:r>
    </w:p>
    <w:p w14:paraId="05CE817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E49062C"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Ayobami, A. A., Hassan, I. T., Busayo, A.O. and Oluwadamilola, M. K. (2016). Functional and Pasting Properties of Baobab (Adansonia digitata L.) Fruit Pulp Powder. </w:t>
      </w:r>
      <w:r>
        <w:rPr>
          <w:rFonts w:ascii="Times New Roman" w:hAnsi="Times New Roman"/>
          <w:i/>
          <w:sz w:val="24"/>
          <w:szCs w:val="24"/>
        </w:rPr>
        <w:t>International Journal of Current Research in Multidisciplinary (IJCRM)</w:t>
      </w:r>
      <w:r>
        <w:rPr>
          <w:rFonts w:ascii="Times New Roman" w:hAnsi="Times New Roman"/>
          <w:sz w:val="24"/>
          <w:szCs w:val="24"/>
        </w:rPr>
        <w:t>, 1(4), 5-9.</w:t>
      </w:r>
    </w:p>
    <w:p w14:paraId="327EA751"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FE5A66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Bilge, G., Sezer, B., </w:t>
      </w:r>
      <w:proofErr w:type="spellStart"/>
      <w:r>
        <w:rPr>
          <w:rFonts w:ascii="Times New Roman" w:hAnsi="Times New Roman"/>
          <w:sz w:val="24"/>
          <w:szCs w:val="24"/>
        </w:rPr>
        <w:t>Eseller</w:t>
      </w:r>
      <w:proofErr w:type="spellEnd"/>
      <w:r>
        <w:rPr>
          <w:rFonts w:ascii="Times New Roman" w:hAnsi="Times New Roman"/>
          <w:sz w:val="24"/>
          <w:szCs w:val="24"/>
        </w:rPr>
        <w:t xml:space="preserve">, K. E., </w:t>
      </w:r>
      <w:proofErr w:type="spellStart"/>
      <w:r>
        <w:rPr>
          <w:rFonts w:ascii="Times New Roman" w:hAnsi="Times New Roman"/>
          <w:sz w:val="24"/>
          <w:szCs w:val="24"/>
        </w:rPr>
        <w:t>Berberoglu</w:t>
      </w:r>
      <w:proofErr w:type="spellEnd"/>
      <w:r>
        <w:rPr>
          <w:rFonts w:ascii="Times New Roman" w:hAnsi="Times New Roman"/>
          <w:sz w:val="24"/>
          <w:szCs w:val="24"/>
        </w:rPr>
        <w:t xml:space="preserve">, H., </w:t>
      </w:r>
      <w:proofErr w:type="spellStart"/>
      <w:r>
        <w:rPr>
          <w:rFonts w:ascii="Times New Roman" w:hAnsi="Times New Roman"/>
          <w:sz w:val="24"/>
          <w:szCs w:val="24"/>
        </w:rPr>
        <w:t>Koksel</w:t>
      </w:r>
      <w:proofErr w:type="spellEnd"/>
      <w:r>
        <w:rPr>
          <w:rFonts w:ascii="Times New Roman" w:hAnsi="Times New Roman"/>
          <w:sz w:val="24"/>
          <w:szCs w:val="24"/>
        </w:rPr>
        <w:t xml:space="preserve">, H. and Boyaci, I. H. (2016). Ash analysis of flour sample by using laser-induced breakdown spectroscopy. </w:t>
      </w:r>
      <w:proofErr w:type="spellStart"/>
      <w:r>
        <w:rPr>
          <w:rFonts w:ascii="Times New Roman" w:hAnsi="Times New Roman"/>
          <w:i/>
          <w:iCs/>
          <w:sz w:val="24"/>
          <w:szCs w:val="24"/>
        </w:rPr>
        <w:t>Spectrochimica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Acta</w:t>
      </w:r>
      <w:proofErr w:type="spellEnd"/>
      <w:r>
        <w:rPr>
          <w:rFonts w:ascii="Times New Roman" w:hAnsi="Times New Roman"/>
          <w:i/>
          <w:iCs/>
          <w:sz w:val="24"/>
          <w:szCs w:val="24"/>
        </w:rPr>
        <w:t xml:space="preserve"> Part B: Atomic Spectroscopy</w:t>
      </w:r>
      <w:r>
        <w:rPr>
          <w:rFonts w:ascii="Times New Roman" w:hAnsi="Times New Roman"/>
          <w:sz w:val="24"/>
          <w:szCs w:val="24"/>
        </w:rPr>
        <w:t xml:space="preserve">, </w:t>
      </w:r>
      <w:r>
        <w:rPr>
          <w:rFonts w:ascii="Times New Roman" w:hAnsi="Times New Roman"/>
          <w:i/>
          <w:iCs/>
          <w:sz w:val="24"/>
          <w:szCs w:val="24"/>
        </w:rPr>
        <w:t>124</w:t>
      </w:r>
      <w:r>
        <w:rPr>
          <w:rFonts w:ascii="Times New Roman" w:hAnsi="Times New Roman"/>
          <w:sz w:val="24"/>
          <w:szCs w:val="24"/>
        </w:rPr>
        <w:t>, 74-78.</w:t>
      </w:r>
    </w:p>
    <w:p w14:paraId="682D2D9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283B8700"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Buckman, E. S., Oduro, I., </w:t>
      </w:r>
      <w:proofErr w:type="spellStart"/>
      <w:r>
        <w:rPr>
          <w:rFonts w:ascii="Times New Roman" w:hAnsi="Times New Roman"/>
          <w:sz w:val="24"/>
          <w:szCs w:val="24"/>
        </w:rPr>
        <w:t>Plahar</w:t>
      </w:r>
      <w:proofErr w:type="spellEnd"/>
      <w:r>
        <w:rPr>
          <w:rFonts w:ascii="Times New Roman" w:hAnsi="Times New Roman"/>
          <w:sz w:val="24"/>
          <w:szCs w:val="24"/>
        </w:rPr>
        <w:t xml:space="preserve">, W. A. and </w:t>
      </w:r>
      <w:proofErr w:type="spellStart"/>
      <w:r>
        <w:rPr>
          <w:rFonts w:ascii="Times New Roman" w:hAnsi="Times New Roman"/>
          <w:sz w:val="24"/>
          <w:szCs w:val="24"/>
        </w:rPr>
        <w:t>Tortoe</w:t>
      </w:r>
      <w:proofErr w:type="spellEnd"/>
      <w:r>
        <w:rPr>
          <w:rFonts w:ascii="Times New Roman" w:hAnsi="Times New Roman"/>
          <w:sz w:val="24"/>
          <w:szCs w:val="24"/>
        </w:rPr>
        <w:t>, C. (2018). Determination of the chemical and functional properties of yam bean (</w:t>
      </w:r>
      <w:proofErr w:type="spellStart"/>
      <w:r>
        <w:rPr>
          <w:rFonts w:ascii="Times New Roman" w:hAnsi="Times New Roman"/>
          <w:i/>
          <w:sz w:val="24"/>
          <w:szCs w:val="24"/>
        </w:rPr>
        <w:t>Pachyrhizus</w:t>
      </w:r>
      <w:proofErr w:type="spellEnd"/>
      <w:r>
        <w:rPr>
          <w:rFonts w:ascii="Times New Roman" w:hAnsi="Times New Roman"/>
          <w:i/>
          <w:sz w:val="24"/>
          <w:szCs w:val="24"/>
        </w:rPr>
        <w:t xml:space="preserve"> </w:t>
      </w:r>
      <w:proofErr w:type="spellStart"/>
      <w:r>
        <w:rPr>
          <w:rFonts w:ascii="Times New Roman" w:hAnsi="Times New Roman"/>
          <w:i/>
          <w:sz w:val="24"/>
          <w:szCs w:val="24"/>
        </w:rPr>
        <w:t>erosus</w:t>
      </w:r>
      <w:proofErr w:type="spellEnd"/>
      <w:r>
        <w:rPr>
          <w:rFonts w:ascii="Times New Roman" w:hAnsi="Times New Roman"/>
          <w:i/>
          <w:sz w:val="24"/>
          <w:szCs w:val="24"/>
        </w:rPr>
        <w:t xml:space="preserve"> L</w:t>
      </w:r>
      <w:r>
        <w:rPr>
          <w:rFonts w:ascii="Times New Roman" w:hAnsi="Times New Roman"/>
          <w:sz w:val="24"/>
          <w:szCs w:val="24"/>
        </w:rPr>
        <w:t xml:space="preserve">.) Urban) flour for food systems. </w:t>
      </w:r>
      <w:r>
        <w:rPr>
          <w:rFonts w:ascii="Times New Roman" w:hAnsi="Times New Roman"/>
          <w:i/>
          <w:iCs/>
          <w:sz w:val="24"/>
          <w:szCs w:val="24"/>
        </w:rPr>
        <w:t>Food Science and Nutrition</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(2), 457-463.</w:t>
      </w:r>
    </w:p>
    <w:p w14:paraId="0EB6CFDD"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65101FE" w14:textId="77777777" w:rsidR="00281F27" w:rsidRDefault="00281F27" w:rsidP="00281F27">
      <w:pPr>
        <w:autoSpaceDE w:val="0"/>
        <w:autoSpaceDN w:val="0"/>
        <w:adjustRightInd w:val="0"/>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Chadare</w:t>
      </w:r>
      <w:proofErr w:type="spellEnd"/>
      <w:r>
        <w:rPr>
          <w:rFonts w:ascii="Times New Roman" w:hAnsi="Times New Roman"/>
          <w:sz w:val="24"/>
          <w:szCs w:val="24"/>
        </w:rPr>
        <w:t xml:space="preserve">, F. J., Linnemann, A. R., </w:t>
      </w:r>
      <w:proofErr w:type="spellStart"/>
      <w:r>
        <w:rPr>
          <w:rFonts w:ascii="Times New Roman" w:hAnsi="Times New Roman"/>
          <w:sz w:val="24"/>
          <w:szCs w:val="24"/>
        </w:rPr>
        <w:t>Hounhouigan</w:t>
      </w:r>
      <w:proofErr w:type="spellEnd"/>
      <w:r>
        <w:rPr>
          <w:rFonts w:ascii="Times New Roman" w:hAnsi="Times New Roman"/>
          <w:sz w:val="24"/>
          <w:szCs w:val="24"/>
        </w:rPr>
        <w:t xml:space="preserve">, J. D., Nout, M. J. R. and Van Boekel, M. A. J. S. (2008). Baobab food products: a review on their composition and nutritional value. </w:t>
      </w:r>
      <w:r>
        <w:rPr>
          <w:rFonts w:ascii="Times New Roman" w:hAnsi="Times New Roman"/>
          <w:i/>
          <w:iCs/>
          <w:sz w:val="24"/>
          <w:szCs w:val="24"/>
        </w:rPr>
        <w:t>Critical Reviews in Food Science and Nutrition</w:t>
      </w:r>
      <w:r>
        <w:rPr>
          <w:rFonts w:ascii="Times New Roman" w:hAnsi="Times New Roman"/>
          <w:sz w:val="24"/>
          <w:szCs w:val="24"/>
        </w:rPr>
        <w:t xml:space="preserve">, </w:t>
      </w:r>
      <w:r>
        <w:rPr>
          <w:rFonts w:ascii="Times New Roman" w:hAnsi="Times New Roman"/>
          <w:i/>
          <w:iCs/>
          <w:sz w:val="24"/>
          <w:szCs w:val="24"/>
        </w:rPr>
        <w:t>49</w:t>
      </w:r>
      <w:r>
        <w:rPr>
          <w:rFonts w:ascii="Times New Roman" w:hAnsi="Times New Roman"/>
          <w:sz w:val="24"/>
          <w:szCs w:val="24"/>
        </w:rPr>
        <w:t>(3), 254-274.</w:t>
      </w:r>
    </w:p>
    <w:p w14:paraId="3CC6234C" w14:textId="77777777" w:rsidR="00281F27" w:rsidRDefault="00281F27" w:rsidP="00281F27">
      <w:pPr>
        <w:autoSpaceDE w:val="0"/>
        <w:autoSpaceDN w:val="0"/>
        <w:adjustRightInd w:val="0"/>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844F307"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Chandra, S., Singh, S. and Kumari, D. (2015). Evaluation of functional properties of composite flours and sensorial attributes of composite flour biscuits. </w:t>
      </w:r>
      <w:r>
        <w:rPr>
          <w:rFonts w:ascii="Times New Roman" w:hAnsi="Times New Roman"/>
          <w:i/>
          <w:iCs/>
          <w:sz w:val="24"/>
          <w:szCs w:val="24"/>
        </w:rPr>
        <w:t>Journal of Food Science and Technology</w:t>
      </w:r>
      <w:r>
        <w:rPr>
          <w:rFonts w:ascii="Times New Roman" w:hAnsi="Times New Roman"/>
          <w:sz w:val="24"/>
          <w:szCs w:val="24"/>
        </w:rPr>
        <w:t xml:space="preserve">, </w:t>
      </w:r>
      <w:r>
        <w:rPr>
          <w:rFonts w:ascii="Times New Roman" w:hAnsi="Times New Roman"/>
          <w:i/>
          <w:iCs/>
          <w:sz w:val="24"/>
          <w:szCs w:val="24"/>
        </w:rPr>
        <w:t>52</w:t>
      </w:r>
      <w:r>
        <w:rPr>
          <w:rFonts w:ascii="Times New Roman" w:hAnsi="Times New Roman"/>
          <w:sz w:val="24"/>
          <w:szCs w:val="24"/>
        </w:rPr>
        <w:t>, 3681-3688.</w:t>
      </w:r>
    </w:p>
    <w:p w14:paraId="282C13E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E04863F"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Cissé, I., Montet, D., Reynes, M., </w:t>
      </w:r>
      <w:proofErr w:type="spellStart"/>
      <w:r>
        <w:rPr>
          <w:rFonts w:ascii="Times New Roman" w:eastAsia="SimSun" w:hAnsi="Times New Roman"/>
          <w:sz w:val="24"/>
          <w:szCs w:val="24"/>
        </w:rPr>
        <w:t>Danthu</w:t>
      </w:r>
      <w:proofErr w:type="spellEnd"/>
      <w:r>
        <w:rPr>
          <w:rFonts w:ascii="Times New Roman" w:eastAsia="SimSun" w:hAnsi="Times New Roman"/>
          <w:sz w:val="24"/>
          <w:szCs w:val="24"/>
        </w:rPr>
        <w:t xml:space="preserve">, P., Yao, B., &amp; Boulanger, R. (2013). Biochemical and nutritional properties of baobab pulp from endemic species of Madagascar and the African mainland. </w:t>
      </w:r>
      <w:r>
        <w:rPr>
          <w:rFonts w:ascii="Times New Roman" w:eastAsia="SimSun" w:hAnsi="Times New Roman"/>
          <w:i/>
          <w:iCs/>
          <w:sz w:val="24"/>
          <w:szCs w:val="24"/>
        </w:rPr>
        <w:t>African Journal of agriculture Research</w:t>
      </w:r>
      <w:r>
        <w:rPr>
          <w:rFonts w:ascii="Times New Roman" w:eastAsia="SimSun" w:hAnsi="Times New Roman"/>
          <w:sz w:val="24"/>
          <w:szCs w:val="24"/>
        </w:rPr>
        <w:t>, 8(47), 6046-6051.</w:t>
      </w:r>
    </w:p>
    <w:p w14:paraId="4E9EE5FE"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40EA2993" w14:textId="77777777" w:rsidR="00281F27" w:rsidRDefault="00281F27" w:rsidP="00281F27">
      <w:pPr>
        <w:pStyle w:val="Default"/>
        <w:spacing w:before="0" w:beforeAutospacing="0" w:line="360" w:lineRule="auto"/>
        <w:jc w:val="both"/>
        <w:rPr>
          <w:rFonts w:ascii="Times New Roman" w:hAnsi="Times New Roman"/>
        </w:rPr>
      </w:pPr>
      <w:proofErr w:type="spellStart"/>
      <w:r>
        <w:rPr>
          <w:rFonts w:ascii="Times New Roman" w:hAnsi="Times New Roman"/>
          <w:bCs/>
        </w:rPr>
        <w:lastRenderedPageBreak/>
        <w:t>Dandago</w:t>
      </w:r>
      <w:proofErr w:type="spellEnd"/>
      <w:r>
        <w:rPr>
          <w:rFonts w:ascii="Times New Roman" w:hAnsi="Times New Roman"/>
          <w:bCs/>
        </w:rPr>
        <w:t xml:space="preserve">, M. A., Muktar M. A., Igwe E. C. and </w:t>
      </w:r>
      <w:proofErr w:type="spellStart"/>
      <w:r>
        <w:rPr>
          <w:rFonts w:ascii="Times New Roman" w:hAnsi="Times New Roman"/>
          <w:bCs/>
        </w:rPr>
        <w:t>Ndife</w:t>
      </w:r>
      <w:proofErr w:type="spellEnd"/>
      <w:r>
        <w:rPr>
          <w:rFonts w:ascii="Times New Roman" w:hAnsi="Times New Roman"/>
          <w:bCs/>
        </w:rPr>
        <w:t xml:space="preserve"> J. (2016)</w:t>
      </w:r>
      <w:r>
        <w:rPr>
          <w:rFonts w:ascii="Times New Roman" w:hAnsi="Times New Roman"/>
        </w:rPr>
        <w:t>. Proximate composition and effect of storage condition on Ascorbic acid content of Baobab fruits (</w:t>
      </w:r>
      <w:proofErr w:type="spellStart"/>
      <w:r>
        <w:rPr>
          <w:rFonts w:ascii="Times New Roman" w:hAnsi="Times New Roman"/>
          <w:i/>
        </w:rPr>
        <w:t>Adonsonia</w:t>
      </w:r>
      <w:proofErr w:type="spellEnd"/>
      <w:r>
        <w:rPr>
          <w:rFonts w:ascii="Times New Roman" w:hAnsi="Times New Roman"/>
          <w:i/>
        </w:rPr>
        <w:t xml:space="preserve"> </w:t>
      </w:r>
      <w:proofErr w:type="spellStart"/>
      <w:r>
        <w:rPr>
          <w:rFonts w:ascii="Times New Roman" w:hAnsi="Times New Roman"/>
          <w:i/>
        </w:rPr>
        <w:t>digitate</w:t>
      </w:r>
      <w:proofErr w:type="spellEnd"/>
      <w:r>
        <w:rPr>
          <w:rFonts w:ascii="Times New Roman" w:hAnsi="Times New Roman"/>
          <w:i/>
        </w:rPr>
        <w:t xml:space="preserve"> L.)</w:t>
      </w:r>
      <w:r>
        <w:rPr>
          <w:rFonts w:ascii="Times New Roman" w:hAnsi="Times New Roman"/>
        </w:rPr>
        <w:t xml:space="preserve"> pulp from </w:t>
      </w:r>
      <w:proofErr w:type="spellStart"/>
      <w:r>
        <w:rPr>
          <w:rFonts w:ascii="Times New Roman" w:hAnsi="Times New Roman"/>
        </w:rPr>
        <w:t>Wudil</w:t>
      </w:r>
      <w:proofErr w:type="spellEnd"/>
      <w:r>
        <w:rPr>
          <w:rFonts w:ascii="Times New Roman" w:hAnsi="Times New Roman"/>
        </w:rPr>
        <w:t xml:space="preserve">, Kano State, Nigeria. </w:t>
      </w:r>
      <w:r>
        <w:rPr>
          <w:rFonts w:ascii="Times New Roman" w:hAnsi="Times New Roman"/>
          <w:i/>
        </w:rPr>
        <w:t xml:space="preserve">International Journal of Basic Science and Technology, </w:t>
      </w:r>
      <w:r>
        <w:rPr>
          <w:rFonts w:ascii="Times New Roman" w:hAnsi="Times New Roman"/>
        </w:rPr>
        <w:t>2(1), 26 – 29.</w:t>
      </w:r>
    </w:p>
    <w:p w14:paraId="7249C03F" w14:textId="77777777" w:rsidR="00281F27" w:rsidRDefault="00281F27" w:rsidP="00281F27">
      <w:pPr>
        <w:pStyle w:val="Default"/>
        <w:spacing w:before="0" w:beforeAutospacing="0" w:line="360" w:lineRule="auto"/>
        <w:jc w:val="both"/>
        <w:rPr>
          <w:rFonts w:ascii="Times New Roman" w:hAnsi="Times New Roman"/>
        </w:rPr>
      </w:pPr>
      <w:r>
        <w:rPr>
          <w:rFonts w:ascii="Times New Roman" w:hAnsi="Times New Roman"/>
        </w:rPr>
        <w:t xml:space="preserve"> </w:t>
      </w:r>
    </w:p>
    <w:p w14:paraId="1261148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Dwyer, J. T., Picciano, M. F., Betz, J. M., Fisher, K. D., Saldanha, L. G., </w:t>
      </w:r>
      <w:proofErr w:type="spellStart"/>
      <w:r>
        <w:rPr>
          <w:rFonts w:ascii="Times New Roman" w:hAnsi="Times New Roman"/>
          <w:sz w:val="24"/>
          <w:szCs w:val="24"/>
        </w:rPr>
        <w:t>Yetley</w:t>
      </w:r>
      <w:proofErr w:type="spellEnd"/>
      <w:r>
        <w:rPr>
          <w:rFonts w:ascii="Times New Roman" w:hAnsi="Times New Roman"/>
          <w:sz w:val="24"/>
          <w:szCs w:val="24"/>
        </w:rPr>
        <w:t xml:space="preserve">, E. A., ...and Perry, C. R. (2006). Progress in development of an integrated dietary supplement ingredient database at the NIH Office of Dietary Supplements. </w:t>
      </w:r>
      <w:r>
        <w:rPr>
          <w:rFonts w:ascii="Times New Roman" w:hAnsi="Times New Roman"/>
          <w:i/>
          <w:iCs/>
          <w:sz w:val="24"/>
          <w:szCs w:val="24"/>
        </w:rPr>
        <w:t>Journal of Food Composition and Analysis</w:t>
      </w:r>
      <w:r>
        <w:rPr>
          <w:rFonts w:ascii="Times New Roman" w:hAnsi="Times New Roman"/>
          <w:sz w:val="24"/>
          <w:szCs w:val="24"/>
        </w:rPr>
        <w:t xml:space="preserve">, </w:t>
      </w:r>
      <w:r>
        <w:rPr>
          <w:rFonts w:ascii="Times New Roman" w:hAnsi="Times New Roman"/>
          <w:i/>
          <w:iCs/>
          <w:sz w:val="24"/>
          <w:szCs w:val="24"/>
        </w:rPr>
        <w:t>19</w:t>
      </w:r>
      <w:r>
        <w:rPr>
          <w:rFonts w:ascii="Times New Roman" w:hAnsi="Times New Roman"/>
          <w:sz w:val="24"/>
          <w:szCs w:val="24"/>
        </w:rPr>
        <w:t>, S108-S114.</w:t>
      </w:r>
    </w:p>
    <w:p w14:paraId="315DE27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9C53A54"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Erwa</w:t>
      </w:r>
      <w:proofErr w:type="spellEnd"/>
      <w:r>
        <w:rPr>
          <w:rFonts w:ascii="Times New Roman" w:hAnsi="Times New Roman"/>
          <w:sz w:val="24"/>
          <w:szCs w:val="24"/>
        </w:rPr>
        <w:t xml:space="preserve">, I. Y., Ali, A. M., Khalid, E. A., Omer, A. B. and </w:t>
      </w:r>
      <w:proofErr w:type="spellStart"/>
      <w:r>
        <w:rPr>
          <w:rFonts w:ascii="Times New Roman" w:hAnsi="Times New Roman"/>
          <w:sz w:val="24"/>
          <w:szCs w:val="24"/>
        </w:rPr>
        <w:t>Ishag</w:t>
      </w:r>
      <w:proofErr w:type="spellEnd"/>
      <w:r>
        <w:rPr>
          <w:rFonts w:ascii="Times New Roman" w:hAnsi="Times New Roman"/>
          <w:sz w:val="24"/>
          <w:szCs w:val="24"/>
        </w:rPr>
        <w:t xml:space="preserve">, O. A. (2019). Proximate composition, mineral elements content and physicochemical characteristics of Adansonia digitata L seed Oil. </w:t>
      </w:r>
      <w:r>
        <w:rPr>
          <w:rFonts w:ascii="Times New Roman" w:hAnsi="Times New Roman"/>
          <w:i/>
          <w:iCs/>
          <w:sz w:val="24"/>
          <w:szCs w:val="24"/>
        </w:rPr>
        <w:t>Int J Pharma Bio Sci</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(4), 119-126.</w:t>
      </w:r>
    </w:p>
    <w:p w14:paraId="1E5B9F9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C05BC5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Ezeagu, I. E. (2005). Baobab (</w:t>
      </w:r>
      <w:r>
        <w:rPr>
          <w:rFonts w:ascii="Times New Roman" w:eastAsia="Calibri" w:hAnsi="Times New Roman"/>
          <w:i/>
          <w:sz w:val="24"/>
          <w:szCs w:val="24"/>
        </w:rPr>
        <w:t>Adansonia digitata L</w:t>
      </w:r>
      <w:r>
        <w:rPr>
          <w:rFonts w:ascii="Times New Roman" w:eastAsia="Calibri" w:hAnsi="Times New Roman"/>
          <w:sz w:val="24"/>
          <w:szCs w:val="24"/>
        </w:rPr>
        <w:t xml:space="preserve">.) seed protein utilization in young albino rats I: biochemical ingredients and performance characteristics. </w:t>
      </w:r>
      <w:r>
        <w:rPr>
          <w:rFonts w:ascii="Times New Roman" w:eastAsia="Calibri" w:hAnsi="Times New Roman"/>
          <w:i/>
          <w:sz w:val="24"/>
          <w:szCs w:val="24"/>
        </w:rPr>
        <w:t>Animal Research International,</w:t>
      </w:r>
      <w:r>
        <w:rPr>
          <w:rFonts w:ascii="Times New Roman" w:eastAsia="Calibri" w:hAnsi="Times New Roman"/>
          <w:sz w:val="24"/>
          <w:szCs w:val="24"/>
        </w:rPr>
        <w:t xml:space="preserve"> 2(1), 240-245.</w:t>
      </w:r>
    </w:p>
    <w:p w14:paraId="4318468D"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Fatokun</w:t>
      </w:r>
      <w:proofErr w:type="spellEnd"/>
      <w:r>
        <w:rPr>
          <w:rFonts w:ascii="Times New Roman" w:hAnsi="Times New Roman"/>
          <w:sz w:val="24"/>
          <w:szCs w:val="24"/>
        </w:rPr>
        <w:t xml:space="preserve">, O. A. and Akanji, F. T. (2012). Chemical composition and anti-oxidant capacity of the fruit pulp of Adansonia digitata L. </w:t>
      </w:r>
      <w:r>
        <w:rPr>
          <w:rFonts w:ascii="Times New Roman" w:hAnsi="Times New Roman"/>
          <w:i/>
          <w:iCs/>
          <w:sz w:val="24"/>
          <w:szCs w:val="24"/>
        </w:rPr>
        <w:t>International Journal of Applied Chemistry</w:t>
      </w:r>
      <w:r>
        <w:rPr>
          <w:rFonts w:ascii="Times New Roman" w:hAnsi="Times New Roman"/>
          <w:sz w:val="24"/>
          <w:szCs w:val="24"/>
        </w:rPr>
        <w:t xml:space="preserve">, </w:t>
      </w:r>
      <w:r>
        <w:rPr>
          <w:rFonts w:ascii="Times New Roman" w:hAnsi="Times New Roman"/>
          <w:i/>
          <w:iCs/>
          <w:sz w:val="24"/>
          <w:szCs w:val="24"/>
        </w:rPr>
        <w:t>8</w:t>
      </w:r>
      <w:r>
        <w:rPr>
          <w:rFonts w:ascii="Times New Roman" w:hAnsi="Times New Roman"/>
          <w:sz w:val="24"/>
          <w:szCs w:val="24"/>
        </w:rPr>
        <w:t>(3), 165-172.</w:t>
      </w:r>
    </w:p>
    <w:p w14:paraId="1557785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7B0C21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Food and Agriculture Organization (FAO, 2017). Executive summary report on Africa regional overview of food security and nutrition, </w:t>
      </w:r>
      <w:hyperlink r:id="rId23" w:history="1">
        <w:r>
          <w:rPr>
            <w:rStyle w:val="16"/>
            <w:rFonts w:eastAsia="Calibri"/>
            <w:sz w:val="24"/>
            <w:szCs w:val="24"/>
          </w:rPr>
          <w:t>www.fao.org/africa</w:t>
        </w:r>
      </w:hyperlink>
      <w:r>
        <w:rPr>
          <w:rFonts w:ascii="Times New Roman" w:hAnsi="Times New Roman"/>
          <w:sz w:val="24"/>
          <w:szCs w:val="24"/>
        </w:rPr>
        <w:t xml:space="preserve"> (Assessed on 15 November 2023).</w:t>
      </w:r>
    </w:p>
    <w:p w14:paraId="33133C22"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3F6B24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Gavrilova, N., </w:t>
      </w:r>
      <w:proofErr w:type="spellStart"/>
      <w:r>
        <w:rPr>
          <w:rFonts w:ascii="Times New Roman" w:hAnsi="Times New Roman"/>
          <w:sz w:val="24"/>
          <w:szCs w:val="24"/>
        </w:rPr>
        <w:t>Chernopolskaya</w:t>
      </w:r>
      <w:proofErr w:type="spellEnd"/>
      <w:r>
        <w:rPr>
          <w:rFonts w:ascii="Times New Roman" w:hAnsi="Times New Roman"/>
          <w:sz w:val="24"/>
          <w:szCs w:val="24"/>
        </w:rPr>
        <w:t xml:space="preserve">, N., </w:t>
      </w:r>
      <w:proofErr w:type="spellStart"/>
      <w:r>
        <w:rPr>
          <w:rFonts w:ascii="Times New Roman" w:hAnsi="Times New Roman"/>
          <w:sz w:val="24"/>
          <w:szCs w:val="24"/>
        </w:rPr>
        <w:t>Rebezov</w:t>
      </w:r>
      <w:proofErr w:type="spellEnd"/>
      <w:r>
        <w:rPr>
          <w:rFonts w:ascii="Times New Roman" w:hAnsi="Times New Roman"/>
          <w:sz w:val="24"/>
          <w:szCs w:val="24"/>
        </w:rPr>
        <w:t xml:space="preserve">, M., Shchetinina, E., Suyazova, I., Safronov, S., Ivanova, V. and Sultanova, E. (2020). Development of specialized food products for nutrition of sportsmen. </w:t>
      </w:r>
      <w:r>
        <w:rPr>
          <w:rFonts w:ascii="Times New Roman" w:hAnsi="Times New Roman"/>
          <w:i/>
          <w:iCs/>
          <w:sz w:val="24"/>
          <w:szCs w:val="24"/>
        </w:rPr>
        <w:t>Journal of Critical Reviews</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(4), 233-236.</w:t>
      </w:r>
    </w:p>
    <w:p w14:paraId="2A22240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ACD49B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George, K. S., Muñoz, J., Akhavan, N. S., Foley, E. M., Siebert, S. C., Tenenbaum, G., Khalil, D. A., Chai, S. C. and </w:t>
      </w:r>
      <w:proofErr w:type="spellStart"/>
      <w:r>
        <w:rPr>
          <w:rFonts w:ascii="Times New Roman" w:hAnsi="Times New Roman"/>
          <w:sz w:val="24"/>
          <w:szCs w:val="24"/>
        </w:rPr>
        <w:t>Arjmandi</w:t>
      </w:r>
      <w:proofErr w:type="spellEnd"/>
      <w:r>
        <w:rPr>
          <w:rFonts w:ascii="Times New Roman" w:hAnsi="Times New Roman"/>
          <w:sz w:val="24"/>
          <w:szCs w:val="24"/>
        </w:rPr>
        <w:t xml:space="preserve">, B. H. (2020). Is soy protein effective in reducing cholesterol and improving bone health?. </w:t>
      </w:r>
      <w:r>
        <w:rPr>
          <w:rFonts w:ascii="Times New Roman" w:hAnsi="Times New Roman"/>
          <w:i/>
          <w:iCs/>
          <w:sz w:val="24"/>
          <w:szCs w:val="24"/>
        </w:rPr>
        <w:t>Food and Function</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(1), 544-551.</w:t>
      </w:r>
    </w:p>
    <w:p w14:paraId="30926A52"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C05881A"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lastRenderedPageBreak/>
        <w:t>Gernah</w:t>
      </w:r>
      <w:proofErr w:type="spellEnd"/>
      <w:r>
        <w:rPr>
          <w:rFonts w:ascii="Times New Roman" w:hAnsi="Times New Roman"/>
          <w:sz w:val="24"/>
          <w:szCs w:val="24"/>
        </w:rPr>
        <w:t xml:space="preserve">, D. I., </w:t>
      </w:r>
      <w:proofErr w:type="spellStart"/>
      <w:r>
        <w:rPr>
          <w:rFonts w:ascii="Times New Roman" w:hAnsi="Times New Roman"/>
          <w:sz w:val="24"/>
          <w:szCs w:val="24"/>
        </w:rPr>
        <w:t>Atolagbe</w:t>
      </w:r>
      <w:proofErr w:type="spellEnd"/>
      <w:r>
        <w:rPr>
          <w:rFonts w:ascii="Times New Roman" w:hAnsi="Times New Roman"/>
          <w:sz w:val="24"/>
          <w:szCs w:val="24"/>
        </w:rPr>
        <w:t xml:space="preserve">, M. O. and </w:t>
      </w:r>
      <w:proofErr w:type="spellStart"/>
      <w:r>
        <w:rPr>
          <w:rFonts w:ascii="Times New Roman" w:hAnsi="Times New Roman"/>
          <w:sz w:val="24"/>
          <w:szCs w:val="24"/>
        </w:rPr>
        <w:t>Echegwo</w:t>
      </w:r>
      <w:proofErr w:type="spellEnd"/>
      <w:r>
        <w:rPr>
          <w:rFonts w:ascii="Times New Roman" w:hAnsi="Times New Roman"/>
          <w:sz w:val="24"/>
          <w:szCs w:val="24"/>
        </w:rPr>
        <w:t xml:space="preserve">, C. C. (2007). Nutritional composition of the African locust bean (Parkia biglobosa) fruit pulp. </w:t>
      </w:r>
      <w:r>
        <w:rPr>
          <w:rFonts w:ascii="Times New Roman" w:hAnsi="Times New Roman"/>
          <w:i/>
          <w:iCs/>
          <w:sz w:val="24"/>
          <w:szCs w:val="24"/>
        </w:rPr>
        <w:t>Nigerian Food Journal</w:t>
      </w:r>
      <w:r>
        <w:rPr>
          <w:rFonts w:ascii="Times New Roman" w:hAnsi="Times New Roman"/>
          <w:sz w:val="24"/>
          <w:szCs w:val="24"/>
        </w:rPr>
        <w:t xml:space="preserve">, </w:t>
      </w:r>
      <w:r>
        <w:rPr>
          <w:rFonts w:ascii="Times New Roman" w:hAnsi="Times New Roman"/>
          <w:i/>
          <w:iCs/>
          <w:sz w:val="24"/>
          <w:szCs w:val="24"/>
        </w:rPr>
        <w:t>25</w:t>
      </w:r>
      <w:r>
        <w:rPr>
          <w:rFonts w:ascii="Times New Roman" w:hAnsi="Times New Roman"/>
          <w:sz w:val="24"/>
          <w:szCs w:val="24"/>
        </w:rPr>
        <w:t>(1), 190-196.</w:t>
      </w:r>
    </w:p>
    <w:p w14:paraId="7B43561C"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614B7C5C"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Global Market Insights Report. Baobab Ingredient Market Size Report (2018).  </w:t>
      </w:r>
      <w:hyperlink r:id="rId24" w:history="1">
        <w:r>
          <w:rPr>
            <w:rStyle w:val="16"/>
            <w:rFonts w:eastAsia="Calibri"/>
            <w:sz w:val="24"/>
            <w:szCs w:val="24"/>
          </w:rPr>
          <w:t>https://www.gminsights.com/industry-analysis/baobab-ingredient-market</w:t>
        </w:r>
      </w:hyperlink>
      <w:r>
        <w:rPr>
          <w:rFonts w:ascii="Times New Roman" w:hAnsi="Times New Roman"/>
          <w:sz w:val="24"/>
          <w:szCs w:val="24"/>
        </w:rPr>
        <w:t>, Assessed 20</w:t>
      </w:r>
      <w:r>
        <w:rPr>
          <w:rFonts w:ascii="Times New Roman" w:hAnsi="Times New Roman"/>
          <w:sz w:val="24"/>
          <w:szCs w:val="24"/>
          <w:vertAlign w:val="superscript"/>
        </w:rPr>
        <w:t>th</w:t>
      </w:r>
      <w:r>
        <w:rPr>
          <w:rFonts w:ascii="Times New Roman" w:hAnsi="Times New Roman"/>
          <w:sz w:val="24"/>
          <w:szCs w:val="24"/>
        </w:rPr>
        <w:t xml:space="preserve"> Jan 2023.</w:t>
      </w:r>
    </w:p>
    <w:p w14:paraId="27EECFE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Ibraheem, S. E., Idris, Y. M. A., Baraka, B. M. K. and Mustafa, S. E (2019). Morphological Characterization of Baobab (</w:t>
      </w:r>
      <w:r>
        <w:rPr>
          <w:rFonts w:ascii="Times New Roman" w:eastAsia="Calibri" w:hAnsi="Times New Roman"/>
          <w:i/>
          <w:sz w:val="24"/>
          <w:szCs w:val="24"/>
        </w:rPr>
        <w:t>Adansonia Digitata</w:t>
      </w:r>
      <w:r>
        <w:rPr>
          <w:rFonts w:ascii="Times New Roman" w:eastAsia="Calibri" w:hAnsi="Times New Roman"/>
          <w:sz w:val="24"/>
          <w:szCs w:val="24"/>
        </w:rPr>
        <w:t xml:space="preserve">) Fruit, Pectin and Some Sugars of Baobab Pulp from Different Locations in Sudan. </w:t>
      </w:r>
      <w:r>
        <w:rPr>
          <w:rFonts w:ascii="Times New Roman" w:eastAsia="Calibri" w:hAnsi="Times New Roman"/>
          <w:i/>
          <w:sz w:val="24"/>
          <w:szCs w:val="24"/>
        </w:rPr>
        <w:t>SUST Journal of Agricultural and Veterinary Sciences,</w:t>
      </w:r>
      <w:r>
        <w:rPr>
          <w:rFonts w:ascii="Times New Roman" w:eastAsia="Calibri" w:hAnsi="Times New Roman"/>
          <w:sz w:val="24"/>
          <w:szCs w:val="24"/>
        </w:rPr>
        <w:t xml:space="preserve"> 20(1), 68-79.</w:t>
      </w:r>
    </w:p>
    <w:p w14:paraId="0FABB6A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4989F7CF" w14:textId="77777777" w:rsidR="00281F27" w:rsidRDefault="00281F27" w:rsidP="00281F27">
      <w:pPr>
        <w:spacing w:before="0" w:beforeAutospacing="0" w:after="0" w:line="360" w:lineRule="auto"/>
        <w:jc w:val="both"/>
        <w:rPr>
          <w:rFonts w:ascii="Times New Roman" w:eastAsia="SimSun" w:hAnsi="Times New Roman"/>
          <w:sz w:val="24"/>
          <w:szCs w:val="24"/>
        </w:rPr>
      </w:pPr>
      <w:proofErr w:type="spellStart"/>
      <w:r>
        <w:rPr>
          <w:rFonts w:ascii="Times New Roman" w:eastAsia="SimSun" w:hAnsi="Times New Roman"/>
          <w:sz w:val="24"/>
          <w:szCs w:val="24"/>
        </w:rPr>
        <w:t>Kesselly</w:t>
      </w:r>
      <w:proofErr w:type="spellEnd"/>
      <w:r>
        <w:rPr>
          <w:rFonts w:ascii="Times New Roman" w:eastAsia="SimSun" w:hAnsi="Times New Roman"/>
          <w:sz w:val="24"/>
          <w:szCs w:val="24"/>
        </w:rPr>
        <w:t xml:space="preserve">, S. R., Mugabi, R., &amp; Byaruhanga, Y. B. (2023). Effect of soaking and extrusion on functional and pasting properties of cowpeas flour. </w:t>
      </w:r>
      <w:r>
        <w:rPr>
          <w:rFonts w:ascii="Times New Roman" w:eastAsia="SimSun" w:hAnsi="Times New Roman"/>
          <w:i/>
          <w:iCs/>
          <w:sz w:val="24"/>
          <w:szCs w:val="24"/>
        </w:rPr>
        <w:t>Scientific African</w:t>
      </w:r>
      <w:r>
        <w:rPr>
          <w:rFonts w:ascii="Times New Roman" w:eastAsia="SimSun" w:hAnsi="Times New Roman"/>
          <w:sz w:val="24"/>
          <w:szCs w:val="24"/>
        </w:rPr>
        <w:t xml:space="preserve">, </w:t>
      </w:r>
      <w:r>
        <w:rPr>
          <w:rFonts w:ascii="Times New Roman" w:eastAsia="SimSun" w:hAnsi="Times New Roman"/>
          <w:i/>
          <w:iCs/>
          <w:sz w:val="24"/>
          <w:szCs w:val="24"/>
        </w:rPr>
        <w:t>19</w:t>
      </w:r>
      <w:r>
        <w:rPr>
          <w:rFonts w:ascii="Times New Roman" w:eastAsia="SimSun" w:hAnsi="Times New Roman"/>
          <w:sz w:val="24"/>
          <w:szCs w:val="24"/>
        </w:rPr>
        <w:t>, e01532.</w:t>
      </w:r>
    </w:p>
    <w:p w14:paraId="4CF49850"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5E842647"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Kohgo</w:t>
      </w:r>
      <w:proofErr w:type="spellEnd"/>
      <w:r>
        <w:rPr>
          <w:rFonts w:ascii="Times New Roman" w:hAnsi="Times New Roman"/>
          <w:sz w:val="24"/>
          <w:szCs w:val="24"/>
        </w:rPr>
        <w:t xml:space="preserve">, Y., Ikuta, K., Ohtake, T., </w:t>
      </w:r>
      <w:proofErr w:type="spellStart"/>
      <w:r>
        <w:rPr>
          <w:rFonts w:ascii="Times New Roman" w:hAnsi="Times New Roman"/>
          <w:sz w:val="24"/>
          <w:szCs w:val="24"/>
        </w:rPr>
        <w:t>Torimoto</w:t>
      </w:r>
      <w:proofErr w:type="spellEnd"/>
      <w:r>
        <w:rPr>
          <w:rFonts w:ascii="Times New Roman" w:hAnsi="Times New Roman"/>
          <w:sz w:val="24"/>
          <w:szCs w:val="24"/>
        </w:rPr>
        <w:t xml:space="preserve">, Y. and Kato, J. (2008). Body iron metabolism and pathophysiology of iron overload. </w:t>
      </w:r>
      <w:r>
        <w:rPr>
          <w:rFonts w:ascii="Times New Roman" w:hAnsi="Times New Roman"/>
          <w:i/>
          <w:iCs/>
          <w:sz w:val="24"/>
          <w:szCs w:val="24"/>
        </w:rPr>
        <w:t xml:space="preserve">International Journal of </w:t>
      </w:r>
      <w:proofErr w:type="spellStart"/>
      <w:r>
        <w:rPr>
          <w:rFonts w:ascii="Times New Roman" w:hAnsi="Times New Roman"/>
          <w:i/>
          <w:iCs/>
          <w:sz w:val="24"/>
          <w:szCs w:val="24"/>
        </w:rPr>
        <w:t>Hematology</w:t>
      </w:r>
      <w:proofErr w:type="spellEnd"/>
      <w:r>
        <w:rPr>
          <w:rFonts w:ascii="Times New Roman" w:hAnsi="Times New Roman"/>
          <w:sz w:val="24"/>
          <w:szCs w:val="24"/>
        </w:rPr>
        <w:t xml:space="preserve">, </w:t>
      </w:r>
      <w:r>
        <w:rPr>
          <w:rFonts w:ascii="Times New Roman" w:hAnsi="Times New Roman"/>
          <w:i/>
          <w:iCs/>
          <w:sz w:val="24"/>
          <w:szCs w:val="24"/>
        </w:rPr>
        <w:t>88</w:t>
      </w:r>
      <w:r>
        <w:rPr>
          <w:rFonts w:ascii="Times New Roman" w:hAnsi="Times New Roman"/>
          <w:sz w:val="24"/>
          <w:szCs w:val="24"/>
        </w:rPr>
        <w:t>, 7-15.</w:t>
      </w:r>
    </w:p>
    <w:p w14:paraId="0EBD5D3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1AED923"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SimSun" w:hAnsi="Times New Roman"/>
          <w:sz w:val="24"/>
          <w:szCs w:val="24"/>
        </w:rPr>
        <w:t xml:space="preserve">Kujala, T. S., Loponen, J. M., Klika, K. D., &amp; Pihlaja, K. (2000). </w:t>
      </w:r>
      <w:proofErr w:type="spellStart"/>
      <w:r>
        <w:rPr>
          <w:rFonts w:ascii="Times New Roman" w:eastAsia="SimSun" w:hAnsi="Times New Roman"/>
          <w:sz w:val="24"/>
          <w:szCs w:val="24"/>
        </w:rPr>
        <w:t>Phenolics</w:t>
      </w:r>
      <w:proofErr w:type="spellEnd"/>
      <w:r>
        <w:rPr>
          <w:rFonts w:ascii="Times New Roman" w:eastAsia="SimSun" w:hAnsi="Times New Roman"/>
          <w:sz w:val="24"/>
          <w:szCs w:val="24"/>
        </w:rPr>
        <w:t xml:space="preserve"> and </w:t>
      </w:r>
      <w:proofErr w:type="spellStart"/>
      <w:r>
        <w:rPr>
          <w:rFonts w:ascii="Times New Roman" w:eastAsia="SimSun" w:hAnsi="Times New Roman"/>
          <w:sz w:val="24"/>
          <w:szCs w:val="24"/>
        </w:rPr>
        <w:t>betacyanins</w:t>
      </w:r>
      <w:proofErr w:type="spellEnd"/>
      <w:r>
        <w:rPr>
          <w:rFonts w:ascii="Times New Roman" w:eastAsia="SimSun" w:hAnsi="Times New Roman"/>
          <w:sz w:val="24"/>
          <w:szCs w:val="24"/>
        </w:rPr>
        <w:t xml:space="preserve"> in red beetroot (Beta vulgaris) root: Distribution and effect of cold storage on the content of total phenolics and three individual compounds. </w:t>
      </w:r>
      <w:r>
        <w:rPr>
          <w:rFonts w:ascii="Times New Roman" w:eastAsia="SimSun" w:hAnsi="Times New Roman"/>
          <w:i/>
          <w:iCs/>
          <w:sz w:val="24"/>
          <w:szCs w:val="24"/>
        </w:rPr>
        <w:t>Journal of Agricultural and Food Chemistry</w:t>
      </w:r>
      <w:r>
        <w:rPr>
          <w:rFonts w:ascii="Times New Roman" w:eastAsia="SimSun" w:hAnsi="Times New Roman"/>
          <w:sz w:val="24"/>
          <w:szCs w:val="24"/>
        </w:rPr>
        <w:t xml:space="preserve">, </w:t>
      </w:r>
      <w:r>
        <w:rPr>
          <w:rFonts w:ascii="Times New Roman" w:eastAsia="SimSun" w:hAnsi="Times New Roman"/>
          <w:i/>
          <w:iCs/>
          <w:sz w:val="24"/>
          <w:szCs w:val="24"/>
        </w:rPr>
        <w:t>48</w:t>
      </w:r>
      <w:r>
        <w:rPr>
          <w:rFonts w:ascii="Times New Roman" w:eastAsia="SimSun" w:hAnsi="Times New Roman"/>
          <w:sz w:val="24"/>
          <w:szCs w:val="24"/>
        </w:rPr>
        <w:t>(11), 5338-5342.</w:t>
      </w:r>
    </w:p>
    <w:p w14:paraId="7BCCBD5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889E56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Lam, H. H., Dinh, T. H., &amp; Dang-Bao, T. (2021). Quantification of total sugars and reducing sugars of dragon fruit-derived sugar-samples by UV-Vis spectrophotometric method. In </w:t>
      </w:r>
      <w:r>
        <w:rPr>
          <w:rFonts w:ascii="Times New Roman" w:hAnsi="Times New Roman"/>
          <w:i/>
          <w:iCs/>
          <w:sz w:val="24"/>
          <w:szCs w:val="24"/>
        </w:rPr>
        <w:t>IOP Conference Series: Earth and Environmental Science</w:t>
      </w:r>
      <w:r>
        <w:rPr>
          <w:rFonts w:ascii="Times New Roman" w:hAnsi="Times New Roman"/>
          <w:sz w:val="24"/>
          <w:szCs w:val="24"/>
        </w:rPr>
        <w:t xml:space="preserve"> (Vol. 947, No. 1, p. 012041). IOP Publishing.</w:t>
      </w:r>
    </w:p>
    <w:p w14:paraId="5D32EFB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6243CF2"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Lamien-Meda, A., Lamien, C. E., Compaoré, M. M., Meda, R. N., Kiendrebeogo, M., Zeba, B., Millogo, J. F. and Nacoulma, O. G. (2008). Polyphenol content and antioxidant activity of fourteen wild edible fruits from Burkina Faso. </w:t>
      </w:r>
      <w:r>
        <w:rPr>
          <w:rFonts w:ascii="Times New Roman" w:eastAsia="SimSun" w:hAnsi="Times New Roman"/>
          <w:i/>
          <w:iCs/>
          <w:sz w:val="24"/>
          <w:szCs w:val="24"/>
        </w:rPr>
        <w:t>Molecules</w:t>
      </w:r>
      <w:r>
        <w:rPr>
          <w:rFonts w:ascii="Times New Roman" w:eastAsia="SimSun" w:hAnsi="Times New Roman"/>
          <w:sz w:val="24"/>
          <w:szCs w:val="24"/>
        </w:rPr>
        <w:t xml:space="preserve">, </w:t>
      </w:r>
      <w:r>
        <w:rPr>
          <w:rFonts w:ascii="Times New Roman" w:eastAsia="SimSun" w:hAnsi="Times New Roman"/>
          <w:i/>
          <w:iCs/>
          <w:sz w:val="24"/>
          <w:szCs w:val="24"/>
        </w:rPr>
        <w:t>13</w:t>
      </w:r>
      <w:r>
        <w:rPr>
          <w:rFonts w:ascii="Times New Roman" w:eastAsia="SimSun" w:hAnsi="Times New Roman"/>
          <w:sz w:val="24"/>
          <w:szCs w:val="24"/>
        </w:rPr>
        <w:t>(3), 581-594.</w:t>
      </w:r>
    </w:p>
    <w:p w14:paraId="3742B920"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15C4D6B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lastRenderedPageBreak/>
        <w:t xml:space="preserve">Madhu, C., Krishna, K. M., Reddy, K. R., Lakshmi, P. J. and </w:t>
      </w:r>
      <w:proofErr w:type="spellStart"/>
      <w:r>
        <w:rPr>
          <w:rFonts w:ascii="Times New Roman" w:hAnsi="Times New Roman"/>
          <w:sz w:val="24"/>
          <w:szCs w:val="24"/>
        </w:rPr>
        <w:t>Kelari</w:t>
      </w:r>
      <w:proofErr w:type="spellEnd"/>
      <w:r>
        <w:rPr>
          <w:rFonts w:ascii="Times New Roman" w:hAnsi="Times New Roman"/>
          <w:sz w:val="24"/>
          <w:szCs w:val="24"/>
        </w:rPr>
        <w:t xml:space="preserve">, E. K. (2017). Estimation of crude fibre content from natural food stuffs and its laxative activity induced in rats. </w:t>
      </w:r>
      <w:r>
        <w:rPr>
          <w:rFonts w:ascii="Times New Roman" w:hAnsi="Times New Roman"/>
          <w:i/>
          <w:iCs/>
          <w:sz w:val="24"/>
          <w:szCs w:val="24"/>
        </w:rPr>
        <w:t>Int J Pharma Res Health Sci</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(3), 1703-1706.</w:t>
      </w:r>
    </w:p>
    <w:p w14:paraId="3B6E1F5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AB640C7"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Makawi</w:t>
      </w:r>
      <w:proofErr w:type="spellEnd"/>
      <w:r>
        <w:rPr>
          <w:rFonts w:ascii="Times New Roman" w:hAnsi="Times New Roman"/>
          <w:sz w:val="24"/>
          <w:szCs w:val="24"/>
        </w:rPr>
        <w:t xml:space="preserve">, A. B., Mustafa, A. I., </w:t>
      </w:r>
      <w:proofErr w:type="spellStart"/>
      <w:r>
        <w:rPr>
          <w:rFonts w:ascii="Times New Roman" w:hAnsi="Times New Roman"/>
          <w:sz w:val="24"/>
          <w:szCs w:val="24"/>
        </w:rPr>
        <w:t>Adiamo</w:t>
      </w:r>
      <w:proofErr w:type="spellEnd"/>
      <w:r>
        <w:rPr>
          <w:rFonts w:ascii="Times New Roman" w:hAnsi="Times New Roman"/>
          <w:sz w:val="24"/>
          <w:szCs w:val="24"/>
        </w:rPr>
        <w:t xml:space="preserve">, O. Q. and Ahmed, I. M. (2019). Effect of natural fermentation on the physicochemical, nutritional, functional, and microbiological properties of baobab (Adansonia digitata L.) fruit pulp flour. </w:t>
      </w:r>
      <w:r>
        <w:rPr>
          <w:rFonts w:ascii="Times New Roman" w:hAnsi="Times New Roman"/>
          <w:i/>
          <w:iCs/>
          <w:sz w:val="24"/>
          <w:szCs w:val="24"/>
        </w:rPr>
        <w:t>International Food Research Journal</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(6), 1707-1715.</w:t>
      </w:r>
    </w:p>
    <w:p w14:paraId="0CDFCDC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0E67A6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Monteiro, S., Reboredo, F. H., </w:t>
      </w:r>
      <w:proofErr w:type="spellStart"/>
      <w:r>
        <w:rPr>
          <w:rFonts w:ascii="Times New Roman" w:hAnsi="Times New Roman"/>
          <w:sz w:val="24"/>
          <w:szCs w:val="24"/>
        </w:rPr>
        <w:t>Lageiro</w:t>
      </w:r>
      <w:proofErr w:type="spellEnd"/>
      <w:r>
        <w:rPr>
          <w:rFonts w:ascii="Times New Roman" w:hAnsi="Times New Roman"/>
          <w:sz w:val="24"/>
          <w:szCs w:val="24"/>
        </w:rPr>
        <w:t xml:space="preserve">, M. M., Lourenço, V. M., Dias, J., Lidon, F., Abreu, M. and Alvarenga, N. (2022). Nutritional Properties of Baobab Pulp from Different Angolan Origins. </w:t>
      </w:r>
      <w:r>
        <w:rPr>
          <w:rFonts w:ascii="Times New Roman" w:hAnsi="Times New Roman"/>
          <w:i/>
          <w:iCs/>
          <w:sz w:val="24"/>
          <w:szCs w:val="24"/>
        </w:rPr>
        <w:t>Plants</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(17), 2272.</w:t>
      </w:r>
    </w:p>
    <w:p w14:paraId="24F287D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7528626" w14:textId="77777777" w:rsidR="00281F27" w:rsidRDefault="00281F27" w:rsidP="00281F27">
      <w:pPr>
        <w:spacing w:before="0" w:beforeAutospacing="0" w:after="0" w:line="360" w:lineRule="auto"/>
        <w:rPr>
          <w:rFonts w:ascii="Times New Roman" w:hAnsi="Times New Roman"/>
          <w:sz w:val="24"/>
          <w:szCs w:val="24"/>
        </w:rPr>
      </w:pPr>
      <w:r>
        <w:rPr>
          <w:rFonts w:ascii="Times New Roman" w:hAnsi="Times New Roman"/>
          <w:sz w:val="24"/>
          <w:szCs w:val="24"/>
        </w:rPr>
        <w:t xml:space="preserve">Monteiro-Alfredo, T., Caramelo, B., Arbeláez, D., Amaro, A., Barra, C., Silva, D., Oliveira, S., </w:t>
      </w:r>
      <w:proofErr w:type="spellStart"/>
      <w:r>
        <w:rPr>
          <w:rFonts w:ascii="Times New Roman" w:hAnsi="Times New Roman"/>
          <w:sz w:val="24"/>
          <w:szCs w:val="24"/>
        </w:rPr>
        <w:t>Seica</w:t>
      </w:r>
      <w:proofErr w:type="spellEnd"/>
      <w:r>
        <w:rPr>
          <w:rFonts w:ascii="Times New Roman" w:hAnsi="Times New Roman"/>
          <w:sz w:val="24"/>
          <w:szCs w:val="24"/>
        </w:rPr>
        <w:t xml:space="preserve">, R. and </w:t>
      </w:r>
      <w:proofErr w:type="spellStart"/>
      <w:r>
        <w:rPr>
          <w:rFonts w:ascii="Times New Roman" w:hAnsi="Times New Roman"/>
          <w:sz w:val="24"/>
          <w:szCs w:val="24"/>
        </w:rPr>
        <w:t>Matafome</w:t>
      </w:r>
      <w:proofErr w:type="spellEnd"/>
      <w:r>
        <w:rPr>
          <w:rFonts w:ascii="Times New Roman" w:hAnsi="Times New Roman"/>
          <w:sz w:val="24"/>
          <w:szCs w:val="24"/>
        </w:rPr>
        <w:t xml:space="preserve">, P. (2021). Distinct impact of natural sugars from fruit juices and added sugars on caloric intake, body weight, glycaemia, oxidative stress and glycation in diabetic rats. </w:t>
      </w:r>
      <w:r>
        <w:rPr>
          <w:rFonts w:ascii="Times New Roman" w:hAnsi="Times New Roman"/>
          <w:i/>
          <w:iCs/>
          <w:sz w:val="24"/>
          <w:szCs w:val="24"/>
        </w:rPr>
        <w:t>Nutrients</w:t>
      </w:r>
      <w:r>
        <w:rPr>
          <w:rFonts w:ascii="Times New Roman" w:hAnsi="Times New Roman"/>
          <w:sz w:val="24"/>
          <w:szCs w:val="24"/>
        </w:rPr>
        <w:t xml:space="preserve">, </w:t>
      </w:r>
      <w:r>
        <w:rPr>
          <w:rFonts w:ascii="Times New Roman" w:hAnsi="Times New Roman"/>
          <w:i/>
          <w:iCs/>
          <w:sz w:val="24"/>
          <w:szCs w:val="24"/>
        </w:rPr>
        <w:t>13</w:t>
      </w:r>
      <w:r>
        <w:rPr>
          <w:rFonts w:ascii="Times New Roman" w:hAnsi="Times New Roman"/>
          <w:sz w:val="24"/>
          <w:szCs w:val="24"/>
        </w:rPr>
        <w:t>(9), 2956.</w:t>
      </w:r>
    </w:p>
    <w:p w14:paraId="03F1178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31FEB85"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313"/>
          <w:sz w:val="24"/>
          <w:szCs w:val="24"/>
        </w:rPr>
      </w:pPr>
      <w:proofErr w:type="spellStart"/>
      <w:r>
        <w:rPr>
          <w:rFonts w:ascii="Times New Roman" w:eastAsia="Calibri" w:hAnsi="Times New Roman"/>
          <w:color w:val="131313"/>
          <w:sz w:val="24"/>
          <w:szCs w:val="24"/>
        </w:rPr>
        <w:t>Motsara</w:t>
      </w:r>
      <w:proofErr w:type="spellEnd"/>
      <w:r>
        <w:rPr>
          <w:rFonts w:ascii="Times New Roman" w:eastAsia="Calibri" w:hAnsi="Times New Roman"/>
          <w:color w:val="131313"/>
          <w:sz w:val="24"/>
          <w:szCs w:val="24"/>
        </w:rPr>
        <w:t>, M. R. and Roy, R. N. (2008). Guide to laboratory establishment for plant nutrient analysis. Food and Agriculture Organisation of United Nation, Rome, Italy. 201 pp.</w:t>
      </w:r>
    </w:p>
    <w:p w14:paraId="0A9B373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FA28F6C" w14:textId="77777777" w:rsidR="00281F27" w:rsidRDefault="00281F27" w:rsidP="00281F27">
      <w:pPr>
        <w:spacing w:before="0" w:beforeAutospacing="0" w:after="0" w:line="360" w:lineRule="auto"/>
        <w:jc w:val="both"/>
        <w:rPr>
          <w:rFonts w:ascii="Times New Roman" w:eastAsia="Calibri" w:hAnsi="Times New Roman"/>
          <w:sz w:val="24"/>
          <w:szCs w:val="24"/>
        </w:rPr>
      </w:pPr>
      <w:proofErr w:type="spellStart"/>
      <w:r>
        <w:rPr>
          <w:rFonts w:ascii="Times New Roman" w:hAnsi="Times New Roman"/>
          <w:sz w:val="24"/>
          <w:szCs w:val="24"/>
        </w:rPr>
        <w:t>Muthai</w:t>
      </w:r>
      <w:proofErr w:type="spellEnd"/>
      <w:r>
        <w:rPr>
          <w:rFonts w:ascii="Times New Roman" w:hAnsi="Times New Roman"/>
          <w:sz w:val="24"/>
          <w:szCs w:val="24"/>
        </w:rPr>
        <w:t xml:space="preserve">, K. U., Karori, M. S., </w:t>
      </w:r>
      <w:proofErr w:type="spellStart"/>
      <w:r>
        <w:rPr>
          <w:rFonts w:ascii="Times New Roman" w:hAnsi="Times New Roman"/>
          <w:sz w:val="24"/>
          <w:szCs w:val="24"/>
        </w:rPr>
        <w:t>Muchugi</w:t>
      </w:r>
      <w:proofErr w:type="spellEnd"/>
      <w:r>
        <w:rPr>
          <w:rFonts w:ascii="Times New Roman" w:hAnsi="Times New Roman"/>
          <w:sz w:val="24"/>
          <w:szCs w:val="24"/>
        </w:rPr>
        <w:t xml:space="preserve">, A., </w:t>
      </w:r>
      <w:proofErr w:type="spellStart"/>
      <w:r>
        <w:rPr>
          <w:rFonts w:ascii="Times New Roman" w:hAnsi="Times New Roman"/>
          <w:sz w:val="24"/>
          <w:szCs w:val="24"/>
        </w:rPr>
        <w:t>Indieka</w:t>
      </w:r>
      <w:proofErr w:type="spellEnd"/>
      <w:r>
        <w:rPr>
          <w:rFonts w:ascii="Times New Roman" w:hAnsi="Times New Roman"/>
          <w:sz w:val="24"/>
          <w:szCs w:val="24"/>
        </w:rPr>
        <w:t xml:space="preserve">, A. S., Dembele, C., </w:t>
      </w:r>
      <w:proofErr w:type="spellStart"/>
      <w:r>
        <w:rPr>
          <w:rFonts w:ascii="Times New Roman" w:hAnsi="Times New Roman"/>
          <w:sz w:val="24"/>
          <w:szCs w:val="24"/>
        </w:rPr>
        <w:t>Mng'omba</w:t>
      </w:r>
      <w:proofErr w:type="spellEnd"/>
      <w:r>
        <w:rPr>
          <w:rFonts w:ascii="Times New Roman" w:hAnsi="Times New Roman"/>
          <w:sz w:val="24"/>
          <w:szCs w:val="24"/>
        </w:rPr>
        <w:t xml:space="preserve">, S. and </w:t>
      </w:r>
      <w:proofErr w:type="spellStart"/>
      <w:r>
        <w:rPr>
          <w:rFonts w:ascii="Times New Roman" w:hAnsi="Times New Roman"/>
          <w:sz w:val="24"/>
          <w:szCs w:val="24"/>
        </w:rPr>
        <w:t>Jamnadass</w:t>
      </w:r>
      <w:proofErr w:type="spellEnd"/>
      <w:r>
        <w:rPr>
          <w:rFonts w:ascii="Times New Roman" w:hAnsi="Times New Roman"/>
          <w:sz w:val="24"/>
          <w:szCs w:val="24"/>
        </w:rPr>
        <w:t xml:space="preserve">, R. (2017). Nutritional variation in baobab (Adansonia digitata L.) fruit pulp and seeds based on Africa geographical regions. </w:t>
      </w:r>
      <w:r>
        <w:rPr>
          <w:rFonts w:ascii="Times New Roman" w:hAnsi="Times New Roman"/>
          <w:i/>
          <w:iCs/>
          <w:sz w:val="24"/>
          <w:szCs w:val="24"/>
        </w:rPr>
        <w:t>Food Science and Nutrition</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(6), 1116-1129.</w:t>
      </w:r>
      <w:r>
        <w:rPr>
          <w:rFonts w:ascii="Times New Roman" w:eastAsia="Calibri" w:hAnsi="Times New Roman"/>
          <w:sz w:val="24"/>
          <w:szCs w:val="24"/>
        </w:rPr>
        <w:t xml:space="preserve"> </w:t>
      </w:r>
    </w:p>
    <w:p w14:paraId="1A651CE5"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34123E0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National Institutes of Health, Office of Dietary Supplements (NIH, ODS, 2022), Strengthening Knowledge and Understanding of Dietary Supplements; </w:t>
      </w:r>
      <w:hyperlink r:id="rId25" w:history="1">
        <w:r>
          <w:rPr>
            <w:rStyle w:val="16"/>
            <w:rFonts w:eastAsia="Calibri"/>
            <w:sz w:val="24"/>
            <w:szCs w:val="24"/>
          </w:rPr>
          <w:t>https://ods.od.nih.gov/factsheets/VitaminC-HealthProfessional/accessed</w:t>
        </w:r>
      </w:hyperlink>
      <w:r>
        <w:rPr>
          <w:rFonts w:ascii="Times New Roman" w:eastAsia="Calibri" w:hAnsi="Times New Roman"/>
          <w:sz w:val="24"/>
          <w:szCs w:val="24"/>
        </w:rPr>
        <w:t xml:space="preserve"> on 22/08/2023.</w:t>
      </w:r>
    </w:p>
    <w:p w14:paraId="3AE18AC6"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7995A2AC"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Nour, A. A., </w:t>
      </w:r>
      <w:proofErr w:type="spellStart"/>
      <w:r>
        <w:rPr>
          <w:rFonts w:ascii="Times New Roman" w:eastAsia="Calibri" w:hAnsi="Times New Roman"/>
          <w:sz w:val="24"/>
          <w:szCs w:val="24"/>
        </w:rPr>
        <w:t>Magboul</w:t>
      </w:r>
      <w:proofErr w:type="spellEnd"/>
      <w:r>
        <w:rPr>
          <w:rFonts w:ascii="Times New Roman" w:eastAsia="Calibri" w:hAnsi="Times New Roman"/>
          <w:sz w:val="24"/>
          <w:szCs w:val="24"/>
        </w:rPr>
        <w:t xml:space="preserve">, B. I. and </w:t>
      </w:r>
      <w:proofErr w:type="spellStart"/>
      <w:r>
        <w:rPr>
          <w:rFonts w:ascii="Times New Roman" w:eastAsia="Calibri" w:hAnsi="Times New Roman"/>
          <w:sz w:val="24"/>
          <w:szCs w:val="24"/>
        </w:rPr>
        <w:t>Kheiri</w:t>
      </w:r>
      <w:proofErr w:type="spellEnd"/>
      <w:r>
        <w:rPr>
          <w:rFonts w:ascii="Times New Roman" w:eastAsia="Calibri" w:hAnsi="Times New Roman"/>
          <w:sz w:val="24"/>
          <w:szCs w:val="24"/>
        </w:rPr>
        <w:t xml:space="preserve">, N. H. (1980). Chemical composition of baobab fruit. </w:t>
      </w:r>
      <w:r>
        <w:rPr>
          <w:rFonts w:ascii="Times New Roman" w:eastAsia="Calibri" w:hAnsi="Times New Roman"/>
          <w:i/>
          <w:sz w:val="24"/>
          <w:szCs w:val="24"/>
        </w:rPr>
        <w:t xml:space="preserve">Adansonia digitata, </w:t>
      </w:r>
      <w:r>
        <w:rPr>
          <w:rFonts w:ascii="Times New Roman" w:eastAsia="Calibri" w:hAnsi="Times New Roman"/>
          <w:sz w:val="24"/>
          <w:szCs w:val="24"/>
        </w:rPr>
        <w:t>383-388.</w:t>
      </w:r>
    </w:p>
    <w:p w14:paraId="7C8E8B07"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lastRenderedPageBreak/>
        <w:t xml:space="preserve"> </w:t>
      </w:r>
    </w:p>
    <w:p w14:paraId="03789723"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Ofori, H., Addo, A., Bart-</w:t>
      </w:r>
      <w:proofErr w:type="spellStart"/>
      <w:r>
        <w:rPr>
          <w:rFonts w:ascii="Times New Roman" w:hAnsi="Times New Roman"/>
          <w:sz w:val="24"/>
          <w:szCs w:val="24"/>
        </w:rPr>
        <w:t>Plange</w:t>
      </w:r>
      <w:proofErr w:type="spellEnd"/>
      <w:r>
        <w:rPr>
          <w:rFonts w:ascii="Times New Roman" w:hAnsi="Times New Roman"/>
          <w:sz w:val="24"/>
          <w:szCs w:val="24"/>
        </w:rPr>
        <w:t xml:space="preserve">, </w:t>
      </w:r>
      <w:proofErr w:type="spellStart"/>
      <w:r>
        <w:rPr>
          <w:rFonts w:ascii="Times New Roman" w:hAnsi="Times New Roman"/>
          <w:sz w:val="24"/>
          <w:szCs w:val="24"/>
        </w:rPr>
        <w:t>Ato</w:t>
      </w:r>
      <w:proofErr w:type="spellEnd"/>
      <w:r>
        <w:rPr>
          <w:rFonts w:ascii="Times New Roman" w:hAnsi="Times New Roman"/>
          <w:sz w:val="24"/>
          <w:szCs w:val="24"/>
        </w:rPr>
        <w:t xml:space="preserve"> and </w:t>
      </w:r>
      <w:proofErr w:type="spellStart"/>
      <w:r>
        <w:rPr>
          <w:rFonts w:ascii="Times New Roman" w:hAnsi="Times New Roman"/>
          <w:sz w:val="24"/>
          <w:szCs w:val="24"/>
        </w:rPr>
        <w:t>Dzisi</w:t>
      </w:r>
      <w:proofErr w:type="spellEnd"/>
      <w:r>
        <w:rPr>
          <w:rFonts w:ascii="Times New Roman" w:hAnsi="Times New Roman"/>
          <w:sz w:val="24"/>
          <w:szCs w:val="24"/>
        </w:rPr>
        <w:t>, K. A. (2023). A review of baobab (</w:t>
      </w:r>
      <w:r>
        <w:rPr>
          <w:rFonts w:ascii="Times New Roman" w:hAnsi="Times New Roman"/>
          <w:i/>
          <w:sz w:val="24"/>
          <w:szCs w:val="24"/>
        </w:rPr>
        <w:t>Adansonia digitata</w:t>
      </w:r>
      <w:r>
        <w:rPr>
          <w:rFonts w:ascii="Times New Roman" w:hAnsi="Times New Roman"/>
          <w:sz w:val="24"/>
          <w:szCs w:val="24"/>
        </w:rPr>
        <w:t xml:space="preserve">) fruit processing as a catalyst for enhancing wealth and food security. </w:t>
      </w:r>
      <w:r>
        <w:rPr>
          <w:rFonts w:ascii="Times New Roman" w:hAnsi="Times New Roman"/>
          <w:i/>
          <w:iCs/>
          <w:sz w:val="24"/>
          <w:szCs w:val="24"/>
        </w:rPr>
        <w:t>Journal of the Ghana Institution of Engineering (</w:t>
      </w:r>
      <w:proofErr w:type="spellStart"/>
      <w:r>
        <w:rPr>
          <w:rFonts w:ascii="Times New Roman" w:hAnsi="Times New Roman"/>
          <w:i/>
          <w:iCs/>
          <w:sz w:val="24"/>
          <w:szCs w:val="24"/>
        </w:rPr>
        <w:t>JGhIE</w:t>
      </w:r>
      <w:proofErr w:type="spellEnd"/>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i/>
          <w:iCs/>
          <w:sz w:val="24"/>
          <w:szCs w:val="24"/>
        </w:rPr>
        <w:t>23</w:t>
      </w:r>
      <w:r>
        <w:rPr>
          <w:rFonts w:ascii="Times New Roman" w:hAnsi="Times New Roman"/>
          <w:sz w:val="24"/>
          <w:szCs w:val="24"/>
        </w:rPr>
        <w:t>(2), 34-43.</w:t>
      </w:r>
    </w:p>
    <w:p w14:paraId="444ADC7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6F90818" w14:textId="77777777" w:rsidR="00281F27" w:rsidRDefault="00281F27" w:rsidP="00281F27">
      <w:pPr>
        <w:spacing w:before="0" w:beforeAutospacing="0" w:after="0" w:line="360" w:lineRule="auto"/>
        <w:jc w:val="both"/>
        <w:rPr>
          <w:rFonts w:ascii="Times New Roman" w:eastAsia="SimSun" w:hAnsi="Times New Roman"/>
          <w:sz w:val="24"/>
          <w:szCs w:val="24"/>
        </w:rPr>
      </w:pPr>
      <w:proofErr w:type="spellStart"/>
      <w:r>
        <w:rPr>
          <w:rFonts w:ascii="Times New Roman" w:eastAsia="SimSun" w:hAnsi="Times New Roman"/>
          <w:sz w:val="24"/>
          <w:szCs w:val="24"/>
        </w:rPr>
        <w:t>Ogunkunle</w:t>
      </w:r>
      <w:proofErr w:type="spellEnd"/>
      <w:r>
        <w:rPr>
          <w:rFonts w:ascii="Times New Roman" w:eastAsia="SimSun" w:hAnsi="Times New Roman"/>
          <w:sz w:val="24"/>
          <w:szCs w:val="24"/>
        </w:rPr>
        <w:t xml:space="preserve">, M. O., Akano, A. M., &amp; </w:t>
      </w:r>
      <w:proofErr w:type="spellStart"/>
      <w:r>
        <w:rPr>
          <w:rFonts w:ascii="Times New Roman" w:eastAsia="SimSun" w:hAnsi="Times New Roman"/>
          <w:sz w:val="24"/>
          <w:szCs w:val="24"/>
        </w:rPr>
        <w:t>Kukoyi</w:t>
      </w:r>
      <w:proofErr w:type="spellEnd"/>
      <w:r>
        <w:rPr>
          <w:rFonts w:ascii="Times New Roman" w:eastAsia="SimSun" w:hAnsi="Times New Roman"/>
          <w:sz w:val="24"/>
          <w:szCs w:val="24"/>
        </w:rPr>
        <w:t xml:space="preserve">, T. M. (2020). Quantification of total phenolics, flavonoids and antioxidant activities of three selected tropical fruits grown in Nigeria. </w:t>
      </w:r>
      <w:r>
        <w:rPr>
          <w:rFonts w:ascii="Times New Roman" w:eastAsia="SimSun" w:hAnsi="Times New Roman"/>
          <w:i/>
          <w:iCs/>
          <w:sz w:val="24"/>
          <w:szCs w:val="24"/>
        </w:rPr>
        <w:t>Agricultural and Food Science Journal of Ghana</w:t>
      </w:r>
      <w:r>
        <w:rPr>
          <w:rFonts w:ascii="Times New Roman" w:eastAsia="SimSun" w:hAnsi="Times New Roman"/>
          <w:sz w:val="24"/>
          <w:szCs w:val="24"/>
        </w:rPr>
        <w:t xml:space="preserve">, </w:t>
      </w:r>
      <w:r>
        <w:rPr>
          <w:rFonts w:ascii="Times New Roman" w:eastAsia="SimSun" w:hAnsi="Times New Roman"/>
          <w:i/>
          <w:iCs/>
          <w:sz w:val="24"/>
          <w:szCs w:val="24"/>
        </w:rPr>
        <w:t>13</w:t>
      </w:r>
      <w:r>
        <w:rPr>
          <w:rFonts w:ascii="Times New Roman" w:eastAsia="SimSun" w:hAnsi="Times New Roman"/>
          <w:sz w:val="24"/>
          <w:szCs w:val="24"/>
        </w:rPr>
        <w:t>, 1175-1185.</w:t>
      </w:r>
    </w:p>
    <w:p w14:paraId="1AB8370B"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28246EEC"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Olawoye</w:t>
      </w:r>
      <w:proofErr w:type="spellEnd"/>
      <w:r>
        <w:rPr>
          <w:rFonts w:ascii="Times New Roman" w:hAnsi="Times New Roman"/>
          <w:sz w:val="24"/>
          <w:szCs w:val="24"/>
        </w:rPr>
        <w:t xml:space="preserve">, B. and Gbadamosi, S. O. (2020). Influence of processing on the physiochemical, functional and pasting properties of Nigerian </w:t>
      </w:r>
      <w:proofErr w:type="spellStart"/>
      <w:r>
        <w:rPr>
          <w:rFonts w:ascii="Times New Roman" w:hAnsi="Times New Roman"/>
          <w:sz w:val="24"/>
          <w:szCs w:val="24"/>
        </w:rPr>
        <w:t>Amaranthus</w:t>
      </w:r>
      <w:proofErr w:type="spellEnd"/>
      <w:r>
        <w:rPr>
          <w:rFonts w:ascii="Times New Roman" w:hAnsi="Times New Roman"/>
          <w:sz w:val="24"/>
          <w:szCs w:val="24"/>
        </w:rPr>
        <w:t xml:space="preserve"> </w:t>
      </w:r>
      <w:proofErr w:type="spellStart"/>
      <w:r>
        <w:rPr>
          <w:rFonts w:ascii="Times New Roman" w:hAnsi="Times New Roman"/>
          <w:sz w:val="24"/>
          <w:szCs w:val="24"/>
        </w:rPr>
        <w:t>viridis</w:t>
      </w:r>
      <w:proofErr w:type="spellEnd"/>
      <w:r>
        <w:rPr>
          <w:rFonts w:ascii="Times New Roman" w:hAnsi="Times New Roman"/>
          <w:sz w:val="24"/>
          <w:szCs w:val="24"/>
        </w:rPr>
        <w:t xml:space="preserve"> seed flour: A multivariate analysis approach. </w:t>
      </w:r>
      <w:r>
        <w:rPr>
          <w:rFonts w:ascii="Times New Roman" w:hAnsi="Times New Roman"/>
          <w:i/>
          <w:iCs/>
          <w:sz w:val="24"/>
          <w:szCs w:val="24"/>
        </w:rPr>
        <w:t>SN Applied Sciences</w:t>
      </w:r>
      <w:r>
        <w:rPr>
          <w:rFonts w:ascii="Times New Roman" w:hAnsi="Times New Roman"/>
          <w:sz w:val="24"/>
          <w:szCs w:val="24"/>
        </w:rPr>
        <w:t xml:space="preserve">, </w:t>
      </w:r>
      <w:r>
        <w:rPr>
          <w:rFonts w:ascii="Times New Roman" w:hAnsi="Times New Roman"/>
          <w:i/>
          <w:iCs/>
          <w:sz w:val="24"/>
          <w:szCs w:val="24"/>
        </w:rPr>
        <w:t>2</w:t>
      </w:r>
      <w:r>
        <w:rPr>
          <w:rFonts w:ascii="Times New Roman" w:hAnsi="Times New Roman"/>
          <w:sz w:val="24"/>
          <w:szCs w:val="24"/>
        </w:rPr>
        <w:t>(4), 607.</w:t>
      </w:r>
    </w:p>
    <w:p w14:paraId="18C029F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F17384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Osman, M. A.  (2004). Chemical and nutrient analysis of baobab fruit and seed protein solubility. </w:t>
      </w:r>
      <w:r>
        <w:rPr>
          <w:rFonts w:ascii="Times New Roman" w:hAnsi="Times New Roman"/>
          <w:i/>
          <w:iCs/>
          <w:sz w:val="24"/>
          <w:szCs w:val="24"/>
        </w:rPr>
        <w:t>Plant Foods for Human Nutrition</w:t>
      </w:r>
      <w:r>
        <w:rPr>
          <w:rFonts w:ascii="Times New Roman" w:hAnsi="Times New Roman"/>
          <w:sz w:val="24"/>
          <w:szCs w:val="24"/>
        </w:rPr>
        <w:t xml:space="preserve">, </w:t>
      </w:r>
      <w:r>
        <w:rPr>
          <w:rFonts w:ascii="Times New Roman" w:hAnsi="Times New Roman"/>
          <w:i/>
          <w:iCs/>
          <w:sz w:val="24"/>
          <w:szCs w:val="24"/>
        </w:rPr>
        <w:t>59</w:t>
      </w:r>
      <w:r>
        <w:rPr>
          <w:rFonts w:ascii="Times New Roman" w:hAnsi="Times New Roman"/>
          <w:sz w:val="24"/>
          <w:szCs w:val="24"/>
        </w:rPr>
        <w:t>(1), 29-33.</w:t>
      </w:r>
    </w:p>
    <w:p w14:paraId="58D7018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4B62EDB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Phyto-Trade Africa, (2009). Nutritional Evaluation of Baobab Dried Fruit Pulp and its Potential Health Benefits. A summary report prepared by Leatherhead Food Research for Phyto-Trade Africa (accessed on internet on 15/02/2021).</w:t>
      </w:r>
    </w:p>
    <w:p w14:paraId="2D474700"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227B8E96"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Ratnawati, L., </w:t>
      </w:r>
      <w:proofErr w:type="spellStart"/>
      <w:r>
        <w:rPr>
          <w:rFonts w:ascii="Times New Roman" w:hAnsi="Times New Roman"/>
          <w:sz w:val="24"/>
          <w:szCs w:val="24"/>
        </w:rPr>
        <w:t>Desnilasari</w:t>
      </w:r>
      <w:proofErr w:type="spellEnd"/>
      <w:r>
        <w:rPr>
          <w:rFonts w:ascii="Times New Roman" w:hAnsi="Times New Roman"/>
          <w:sz w:val="24"/>
          <w:szCs w:val="24"/>
        </w:rPr>
        <w:t xml:space="preserve">, D., </w:t>
      </w:r>
      <w:proofErr w:type="spellStart"/>
      <w:r>
        <w:rPr>
          <w:rFonts w:ascii="Times New Roman" w:hAnsi="Times New Roman"/>
          <w:sz w:val="24"/>
          <w:szCs w:val="24"/>
        </w:rPr>
        <w:t>Surahman</w:t>
      </w:r>
      <w:proofErr w:type="spellEnd"/>
      <w:r>
        <w:rPr>
          <w:rFonts w:ascii="Times New Roman" w:hAnsi="Times New Roman"/>
          <w:sz w:val="24"/>
          <w:szCs w:val="24"/>
        </w:rPr>
        <w:t xml:space="preserve">, D. N. and </w:t>
      </w:r>
      <w:proofErr w:type="spellStart"/>
      <w:r>
        <w:rPr>
          <w:rFonts w:ascii="Times New Roman" w:hAnsi="Times New Roman"/>
          <w:sz w:val="24"/>
          <w:szCs w:val="24"/>
        </w:rPr>
        <w:t>Kumalasari</w:t>
      </w:r>
      <w:proofErr w:type="spellEnd"/>
      <w:r>
        <w:rPr>
          <w:rFonts w:ascii="Times New Roman" w:hAnsi="Times New Roman"/>
          <w:sz w:val="24"/>
          <w:szCs w:val="24"/>
        </w:rPr>
        <w:t xml:space="preserve">, R. (2019). Evaluation of physicochemical, functional and pasting properties of soybean, mung bean and red kidney bean flour as ingredient in biscuit. In </w:t>
      </w:r>
      <w:r>
        <w:rPr>
          <w:rFonts w:ascii="Times New Roman" w:hAnsi="Times New Roman"/>
          <w:i/>
          <w:iCs/>
          <w:sz w:val="24"/>
          <w:szCs w:val="24"/>
        </w:rPr>
        <w:t>IOP Conference Series: Earth and Environmental Science</w:t>
      </w:r>
      <w:r>
        <w:rPr>
          <w:rFonts w:ascii="Times New Roman" w:hAnsi="Times New Roman"/>
          <w:sz w:val="24"/>
          <w:szCs w:val="24"/>
        </w:rPr>
        <w:t xml:space="preserve"> (Vol. 251, p. 012026). IOP Publishing.</w:t>
      </w:r>
    </w:p>
    <w:p w14:paraId="7919E42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153DB27"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Schmitt, S., Garrigues, S. and de la Guardia, M. (2014). Determination of the mineral composition of foods by infrared spectroscopy: A review of a green alternative. </w:t>
      </w:r>
      <w:r>
        <w:rPr>
          <w:rFonts w:ascii="Times New Roman" w:hAnsi="Times New Roman"/>
          <w:i/>
          <w:iCs/>
          <w:sz w:val="24"/>
          <w:szCs w:val="24"/>
        </w:rPr>
        <w:t>Critical Reviews in Analytical Chemistry</w:t>
      </w:r>
      <w:r>
        <w:rPr>
          <w:rFonts w:ascii="Times New Roman" w:hAnsi="Times New Roman"/>
          <w:sz w:val="24"/>
          <w:szCs w:val="24"/>
        </w:rPr>
        <w:t xml:space="preserve">, </w:t>
      </w:r>
      <w:r>
        <w:rPr>
          <w:rFonts w:ascii="Times New Roman" w:hAnsi="Times New Roman"/>
          <w:i/>
          <w:iCs/>
          <w:sz w:val="24"/>
          <w:szCs w:val="24"/>
        </w:rPr>
        <w:t>44</w:t>
      </w:r>
      <w:r>
        <w:rPr>
          <w:rFonts w:ascii="Times New Roman" w:hAnsi="Times New Roman"/>
          <w:sz w:val="24"/>
          <w:szCs w:val="24"/>
        </w:rPr>
        <w:t>(2), 186-197.</w:t>
      </w:r>
    </w:p>
    <w:p w14:paraId="390B5F9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45E86B6"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Sidibe, M. and Williams, J. T. (2002) Baobab. </w:t>
      </w:r>
      <w:r>
        <w:rPr>
          <w:rFonts w:ascii="Times New Roman" w:hAnsi="Times New Roman"/>
          <w:i/>
          <w:iCs/>
          <w:sz w:val="24"/>
          <w:szCs w:val="24"/>
        </w:rPr>
        <w:t>Adansonia digitata</w:t>
      </w:r>
      <w:r>
        <w:rPr>
          <w:rFonts w:ascii="Times New Roman" w:hAnsi="Times New Roman"/>
          <w:sz w:val="24"/>
          <w:szCs w:val="24"/>
        </w:rPr>
        <w:t>. International Centre for Underutilised Crops: Southampton, UK.</w:t>
      </w:r>
    </w:p>
    <w:p w14:paraId="3962B4B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lastRenderedPageBreak/>
        <w:t xml:space="preserve"> </w:t>
      </w:r>
    </w:p>
    <w:p w14:paraId="1ABB4D43"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Stadlmayr</w:t>
      </w:r>
      <w:proofErr w:type="spellEnd"/>
      <w:r>
        <w:rPr>
          <w:rFonts w:ascii="Times New Roman" w:hAnsi="Times New Roman"/>
          <w:sz w:val="24"/>
          <w:szCs w:val="24"/>
        </w:rPr>
        <w:t xml:space="preserve">, B., </w:t>
      </w:r>
      <w:proofErr w:type="spellStart"/>
      <w:r>
        <w:rPr>
          <w:rFonts w:ascii="Times New Roman" w:hAnsi="Times New Roman"/>
          <w:sz w:val="24"/>
          <w:szCs w:val="24"/>
        </w:rPr>
        <w:t>Charrondiere</w:t>
      </w:r>
      <w:proofErr w:type="spellEnd"/>
      <w:r>
        <w:rPr>
          <w:rFonts w:ascii="Times New Roman" w:hAnsi="Times New Roman"/>
          <w:sz w:val="24"/>
          <w:szCs w:val="24"/>
        </w:rPr>
        <w:t xml:space="preserve">, U. R., </w:t>
      </w:r>
      <w:proofErr w:type="spellStart"/>
      <w:r>
        <w:rPr>
          <w:rFonts w:ascii="Times New Roman" w:hAnsi="Times New Roman"/>
          <w:sz w:val="24"/>
          <w:szCs w:val="24"/>
        </w:rPr>
        <w:t>Eisenwagen</w:t>
      </w:r>
      <w:proofErr w:type="spellEnd"/>
      <w:r>
        <w:rPr>
          <w:rFonts w:ascii="Times New Roman" w:hAnsi="Times New Roman"/>
          <w:sz w:val="24"/>
          <w:szCs w:val="24"/>
        </w:rPr>
        <w:t xml:space="preserve">, S., </w:t>
      </w:r>
      <w:proofErr w:type="spellStart"/>
      <w:r>
        <w:rPr>
          <w:rFonts w:ascii="Times New Roman" w:hAnsi="Times New Roman"/>
          <w:sz w:val="24"/>
          <w:szCs w:val="24"/>
        </w:rPr>
        <w:t>Jamnadass</w:t>
      </w:r>
      <w:proofErr w:type="spellEnd"/>
      <w:r>
        <w:rPr>
          <w:rFonts w:ascii="Times New Roman" w:hAnsi="Times New Roman"/>
          <w:sz w:val="24"/>
          <w:szCs w:val="24"/>
        </w:rPr>
        <w:t xml:space="preserve">, R. and Kehlenbeck, K. (2013). Nutrient composition of selected indigenous fruits from sub-Saharan Africa. </w:t>
      </w:r>
      <w:r>
        <w:rPr>
          <w:rFonts w:ascii="Times New Roman" w:hAnsi="Times New Roman"/>
          <w:i/>
          <w:iCs/>
          <w:sz w:val="24"/>
          <w:szCs w:val="24"/>
        </w:rPr>
        <w:t>Journal of the Science of Food and Agriculture</w:t>
      </w:r>
      <w:r>
        <w:rPr>
          <w:rFonts w:ascii="Times New Roman" w:hAnsi="Times New Roman"/>
          <w:sz w:val="24"/>
          <w:szCs w:val="24"/>
        </w:rPr>
        <w:t xml:space="preserve">, </w:t>
      </w:r>
      <w:r>
        <w:rPr>
          <w:rFonts w:ascii="Times New Roman" w:hAnsi="Times New Roman"/>
          <w:i/>
          <w:iCs/>
          <w:sz w:val="24"/>
          <w:szCs w:val="24"/>
        </w:rPr>
        <w:t>93</w:t>
      </w:r>
      <w:r>
        <w:rPr>
          <w:rFonts w:ascii="Times New Roman" w:hAnsi="Times New Roman"/>
          <w:sz w:val="24"/>
          <w:szCs w:val="24"/>
        </w:rPr>
        <w:t>(11), 2627-2636.</w:t>
      </w:r>
    </w:p>
    <w:p w14:paraId="1E8FBE16"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B7C150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Suresh, C. and Samsher, S. (2013).Assessment of functional properties of different flours. </w:t>
      </w:r>
      <w:r>
        <w:rPr>
          <w:rFonts w:ascii="Times New Roman" w:eastAsia="Calibri" w:hAnsi="Times New Roman"/>
          <w:i/>
          <w:iCs/>
          <w:sz w:val="24"/>
          <w:szCs w:val="24"/>
        </w:rPr>
        <w:t xml:space="preserve">African Journal of Agricultural Research. </w:t>
      </w:r>
      <w:r>
        <w:rPr>
          <w:rFonts w:ascii="Times New Roman" w:eastAsia="Calibri" w:hAnsi="Times New Roman"/>
          <w:sz w:val="24"/>
          <w:szCs w:val="24"/>
        </w:rPr>
        <w:t>8(38); 4849-4852.</w:t>
      </w:r>
    </w:p>
    <w:p w14:paraId="3240835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6FFC795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United Nations Children's Fund (UNICEF), (2014). </w:t>
      </w:r>
      <w:r>
        <w:rPr>
          <w:rFonts w:ascii="Times New Roman" w:hAnsi="Times New Roman"/>
          <w:i/>
          <w:iCs/>
          <w:sz w:val="24"/>
          <w:szCs w:val="24"/>
        </w:rPr>
        <w:t>25 Years of the Convention on the Rights of the Child: Is the World a Better Place for Children?</w:t>
      </w:r>
      <w:r>
        <w:rPr>
          <w:rFonts w:ascii="Times New Roman" w:hAnsi="Times New Roman"/>
          <w:sz w:val="24"/>
          <w:szCs w:val="24"/>
        </w:rPr>
        <w:t>. ERIC Clearinghouse.</w:t>
      </w:r>
    </w:p>
    <w:p w14:paraId="43C8411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4770A6A" w14:textId="77777777" w:rsidR="00281F27" w:rsidRDefault="00281F27" w:rsidP="00281F27">
      <w:pPr>
        <w:spacing w:before="0" w:beforeAutospacing="0" w:after="0" w:line="360" w:lineRule="auto"/>
        <w:jc w:val="both"/>
        <w:rPr>
          <w:rFonts w:ascii="Times New Roman" w:hAnsi="Times New Roman"/>
          <w:sz w:val="24"/>
          <w:szCs w:val="24"/>
        </w:rPr>
      </w:pPr>
      <w:bookmarkStart w:id="55" w:name="_GoBack"/>
      <w:r>
        <w:rPr>
          <w:rFonts w:ascii="Times New Roman" w:hAnsi="Times New Roman"/>
          <w:sz w:val="24"/>
          <w:szCs w:val="24"/>
        </w:rPr>
        <w:t>Vassiliou</w:t>
      </w:r>
      <w:bookmarkEnd w:id="55"/>
      <w:r>
        <w:rPr>
          <w:rFonts w:ascii="Times New Roman" w:hAnsi="Times New Roman"/>
          <w:sz w:val="24"/>
          <w:szCs w:val="24"/>
        </w:rPr>
        <w:t xml:space="preserve">, A. (2008). COMMISSION DECICION of 27 June 2008 authorising the placing on the market of Baobab dried fruit pulp as a novel food ingredient under Regulation (EC) N° 258/97 of the European Parliament and of the Council. </w:t>
      </w:r>
      <w:r>
        <w:rPr>
          <w:rFonts w:ascii="Times New Roman" w:hAnsi="Times New Roman"/>
          <w:i/>
          <w:iCs/>
          <w:sz w:val="24"/>
          <w:szCs w:val="24"/>
        </w:rPr>
        <w:t>Official Journal of the European Union</w:t>
      </w:r>
      <w:r>
        <w:rPr>
          <w:rFonts w:ascii="Times New Roman" w:hAnsi="Times New Roman"/>
          <w:sz w:val="24"/>
          <w:szCs w:val="24"/>
        </w:rPr>
        <w:t>, 1-2.</w:t>
      </w:r>
    </w:p>
    <w:p w14:paraId="15D781A4"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0795313F"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018EE800"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6266FE9F" w14:textId="77777777" w:rsidR="00281F27" w:rsidRDefault="00281F27" w:rsidP="00281F27">
      <w:pPr>
        <w:spacing w:before="0" w:beforeAutospacing="0" w:after="0" w:line="360" w:lineRule="auto"/>
      </w:pPr>
      <w:r>
        <w:t xml:space="preserve"> </w:t>
      </w:r>
    </w:p>
    <w:p w14:paraId="24430390" w14:textId="77777777" w:rsidR="00393F74" w:rsidRDefault="00393F74"/>
    <w:sectPr w:rsidR="00393F74">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Laptop World" w:date="2025-10-20T22:38:00Z" w:initials="LW">
    <w:p w14:paraId="64B5ECFE" w14:textId="2BFD1259" w:rsidR="0018183B" w:rsidRDefault="0018183B">
      <w:pPr>
        <w:pStyle w:val="CommentText"/>
      </w:pPr>
      <w:r>
        <w:rPr>
          <w:rStyle w:val="CommentReference"/>
        </w:rPr>
        <w:annotationRef/>
      </w:r>
      <w:r w:rsidRPr="0018183B">
        <w:t>through several policies</w:t>
      </w:r>
    </w:p>
  </w:comment>
  <w:comment w:id="5" w:author="Laptop World" w:date="2025-10-20T22:38:00Z" w:initials="LW">
    <w:p w14:paraId="4FF7B7F1" w14:textId="766849A4" w:rsidR="0018183B" w:rsidRDefault="0018183B">
      <w:pPr>
        <w:pStyle w:val="CommentText"/>
      </w:pPr>
      <w:r>
        <w:rPr>
          <w:rStyle w:val="CommentReference"/>
        </w:rPr>
        <w:annotationRef/>
      </w:r>
      <w:r>
        <w:rPr>
          <w:rFonts w:ascii="Times New Roman" w:eastAsia="Calibri" w:hAnsi="Times New Roman"/>
          <w:sz w:val="24"/>
          <w:szCs w:val="24"/>
        </w:rPr>
        <w:t>post-harvest</w:t>
      </w:r>
    </w:p>
  </w:comment>
  <w:comment w:id="6" w:author="Laptop World" w:date="2025-10-20T22:39:00Z" w:initials="LW">
    <w:p w14:paraId="19DE1B55" w14:textId="28169A0F" w:rsidR="0018183B" w:rsidRDefault="0018183B">
      <w:pPr>
        <w:pStyle w:val="CommentText"/>
      </w:pPr>
      <w:r>
        <w:rPr>
          <w:rStyle w:val="CommentReference"/>
        </w:rPr>
        <w:annotationRef/>
      </w:r>
      <w:r>
        <w:t>To</w:t>
      </w:r>
    </w:p>
  </w:comment>
  <w:comment w:id="7" w:author="Laptop World" w:date="2025-10-21T00:11:00Z" w:initials="LW">
    <w:p w14:paraId="417AD52E" w14:textId="420DB3CA" w:rsidR="001D5E48" w:rsidRDefault="001D5E48">
      <w:pPr>
        <w:pStyle w:val="CommentText"/>
      </w:pPr>
      <w:r>
        <w:rPr>
          <w:rStyle w:val="CommentReference"/>
        </w:rPr>
        <w:annotationRef/>
      </w:r>
      <w:r>
        <w:t>2008</w:t>
      </w:r>
    </w:p>
  </w:comment>
  <w:comment w:id="18" w:author="Laptop World" w:date="2025-10-21T00:10:00Z" w:initials="LW">
    <w:p w14:paraId="4CBFB0B6" w14:textId="0861D2C9" w:rsidR="00B94347" w:rsidRDefault="00B94347" w:rsidP="00C428B3">
      <w:pPr>
        <w:pStyle w:val="CommentText"/>
      </w:pPr>
      <w:r>
        <w:rPr>
          <w:rStyle w:val="CommentReference"/>
        </w:rPr>
        <w:annotationRef/>
      </w:r>
      <w:r w:rsidR="00C428B3">
        <w:rPr>
          <w:rStyle w:val="rynqvb"/>
          <w:rFonts w:eastAsia="SimSun"/>
          <w:lang/>
        </w:rPr>
        <w:t>Explain the method briefly</w:t>
      </w:r>
    </w:p>
  </w:comment>
  <w:comment w:id="19" w:author="Laptop World" w:date="2025-10-20T22:56:00Z" w:initials="LW">
    <w:p w14:paraId="518454A5" w14:textId="74FEA0E3" w:rsidR="00B94347" w:rsidRDefault="00B94347">
      <w:pPr>
        <w:pStyle w:val="CommentText"/>
      </w:pPr>
      <w:r>
        <w:rPr>
          <w:rStyle w:val="CommentReference"/>
        </w:rPr>
        <w:annotationRef/>
      </w:r>
      <w:r>
        <w:t>2.4.4.</w:t>
      </w:r>
    </w:p>
  </w:comment>
  <w:comment w:id="20" w:author="Laptop World" w:date="2025-10-20T22:56:00Z" w:initials="LW">
    <w:p w14:paraId="676F2DA8" w14:textId="7DC418E2" w:rsidR="00B94347" w:rsidRDefault="00B94347">
      <w:pPr>
        <w:pStyle w:val="CommentText"/>
      </w:pPr>
      <w:r>
        <w:rPr>
          <w:rStyle w:val="CommentReference"/>
        </w:rPr>
        <w:annotationRef/>
      </w:r>
      <w:r>
        <w:t>2.4.5.</w:t>
      </w:r>
    </w:p>
  </w:comment>
  <w:comment w:id="30" w:author="Laptop World" w:date="2025-10-21T00:04:00Z" w:initials="LW">
    <w:p w14:paraId="04EA0B32" w14:textId="2F211B56" w:rsidR="00C428B3" w:rsidRDefault="00C428B3" w:rsidP="00C428B3">
      <w:pPr>
        <w:pStyle w:val="CommentText"/>
      </w:pPr>
      <w:r>
        <w:rPr>
          <w:rStyle w:val="CommentReference"/>
        </w:rPr>
        <w:annotationRef/>
      </w:r>
      <w:r w:rsidRPr="00C428B3">
        <w:t xml:space="preserve">Results should be presented in the same order as they are presented in </w:t>
      </w:r>
      <w:r>
        <w:t xml:space="preserve">Materials </w:t>
      </w:r>
      <w:r w:rsidRPr="00C428B3">
        <w:t xml:space="preserve">and </w:t>
      </w:r>
      <w:r>
        <w:t>Methods</w:t>
      </w:r>
    </w:p>
  </w:comment>
  <w:comment w:id="31" w:author="Laptop World" w:date="2025-10-21T00:30:00Z" w:initials="LW">
    <w:p w14:paraId="03F955F2" w14:textId="5F5ED720" w:rsidR="006D5132" w:rsidRPr="006D5132" w:rsidRDefault="006D5132">
      <w:pPr>
        <w:pStyle w:val="CommentText"/>
        <w:rPr>
          <w:i/>
          <w:iCs/>
        </w:rPr>
      </w:pPr>
      <w:r>
        <w:rPr>
          <w:rStyle w:val="CommentReference"/>
        </w:rPr>
        <w:annotationRef/>
      </w:r>
      <w:r w:rsidRPr="006D5132">
        <w:rPr>
          <w:rFonts w:ascii="Times New Roman" w:hAnsi="Times New Roman"/>
          <w:i/>
          <w:iCs/>
          <w:color w:val="252525"/>
          <w:sz w:val="24"/>
          <w:szCs w:val="24"/>
        </w:rPr>
        <w:t>et al.,</w:t>
      </w:r>
    </w:p>
  </w:comment>
  <w:comment w:id="34" w:author="Laptop World" w:date="2025-10-20T23:26:00Z" w:initials="LW">
    <w:p w14:paraId="089AE8B3" w14:textId="41CC2D45" w:rsidR="00EC010F" w:rsidRDefault="00EC010F" w:rsidP="00EC010F">
      <w:pPr>
        <w:pStyle w:val="CommentText"/>
      </w:pPr>
      <w:r>
        <w:rPr>
          <w:rStyle w:val="CommentReference"/>
        </w:rPr>
        <w:annotationRef/>
      </w:r>
      <w:r>
        <w:t>Total</w:t>
      </w:r>
      <w:r w:rsidRPr="00EC010F">
        <w:rPr>
          <w:rFonts w:ascii="Times New Roman" w:hAnsi="Times New Roman"/>
          <w:color w:val="000000"/>
          <w:sz w:val="24"/>
          <w:szCs w:val="24"/>
        </w:rPr>
        <w:t xml:space="preserve"> </w:t>
      </w:r>
      <w:r>
        <w:rPr>
          <w:rFonts w:ascii="Times New Roman" w:hAnsi="Times New Roman"/>
          <w:color w:val="000000"/>
          <w:sz w:val="24"/>
          <w:szCs w:val="24"/>
        </w:rPr>
        <w:t>c</w:t>
      </w:r>
      <w:r>
        <w:rPr>
          <w:rFonts w:ascii="Times New Roman" w:hAnsi="Times New Roman"/>
          <w:color w:val="000000"/>
          <w:sz w:val="24"/>
          <w:szCs w:val="24"/>
        </w:rPr>
        <w:t>arbohydrate</w:t>
      </w:r>
    </w:p>
  </w:comment>
  <w:comment w:id="35" w:author="Laptop World" w:date="2025-10-21T00:12:00Z" w:initials="LW">
    <w:p w14:paraId="2907AE0C" w14:textId="20463625" w:rsidR="001D5E48" w:rsidRDefault="001D5E48">
      <w:pPr>
        <w:pStyle w:val="CommentText"/>
      </w:pPr>
      <w:r>
        <w:rPr>
          <w:rStyle w:val="CommentReference"/>
        </w:rPr>
        <w:annotationRef/>
      </w:r>
      <w:r w:rsidRPr="001D5E48">
        <w:rPr>
          <w:rFonts w:ascii="Times New Roman" w:hAnsi="Times New Roman"/>
          <w:i/>
          <w:iCs/>
          <w:color w:val="252525"/>
          <w:sz w:val="24"/>
          <w:szCs w:val="24"/>
        </w:rPr>
        <w:t>et al</w:t>
      </w:r>
      <w:r>
        <w:t>.</w:t>
      </w:r>
    </w:p>
  </w:comment>
  <w:comment w:id="36" w:author="Laptop World" w:date="2025-10-21T00:13:00Z" w:initials="LW">
    <w:p w14:paraId="3A7C3959" w14:textId="4663E823" w:rsidR="001D5E48" w:rsidRDefault="001D5E48">
      <w:pPr>
        <w:pStyle w:val="CommentText"/>
      </w:pPr>
      <w:r>
        <w:rPr>
          <w:rStyle w:val="CommentReference"/>
        </w:rPr>
        <w:annotationRef/>
      </w:r>
      <w:r w:rsidRPr="001D5E48">
        <w:rPr>
          <w:rFonts w:ascii="Times New Roman" w:hAnsi="Times New Roman"/>
          <w:i/>
          <w:iCs/>
          <w:color w:val="252525"/>
          <w:sz w:val="24"/>
          <w:szCs w:val="24"/>
        </w:rPr>
        <w:t>et al</w:t>
      </w:r>
      <w:r>
        <w:t>.</w:t>
      </w:r>
    </w:p>
  </w:comment>
  <w:comment w:id="37" w:author="Laptop World" w:date="2025-10-21T00:15:00Z" w:initials="LW">
    <w:p w14:paraId="31D8D427" w14:textId="197C7BC1" w:rsidR="001D5E48" w:rsidRDefault="001D5E48">
      <w:pPr>
        <w:pStyle w:val="CommentText"/>
      </w:pPr>
      <w:r>
        <w:rPr>
          <w:rStyle w:val="CommentReference"/>
        </w:rPr>
        <w:annotationRef/>
      </w:r>
      <w:r w:rsidRPr="001D5E48">
        <w:rPr>
          <w:rFonts w:ascii="Times New Roman" w:hAnsi="Times New Roman"/>
          <w:i/>
          <w:iCs/>
          <w:color w:val="252525"/>
          <w:sz w:val="24"/>
          <w:szCs w:val="24"/>
        </w:rPr>
        <w:t>et al</w:t>
      </w:r>
      <w:r>
        <w:rPr>
          <w:rFonts w:ascii="Times New Roman" w:hAnsi="Times New Roman"/>
          <w:color w:val="252525"/>
          <w:sz w:val="24"/>
          <w:szCs w:val="24"/>
        </w:rPr>
        <w:t>.,</w:t>
      </w:r>
    </w:p>
  </w:comment>
  <w:comment w:id="39" w:author="Laptop World" w:date="2025-10-20T23:42:00Z" w:initials="LW">
    <w:p w14:paraId="543AB178" w14:textId="548FA625" w:rsidR="002336BD" w:rsidRDefault="002336BD">
      <w:pPr>
        <w:pStyle w:val="CommentText"/>
      </w:pPr>
      <w:r>
        <w:rPr>
          <w:rStyle w:val="CommentReference"/>
        </w:rPr>
        <w:annotationRef/>
      </w:r>
      <w:r>
        <w:t>Write the Fe percentage above its figure (130%)</w:t>
      </w:r>
    </w:p>
  </w:comment>
  <w:comment w:id="38" w:author="Laptop World" w:date="2025-10-21T00:01:00Z" w:initials="LW">
    <w:p w14:paraId="33691CA7" w14:textId="5AFBB20A" w:rsidR="002336BD" w:rsidRDefault="002336BD" w:rsidP="00C428B3">
      <w:pPr>
        <w:pStyle w:val="CommentText"/>
      </w:pPr>
      <w:r>
        <w:rPr>
          <w:rStyle w:val="CommentReference"/>
        </w:rPr>
        <w:annotationRef/>
      </w:r>
      <w:r w:rsidR="00C428B3">
        <w:rPr>
          <w:rStyle w:val="rynqvb"/>
          <w:rFonts w:eastAsia="SimSun"/>
          <w:lang/>
        </w:rPr>
        <w:t>What is meant by</w:t>
      </w:r>
      <w:r>
        <w:t xml:space="preserve"> pH 4.39 in the figure of minerals????????</w:t>
      </w:r>
    </w:p>
  </w:comment>
  <w:comment w:id="42" w:author="Laptop World" w:date="2025-10-21T00:12:00Z" w:initials="LW">
    <w:p w14:paraId="3F0800D0" w14:textId="23D45F16" w:rsidR="001D5E48" w:rsidRDefault="001D5E48">
      <w:pPr>
        <w:pStyle w:val="CommentText"/>
      </w:pPr>
      <w:r>
        <w:rPr>
          <w:rStyle w:val="CommentReference"/>
        </w:rPr>
        <w:annotationRef/>
      </w:r>
      <w:r w:rsidRPr="001D5E48">
        <w:rPr>
          <w:rFonts w:ascii="Times New Roman" w:hAnsi="Times New Roman"/>
          <w:i/>
          <w:iCs/>
          <w:color w:val="252525"/>
          <w:sz w:val="24"/>
          <w:szCs w:val="24"/>
        </w:rPr>
        <w:t>et al</w:t>
      </w:r>
      <w:r>
        <w:rPr>
          <w:rFonts w:ascii="Times New Roman" w:hAnsi="Times New Roman"/>
          <w:color w:val="252525"/>
          <w:sz w:val="24"/>
          <w:szCs w:val="24"/>
        </w:rPr>
        <w:t>.,</w:t>
      </w:r>
    </w:p>
  </w:comment>
  <w:comment w:id="47" w:author="Laptop World" w:date="2025-10-21T00:20:00Z" w:initials="LW">
    <w:p w14:paraId="42EB3943" w14:textId="4F8D63F4" w:rsidR="001D5E48" w:rsidRDefault="001D5E48">
      <w:pPr>
        <w:pStyle w:val="CommentText"/>
      </w:pPr>
      <w:r>
        <w:rPr>
          <w:rStyle w:val="CommentReference"/>
        </w:rPr>
        <w:annotationRef/>
      </w:r>
      <w:r>
        <w:t>2022</w:t>
      </w:r>
    </w:p>
  </w:comment>
  <w:comment w:id="48" w:author="Laptop World" w:date="2025-10-20T23:16:00Z" w:initials="LW">
    <w:p w14:paraId="4E0B60E2" w14:textId="1421BB90" w:rsidR="00FD3967" w:rsidRDefault="00FD3967">
      <w:pPr>
        <w:pStyle w:val="CommentText"/>
      </w:pPr>
      <w:r>
        <w:rPr>
          <w:rStyle w:val="CommentReference"/>
        </w:rPr>
        <w:annotationRef/>
      </w:r>
      <w:r w:rsidRPr="00FD3967">
        <w:t>storage before analysis</w:t>
      </w:r>
    </w:p>
  </w:comment>
  <w:comment w:id="50" w:author="Laptop World" w:date="2025-10-20T23:18:00Z" w:initials="LW">
    <w:p w14:paraId="6D25403A" w14:textId="242EA94A" w:rsidR="00FD3967" w:rsidRPr="00FD3967" w:rsidRDefault="00FD3967">
      <w:pPr>
        <w:pStyle w:val="CommentText"/>
        <w:rPr>
          <w:i/>
          <w:iCs/>
        </w:rPr>
      </w:pPr>
      <w:r>
        <w:rPr>
          <w:rStyle w:val="CommentReference"/>
        </w:rPr>
        <w:annotationRef/>
      </w:r>
      <w:r w:rsidRPr="00FD3967">
        <w:rPr>
          <w:i/>
          <w:iCs/>
        </w:rPr>
        <w:t>et al.,</w:t>
      </w:r>
    </w:p>
  </w:comment>
  <w:comment w:id="49" w:author="Laptop World" w:date="2025-10-21T00:28:00Z" w:initials="LW">
    <w:p w14:paraId="3E8F22C1" w14:textId="0FA32376" w:rsidR="006D5132" w:rsidRDefault="006D5132">
      <w:pPr>
        <w:pStyle w:val="CommentText"/>
      </w:pPr>
      <w:r>
        <w:rPr>
          <w:rStyle w:val="CommentReference"/>
        </w:rPr>
        <w:annotationRef/>
      </w:r>
      <w:r>
        <w:t>not found in references</w:t>
      </w:r>
    </w:p>
  </w:comment>
  <w:comment w:id="51" w:author="Laptop World" w:date="2025-10-21T00:28:00Z" w:initials="LW">
    <w:p w14:paraId="4D9E71FE" w14:textId="6D77DB06" w:rsidR="006D5132" w:rsidRDefault="006D5132" w:rsidP="006D5132">
      <w:pPr>
        <w:pStyle w:val="CommentText"/>
      </w:pPr>
      <w:r>
        <w:rPr>
          <w:rStyle w:val="CommentReference"/>
        </w:rPr>
        <w:annotationRef/>
      </w:r>
      <w:r>
        <w:t>not found in references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22FA5" w14:textId="77777777" w:rsidR="00900BDD" w:rsidRDefault="00900BDD" w:rsidP="00694DB7">
      <w:pPr>
        <w:spacing w:before="0" w:after="0" w:line="240" w:lineRule="auto"/>
      </w:pPr>
      <w:r>
        <w:separator/>
      </w:r>
    </w:p>
  </w:endnote>
  <w:endnote w:type="continuationSeparator" w:id="0">
    <w:p w14:paraId="5416917D" w14:textId="77777777" w:rsidR="00900BDD" w:rsidRDefault="00900BDD" w:rsidP="00694D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CAPK P+ Charis SIL">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07A91" w14:textId="77777777" w:rsidR="00694DB7" w:rsidRDefault="00694D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3CA79" w14:textId="77777777" w:rsidR="00694DB7" w:rsidRDefault="00694D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F1562" w14:textId="77777777" w:rsidR="00694DB7" w:rsidRDefault="00694D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87611" w14:textId="77777777" w:rsidR="00900BDD" w:rsidRDefault="00900BDD" w:rsidP="00694DB7">
      <w:pPr>
        <w:spacing w:before="0" w:after="0" w:line="240" w:lineRule="auto"/>
      </w:pPr>
      <w:r>
        <w:separator/>
      </w:r>
    </w:p>
  </w:footnote>
  <w:footnote w:type="continuationSeparator" w:id="0">
    <w:p w14:paraId="1305F390" w14:textId="77777777" w:rsidR="00900BDD" w:rsidRDefault="00900BDD" w:rsidP="00694DB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8B23F" w14:textId="0FA8D11D" w:rsidR="00694DB7" w:rsidRDefault="00900BDD">
    <w:pPr>
      <w:pStyle w:val="Header"/>
    </w:pPr>
    <w:r>
      <w:rPr>
        <w:noProof/>
      </w:rPr>
      <w:pict w14:anchorId="3A7E0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2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60DA1" w14:textId="4C97021F" w:rsidR="00694DB7" w:rsidRDefault="00900BDD">
    <w:pPr>
      <w:pStyle w:val="Header"/>
    </w:pPr>
    <w:r>
      <w:rPr>
        <w:noProof/>
      </w:rPr>
      <w:pict w14:anchorId="0C023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2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C13E4" w14:textId="12CF3FA9" w:rsidR="00694DB7" w:rsidRDefault="00900BDD">
    <w:pPr>
      <w:pStyle w:val="Header"/>
    </w:pPr>
    <w:r>
      <w:rPr>
        <w:noProof/>
      </w:rPr>
      <w:pict w14:anchorId="3979D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2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F27"/>
    <w:rsid w:val="000934E8"/>
    <w:rsid w:val="000B60C5"/>
    <w:rsid w:val="0018183B"/>
    <w:rsid w:val="001D5E48"/>
    <w:rsid w:val="002336BD"/>
    <w:rsid w:val="00281F27"/>
    <w:rsid w:val="002E04E6"/>
    <w:rsid w:val="00325515"/>
    <w:rsid w:val="00347155"/>
    <w:rsid w:val="00393F74"/>
    <w:rsid w:val="003E60F3"/>
    <w:rsid w:val="00405A79"/>
    <w:rsid w:val="00421E13"/>
    <w:rsid w:val="004270C6"/>
    <w:rsid w:val="004446AB"/>
    <w:rsid w:val="004D0B31"/>
    <w:rsid w:val="00507356"/>
    <w:rsid w:val="005647C6"/>
    <w:rsid w:val="00694DB7"/>
    <w:rsid w:val="006D5132"/>
    <w:rsid w:val="00760D58"/>
    <w:rsid w:val="008041C9"/>
    <w:rsid w:val="00882808"/>
    <w:rsid w:val="00900BDD"/>
    <w:rsid w:val="00AA1059"/>
    <w:rsid w:val="00B71391"/>
    <w:rsid w:val="00B92CEC"/>
    <w:rsid w:val="00B94347"/>
    <w:rsid w:val="00BE402C"/>
    <w:rsid w:val="00C428B3"/>
    <w:rsid w:val="00C42B44"/>
    <w:rsid w:val="00EB0709"/>
    <w:rsid w:val="00EC010F"/>
    <w:rsid w:val="00EF4F5C"/>
    <w:rsid w:val="00F2667B"/>
    <w:rsid w:val="00FB1B15"/>
    <w:rsid w:val="00FB411C"/>
    <w:rsid w:val="00FD39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74E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F27"/>
    <w:pPr>
      <w:spacing w:before="100" w:beforeAutospacing="1" w:line="254" w:lineRule="auto"/>
    </w:pPr>
    <w:rPr>
      <w:rFonts w:ascii="Calibri" w:eastAsia="Times New Roman" w:hAnsi="Calibri" w:cs="Times New Roman"/>
      <w:lang w:eastAsia="en-GB"/>
    </w:rPr>
  </w:style>
  <w:style w:type="paragraph" w:styleId="Heading1">
    <w:name w:val="heading 1"/>
    <w:basedOn w:val="Normal"/>
    <w:link w:val="Heading1Char"/>
    <w:uiPriority w:val="99"/>
    <w:qFormat/>
    <w:rsid w:val="00281F27"/>
    <w:pPr>
      <w:spacing w:after="100" w:afterAutospacing="1" w:line="240" w:lineRule="auto"/>
      <w:outlineLvl w:val="0"/>
    </w:pPr>
    <w:rPr>
      <w:rFonts w:ascii="Times New Roman" w:hAnsi="Times New Roman"/>
      <w:b/>
      <w:bCs/>
      <w:kern w:val="36"/>
      <w:sz w:val="24"/>
      <w:szCs w:val="24"/>
    </w:rPr>
  </w:style>
  <w:style w:type="paragraph" w:styleId="Heading2">
    <w:name w:val="heading 2"/>
    <w:basedOn w:val="Normal"/>
    <w:next w:val="Normal"/>
    <w:link w:val="Heading2Char"/>
    <w:uiPriority w:val="99"/>
    <w:qFormat/>
    <w:rsid w:val="00281F27"/>
    <w:pPr>
      <w:keepNext/>
      <w:keepLines/>
      <w:widowControl w:val="0"/>
      <w:spacing w:before="160" w:beforeAutospacing="0" w:after="120"/>
      <w:outlineLvl w:val="1"/>
    </w:pPr>
    <w:rPr>
      <w:rFonts w:ascii="Times New Roman" w:eastAsia="SimSun" w:hAnsi="Times New Roman"/>
      <w:b/>
      <w:sz w:val="24"/>
      <w:szCs w:val="24"/>
    </w:rPr>
  </w:style>
  <w:style w:type="paragraph" w:styleId="Heading3">
    <w:name w:val="heading 3"/>
    <w:basedOn w:val="Normal"/>
    <w:next w:val="Normal"/>
    <w:link w:val="Heading3Char"/>
    <w:uiPriority w:val="99"/>
    <w:qFormat/>
    <w:rsid w:val="00281F27"/>
    <w:pPr>
      <w:keepNext/>
      <w:keepLines/>
      <w:widowControl w:val="0"/>
      <w:spacing w:before="160" w:beforeAutospacing="0" w:after="120"/>
      <w:outlineLvl w:val="2"/>
    </w:pPr>
    <w:rPr>
      <w:rFonts w:ascii="Times New Roman" w:eastAsia="SimSun" w:hAnsi="Times New Roman"/>
      <w:b/>
      <w:sz w:val="24"/>
      <w:szCs w:val="24"/>
    </w:rPr>
  </w:style>
  <w:style w:type="paragraph" w:styleId="Heading4">
    <w:name w:val="heading 4"/>
    <w:basedOn w:val="Normal"/>
    <w:next w:val="Normal"/>
    <w:link w:val="Heading4Char"/>
    <w:uiPriority w:val="99"/>
    <w:qFormat/>
    <w:rsid w:val="00281F27"/>
    <w:pPr>
      <w:keepNext/>
      <w:keepLines/>
      <w:widowControl w:val="0"/>
      <w:spacing w:before="160" w:beforeAutospacing="0" w:after="120"/>
      <w:outlineLvl w:val="3"/>
    </w:pPr>
    <w:rPr>
      <w:rFonts w:ascii="Times New Roman" w:eastAsia="SimSun" w:hAnsi="Times New Roman"/>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81F27"/>
    <w:rPr>
      <w:rFonts w:ascii="Times New Roman" w:eastAsia="Times New Roman" w:hAnsi="Times New Roman" w:cs="Times New Roman"/>
      <w:b/>
      <w:bCs/>
      <w:kern w:val="36"/>
      <w:sz w:val="24"/>
      <w:szCs w:val="24"/>
      <w:lang w:eastAsia="en-GB"/>
    </w:rPr>
  </w:style>
  <w:style w:type="character" w:customStyle="1" w:styleId="Heading2Char">
    <w:name w:val="Heading 2 Char"/>
    <w:basedOn w:val="DefaultParagraphFont"/>
    <w:link w:val="Heading2"/>
    <w:uiPriority w:val="99"/>
    <w:rsid w:val="00281F27"/>
    <w:rPr>
      <w:rFonts w:ascii="Times New Roman" w:eastAsia="SimSun" w:hAnsi="Times New Roman" w:cs="Times New Roman"/>
      <w:b/>
      <w:sz w:val="24"/>
      <w:szCs w:val="24"/>
      <w:lang w:eastAsia="en-GB"/>
    </w:rPr>
  </w:style>
  <w:style w:type="character" w:customStyle="1" w:styleId="Heading3Char">
    <w:name w:val="Heading 3 Char"/>
    <w:basedOn w:val="DefaultParagraphFont"/>
    <w:link w:val="Heading3"/>
    <w:uiPriority w:val="99"/>
    <w:rsid w:val="00281F27"/>
    <w:rPr>
      <w:rFonts w:ascii="Times New Roman" w:eastAsia="SimSun" w:hAnsi="Times New Roman" w:cs="Times New Roman"/>
      <w:b/>
      <w:sz w:val="24"/>
      <w:szCs w:val="24"/>
      <w:lang w:eastAsia="en-GB"/>
    </w:rPr>
  </w:style>
  <w:style w:type="character" w:customStyle="1" w:styleId="Heading4Char">
    <w:name w:val="Heading 4 Char"/>
    <w:basedOn w:val="DefaultParagraphFont"/>
    <w:link w:val="Heading4"/>
    <w:uiPriority w:val="99"/>
    <w:rsid w:val="00281F27"/>
    <w:rPr>
      <w:rFonts w:ascii="Times New Roman" w:eastAsia="SimSun" w:hAnsi="Times New Roman" w:cs="Times New Roman"/>
      <w:b/>
      <w:iCs/>
      <w:sz w:val="24"/>
      <w:szCs w:val="24"/>
      <w:lang w:eastAsia="en-GB"/>
    </w:rPr>
  </w:style>
  <w:style w:type="paragraph" w:styleId="NormalWeb">
    <w:name w:val="Normal (Web)"/>
    <w:basedOn w:val="Normal"/>
    <w:uiPriority w:val="99"/>
    <w:semiHidden/>
    <w:unhideWhenUsed/>
    <w:rsid w:val="00281F27"/>
    <w:pPr>
      <w:spacing w:after="100" w:afterAutospacing="1" w:line="240" w:lineRule="auto"/>
    </w:pPr>
    <w:rPr>
      <w:rFonts w:ascii="Times New Roman" w:eastAsia="SimSun" w:hAnsi="Times New Roman"/>
      <w:sz w:val="24"/>
      <w:szCs w:val="24"/>
    </w:rPr>
  </w:style>
  <w:style w:type="paragraph" w:styleId="Caption">
    <w:name w:val="caption"/>
    <w:basedOn w:val="Normal"/>
    <w:next w:val="Normal"/>
    <w:uiPriority w:val="99"/>
    <w:qFormat/>
    <w:rsid w:val="00281F27"/>
    <w:pPr>
      <w:keepNext/>
      <w:spacing w:after="200" w:line="240" w:lineRule="auto"/>
    </w:pPr>
    <w:rPr>
      <w:rFonts w:ascii="Times New Roman" w:eastAsia="Calibri" w:hAnsi="Times New Roman"/>
      <w:b/>
      <w:iCs/>
      <w:sz w:val="24"/>
      <w:szCs w:val="24"/>
    </w:rPr>
  </w:style>
  <w:style w:type="paragraph" w:customStyle="1" w:styleId="Default">
    <w:name w:val="Default"/>
    <w:basedOn w:val="Normal"/>
    <w:rsid w:val="00281F27"/>
    <w:pPr>
      <w:autoSpaceDE w:val="0"/>
      <w:autoSpaceDN w:val="0"/>
      <w:adjustRightInd w:val="0"/>
      <w:spacing w:after="0" w:line="240" w:lineRule="auto"/>
    </w:pPr>
    <w:rPr>
      <w:rFonts w:ascii="BCAPK P+ Charis SIL" w:eastAsia="Calibri" w:hAnsi="BCAPK P+ Charis SIL"/>
      <w:color w:val="000000"/>
      <w:sz w:val="24"/>
      <w:szCs w:val="24"/>
    </w:rPr>
  </w:style>
  <w:style w:type="character" w:customStyle="1" w:styleId="15">
    <w:name w:val="15"/>
    <w:basedOn w:val="DefaultParagraphFont"/>
    <w:rsid w:val="00281F27"/>
    <w:rPr>
      <w:rFonts w:ascii="Times New Roman" w:hAnsi="Times New Roman" w:cs="Times New Roman" w:hint="default"/>
    </w:rPr>
  </w:style>
  <w:style w:type="character" w:customStyle="1" w:styleId="16">
    <w:name w:val="16"/>
    <w:basedOn w:val="DefaultParagraphFont"/>
    <w:rsid w:val="00281F27"/>
    <w:rPr>
      <w:rFonts w:ascii="Times New Roman" w:hAnsi="Times New Roman" w:cs="Times New Roman" w:hint="default"/>
      <w:color w:val="0563C1"/>
      <w:u w:val="single"/>
    </w:rPr>
  </w:style>
  <w:style w:type="table" w:styleId="TableGrid">
    <w:name w:val="Table Grid"/>
    <w:basedOn w:val="TableNormal"/>
    <w:uiPriority w:val="99"/>
    <w:unhideWhenUsed/>
    <w:rsid w:val="00281F27"/>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E60F3"/>
    <w:rPr>
      <w:b/>
      <w:bCs/>
    </w:rPr>
  </w:style>
  <w:style w:type="character" w:styleId="Hyperlink">
    <w:name w:val="Hyperlink"/>
    <w:basedOn w:val="DefaultParagraphFont"/>
    <w:uiPriority w:val="99"/>
    <w:unhideWhenUsed/>
    <w:rsid w:val="00FB411C"/>
    <w:rPr>
      <w:color w:val="0563C1" w:themeColor="hyperlink"/>
      <w:u w:val="single"/>
    </w:rPr>
  </w:style>
  <w:style w:type="character" w:customStyle="1" w:styleId="UnresolvedMention">
    <w:name w:val="Unresolved Mention"/>
    <w:basedOn w:val="DefaultParagraphFont"/>
    <w:uiPriority w:val="99"/>
    <w:semiHidden/>
    <w:unhideWhenUsed/>
    <w:rsid w:val="00FB411C"/>
    <w:rPr>
      <w:color w:val="605E5C"/>
      <w:shd w:val="clear" w:color="auto" w:fill="E1DFDD"/>
    </w:rPr>
  </w:style>
  <w:style w:type="paragraph" w:styleId="Header">
    <w:name w:val="header"/>
    <w:basedOn w:val="Normal"/>
    <w:link w:val="HeaderChar"/>
    <w:uiPriority w:val="99"/>
    <w:unhideWhenUsed/>
    <w:rsid w:val="00694DB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94DB7"/>
    <w:rPr>
      <w:rFonts w:ascii="Calibri" w:eastAsia="Times New Roman" w:hAnsi="Calibri" w:cs="Times New Roman"/>
      <w:lang w:eastAsia="en-GB"/>
    </w:rPr>
  </w:style>
  <w:style w:type="paragraph" w:styleId="Footer">
    <w:name w:val="footer"/>
    <w:basedOn w:val="Normal"/>
    <w:link w:val="FooterChar"/>
    <w:uiPriority w:val="99"/>
    <w:unhideWhenUsed/>
    <w:rsid w:val="00694DB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94DB7"/>
    <w:rPr>
      <w:rFonts w:ascii="Calibri" w:eastAsia="Times New Roman" w:hAnsi="Calibri" w:cs="Times New Roman"/>
      <w:lang w:eastAsia="en-GB"/>
    </w:rPr>
  </w:style>
  <w:style w:type="character" w:styleId="CommentReference">
    <w:name w:val="annotation reference"/>
    <w:basedOn w:val="DefaultParagraphFont"/>
    <w:uiPriority w:val="99"/>
    <w:semiHidden/>
    <w:unhideWhenUsed/>
    <w:rsid w:val="0018183B"/>
    <w:rPr>
      <w:sz w:val="16"/>
      <w:szCs w:val="16"/>
    </w:rPr>
  </w:style>
  <w:style w:type="paragraph" w:styleId="CommentText">
    <w:name w:val="annotation text"/>
    <w:basedOn w:val="Normal"/>
    <w:link w:val="CommentTextChar"/>
    <w:uiPriority w:val="99"/>
    <w:semiHidden/>
    <w:unhideWhenUsed/>
    <w:rsid w:val="0018183B"/>
    <w:pPr>
      <w:spacing w:line="240" w:lineRule="auto"/>
    </w:pPr>
    <w:rPr>
      <w:sz w:val="20"/>
      <w:szCs w:val="20"/>
    </w:rPr>
  </w:style>
  <w:style w:type="character" w:customStyle="1" w:styleId="CommentTextChar">
    <w:name w:val="Comment Text Char"/>
    <w:basedOn w:val="DefaultParagraphFont"/>
    <w:link w:val="CommentText"/>
    <w:uiPriority w:val="99"/>
    <w:semiHidden/>
    <w:rsid w:val="0018183B"/>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8183B"/>
    <w:rPr>
      <w:b/>
      <w:bCs/>
    </w:rPr>
  </w:style>
  <w:style w:type="character" w:customStyle="1" w:styleId="CommentSubjectChar">
    <w:name w:val="Comment Subject Char"/>
    <w:basedOn w:val="CommentTextChar"/>
    <w:link w:val="CommentSubject"/>
    <w:uiPriority w:val="99"/>
    <w:semiHidden/>
    <w:rsid w:val="0018183B"/>
    <w:rPr>
      <w:rFonts w:ascii="Calibri" w:eastAsia="Times New Roman" w:hAnsi="Calibri" w:cs="Times New Roman"/>
      <w:b/>
      <w:bCs/>
      <w:sz w:val="20"/>
      <w:szCs w:val="20"/>
      <w:lang w:eastAsia="en-GB"/>
    </w:rPr>
  </w:style>
  <w:style w:type="paragraph" w:styleId="BalloonText">
    <w:name w:val="Balloon Text"/>
    <w:basedOn w:val="Normal"/>
    <w:link w:val="BalloonTextChar"/>
    <w:uiPriority w:val="99"/>
    <w:semiHidden/>
    <w:unhideWhenUsed/>
    <w:rsid w:val="0018183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83B"/>
    <w:rPr>
      <w:rFonts w:ascii="Tahoma" w:eastAsia="Times New Roman" w:hAnsi="Tahoma" w:cs="Tahoma"/>
      <w:sz w:val="16"/>
      <w:szCs w:val="16"/>
      <w:lang w:eastAsia="en-GB"/>
    </w:rPr>
  </w:style>
  <w:style w:type="character" w:customStyle="1" w:styleId="rynqvb">
    <w:name w:val="rynqvb"/>
    <w:basedOn w:val="DefaultParagraphFont"/>
    <w:rsid w:val="00C42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F27"/>
    <w:pPr>
      <w:spacing w:before="100" w:beforeAutospacing="1" w:line="254" w:lineRule="auto"/>
    </w:pPr>
    <w:rPr>
      <w:rFonts w:ascii="Calibri" w:eastAsia="Times New Roman" w:hAnsi="Calibri" w:cs="Times New Roman"/>
      <w:lang w:eastAsia="en-GB"/>
    </w:rPr>
  </w:style>
  <w:style w:type="paragraph" w:styleId="Heading1">
    <w:name w:val="heading 1"/>
    <w:basedOn w:val="Normal"/>
    <w:link w:val="Heading1Char"/>
    <w:uiPriority w:val="99"/>
    <w:qFormat/>
    <w:rsid w:val="00281F27"/>
    <w:pPr>
      <w:spacing w:after="100" w:afterAutospacing="1" w:line="240" w:lineRule="auto"/>
      <w:outlineLvl w:val="0"/>
    </w:pPr>
    <w:rPr>
      <w:rFonts w:ascii="Times New Roman" w:hAnsi="Times New Roman"/>
      <w:b/>
      <w:bCs/>
      <w:kern w:val="36"/>
      <w:sz w:val="24"/>
      <w:szCs w:val="24"/>
    </w:rPr>
  </w:style>
  <w:style w:type="paragraph" w:styleId="Heading2">
    <w:name w:val="heading 2"/>
    <w:basedOn w:val="Normal"/>
    <w:next w:val="Normal"/>
    <w:link w:val="Heading2Char"/>
    <w:uiPriority w:val="99"/>
    <w:qFormat/>
    <w:rsid w:val="00281F27"/>
    <w:pPr>
      <w:keepNext/>
      <w:keepLines/>
      <w:widowControl w:val="0"/>
      <w:spacing w:before="160" w:beforeAutospacing="0" w:after="120"/>
      <w:outlineLvl w:val="1"/>
    </w:pPr>
    <w:rPr>
      <w:rFonts w:ascii="Times New Roman" w:eastAsia="SimSun" w:hAnsi="Times New Roman"/>
      <w:b/>
      <w:sz w:val="24"/>
      <w:szCs w:val="24"/>
    </w:rPr>
  </w:style>
  <w:style w:type="paragraph" w:styleId="Heading3">
    <w:name w:val="heading 3"/>
    <w:basedOn w:val="Normal"/>
    <w:next w:val="Normal"/>
    <w:link w:val="Heading3Char"/>
    <w:uiPriority w:val="99"/>
    <w:qFormat/>
    <w:rsid w:val="00281F27"/>
    <w:pPr>
      <w:keepNext/>
      <w:keepLines/>
      <w:widowControl w:val="0"/>
      <w:spacing w:before="160" w:beforeAutospacing="0" w:after="120"/>
      <w:outlineLvl w:val="2"/>
    </w:pPr>
    <w:rPr>
      <w:rFonts w:ascii="Times New Roman" w:eastAsia="SimSun" w:hAnsi="Times New Roman"/>
      <w:b/>
      <w:sz w:val="24"/>
      <w:szCs w:val="24"/>
    </w:rPr>
  </w:style>
  <w:style w:type="paragraph" w:styleId="Heading4">
    <w:name w:val="heading 4"/>
    <w:basedOn w:val="Normal"/>
    <w:next w:val="Normal"/>
    <w:link w:val="Heading4Char"/>
    <w:uiPriority w:val="99"/>
    <w:qFormat/>
    <w:rsid w:val="00281F27"/>
    <w:pPr>
      <w:keepNext/>
      <w:keepLines/>
      <w:widowControl w:val="0"/>
      <w:spacing w:before="160" w:beforeAutospacing="0" w:after="120"/>
      <w:outlineLvl w:val="3"/>
    </w:pPr>
    <w:rPr>
      <w:rFonts w:ascii="Times New Roman" w:eastAsia="SimSun" w:hAnsi="Times New Roman"/>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81F27"/>
    <w:rPr>
      <w:rFonts w:ascii="Times New Roman" w:eastAsia="Times New Roman" w:hAnsi="Times New Roman" w:cs="Times New Roman"/>
      <w:b/>
      <w:bCs/>
      <w:kern w:val="36"/>
      <w:sz w:val="24"/>
      <w:szCs w:val="24"/>
      <w:lang w:eastAsia="en-GB"/>
    </w:rPr>
  </w:style>
  <w:style w:type="character" w:customStyle="1" w:styleId="Heading2Char">
    <w:name w:val="Heading 2 Char"/>
    <w:basedOn w:val="DefaultParagraphFont"/>
    <w:link w:val="Heading2"/>
    <w:uiPriority w:val="99"/>
    <w:rsid w:val="00281F27"/>
    <w:rPr>
      <w:rFonts w:ascii="Times New Roman" w:eastAsia="SimSun" w:hAnsi="Times New Roman" w:cs="Times New Roman"/>
      <w:b/>
      <w:sz w:val="24"/>
      <w:szCs w:val="24"/>
      <w:lang w:eastAsia="en-GB"/>
    </w:rPr>
  </w:style>
  <w:style w:type="character" w:customStyle="1" w:styleId="Heading3Char">
    <w:name w:val="Heading 3 Char"/>
    <w:basedOn w:val="DefaultParagraphFont"/>
    <w:link w:val="Heading3"/>
    <w:uiPriority w:val="99"/>
    <w:rsid w:val="00281F27"/>
    <w:rPr>
      <w:rFonts w:ascii="Times New Roman" w:eastAsia="SimSun" w:hAnsi="Times New Roman" w:cs="Times New Roman"/>
      <w:b/>
      <w:sz w:val="24"/>
      <w:szCs w:val="24"/>
      <w:lang w:eastAsia="en-GB"/>
    </w:rPr>
  </w:style>
  <w:style w:type="character" w:customStyle="1" w:styleId="Heading4Char">
    <w:name w:val="Heading 4 Char"/>
    <w:basedOn w:val="DefaultParagraphFont"/>
    <w:link w:val="Heading4"/>
    <w:uiPriority w:val="99"/>
    <w:rsid w:val="00281F27"/>
    <w:rPr>
      <w:rFonts w:ascii="Times New Roman" w:eastAsia="SimSun" w:hAnsi="Times New Roman" w:cs="Times New Roman"/>
      <w:b/>
      <w:iCs/>
      <w:sz w:val="24"/>
      <w:szCs w:val="24"/>
      <w:lang w:eastAsia="en-GB"/>
    </w:rPr>
  </w:style>
  <w:style w:type="paragraph" w:styleId="NormalWeb">
    <w:name w:val="Normal (Web)"/>
    <w:basedOn w:val="Normal"/>
    <w:uiPriority w:val="99"/>
    <w:semiHidden/>
    <w:unhideWhenUsed/>
    <w:rsid w:val="00281F27"/>
    <w:pPr>
      <w:spacing w:after="100" w:afterAutospacing="1" w:line="240" w:lineRule="auto"/>
    </w:pPr>
    <w:rPr>
      <w:rFonts w:ascii="Times New Roman" w:eastAsia="SimSun" w:hAnsi="Times New Roman"/>
      <w:sz w:val="24"/>
      <w:szCs w:val="24"/>
    </w:rPr>
  </w:style>
  <w:style w:type="paragraph" w:styleId="Caption">
    <w:name w:val="caption"/>
    <w:basedOn w:val="Normal"/>
    <w:next w:val="Normal"/>
    <w:uiPriority w:val="99"/>
    <w:qFormat/>
    <w:rsid w:val="00281F27"/>
    <w:pPr>
      <w:keepNext/>
      <w:spacing w:after="200" w:line="240" w:lineRule="auto"/>
    </w:pPr>
    <w:rPr>
      <w:rFonts w:ascii="Times New Roman" w:eastAsia="Calibri" w:hAnsi="Times New Roman"/>
      <w:b/>
      <w:iCs/>
      <w:sz w:val="24"/>
      <w:szCs w:val="24"/>
    </w:rPr>
  </w:style>
  <w:style w:type="paragraph" w:customStyle="1" w:styleId="Default">
    <w:name w:val="Default"/>
    <w:basedOn w:val="Normal"/>
    <w:rsid w:val="00281F27"/>
    <w:pPr>
      <w:autoSpaceDE w:val="0"/>
      <w:autoSpaceDN w:val="0"/>
      <w:adjustRightInd w:val="0"/>
      <w:spacing w:after="0" w:line="240" w:lineRule="auto"/>
    </w:pPr>
    <w:rPr>
      <w:rFonts w:ascii="BCAPK P+ Charis SIL" w:eastAsia="Calibri" w:hAnsi="BCAPK P+ Charis SIL"/>
      <w:color w:val="000000"/>
      <w:sz w:val="24"/>
      <w:szCs w:val="24"/>
    </w:rPr>
  </w:style>
  <w:style w:type="character" w:customStyle="1" w:styleId="15">
    <w:name w:val="15"/>
    <w:basedOn w:val="DefaultParagraphFont"/>
    <w:rsid w:val="00281F27"/>
    <w:rPr>
      <w:rFonts w:ascii="Times New Roman" w:hAnsi="Times New Roman" w:cs="Times New Roman" w:hint="default"/>
    </w:rPr>
  </w:style>
  <w:style w:type="character" w:customStyle="1" w:styleId="16">
    <w:name w:val="16"/>
    <w:basedOn w:val="DefaultParagraphFont"/>
    <w:rsid w:val="00281F27"/>
    <w:rPr>
      <w:rFonts w:ascii="Times New Roman" w:hAnsi="Times New Roman" w:cs="Times New Roman" w:hint="default"/>
      <w:color w:val="0563C1"/>
      <w:u w:val="single"/>
    </w:rPr>
  </w:style>
  <w:style w:type="table" w:styleId="TableGrid">
    <w:name w:val="Table Grid"/>
    <w:basedOn w:val="TableNormal"/>
    <w:uiPriority w:val="99"/>
    <w:unhideWhenUsed/>
    <w:rsid w:val="00281F27"/>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E60F3"/>
    <w:rPr>
      <w:b/>
      <w:bCs/>
    </w:rPr>
  </w:style>
  <w:style w:type="character" w:styleId="Hyperlink">
    <w:name w:val="Hyperlink"/>
    <w:basedOn w:val="DefaultParagraphFont"/>
    <w:uiPriority w:val="99"/>
    <w:unhideWhenUsed/>
    <w:rsid w:val="00FB411C"/>
    <w:rPr>
      <w:color w:val="0563C1" w:themeColor="hyperlink"/>
      <w:u w:val="single"/>
    </w:rPr>
  </w:style>
  <w:style w:type="character" w:customStyle="1" w:styleId="UnresolvedMention">
    <w:name w:val="Unresolved Mention"/>
    <w:basedOn w:val="DefaultParagraphFont"/>
    <w:uiPriority w:val="99"/>
    <w:semiHidden/>
    <w:unhideWhenUsed/>
    <w:rsid w:val="00FB411C"/>
    <w:rPr>
      <w:color w:val="605E5C"/>
      <w:shd w:val="clear" w:color="auto" w:fill="E1DFDD"/>
    </w:rPr>
  </w:style>
  <w:style w:type="paragraph" w:styleId="Header">
    <w:name w:val="header"/>
    <w:basedOn w:val="Normal"/>
    <w:link w:val="HeaderChar"/>
    <w:uiPriority w:val="99"/>
    <w:unhideWhenUsed/>
    <w:rsid w:val="00694DB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94DB7"/>
    <w:rPr>
      <w:rFonts w:ascii="Calibri" w:eastAsia="Times New Roman" w:hAnsi="Calibri" w:cs="Times New Roman"/>
      <w:lang w:eastAsia="en-GB"/>
    </w:rPr>
  </w:style>
  <w:style w:type="paragraph" w:styleId="Footer">
    <w:name w:val="footer"/>
    <w:basedOn w:val="Normal"/>
    <w:link w:val="FooterChar"/>
    <w:uiPriority w:val="99"/>
    <w:unhideWhenUsed/>
    <w:rsid w:val="00694DB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94DB7"/>
    <w:rPr>
      <w:rFonts w:ascii="Calibri" w:eastAsia="Times New Roman" w:hAnsi="Calibri" w:cs="Times New Roman"/>
      <w:lang w:eastAsia="en-GB"/>
    </w:rPr>
  </w:style>
  <w:style w:type="character" w:styleId="CommentReference">
    <w:name w:val="annotation reference"/>
    <w:basedOn w:val="DefaultParagraphFont"/>
    <w:uiPriority w:val="99"/>
    <w:semiHidden/>
    <w:unhideWhenUsed/>
    <w:rsid w:val="0018183B"/>
    <w:rPr>
      <w:sz w:val="16"/>
      <w:szCs w:val="16"/>
    </w:rPr>
  </w:style>
  <w:style w:type="paragraph" w:styleId="CommentText">
    <w:name w:val="annotation text"/>
    <w:basedOn w:val="Normal"/>
    <w:link w:val="CommentTextChar"/>
    <w:uiPriority w:val="99"/>
    <w:semiHidden/>
    <w:unhideWhenUsed/>
    <w:rsid w:val="0018183B"/>
    <w:pPr>
      <w:spacing w:line="240" w:lineRule="auto"/>
    </w:pPr>
    <w:rPr>
      <w:sz w:val="20"/>
      <w:szCs w:val="20"/>
    </w:rPr>
  </w:style>
  <w:style w:type="character" w:customStyle="1" w:styleId="CommentTextChar">
    <w:name w:val="Comment Text Char"/>
    <w:basedOn w:val="DefaultParagraphFont"/>
    <w:link w:val="CommentText"/>
    <w:uiPriority w:val="99"/>
    <w:semiHidden/>
    <w:rsid w:val="0018183B"/>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8183B"/>
    <w:rPr>
      <w:b/>
      <w:bCs/>
    </w:rPr>
  </w:style>
  <w:style w:type="character" w:customStyle="1" w:styleId="CommentSubjectChar">
    <w:name w:val="Comment Subject Char"/>
    <w:basedOn w:val="CommentTextChar"/>
    <w:link w:val="CommentSubject"/>
    <w:uiPriority w:val="99"/>
    <w:semiHidden/>
    <w:rsid w:val="0018183B"/>
    <w:rPr>
      <w:rFonts w:ascii="Calibri" w:eastAsia="Times New Roman" w:hAnsi="Calibri" w:cs="Times New Roman"/>
      <w:b/>
      <w:bCs/>
      <w:sz w:val="20"/>
      <w:szCs w:val="20"/>
      <w:lang w:eastAsia="en-GB"/>
    </w:rPr>
  </w:style>
  <w:style w:type="paragraph" w:styleId="BalloonText">
    <w:name w:val="Balloon Text"/>
    <w:basedOn w:val="Normal"/>
    <w:link w:val="BalloonTextChar"/>
    <w:uiPriority w:val="99"/>
    <w:semiHidden/>
    <w:unhideWhenUsed/>
    <w:rsid w:val="0018183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83B"/>
    <w:rPr>
      <w:rFonts w:ascii="Tahoma" w:eastAsia="Times New Roman" w:hAnsi="Tahoma" w:cs="Tahoma"/>
      <w:sz w:val="16"/>
      <w:szCs w:val="16"/>
      <w:lang w:eastAsia="en-GB"/>
    </w:rPr>
  </w:style>
  <w:style w:type="character" w:customStyle="1" w:styleId="rynqvb">
    <w:name w:val="rynqvb"/>
    <w:basedOn w:val="DefaultParagraphFont"/>
    <w:rsid w:val="00C42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862812">
      <w:bodyDiv w:val="1"/>
      <w:marLeft w:val="0"/>
      <w:marRight w:val="0"/>
      <w:marTop w:val="0"/>
      <w:marBottom w:val="0"/>
      <w:divBdr>
        <w:top w:val="none" w:sz="0" w:space="0" w:color="auto"/>
        <w:left w:val="none" w:sz="0" w:space="0" w:color="auto"/>
        <w:bottom w:val="none" w:sz="0" w:space="0" w:color="auto"/>
        <w:right w:val="none" w:sz="0" w:space="0" w:color="auto"/>
      </w:divBdr>
    </w:div>
    <w:div w:id="212260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ods.od.nih.gov/factsheets/VitaminC-HealthProfessional/accessed"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gminsights.com/industry-analysis/baobab-ingredient-marke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ao.org/africa"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1064</TotalTime>
  <Pages>22</Pages>
  <Words>6045</Words>
  <Characters>34462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Laptop World</cp:lastModifiedBy>
  <cp:revision>7</cp:revision>
  <dcterms:created xsi:type="dcterms:W3CDTF">2025-10-15T15:12:00Z</dcterms:created>
  <dcterms:modified xsi:type="dcterms:W3CDTF">2025-10-20T22:30:00Z</dcterms:modified>
</cp:coreProperties>
</file>