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AFE" w:rsidRDefault="006E5AFE">
      <w:pPr>
        <w:spacing w:before="96"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6E5AFE">
        <w:trPr>
          <w:trHeight w:val="290"/>
        </w:trPr>
        <w:tc>
          <w:tcPr>
            <w:tcW w:w="5168" w:type="dxa"/>
          </w:tcPr>
          <w:p w:rsidR="006E5AFE" w:rsidRDefault="00426A33">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70" w:type="dxa"/>
          </w:tcPr>
          <w:p w:rsidR="006E5AFE" w:rsidRDefault="00CE5FC4">
            <w:pPr>
              <w:pStyle w:val="TableParagraph"/>
              <w:spacing w:before="30"/>
              <w:ind w:left="107"/>
              <w:rPr>
                <w:rFonts w:ascii="Arial"/>
                <w:b/>
                <w:sz w:val="20"/>
              </w:rPr>
            </w:pPr>
            <w:hyperlink r:id="rId6">
              <w:r w:rsidR="00426A33">
                <w:rPr>
                  <w:rFonts w:ascii="Arial"/>
                  <w:b/>
                  <w:color w:val="0000FF"/>
                  <w:sz w:val="20"/>
                  <w:u w:val="single" w:color="0000FF"/>
                </w:rPr>
                <w:t>Asian</w:t>
              </w:r>
              <w:r w:rsidR="00426A33">
                <w:rPr>
                  <w:rFonts w:ascii="Arial"/>
                  <w:b/>
                  <w:color w:val="0000FF"/>
                  <w:spacing w:val="-7"/>
                  <w:sz w:val="20"/>
                  <w:u w:val="single" w:color="0000FF"/>
                </w:rPr>
                <w:t xml:space="preserve"> </w:t>
              </w:r>
              <w:r w:rsidR="00426A33">
                <w:rPr>
                  <w:rFonts w:ascii="Arial"/>
                  <w:b/>
                  <w:color w:val="0000FF"/>
                  <w:sz w:val="20"/>
                  <w:u w:val="single" w:color="0000FF"/>
                </w:rPr>
                <w:t>Journal</w:t>
              </w:r>
              <w:r w:rsidR="00426A33">
                <w:rPr>
                  <w:rFonts w:ascii="Arial"/>
                  <w:b/>
                  <w:color w:val="0000FF"/>
                  <w:spacing w:val="-7"/>
                  <w:sz w:val="20"/>
                  <w:u w:val="single" w:color="0000FF"/>
                </w:rPr>
                <w:t xml:space="preserve"> </w:t>
              </w:r>
              <w:r w:rsidR="00426A33">
                <w:rPr>
                  <w:rFonts w:ascii="Arial"/>
                  <w:b/>
                  <w:color w:val="0000FF"/>
                  <w:sz w:val="20"/>
                  <w:u w:val="single" w:color="0000FF"/>
                </w:rPr>
                <w:t>of</w:t>
              </w:r>
              <w:r w:rsidR="00426A33">
                <w:rPr>
                  <w:rFonts w:ascii="Arial"/>
                  <w:b/>
                  <w:color w:val="0000FF"/>
                  <w:spacing w:val="-4"/>
                  <w:sz w:val="20"/>
                  <w:u w:val="single" w:color="0000FF"/>
                </w:rPr>
                <w:t xml:space="preserve"> </w:t>
              </w:r>
              <w:r w:rsidR="00426A33">
                <w:rPr>
                  <w:rFonts w:ascii="Arial"/>
                  <w:b/>
                  <w:color w:val="0000FF"/>
                  <w:sz w:val="20"/>
                  <w:u w:val="single" w:color="0000FF"/>
                </w:rPr>
                <w:t>Environment</w:t>
              </w:r>
              <w:r w:rsidR="00426A33">
                <w:rPr>
                  <w:rFonts w:ascii="Arial"/>
                  <w:b/>
                  <w:color w:val="0000FF"/>
                  <w:spacing w:val="-7"/>
                  <w:sz w:val="20"/>
                  <w:u w:val="single" w:color="0000FF"/>
                </w:rPr>
                <w:t xml:space="preserve"> </w:t>
              </w:r>
              <w:r w:rsidR="00426A33">
                <w:rPr>
                  <w:rFonts w:ascii="Arial"/>
                  <w:b/>
                  <w:color w:val="0000FF"/>
                  <w:sz w:val="20"/>
                  <w:u w:val="single" w:color="0000FF"/>
                </w:rPr>
                <w:t>&amp;</w:t>
              </w:r>
              <w:r w:rsidR="00426A33">
                <w:rPr>
                  <w:rFonts w:ascii="Arial"/>
                  <w:b/>
                  <w:color w:val="0000FF"/>
                  <w:spacing w:val="-7"/>
                  <w:sz w:val="20"/>
                  <w:u w:val="single" w:color="0000FF"/>
                </w:rPr>
                <w:t xml:space="preserve"> </w:t>
              </w:r>
              <w:r w:rsidR="00426A33">
                <w:rPr>
                  <w:rFonts w:ascii="Arial"/>
                  <w:b/>
                  <w:color w:val="0000FF"/>
                  <w:spacing w:val="-2"/>
                  <w:sz w:val="20"/>
                  <w:u w:val="single" w:color="0000FF"/>
                </w:rPr>
                <w:t>Ecology</w:t>
              </w:r>
            </w:hyperlink>
          </w:p>
        </w:tc>
      </w:tr>
      <w:tr w:rsidR="006E5AFE">
        <w:trPr>
          <w:trHeight w:val="290"/>
        </w:trPr>
        <w:tc>
          <w:tcPr>
            <w:tcW w:w="5168" w:type="dxa"/>
          </w:tcPr>
          <w:p w:rsidR="006E5AFE" w:rsidRDefault="00426A33">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70" w:type="dxa"/>
          </w:tcPr>
          <w:p w:rsidR="006E5AFE" w:rsidRDefault="00426A33">
            <w:pPr>
              <w:pStyle w:val="TableParagraph"/>
              <w:spacing w:before="30"/>
              <w:ind w:left="107"/>
              <w:rPr>
                <w:rFonts w:ascii="Arial"/>
                <w:b/>
                <w:sz w:val="20"/>
              </w:rPr>
            </w:pPr>
            <w:r>
              <w:rPr>
                <w:rFonts w:ascii="Arial"/>
                <w:b/>
                <w:spacing w:val="-2"/>
                <w:sz w:val="20"/>
              </w:rPr>
              <w:t>Ms_AJEE_147775</w:t>
            </w:r>
          </w:p>
        </w:tc>
      </w:tr>
      <w:tr w:rsidR="006E5AFE">
        <w:trPr>
          <w:trHeight w:val="650"/>
        </w:trPr>
        <w:tc>
          <w:tcPr>
            <w:tcW w:w="5168" w:type="dxa"/>
          </w:tcPr>
          <w:p w:rsidR="006E5AFE" w:rsidRDefault="00426A33">
            <w:pPr>
              <w:pStyle w:val="TableParagraph"/>
              <w:spacing w:line="229" w:lineRule="exact"/>
              <w:ind w:left="95"/>
              <w:rPr>
                <w:rFonts w:ascii="Arial MT"/>
                <w:sz w:val="20"/>
              </w:rPr>
            </w:pPr>
            <w:r>
              <w:rPr>
                <w:rFonts w:ascii="Arial MT"/>
                <w:sz w:val="20"/>
              </w:rPr>
              <w:t>Title</w:t>
            </w:r>
            <w:r>
              <w:rPr>
                <w:rFonts w:ascii="Arial MT"/>
                <w:spacing w:val="-4"/>
                <w:sz w:val="20"/>
              </w:rPr>
              <w:t xml:space="preserve"> </w:t>
            </w:r>
            <w:r>
              <w:rPr>
                <w:rFonts w:ascii="Arial MT"/>
                <w:sz w:val="20"/>
              </w:rPr>
              <w:t>of</w:t>
            </w:r>
            <w:r>
              <w:rPr>
                <w:rFonts w:ascii="Arial MT"/>
                <w:spacing w:val="-5"/>
                <w:sz w:val="20"/>
              </w:rPr>
              <w:t xml:space="preserve"> </w:t>
            </w:r>
            <w:r>
              <w:rPr>
                <w:rFonts w:ascii="Arial MT"/>
                <w:sz w:val="20"/>
              </w:rPr>
              <w:t>the</w:t>
            </w:r>
            <w:r>
              <w:rPr>
                <w:rFonts w:ascii="Arial MT"/>
                <w:spacing w:val="-5"/>
                <w:sz w:val="20"/>
              </w:rPr>
              <w:t xml:space="preserve"> </w:t>
            </w:r>
            <w:r>
              <w:rPr>
                <w:rFonts w:ascii="Arial MT"/>
                <w:spacing w:val="-2"/>
                <w:sz w:val="20"/>
              </w:rPr>
              <w:t>Manuscript:</w:t>
            </w:r>
          </w:p>
        </w:tc>
        <w:tc>
          <w:tcPr>
            <w:tcW w:w="15770" w:type="dxa"/>
          </w:tcPr>
          <w:p w:rsidR="006E5AFE" w:rsidRDefault="00426A33">
            <w:pPr>
              <w:pStyle w:val="TableParagraph"/>
              <w:spacing w:before="210"/>
              <w:ind w:left="107"/>
              <w:rPr>
                <w:rFonts w:ascii="Arial"/>
                <w:b/>
                <w:sz w:val="20"/>
              </w:rPr>
            </w:pPr>
            <w:r>
              <w:rPr>
                <w:rFonts w:ascii="Arial"/>
                <w:b/>
                <w:sz w:val="20"/>
              </w:rPr>
              <w:t>Spatial</w:t>
            </w:r>
            <w:r>
              <w:rPr>
                <w:rFonts w:ascii="Arial"/>
                <w:b/>
                <w:spacing w:val="-8"/>
                <w:sz w:val="20"/>
              </w:rPr>
              <w:t xml:space="preserve"> </w:t>
            </w:r>
            <w:r>
              <w:rPr>
                <w:rFonts w:ascii="Arial"/>
                <w:b/>
                <w:sz w:val="20"/>
              </w:rPr>
              <w:t>Trend</w:t>
            </w:r>
            <w:r>
              <w:rPr>
                <w:rFonts w:ascii="Arial"/>
                <w:b/>
                <w:spacing w:val="-7"/>
                <w:sz w:val="20"/>
              </w:rPr>
              <w:t xml:space="preserve"> </w:t>
            </w:r>
            <w:r>
              <w:rPr>
                <w:rFonts w:ascii="Arial"/>
                <w:b/>
                <w:sz w:val="20"/>
              </w:rPr>
              <w:t>of</w:t>
            </w:r>
            <w:r>
              <w:rPr>
                <w:rFonts w:ascii="Arial"/>
                <w:b/>
                <w:spacing w:val="-5"/>
                <w:sz w:val="20"/>
              </w:rPr>
              <w:t xml:space="preserve"> </w:t>
            </w:r>
            <w:r>
              <w:rPr>
                <w:rFonts w:ascii="Arial"/>
                <w:b/>
                <w:sz w:val="20"/>
              </w:rPr>
              <w:t>Metals</w:t>
            </w:r>
            <w:r>
              <w:rPr>
                <w:rFonts w:ascii="Arial"/>
                <w:b/>
                <w:spacing w:val="-6"/>
                <w:sz w:val="20"/>
              </w:rPr>
              <w:t xml:space="preserve"> </w:t>
            </w:r>
            <w:r>
              <w:rPr>
                <w:rFonts w:ascii="Arial"/>
                <w:b/>
                <w:sz w:val="20"/>
              </w:rPr>
              <w:t>Bioaccumulation</w:t>
            </w:r>
            <w:r>
              <w:rPr>
                <w:rFonts w:ascii="Arial"/>
                <w:b/>
                <w:spacing w:val="-7"/>
                <w:sz w:val="20"/>
              </w:rPr>
              <w:t xml:space="preserve"> </w:t>
            </w:r>
            <w:r>
              <w:rPr>
                <w:rFonts w:ascii="Arial"/>
                <w:b/>
                <w:sz w:val="20"/>
              </w:rPr>
              <w:t>in</w:t>
            </w:r>
            <w:r>
              <w:rPr>
                <w:rFonts w:ascii="Arial"/>
                <w:b/>
                <w:spacing w:val="-7"/>
                <w:sz w:val="20"/>
              </w:rPr>
              <w:t xml:space="preserve"> </w:t>
            </w:r>
            <w:r>
              <w:rPr>
                <w:rFonts w:ascii="Arial"/>
                <w:b/>
                <w:sz w:val="20"/>
              </w:rPr>
              <w:t>Giant</w:t>
            </w:r>
            <w:r>
              <w:rPr>
                <w:rFonts w:ascii="Arial"/>
                <w:b/>
                <w:spacing w:val="-7"/>
                <w:sz w:val="20"/>
              </w:rPr>
              <w:t xml:space="preserve"> </w:t>
            </w:r>
            <w:r>
              <w:rPr>
                <w:rFonts w:ascii="Arial"/>
                <w:b/>
                <w:sz w:val="20"/>
              </w:rPr>
              <w:t>Tiger</w:t>
            </w:r>
            <w:r>
              <w:rPr>
                <w:rFonts w:ascii="Arial"/>
                <w:b/>
                <w:spacing w:val="-8"/>
                <w:sz w:val="20"/>
              </w:rPr>
              <w:t xml:space="preserve"> </w:t>
            </w:r>
            <w:r>
              <w:rPr>
                <w:rFonts w:ascii="Arial"/>
                <w:b/>
                <w:sz w:val="20"/>
              </w:rPr>
              <w:t>Prawn</w:t>
            </w:r>
            <w:r>
              <w:rPr>
                <w:rFonts w:ascii="Arial"/>
                <w:b/>
                <w:spacing w:val="-7"/>
                <w:sz w:val="20"/>
              </w:rPr>
              <w:t xml:space="preserve"> </w:t>
            </w:r>
            <w:r>
              <w:rPr>
                <w:rFonts w:ascii="Arial"/>
                <w:b/>
                <w:sz w:val="20"/>
              </w:rPr>
              <w:t>(Penaeus</w:t>
            </w:r>
            <w:r>
              <w:rPr>
                <w:rFonts w:ascii="Arial"/>
                <w:b/>
                <w:spacing w:val="-8"/>
                <w:sz w:val="20"/>
              </w:rPr>
              <w:t xml:space="preserve"> </w:t>
            </w:r>
            <w:r>
              <w:rPr>
                <w:rFonts w:ascii="Arial"/>
                <w:b/>
                <w:sz w:val="20"/>
              </w:rPr>
              <w:t>monodon)</w:t>
            </w:r>
            <w:r>
              <w:rPr>
                <w:rFonts w:ascii="Arial"/>
                <w:b/>
                <w:spacing w:val="-6"/>
                <w:sz w:val="20"/>
              </w:rPr>
              <w:t xml:space="preserve"> </w:t>
            </w:r>
            <w:r>
              <w:rPr>
                <w:rFonts w:ascii="Arial"/>
                <w:b/>
                <w:sz w:val="20"/>
              </w:rPr>
              <w:t>from</w:t>
            </w:r>
            <w:r>
              <w:rPr>
                <w:rFonts w:ascii="Arial"/>
                <w:b/>
                <w:spacing w:val="-8"/>
                <w:sz w:val="20"/>
              </w:rPr>
              <w:t xml:space="preserve"> </w:t>
            </w:r>
            <w:r>
              <w:rPr>
                <w:rFonts w:ascii="Arial"/>
                <w:b/>
                <w:sz w:val="20"/>
              </w:rPr>
              <w:t>Sediment</w:t>
            </w:r>
            <w:r>
              <w:rPr>
                <w:rFonts w:ascii="Arial"/>
                <w:b/>
                <w:spacing w:val="-6"/>
                <w:sz w:val="20"/>
              </w:rPr>
              <w:t xml:space="preserve"> </w:t>
            </w:r>
            <w:r>
              <w:rPr>
                <w:rFonts w:ascii="Arial"/>
                <w:b/>
                <w:sz w:val="20"/>
              </w:rPr>
              <w:t>in</w:t>
            </w:r>
            <w:r>
              <w:rPr>
                <w:rFonts w:ascii="Arial"/>
                <w:b/>
                <w:spacing w:val="-5"/>
                <w:sz w:val="20"/>
              </w:rPr>
              <w:t xml:space="preserve"> </w:t>
            </w:r>
            <w:r>
              <w:rPr>
                <w:rFonts w:ascii="Arial"/>
                <w:b/>
                <w:sz w:val="20"/>
              </w:rPr>
              <w:t>Degema</w:t>
            </w:r>
            <w:r>
              <w:rPr>
                <w:rFonts w:ascii="Arial"/>
                <w:b/>
                <w:spacing w:val="-8"/>
                <w:sz w:val="20"/>
              </w:rPr>
              <w:t xml:space="preserve"> </w:t>
            </w:r>
            <w:r>
              <w:rPr>
                <w:rFonts w:ascii="Arial"/>
                <w:b/>
                <w:sz w:val="20"/>
              </w:rPr>
              <w:t>Local</w:t>
            </w:r>
            <w:r>
              <w:rPr>
                <w:rFonts w:ascii="Arial"/>
                <w:b/>
                <w:spacing w:val="-7"/>
                <w:sz w:val="20"/>
              </w:rPr>
              <w:t xml:space="preserve"> </w:t>
            </w:r>
            <w:r>
              <w:rPr>
                <w:rFonts w:ascii="Arial"/>
                <w:b/>
                <w:sz w:val="20"/>
              </w:rPr>
              <w:t>Government</w:t>
            </w:r>
            <w:r>
              <w:rPr>
                <w:rFonts w:ascii="Arial"/>
                <w:b/>
                <w:spacing w:val="-5"/>
                <w:sz w:val="20"/>
              </w:rPr>
              <w:t xml:space="preserve"> </w:t>
            </w:r>
            <w:r>
              <w:rPr>
                <w:rFonts w:ascii="Arial"/>
                <w:b/>
                <w:spacing w:val="-4"/>
                <w:sz w:val="20"/>
              </w:rPr>
              <w:t>Area</w:t>
            </w:r>
          </w:p>
        </w:tc>
      </w:tr>
      <w:tr w:rsidR="006E5AFE">
        <w:trPr>
          <w:trHeight w:val="333"/>
        </w:trPr>
        <w:tc>
          <w:tcPr>
            <w:tcW w:w="5168" w:type="dxa"/>
          </w:tcPr>
          <w:p w:rsidR="006E5AFE" w:rsidRDefault="00426A33">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70" w:type="dxa"/>
          </w:tcPr>
          <w:p w:rsidR="006E5AFE" w:rsidRDefault="006E5AFE">
            <w:pPr>
              <w:pStyle w:val="TableParagraph"/>
              <w:rPr>
                <w:sz w:val="18"/>
              </w:rPr>
            </w:pPr>
          </w:p>
        </w:tc>
      </w:tr>
    </w:tbl>
    <w:p w:rsidR="006E5AFE" w:rsidRDefault="006E5AFE">
      <w:pPr>
        <w:spacing w:before="10"/>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4"/>
      </w:tblGrid>
      <w:tr w:rsidR="006E5AFE">
        <w:trPr>
          <w:trHeight w:val="450"/>
        </w:trPr>
        <w:tc>
          <w:tcPr>
            <w:tcW w:w="21152" w:type="dxa"/>
            <w:gridSpan w:val="3"/>
            <w:tcBorders>
              <w:top w:val="nil"/>
              <w:left w:val="nil"/>
              <w:right w:val="nil"/>
            </w:tcBorders>
          </w:tcPr>
          <w:p w:rsidR="006E5AFE" w:rsidRDefault="00426A33">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6E5AFE">
        <w:trPr>
          <w:trHeight w:val="964"/>
        </w:trPr>
        <w:tc>
          <w:tcPr>
            <w:tcW w:w="5352" w:type="dxa"/>
          </w:tcPr>
          <w:p w:rsidR="006E5AFE" w:rsidRDefault="006E5AFE">
            <w:pPr>
              <w:pStyle w:val="TableParagraph"/>
              <w:rPr>
                <w:sz w:val="18"/>
              </w:rPr>
            </w:pPr>
          </w:p>
        </w:tc>
        <w:tc>
          <w:tcPr>
            <w:tcW w:w="9356" w:type="dxa"/>
          </w:tcPr>
          <w:p w:rsidR="006E5AFE" w:rsidRDefault="00426A33">
            <w:pPr>
              <w:pStyle w:val="TableParagraph"/>
              <w:ind w:left="108"/>
              <w:rPr>
                <w:b/>
                <w:sz w:val="20"/>
              </w:rPr>
            </w:pPr>
            <w:r>
              <w:rPr>
                <w:b/>
                <w:sz w:val="20"/>
              </w:rPr>
              <w:t>Reviewer’s</w:t>
            </w:r>
            <w:r>
              <w:rPr>
                <w:b/>
                <w:spacing w:val="-9"/>
                <w:sz w:val="20"/>
              </w:rPr>
              <w:t xml:space="preserve"> </w:t>
            </w:r>
            <w:r>
              <w:rPr>
                <w:b/>
                <w:spacing w:val="-2"/>
                <w:sz w:val="20"/>
              </w:rPr>
              <w:t>comment</w:t>
            </w:r>
          </w:p>
          <w:p w:rsidR="006E5AFE" w:rsidRDefault="00426A33">
            <w:pPr>
              <w:pStyle w:val="TableParagraph"/>
              <w:ind w:left="108" w:right="148"/>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4" w:type="dxa"/>
          </w:tcPr>
          <w:p w:rsidR="006E5AFE" w:rsidRDefault="00426A33">
            <w:pPr>
              <w:pStyle w:val="TableParagraph"/>
              <w:spacing w:line="254" w:lineRule="auto"/>
              <w:ind w:left="108" w:right="737"/>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6E5AFE">
        <w:trPr>
          <w:trHeight w:val="1382"/>
        </w:trPr>
        <w:tc>
          <w:tcPr>
            <w:tcW w:w="5352" w:type="dxa"/>
          </w:tcPr>
          <w:p w:rsidR="006E5AFE" w:rsidRDefault="00426A33">
            <w:pPr>
              <w:pStyle w:val="TableParagraph"/>
              <w:ind w:left="467" w:right="200"/>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6E5AFE" w:rsidRDefault="00426A33">
            <w:pPr>
              <w:pStyle w:val="TableParagraph"/>
              <w:spacing w:line="230" w:lineRule="atLeast"/>
              <w:ind w:left="108" w:right="148"/>
              <w:rPr>
                <w:sz w:val="20"/>
              </w:rPr>
            </w:pPr>
            <w:r>
              <w:rPr>
                <w:sz w:val="20"/>
              </w:rPr>
              <w:t>The information in this manuscript is very useful. It is important for the public to understand the safety of the food sources they consume, including heavy metal contamination. Based on the results of this study, it was discovered that</w:t>
            </w:r>
            <w:r>
              <w:rPr>
                <w:spacing w:val="-2"/>
                <w:sz w:val="20"/>
              </w:rPr>
              <w:t xml:space="preserve"> </w:t>
            </w:r>
            <w:r>
              <w:rPr>
                <w:sz w:val="20"/>
              </w:rPr>
              <w:t>metal contamination and bioaccumulation in</w:t>
            </w:r>
            <w:r>
              <w:rPr>
                <w:spacing w:val="-1"/>
                <w:sz w:val="20"/>
              </w:rPr>
              <w:t xml:space="preserve"> </w:t>
            </w:r>
            <w:r>
              <w:rPr>
                <w:sz w:val="20"/>
              </w:rPr>
              <w:t>aquatic organisms</w:t>
            </w:r>
            <w:r>
              <w:rPr>
                <w:spacing w:val="-1"/>
                <w:sz w:val="20"/>
              </w:rPr>
              <w:t xml:space="preserve"> </w:t>
            </w:r>
            <w:r>
              <w:rPr>
                <w:sz w:val="20"/>
              </w:rPr>
              <w:t>such as</w:t>
            </w:r>
            <w:r>
              <w:rPr>
                <w:spacing w:val="-1"/>
                <w:sz w:val="20"/>
              </w:rPr>
              <w:t xml:space="preserve"> </w:t>
            </w:r>
            <w:r>
              <w:rPr>
                <w:sz w:val="20"/>
              </w:rPr>
              <w:t>Penaeus</w:t>
            </w:r>
            <w:r>
              <w:rPr>
                <w:spacing w:val="-1"/>
                <w:sz w:val="20"/>
              </w:rPr>
              <w:t xml:space="preserve"> </w:t>
            </w:r>
            <w:r>
              <w:rPr>
                <w:sz w:val="20"/>
              </w:rPr>
              <w:t>monodon in the Niger</w:t>
            </w:r>
            <w:r>
              <w:rPr>
                <w:spacing w:val="-3"/>
                <w:sz w:val="20"/>
              </w:rPr>
              <w:t xml:space="preserve"> </w:t>
            </w:r>
            <w:r>
              <w:rPr>
                <w:sz w:val="20"/>
              </w:rPr>
              <w:t>Delta.</w:t>
            </w:r>
            <w:r>
              <w:rPr>
                <w:spacing w:val="-3"/>
                <w:sz w:val="20"/>
              </w:rPr>
              <w:t xml:space="preserve"> </w:t>
            </w:r>
            <w:r>
              <w:rPr>
                <w:sz w:val="20"/>
              </w:rPr>
              <w:t>Where</w:t>
            </w:r>
            <w:r>
              <w:rPr>
                <w:spacing w:val="-4"/>
                <w:sz w:val="20"/>
              </w:rPr>
              <w:t xml:space="preserve"> </w:t>
            </w:r>
            <w:r>
              <w:rPr>
                <w:sz w:val="20"/>
              </w:rPr>
              <w:t>contamination</w:t>
            </w:r>
            <w:r>
              <w:rPr>
                <w:spacing w:val="-3"/>
                <w:sz w:val="20"/>
              </w:rPr>
              <w:t xml:space="preserve"> </w:t>
            </w:r>
            <w:r>
              <w:rPr>
                <w:sz w:val="20"/>
              </w:rPr>
              <w:t>was</w:t>
            </w:r>
            <w:r>
              <w:rPr>
                <w:spacing w:val="-5"/>
                <w:sz w:val="20"/>
              </w:rPr>
              <w:t xml:space="preserve"> </w:t>
            </w:r>
            <w:r>
              <w:rPr>
                <w:sz w:val="20"/>
              </w:rPr>
              <w:t>uniform</w:t>
            </w:r>
            <w:r>
              <w:rPr>
                <w:spacing w:val="-3"/>
                <w:sz w:val="20"/>
              </w:rPr>
              <w:t xml:space="preserve"> </w:t>
            </w:r>
            <w:r>
              <w:rPr>
                <w:sz w:val="20"/>
              </w:rPr>
              <w:t>across</w:t>
            </w:r>
            <w:r>
              <w:rPr>
                <w:spacing w:val="-5"/>
                <w:sz w:val="20"/>
              </w:rPr>
              <w:t xml:space="preserve"> </w:t>
            </w:r>
            <w:r>
              <w:rPr>
                <w:sz w:val="20"/>
              </w:rPr>
              <w:t>all</w:t>
            </w:r>
            <w:r>
              <w:rPr>
                <w:spacing w:val="-4"/>
                <w:sz w:val="20"/>
              </w:rPr>
              <w:t xml:space="preserve"> </w:t>
            </w:r>
            <w:r>
              <w:rPr>
                <w:sz w:val="20"/>
              </w:rPr>
              <w:t>sampling</w:t>
            </w:r>
            <w:r>
              <w:rPr>
                <w:spacing w:val="-3"/>
                <w:sz w:val="20"/>
              </w:rPr>
              <w:t xml:space="preserve"> </w:t>
            </w:r>
            <w:r>
              <w:rPr>
                <w:sz w:val="20"/>
              </w:rPr>
              <w:t>sites,</w:t>
            </w:r>
            <w:r>
              <w:rPr>
                <w:spacing w:val="-4"/>
                <w:sz w:val="20"/>
              </w:rPr>
              <w:t xml:space="preserve"> </w:t>
            </w:r>
            <w:r>
              <w:rPr>
                <w:sz w:val="20"/>
              </w:rPr>
              <w:t>metal</w:t>
            </w:r>
            <w:r>
              <w:rPr>
                <w:spacing w:val="-4"/>
                <w:sz w:val="20"/>
              </w:rPr>
              <w:t xml:space="preserve"> </w:t>
            </w:r>
            <w:r>
              <w:rPr>
                <w:sz w:val="20"/>
              </w:rPr>
              <w:t>levels,</w:t>
            </w:r>
            <w:r>
              <w:rPr>
                <w:spacing w:val="-4"/>
                <w:sz w:val="20"/>
              </w:rPr>
              <w:t xml:space="preserve"> </w:t>
            </w:r>
            <w:r>
              <w:rPr>
                <w:sz w:val="20"/>
              </w:rPr>
              <w:t>such</w:t>
            </w:r>
            <w:r>
              <w:rPr>
                <w:spacing w:val="-3"/>
                <w:sz w:val="20"/>
              </w:rPr>
              <w:t xml:space="preserve"> </w:t>
            </w:r>
            <w:r>
              <w:rPr>
                <w:sz w:val="20"/>
              </w:rPr>
              <w:t>as</w:t>
            </w:r>
            <w:r>
              <w:rPr>
                <w:spacing w:val="-5"/>
                <w:sz w:val="20"/>
              </w:rPr>
              <w:t xml:space="preserve"> </w:t>
            </w:r>
            <w:r>
              <w:rPr>
                <w:sz w:val="20"/>
              </w:rPr>
              <w:t>arsenic,</w:t>
            </w:r>
            <w:r>
              <w:rPr>
                <w:spacing w:val="-4"/>
                <w:sz w:val="20"/>
              </w:rPr>
              <w:t xml:space="preserve"> </w:t>
            </w:r>
            <w:r>
              <w:rPr>
                <w:sz w:val="20"/>
              </w:rPr>
              <w:t>increased during the rainy season. These results reinforce the importance of developing region-specific seasonal consumption advisories and pollution control measures to protect the environment and public health.</w:t>
            </w:r>
          </w:p>
        </w:tc>
        <w:tc>
          <w:tcPr>
            <w:tcW w:w="6444" w:type="dxa"/>
          </w:tcPr>
          <w:p w:rsidR="006E5AFE" w:rsidRDefault="006E5AFE">
            <w:pPr>
              <w:pStyle w:val="TableParagraph"/>
              <w:rPr>
                <w:sz w:val="18"/>
              </w:rPr>
            </w:pPr>
          </w:p>
        </w:tc>
      </w:tr>
      <w:tr w:rsidR="006E5AFE">
        <w:trPr>
          <w:trHeight w:val="1262"/>
        </w:trPr>
        <w:tc>
          <w:tcPr>
            <w:tcW w:w="5352" w:type="dxa"/>
          </w:tcPr>
          <w:p w:rsidR="006E5AFE" w:rsidRDefault="00426A33">
            <w:pPr>
              <w:pStyle w:val="TableParagraph"/>
              <w:spacing w:line="229" w:lineRule="exact"/>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6E5AFE" w:rsidRDefault="00426A33">
            <w:pPr>
              <w:pStyle w:val="TableParagraph"/>
              <w:spacing w:line="229" w:lineRule="exact"/>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6E5AFE" w:rsidRDefault="00426A33">
            <w:pPr>
              <w:pStyle w:val="TableParagraph"/>
              <w:ind w:left="108"/>
              <w:rPr>
                <w:sz w:val="20"/>
              </w:rPr>
            </w:pPr>
            <w:r>
              <w:rPr>
                <w:sz w:val="20"/>
              </w:rPr>
              <w:t>Yes,</w:t>
            </w:r>
            <w:r>
              <w:rPr>
                <w:spacing w:val="-3"/>
                <w:sz w:val="20"/>
              </w:rPr>
              <w:t xml:space="preserve"> </w:t>
            </w:r>
            <w:r>
              <w:rPr>
                <w:sz w:val="20"/>
              </w:rPr>
              <w:t>the</w:t>
            </w:r>
            <w:r>
              <w:rPr>
                <w:spacing w:val="-2"/>
                <w:sz w:val="20"/>
              </w:rPr>
              <w:t xml:space="preserve"> </w:t>
            </w:r>
            <w:r>
              <w:rPr>
                <w:sz w:val="20"/>
              </w:rPr>
              <w:t>title</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article</w:t>
            </w:r>
            <w:r>
              <w:rPr>
                <w:spacing w:val="-2"/>
                <w:sz w:val="20"/>
              </w:rPr>
              <w:t xml:space="preserve"> </w:t>
            </w:r>
            <w:r>
              <w:rPr>
                <w:sz w:val="20"/>
              </w:rPr>
              <w:t>is</w:t>
            </w:r>
            <w:r>
              <w:rPr>
                <w:spacing w:val="-4"/>
                <w:sz w:val="20"/>
              </w:rPr>
              <w:t xml:space="preserve"> </w:t>
            </w:r>
            <w:r>
              <w:rPr>
                <w:spacing w:val="-2"/>
                <w:sz w:val="20"/>
              </w:rPr>
              <w:t>suitable.</w:t>
            </w:r>
          </w:p>
        </w:tc>
        <w:tc>
          <w:tcPr>
            <w:tcW w:w="6444" w:type="dxa"/>
          </w:tcPr>
          <w:p w:rsidR="006E5AFE" w:rsidRDefault="006E5AFE">
            <w:pPr>
              <w:pStyle w:val="TableParagraph"/>
              <w:rPr>
                <w:sz w:val="18"/>
              </w:rPr>
            </w:pPr>
          </w:p>
        </w:tc>
      </w:tr>
      <w:tr w:rsidR="006E5AFE">
        <w:trPr>
          <w:trHeight w:val="1261"/>
        </w:trPr>
        <w:tc>
          <w:tcPr>
            <w:tcW w:w="5352" w:type="dxa"/>
          </w:tcPr>
          <w:p w:rsidR="006E5AFE" w:rsidRDefault="00426A33">
            <w:pPr>
              <w:pStyle w:val="TableParagraph"/>
              <w:ind w:left="467" w:right="200"/>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6E5AFE" w:rsidRDefault="00426A33">
            <w:pPr>
              <w:pStyle w:val="TableParagraph"/>
              <w:ind w:left="108"/>
              <w:rPr>
                <w:sz w:val="20"/>
              </w:rPr>
            </w:pPr>
            <w:r>
              <w:rPr>
                <w:sz w:val="20"/>
              </w:rPr>
              <w:t>Yes,</w:t>
            </w:r>
            <w:r>
              <w:rPr>
                <w:spacing w:val="-4"/>
                <w:sz w:val="20"/>
              </w:rPr>
              <w:t xml:space="preserve"> </w:t>
            </w:r>
            <w:r>
              <w:rPr>
                <w:sz w:val="20"/>
              </w:rPr>
              <w:t>the</w:t>
            </w:r>
            <w:r>
              <w:rPr>
                <w:spacing w:val="-2"/>
                <w:sz w:val="20"/>
              </w:rPr>
              <w:t xml:space="preserve"> </w:t>
            </w:r>
            <w:r>
              <w:rPr>
                <w:sz w:val="20"/>
              </w:rPr>
              <w:t>abstract</w:t>
            </w:r>
            <w:r>
              <w:rPr>
                <w:spacing w:val="-4"/>
                <w:sz w:val="20"/>
              </w:rPr>
              <w:t xml:space="preserve"> </w:t>
            </w:r>
            <w:r>
              <w:rPr>
                <w:sz w:val="20"/>
              </w:rPr>
              <w:t>is</w:t>
            </w:r>
            <w:r>
              <w:rPr>
                <w:spacing w:val="-4"/>
                <w:sz w:val="20"/>
              </w:rPr>
              <w:t xml:space="preserve"> </w:t>
            </w:r>
            <w:r>
              <w:rPr>
                <w:spacing w:val="-2"/>
                <w:sz w:val="20"/>
              </w:rPr>
              <w:t>comprehensive.</w:t>
            </w:r>
          </w:p>
        </w:tc>
        <w:tc>
          <w:tcPr>
            <w:tcW w:w="6444" w:type="dxa"/>
          </w:tcPr>
          <w:p w:rsidR="006E5AFE" w:rsidRDefault="006E5AFE">
            <w:pPr>
              <w:pStyle w:val="TableParagraph"/>
              <w:rPr>
                <w:sz w:val="18"/>
              </w:rPr>
            </w:pPr>
          </w:p>
        </w:tc>
      </w:tr>
      <w:tr w:rsidR="006E5AFE">
        <w:trPr>
          <w:trHeight w:val="702"/>
        </w:trPr>
        <w:tc>
          <w:tcPr>
            <w:tcW w:w="5352" w:type="dxa"/>
          </w:tcPr>
          <w:p w:rsidR="006E5AFE" w:rsidRDefault="00426A33">
            <w:pPr>
              <w:pStyle w:val="TableParagraph"/>
              <w:ind w:left="467" w:right="200"/>
              <w:rPr>
                <w:b/>
                <w:sz w:val="20"/>
              </w:rPr>
            </w:pPr>
            <w:r>
              <w:rPr>
                <w:b/>
                <w:sz w:val="20"/>
              </w:rPr>
              <w:t>Is</w:t>
            </w:r>
            <w:r>
              <w:rPr>
                <w:b/>
                <w:spacing w:val="-8"/>
                <w:sz w:val="20"/>
              </w:rPr>
              <w:t xml:space="preserve"> </w:t>
            </w:r>
            <w:r>
              <w:rPr>
                <w:b/>
                <w:sz w:val="20"/>
              </w:rPr>
              <w:t>the</w:t>
            </w:r>
            <w:r>
              <w:rPr>
                <w:b/>
                <w:spacing w:val="-7"/>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6E5AFE" w:rsidRDefault="00426A33">
            <w:pPr>
              <w:pStyle w:val="TableParagraph"/>
              <w:ind w:left="108"/>
              <w:rPr>
                <w:sz w:val="20"/>
              </w:rPr>
            </w:pPr>
            <w:r>
              <w:rPr>
                <w:sz w:val="20"/>
              </w:rPr>
              <w:t>Yes,</w:t>
            </w:r>
            <w:r>
              <w:rPr>
                <w:spacing w:val="-5"/>
                <w:sz w:val="20"/>
              </w:rPr>
              <w:t xml:space="preserve"> </w:t>
            </w:r>
            <w:r>
              <w:rPr>
                <w:sz w:val="20"/>
              </w:rPr>
              <w:t>this</w:t>
            </w:r>
            <w:r>
              <w:rPr>
                <w:spacing w:val="-6"/>
                <w:sz w:val="20"/>
              </w:rPr>
              <w:t xml:space="preserve"> </w:t>
            </w:r>
            <w:r>
              <w:rPr>
                <w:sz w:val="20"/>
              </w:rPr>
              <w:t>manuscript</w:t>
            </w:r>
            <w:r>
              <w:rPr>
                <w:spacing w:val="-5"/>
                <w:sz w:val="20"/>
              </w:rPr>
              <w:t xml:space="preserve"> </w:t>
            </w:r>
            <w:r>
              <w:rPr>
                <w:sz w:val="20"/>
              </w:rPr>
              <w:t>is</w:t>
            </w:r>
            <w:r>
              <w:rPr>
                <w:spacing w:val="-6"/>
                <w:sz w:val="20"/>
              </w:rPr>
              <w:t xml:space="preserve"> </w:t>
            </w:r>
            <w:r>
              <w:rPr>
                <w:sz w:val="20"/>
              </w:rPr>
              <w:t>scientifically</w:t>
            </w:r>
            <w:r>
              <w:rPr>
                <w:spacing w:val="-4"/>
                <w:sz w:val="20"/>
              </w:rPr>
              <w:t xml:space="preserve"> </w:t>
            </w:r>
            <w:r>
              <w:rPr>
                <w:spacing w:val="-2"/>
                <w:sz w:val="20"/>
              </w:rPr>
              <w:t>correct.</w:t>
            </w:r>
          </w:p>
        </w:tc>
        <w:tc>
          <w:tcPr>
            <w:tcW w:w="6444" w:type="dxa"/>
          </w:tcPr>
          <w:p w:rsidR="006E5AFE" w:rsidRDefault="006E5AFE">
            <w:pPr>
              <w:pStyle w:val="TableParagraph"/>
              <w:rPr>
                <w:sz w:val="18"/>
              </w:rPr>
            </w:pPr>
          </w:p>
        </w:tc>
      </w:tr>
      <w:tr w:rsidR="006E5AFE">
        <w:trPr>
          <w:trHeight w:val="703"/>
        </w:trPr>
        <w:tc>
          <w:tcPr>
            <w:tcW w:w="5352" w:type="dxa"/>
          </w:tcPr>
          <w:p w:rsidR="006E5AFE" w:rsidRDefault="00426A33">
            <w:pPr>
              <w:pStyle w:val="TableParagraph"/>
              <w:spacing w:line="230" w:lineRule="atLeast"/>
              <w:ind w:left="467" w:right="200"/>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6E5AFE" w:rsidRDefault="00426A33">
            <w:pPr>
              <w:pStyle w:val="TableParagraph"/>
              <w:ind w:left="108"/>
              <w:rPr>
                <w:sz w:val="20"/>
              </w:rPr>
            </w:pPr>
            <w:r>
              <w:rPr>
                <w:sz w:val="20"/>
              </w:rPr>
              <w:t>The</w:t>
            </w:r>
            <w:r>
              <w:rPr>
                <w:spacing w:val="-4"/>
                <w:sz w:val="20"/>
              </w:rPr>
              <w:t xml:space="preserve"> </w:t>
            </w:r>
            <w:r>
              <w:rPr>
                <w:sz w:val="20"/>
              </w:rPr>
              <w:t>references</w:t>
            </w:r>
            <w:r>
              <w:rPr>
                <w:spacing w:val="-5"/>
                <w:sz w:val="20"/>
              </w:rPr>
              <w:t xml:space="preserve"> </w:t>
            </w:r>
            <w:r>
              <w:rPr>
                <w:sz w:val="20"/>
              </w:rPr>
              <w:t>provided</w:t>
            </w:r>
            <w:r>
              <w:rPr>
                <w:spacing w:val="-3"/>
                <w:sz w:val="20"/>
              </w:rPr>
              <w:t xml:space="preserve"> </w:t>
            </w:r>
            <w:r>
              <w:rPr>
                <w:sz w:val="20"/>
              </w:rPr>
              <w:t>are</w:t>
            </w:r>
            <w:r>
              <w:rPr>
                <w:spacing w:val="-4"/>
                <w:sz w:val="20"/>
              </w:rPr>
              <w:t xml:space="preserve"> </w:t>
            </w:r>
            <w:r>
              <w:rPr>
                <w:sz w:val="20"/>
              </w:rPr>
              <w:t>sufficient.</w:t>
            </w:r>
            <w:r>
              <w:rPr>
                <w:spacing w:val="-2"/>
                <w:sz w:val="20"/>
              </w:rPr>
              <w:t xml:space="preserve"> </w:t>
            </w:r>
            <w:r>
              <w:rPr>
                <w:sz w:val="20"/>
              </w:rPr>
              <w:t>and</w:t>
            </w:r>
            <w:r>
              <w:rPr>
                <w:spacing w:val="-3"/>
                <w:sz w:val="20"/>
              </w:rPr>
              <w:t xml:space="preserve"> </w:t>
            </w:r>
            <w:r>
              <w:rPr>
                <w:sz w:val="20"/>
              </w:rPr>
              <w:t>it</w:t>
            </w:r>
            <w:r>
              <w:rPr>
                <w:spacing w:val="-5"/>
                <w:sz w:val="20"/>
              </w:rPr>
              <w:t xml:space="preserve"> </w:t>
            </w:r>
            <w:r>
              <w:rPr>
                <w:sz w:val="20"/>
              </w:rPr>
              <w:t>would</w:t>
            </w:r>
            <w:r>
              <w:rPr>
                <w:spacing w:val="-6"/>
                <w:sz w:val="20"/>
              </w:rPr>
              <w:t xml:space="preserve"> </w:t>
            </w:r>
            <w:r>
              <w:rPr>
                <w:sz w:val="20"/>
              </w:rPr>
              <w:t>be</w:t>
            </w:r>
            <w:r>
              <w:rPr>
                <w:spacing w:val="-3"/>
                <w:sz w:val="20"/>
              </w:rPr>
              <w:t xml:space="preserve"> </w:t>
            </w:r>
            <w:r>
              <w:rPr>
                <w:sz w:val="20"/>
              </w:rPr>
              <w:t>better</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old</w:t>
            </w:r>
            <w:r>
              <w:rPr>
                <w:spacing w:val="-3"/>
                <w:sz w:val="20"/>
              </w:rPr>
              <w:t xml:space="preserve"> </w:t>
            </w:r>
            <w:r>
              <w:rPr>
                <w:sz w:val="20"/>
              </w:rPr>
              <w:t>references</w:t>
            </w:r>
            <w:r>
              <w:rPr>
                <w:spacing w:val="-4"/>
                <w:sz w:val="20"/>
              </w:rPr>
              <w:t xml:space="preserve"> </w:t>
            </w:r>
            <w:r>
              <w:rPr>
                <w:sz w:val="20"/>
              </w:rPr>
              <w:t>were</w:t>
            </w:r>
            <w:r>
              <w:rPr>
                <w:spacing w:val="-4"/>
                <w:sz w:val="20"/>
              </w:rPr>
              <w:t xml:space="preserve"> </w:t>
            </w:r>
            <w:r>
              <w:rPr>
                <w:sz w:val="20"/>
              </w:rPr>
              <w:t>updated</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pacing w:val="-2"/>
                <w:sz w:val="20"/>
              </w:rPr>
              <w:t>latest</w:t>
            </w:r>
          </w:p>
          <w:p w:rsidR="006E5AFE" w:rsidRDefault="00426A33">
            <w:pPr>
              <w:pStyle w:val="TableParagraph"/>
              <w:spacing w:before="1"/>
              <w:ind w:left="108"/>
              <w:rPr>
                <w:sz w:val="20"/>
              </w:rPr>
            </w:pPr>
            <w:proofErr w:type="gramStart"/>
            <w:r>
              <w:rPr>
                <w:spacing w:val="-2"/>
                <w:sz w:val="20"/>
              </w:rPr>
              <w:t>.references</w:t>
            </w:r>
            <w:proofErr w:type="gramEnd"/>
            <w:r>
              <w:rPr>
                <w:spacing w:val="-2"/>
                <w:sz w:val="20"/>
              </w:rPr>
              <w:t>.</w:t>
            </w:r>
          </w:p>
        </w:tc>
        <w:tc>
          <w:tcPr>
            <w:tcW w:w="6444" w:type="dxa"/>
          </w:tcPr>
          <w:p w:rsidR="006E5AFE" w:rsidRDefault="006E5AFE">
            <w:pPr>
              <w:pStyle w:val="TableParagraph"/>
              <w:rPr>
                <w:sz w:val="18"/>
              </w:rPr>
            </w:pPr>
          </w:p>
        </w:tc>
      </w:tr>
      <w:tr w:rsidR="006E5AFE">
        <w:trPr>
          <w:trHeight w:val="690"/>
        </w:trPr>
        <w:tc>
          <w:tcPr>
            <w:tcW w:w="5352" w:type="dxa"/>
          </w:tcPr>
          <w:p w:rsidR="006E5AFE" w:rsidRDefault="00426A33">
            <w:pPr>
              <w:pStyle w:val="TableParagraph"/>
              <w:ind w:left="467" w:right="200"/>
              <w:rPr>
                <w:b/>
                <w:sz w:val="20"/>
              </w:rPr>
            </w:pPr>
            <w:r>
              <w:rPr>
                <w:b/>
                <w:sz w:val="20"/>
              </w:rPr>
              <w:t>Is</w:t>
            </w:r>
            <w:r>
              <w:rPr>
                <w:b/>
                <w:spacing w:val="-7"/>
                <w:sz w:val="20"/>
              </w:rPr>
              <w:t xml:space="preserve"> </w:t>
            </w:r>
            <w:r>
              <w:rPr>
                <w:b/>
                <w:sz w:val="20"/>
              </w:rPr>
              <w:t>the</w:t>
            </w:r>
            <w:r>
              <w:rPr>
                <w:b/>
                <w:spacing w:val="-6"/>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6E5AFE" w:rsidRDefault="00426A33">
            <w:pPr>
              <w:pStyle w:val="TableParagraph"/>
              <w:ind w:left="108"/>
              <w:rPr>
                <w:sz w:val="20"/>
              </w:rPr>
            </w:pPr>
            <w:r>
              <w:rPr>
                <w:sz w:val="20"/>
              </w:rPr>
              <w:t>Yes,</w:t>
            </w:r>
            <w:r>
              <w:rPr>
                <w:spacing w:val="-5"/>
                <w:sz w:val="20"/>
              </w:rPr>
              <w:t xml:space="preserve"> </w:t>
            </w:r>
            <w:r>
              <w:rPr>
                <w:sz w:val="20"/>
              </w:rPr>
              <w:t>the</w:t>
            </w:r>
            <w:r>
              <w:rPr>
                <w:spacing w:val="-5"/>
                <w:sz w:val="20"/>
              </w:rPr>
              <w:t xml:space="preserve"> </w:t>
            </w:r>
            <w:r>
              <w:rPr>
                <w:sz w:val="20"/>
              </w:rPr>
              <w:t>language/English</w:t>
            </w:r>
            <w:r>
              <w:rPr>
                <w:spacing w:val="-1"/>
                <w:sz w:val="20"/>
              </w:rPr>
              <w:t xml:space="preserve"> </w:t>
            </w:r>
            <w:r>
              <w:rPr>
                <w:sz w:val="20"/>
              </w:rPr>
              <w:t>quality</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article</w:t>
            </w:r>
            <w:r>
              <w:rPr>
                <w:spacing w:val="-5"/>
                <w:sz w:val="20"/>
              </w:rPr>
              <w:t xml:space="preserve"> </w:t>
            </w:r>
            <w:r>
              <w:rPr>
                <w:sz w:val="20"/>
              </w:rPr>
              <w:t>suitable</w:t>
            </w:r>
            <w:r>
              <w:rPr>
                <w:spacing w:val="-4"/>
                <w:sz w:val="20"/>
              </w:rPr>
              <w:t xml:space="preserve"> </w:t>
            </w:r>
            <w:r>
              <w:rPr>
                <w:sz w:val="20"/>
              </w:rPr>
              <w:t>for</w:t>
            </w:r>
            <w:r>
              <w:rPr>
                <w:spacing w:val="-5"/>
                <w:sz w:val="20"/>
              </w:rPr>
              <w:t xml:space="preserve"> </w:t>
            </w:r>
            <w:r>
              <w:rPr>
                <w:sz w:val="20"/>
              </w:rPr>
              <w:t>scholarly</w:t>
            </w:r>
            <w:r>
              <w:rPr>
                <w:spacing w:val="-4"/>
                <w:sz w:val="20"/>
              </w:rPr>
              <w:t xml:space="preserve"> </w:t>
            </w:r>
            <w:r>
              <w:rPr>
                <w:spacing w:val="-2"/>
                <w:sz w:val="20"/>
              </w:rPr>
              <w:t>communications.</w:t>
            </w:r>
          </w:p>
        </w:tc>
        <w:tc>
          <w:tcPr>
            <w:tcW w:w="6444" w:type="dxa"/>
          </w:tcPr>
          <w:p w:rsidR="006E5AFE" w:rsidRDefault="006E5AFE">
            <w:pPr>
              <w:pStyle w:val="TableParagraph"/>
              <w:rPr>
                <w:sz w:val="18"/>
              </w:rPr>
            </w:pPr>
          </w:p>
        </w:tc>
      </w:tr>
      <w:tr w:rsidR="006E5AFE">
        <w:trPr>
          <w:trHeight w:val="1177"/>
        </w:trPr>
        <w:tc>
          <w:tcPr>
            <w:tcW w:w="5352" w:type="dxa"/>
          </w:tcPr>
          <w:p w:rsidR="006E5AFE" w:rsidRDefault="00426A33">
            <w:pPr>
              <w:pStyle w:val="TableParagraph"/>
              <w:ind w:left="107"/>
              <w:rPr>
                <w:sz w:val="20"/>
              </w:rPr>
            </w:pPr>
            <w:r>
              <w:rPr>
                <w:b/>
                <w:sz w:val="20"/>
                <w:u w:val="single"/>
              </w:rPr>
              <w:t>Optional/General</w:t>
            </w:r>
            <w:r>
              <w:rPr>
                <w:b/>
                <w:spacing w:val="-11"/>
                <w:sz w:val="20"/>
              </w:rPr>
              <w:t xml:space="preserve"> </w:t>
            </w:r>
            <w:r>
              <w:rPr>
                <w:spacing w:val="-2"/>
                <w:sz w:val="20"/>
              </w:rPr>
              <w:t>comments</w:t>
            </w:r>
          </w:p>
        </w:tc>
        <w:tc>
          <w:tcPr>
            <w:tcW w:w="9356" w:type="dxa"/>
          </w:tcPr>
          <w:p w:rsidR="006E5AFE" w:rsidRDefault="006E5AFE">
            <w:pPr>
              <w:pStyle w:val="TableParagraph"/>
              <w:rPr>
                <w:sz w:val="18"/>
              </w:rPr>
            </w:pPr>
          </w:p>
        </w:tc>
        <w:tc>
          <w:tcPr>
            <w:tcW w:w="6444" w:type="dxa"/>
          </w:tcPr>
          <w:p w:rsidR="006E5AFE" w:rsidRDefault="006E5AFE">
            <w:pPr>
              <w:pStyle w:val="TableParagraph"/>
              <w:rPr>
                <w:sz w:val="18"/>
              </w:rPr>
            </w:pPr>
          </w:p>
        </w:tc>
      </w:tr>
    </w:tbl>
    <w:p w:rsidR="006E5AFE" w:rsidRDefault="006E5AFE">
      <w:pPr>
        <w:pStyle w:val="TableParagraph"/>
        <w:rPr>
          <w:sz w:val="18"/>
        </w:rPr>
        <w:sectPr w:rsidR="006E5AFE">
          <w:headerReference w:type="default" r:id="rId7"/>
          <w:footerReference w:type="default" r:id="rId8"/>
          <w:pgSz w:w="23820" w:h="16840" w:orient="landscape"/>
          <w:pgMar w:top="1820" w:right="1275" w:bottom="880" w:left="1275" w:header="1285" w:footer="694"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2"/>
        <w:gridCol w:w="5678"/>
      </w:tblGrid>
      <w:tr w:rsidR="006E5AFE">
        <w:trPr>
          <w:trHeight w:val="450"/>
        </w:trPr>
        <w:tc>
          <w:tcPr>
            <w:tcW w:w="21151" w:type="dxa"/>
            <w:gridSpan w:val="3"/>
            <w:tcBorders>
              <w:top w:val="nil"/>
              <w:left w:val="nil"/>
              <w:right w:val="nil"/>
            </w:tcBorders>
          </w:tcPr>
          <w:p w:rsidR="006E5AFE" w:rsidRDefault="00426A33">
            <w:pPr>
              <w:pStyle w:val="TableParagraph"/>
              <w:spacing w:line="221" w:lineRule="exact"/>
              <w:ind w:left="112"/>
              <w:rPr>
                <w:b/>
                <w:sz w:val="20"/>
              </w:rPr>
            </w:pPr>
            <w:r>
              <w:rPr>
                <w:b/>
                <w:color w:val="000000"/>
                <w:sz w:val="20"/>
                <w:highlight w:val="yellow"/>
                <w:u w:val="single"/>
              </w:rPr>
              <w:lastRenderedPageBreak/>
              <w:t>PART</w:t>
            </w:r>
            <w:r>
              <w:rPr>
                <w:b/>
                <w:color w:val="000000"/>
                <w:spacing w:val="44"/>
                <w:sz w:val="20"/>
                <w:highlight w:val="yellow"/>
                <w:u w:val="single"/>
              </w:rPr>
              <w:t xml:space="preserve"> </w:t>
            </w:r>
            <w:r>
              <w:rPr>
                <w:b/>
                <w:color w:val="000000"/>
                <w:spacing w:val="-5"/>
                <w:sz w:val="20"/>
                <w:highlight w:val="yellow"/>
                <w:u w:val="single"/>
              </w:rPr>
              <w:t>2:</w:t>
            </w:r>
          </w:p>
        </w:tc>
      </w:tr>
      <w:tr w:rsidR="006E5AFE">
        <w:trPr>
          <w:trHeight w:val="935"/>
        </w:trPr>
        <w:tc>
          <w:tcPr>
            <w:tcW w:w="6831" w:type="dxa"/>
          </w:tcPr>
          <w:p w:rsidR="006E5AFE" w:rsidRDefault="006E5AFE">
            <w:pPr>
              <w:pStyle w:val="TableParagraph"/>
              <w:rPr>
                <w:sz w:val="18"/>
              </w:rPr>
            </w:pPr>
          </w:p>
        </w:tc>
        <w:tc>
          <w:tcPr>
            <w:tcW w:w="8642" w:type="dxa"/>
          </w:tcPr>
          <w:p w:rsidR="006E5AFE" w:rsidRDefault="00426A33">
            <w:pPr>
              <w:pStyle w:val="TableParagraph"/>
              <w:ind w:left="108"/>
              <w:rPr>
                <w:b/>
                <w:sz w:val="20"/>
              </w:rPr>
            </w:pPr>
            <w:r>
              <w:rPr>
                <w:b/>
                <w:sz w:val="20"/>
              </w:rPr>
              <w:t>Reviewer’s</w:t>
            </w:r>
            <w:r>
              <w:rPr>
                <w:b/>
                <w:spacing w:val="-9"/>
                <w:sz w:val="20"/>
              </w:rPr>
              <w:t xml:space="preserve"> </w:t>
            </w:r>
            <w:r>
              <w:rPr>
                <w:b/>
                <w:spacing w:val="-2"/>
                <w:sz w:val="20"/>
              </w:rPr>
              <w:t>comment</w:t>
            </w:r>
          </w:p>
        </w:tc>
        <w:tc>
          <w:tcPr>
            <w:tcW w:w="5678" w:type="dxa"/>
          </w:tcPr>
          <w:p w:rsidR="006E5AFE" w:rsidRDefault="00426A33">
            <w:pPr>
              <w:pStyle w:val="TableParagraph"/>
              <w:spacing w:line="254" w:lineRule="auto"/>
              <w:ind w:left="5" w:right="73"/>
              <w:rPr>
                <w:sz w:val="20"/>
              </w:rPr>
            </w:pPr>
            <w:r>
              <w:rPr>
                <w:b/>
                <w:sz w:val="20"/>
              </w:rPr>
              <w:t>Author’s</w:t>
            </w:r>
            <w:r>
              <w:rPr>
                <w:b/>
                <w:spacing w:val="-6"/>
                <w:sz w:val="20"/>
              </w:rPr>
              <w:t xml:space="preserve"> </w:t>
            </w:r>
            <w:r>
              <w:rPr>
                <w:b/>
                <w:sz w:val="20"/>
              </w:rPr>
              <w:t>Feedback</w:t>
            </w:r>
            <w:r>
              <w:rPr>
                <w:b/>
                <w:spacing w:val="-2"/>
                <w:sz w:val="20"/>
              </w:rPr>
              <w:t xml:space="preserve"> </w:t>
            </w:r>
            <w:r>
              <w:rPr>
                <w:sz w:val="20"/>
              </w:rPr>
              <w:t>(It</w:t>
            </w:r>
            <w:r>
              <w:rPr>
                <w:spacing w:val="-6"/>
                <w:sz w:val="20"/>
              </w:rPr>
              <w:t xml:space="preserve"> </w:t>
            </w:r>
            <w:r>
              <w:rPr>
                <w:sz w:val="20"/>
              </w:rPr>
              <w:t>is</w:t>
            </w:r>
            <w:r>
              <w:rPr>
                <w:spacing w:val="-6"/>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6"/>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6E5AFE">
        <w:trPr>
          <w:trHeight w:val="918"/>
        </w:trPr>
        <w:tc>
          <w:tcPr>
            <w:tcW w:w="6831" w:type="dxa"/>
          </w:tcPr>
          <w:p w:rsidR="006E5AFE" w:rsidRDefault="006E5AFE">
            <w:pPr>
              <w:pStyle w:val="TableParagraph"/>
              <w:rPr>
                <w:sz w:val="20"/>
              </w:rPr>
            </w:pPr>
          </w:p>
          <w:p w:rsidR="006E5AFE" w:rsidRDefault="00426A33">
            <w:pPr>
              <w:pStyle w:val="TableParagraph"/>
              <w:ind w:left="107"/>
              <w:rPr>
                <w:b/>
                <w:sz w:val="20"/>
              </w:rPr>
            </w:pPr>
            <w:r>
              <w:rPr>
                <w:b/>
                <w:sz w:val="20"/>
              </w:rPr>
              <w:t>Are</w:t>
            </w:r>
            <w:r>
              <w:rPr>
                <w:b/>
                <w:spacing w:val="-4"/>
                <w:sz w:val="20"/>
              </w:rPr>
              <w:t xml:space="preserve"> </w:t>
            </w:r>
            <w:r>
              <w:rPr>
                <w:b/>
                <w:sz w:val="20"/>
              </w:rPr>
              <w:t>there</w:t>
            </w:r>
            <w:r>
              <w:rPr>
                <w:b/>
                <w:spacing w:val="-4"/>
                <w:sz w:val="20"/>
              </w:rPr>
              <w:t xml:space="preserve"> </w:t>
            </w:r>
            <w:r>
              <w:rPr>
                <w:b/>
                <w:sz w:val="20"/>
              </w:rPr>
              <w:t>ethical</w:t>
            </w:r>
            <w:r>
              <w:rPr>
                <w:b/>
                <w:spacing w:val="-4"/>
                <w:sz w:val="20"/>
              </w:rPr>
              <w:t xml:space="preserve"> </w:t>
            </w:r>
            <w:r>
              <w:rPr>
                <w:b/>
                <w:sz w:val="20"/>
              </w:rPr>
              <w:t>issues</w:t>
            </w:r>
            <w:r>
              <w:rPr>
                <w:b/>
                <w:spacing w:val="-5"/>
                <w:sz w:val="20"/>
              </w:rPr>
              <w:t xml:space="preserve"> </w:t>
            </w:r>
            <w:r>
              <w:rPr>
                <w:b/>
                <w:sz w:val="20"/>
              </w:rPr>
              <w:t>in</w:t>
            </w:r>
            <w:r>
              <w:rPr>
                <w:b/>
                <w:spacing w:val="-4"/>
                <w:sz w:val="20"/>
              </w:rPr>
              <w:t xml:space="preserve"> </w:t>
            </w:r>
            <w:r>
              <w:rPr>
                <w:b/>
                <w:sz w:val="20"/>
              </w:rPr>
              <w:t>this</w:t>
            </w:r>
            <w:r>
              <w:rPr>
                <w:b/>
                <w:spacing w:val="-4"/>
                <w:sz w:val="20"/>
              </w:rPr>
              <w:t xml:space="preserve"> </w:t>
            </w:r>
            <w:r>
              <w:rPr>
                <w:b/>
                <w:spacing w:val="-2"/>
                <w:sz w:val="20"/>
              </w:rPr>
              <w:t>manuscript?</w:t>
            </w:r>
          </w:p>
        </w:tc>
        <w:tc>
          <w:tcPr>
            <w:tcW w:w="8642" w:type="dxa"/>
          </w:tcPr>
          <w:p w:rsidR="006E5AFE" w:rsidRDefault="00426A33">
            <w:pPr>
              <w:pStyle w:val="TableParagraph"/>
              <w:spacing w:before="115" w:line="229" w:lineRule="exact"/>
              <w:ind w:left="108"/>
              <w:rPr>
                <w:i/>
                <w:sz w:val="20"/>
              </w:rPr>
            </w:pPr>
            <w:r>
              <w:rPr>
                <w:i/>
                <w:sz w:val="20"/>
                <w:u w:val="single"/>
              </w:rPr>
              <w:t>(If</w:t>
            </w:r>
            <w:r>
              <w:rPr>
                <w:i/>
                <w:spacing w:val="-5"/>
                <w:sz w:val="20"/>
                <w:u w:val="single"/>
              </w:rPr>
              <w:t xml:space="preserve"> </w:t>
            </w:r>
            <w:r>
              <w:rPr>
                <w:i/>
                <w:sz w:val="20"/>
                <w:u w:val="single"/>
              </w:rPr>
              <w:t>yes,</w:t>
            </w:r>
            <w:r>
              <w:rPr>
                <w:i/>
                <w:spacing w:val="-4"/>
                <w:sz w:val="20"/>
                <w:u w:val="single"/>
              </w:rPr>
              <w:t xml:space="preserve"> </w:t>
            </w:r>
            <w:proofErr w:type="gramStart"/>
            <w:r>
              <w:rPr>
                <w:i/>
                <w:sz w:val="20"/>
                <w:u w:val="single"/>
              </w:rPr>
              <w:t>Kindly</w:t>
            </w:r>
            <w:proofErr w:type="gramEnd"/>
            <w:r>
              <w:rPr>
                <w:i/>
                <w:spacing w:val="-3"/>
                <w:sz w:val="20"/>
                <w:u w:val="single"/>
              </w:rPr>
              <w:t xml:space="preserve"> </w:t>
            </w:r>
            <w:r>
              <w:rPr>
                <w:i/>
                <w:sz w:val="20"/>
                <w:u w:val="single"/>
              </w:rPr>
              <w:t>please</w:t>
            </w:r>
            <w:r>
              <w:rPr>
                <w:i/>
                <w:spacing w:val="-4"/>
                <w:sz w:val="20"/>
                <w:u w:val="single"/>
              </w:rPr>
              <w:t xml:space="preserve"> </w:t>
            </w:r>
            <w:r>
              <w:rPr>
                <w:i/>
                <w:sz w:val="20"/>
                <w:u w:val="single"/>
              </w:rPr>
              <w:t>write</w:t>
            </w:r>
            <w:r>
              <w:rPr>
                <w:i/>
                <w:spacing w:val="-3"/>
                <w:sz w:val="20"/>
                <w:u w:val="single"/>
              </w:rPr>
              <w:t xml:space="preserve"> </w:t>
            </w:r>
            <w:r>
              <w:rPr>
                <w:i/>
                <w:sz w:val="20"/>
                <w:u w:val="single"/>
              </w:rPr>
              <w:t>down</w:t>
            </w:r>
            <w:r>
              <w:rPr>
                <w:i/>
                <w:spacing w:val="-3"/>
                <w:sz w:val="20"/>
                <w:u w:val="single"/>
              </w:rPr>
              <w:t xml:space="preserve"> </w:t>
            </w:r>
            <w:r>
              <w:rPr>
                <w:i/>
                <w:sz w:val="20"/>
                <w:u w:val="single"/>
              </w:rPr>
              <w:t>the</w:t>
            </w:r>
            <w:r>
              <w:rPr>
                <w:i/>
                <w:spacing w:val="-4"/>
                <w:sz w:val="20"/>
                <w:u w:val="single"/>
              </w:rPr>
              <w:t xml:space="preserve"> </w:t>
            </w:r>
            <w:r>
              <w:rPr>
                <w:i/>
                <w:sz w:val="20"/>
                <w:u w:val="single"/>
              </w:rPr>
              <w:t>ethical</w:t>
            </w:r>
            <w:r>
              <w:rPr>
                <w:i/>
                <w:spacing w:val="-4"/>
                <w:sz w:val="20"/>
                <w:u w:val="single"/>
              </w:rPr>
              <w:t xml:space="preserve"> </w:t>
            </w:r>
            <w:r>
              <w:rPr>
                <w:i/>
                <w:sz w:val="20"/>
                <w:u w:val="single"/>
              </w:rPr>
              <w:t>issues</w:t>
            </w:r>
            <w:r>
              <w:rPr>
                <w:i/>
                <w:spacing w:val="-5"/>
                <w:sz w:val="20"/>
                <w:u w:val="single"/>
              </w:rPr>
              <w:t xml:space="preserve"> </w:t>
            </w:r>
            <w:r>
              <w:rPr>
                <w:i/>
                <w:sz w:val="20"/>
                <w:u w:val="single"/>
              </w:rPr>
              <w:t>here</w:t>
            </w:r>
            <w:r>
              <w:rPr>
                <w:i/>
                <w:spacing w:val="-3"/>
                <w:sz w:val="20"/>
                <w:u w:val="single"/>
              </w:rPr>
              <w:t xml:space="preserve"> </w:t>
            </w:r>
            <w:r>
              <w:rPr>
                <w:i/>
                <w:sz w:val="20"/>
                <w:u w:val="single"/>
              </w:rPr>
              <w:t>in</w:t>
            </w:r>
            <w:r>
              <w:rPr>
                <w:i/>
                <w:spacing w:val="2"/>
                <w:sz w:val="20"/>
                <w:u w:val="single"/>
              </w:rPr>
              <w:t xml:space="preserve"> </w:t>
            </w:r>
            <w:r>
              <w:rPr>
                <w:i/>
                <w:spacing w:val="-2"/>
                <w:sz w:val="20"/>
                <w:u w:val="single"/>
              </w:rPr>
              <w:t>detail)</w:t>
            </w:r>
          </w:p>
          <w:p w:rsidR="006E5AFE" w:rsidRDefault="00426A33">
            <w:pPr>
              <w:pStyle w:val="TableParagraph"/>
              <w:spacing w:line="229" w:lineRule="exact"/>
              <w:ind w:left="108"/>
              <w:rPr>
                <w:sz w:val="20"/>
              </w:rPr>
            </w:pPr>
            <w:r>
              <w:rPr>
                <w:spacing w:val="-5"/>
                <w:sz w:val="20"/>
              </w:rPr>
              <w:t>No</w:t>
            </w:r>
          </w:p>
        </w:tc>
        <w:tc>
          <w:tcPr>
            <w:tcW w:w="5678" w:type="dxa"/>
          </w:tcPr>
          <w:p w:rsidR="006E5AFE" w:rsidRDefault="006E5AFE">
            <w:pPr>
              <w:pStyle w:val="TableParagraph"/>
              <w:rPr>
                <w:sz w:val="18"/>
              </w:rPr>
            </w:pPr>
          </w:p>
        </w:tc>
      </w:tr>
    </w:tbl>
    <w:p w:rsidR="004461B2" w:rsidRPr="00A763C0" w:rsidRDefault="004461B2" w:rsidP="004461B2">
      <w:pPr>
        <w:pStyle w:val="Affiliation"/>
        <w:spacing w:after="0" w:line="240" w:lineRule="auto"/>
        <w:jc w:val="left"/>
        <w:rPr>
          <w:rFonts w:ascii="Arial" w:hAnsi="Arial" w:cs="Arial"/>
          <w:b/>
        </w:rPr>
      </w:pPr>
    </w:p>
    <w:p w:rsidR="004461B2" w:rsidRPr="00A763C0" w:rsidRDefault="004461B2" w:rsidP="004461B2">
      <w:pPr>
        <w:pStyle w:val="Affiliation"/>
        <w:spacing w:after="0" w:line="240" w:lineRule="auto"/>
        <w:jc w:val="left"/>
        <w:rPr>
          <w:rFonts w:ascii="Arial" w:hAnsi="Arial" w:cs="Arial"/>
          <w:b/>
          <w:u w:val="single"/>
        </w:rPr>
      </w:pPr>
      <w:r w:rsidRPr="00A763C0">
        <w:rPr>
          <w:rFonts w:ascii="Arial" w:hAnsi="Arial" w:cs="Arial"/>
          <w:b/>
          <w:u w:val="single"/>
        </w:rPr>
        <w:t>Reviewer details:</w:t>
      </w:r>
    </w:p>
    <w:p w:rsidR="004461B2" w:rsidRPr="00A763C0" w:rsidRDefault="004461B2" w:rsidP="004461B2">
      <w:pPr>
        <w:pStyle w:val="Affiliation"/>
        <w:spacing w:after="0" w:line="240" w:lineRule="auto"/>
        <w:jc w:val="left"/>
        <w:rPr>
          <w:rFonts w:ascii="Arial" w:hAnsi="Arial" w:cs="Arial"/>
        </w:rPr>
      </w:pPr>
    </w:p>
    <w:p w:rsidR="004461B2" w:rsidRPr="00A763C0" w:rsidRDefault="004461B2" w:rsidP="004461B2">
      <w:pPr>
        <w:rPr>
          <w:rFonts w:ascii="Arial" w:hAnsi="Arial" w:cs="Arial"/>
          <w:sz w:val="20"/>
          <w:szCs w:val="20"/>
        </w:rPr>
      </w:pPr>
      <w:proofErr w:type="spellStart"/>
      <w:r w:rsidRPr="00A763C0">
        <w:rPr>
          <w:rFonts w:ascii="Arial" w:hAnsi="Arial" w:cs="Arial"/>
          <w:color w:val="000000"/>
          <w:sz w:val="20"/>
          <w:szCs w:val="20"/>
        </w:rPr>
        <w:t>Makhabbah</w:t>
      </w:r>
      <w:proofErr w:type="spellEnd"/>
      <w:r w:rsidRPr="00A763C0">
        <w:rPr>
          <w:rFonts w:ascii="Arial" w:hAnsi="Arial" w:cs="Arial"/>
          <w:color w:val="000000"/>
          <w:sz w:val="20"/>
          <w:szCs w:val="20"/>
        </w:rPr>
        <w:t xml:space="preserve"> </w:t>
      </w:r>
      <w:proofErr w:type="spellStart"/>
      <w:r w:rsidRPr="00A763C0">
        <w:rPr>
          <w:rFonts w:ascii="Arial" w:hAnsi="Arial" w:cs="Arial"/>
          <w:color w:val="000000"/>
          <w:sz w:val="20"/>
          <w:szCs w:val="20"/>
        </w:rPr>
        <w:t>Jamilatun</w:t>
      </w:r>
      <w:proofErr w:type="spellEnd"/>
      <w:r w:rsidRPr="00A763C0">
        <w:rPr>
          <w:rFonts w:ascii="Arial" w:hAnsi="Arial" w:cs="Arial"/>
          <w:color w:val="000000"/>
          <w:sz w:val="20"/>
          <w:szCs w:val="20"/>
        </w:rPr>
        <w:t>, Health Polytechnic of Health Ministry Surakarta, Indonesia</w:t>
      </w:r>
      <w:r w:rsidRPr="00A763C0">
        <w:rPr>
          <w:rFonts w:ascii="Arial" w:hAnsi="Arial" w:cs="Arial"/>
          <w:color w:val="000000"/>
          <w:sz w:val="20"/>
          <w:szCs w:val="20"/>
        </w:rPr>
        <w:br/>
      </w:r>
    </w:p>
    <w:p w:rsidR="00426A33" w:rsidRDefault="00426A33">
      <w:bookmarkStart w:id="0" w:name="_GoBack"/>
      <w:bookmarkEnd w:id="0"/>
    </w:p>
    <w:sectPr w:rsidR="00426A33">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FC4" w:rsidRDefault="00CE5FC4">
      <w:r>
        <w:separator/>
      </w:r>
    </w:p>
  </w:endnote>
  <w:endnote w:type="continuationSeparator" w:id="0">
    <w:p w:rsidR="00CE5FC4" w:rsidRDefault="00CE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AFE" w:rsidRDefault="00426A33">
    <w:pPr>
      <w:pStyle w:val="BodyText"/>
      <w:spacing w:line="14" w:lineRule="auto"/>
      <w:rPr>
        <w:b w:val="0"/>
      </w:rPr>
    </w:pPr>
    <w:r>
      <w:rPr>
        <w:b w:val="0"/>
        <w:noProof/>
      </w:rPr>
      <mc:AlternateContent>
        <mc:Choice Requires="wps">
          <w:drawing>
            <wp:anchor distT="0" distB="0" distL="0" distR="0" simplePos="0" relativeHeight="48741427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6E5AFE" w:rsidRDefault="00426A33">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6E5AFE" w:rsidRDefault="00426A33">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14784"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6E5AFE" w:rsidRDefault="00426A33">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6E5AFE" w:rsidRDefault="00426A33">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15296"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6E5AFE" w:rsidRDefault="00426A33">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6E5AFE" w:rsidRDefault="00426A33">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5808" behindDoc="1" locked="0" layoutInCell="1" allowOverlap="1">
              <wp:simplePos x="0" y="0"/>
              <wp:positionH relativeFrom="page">
                <wp:posOffset>6845934</wp:posOffset>
              </wp:positionH>
              <wp:positionV relativeFrom="page">
                <wp:posOffset>10111682</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6E5AFE" w:rsidRDefault="00426A33">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pt;height:10.95pt;z-index:-1590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" filled="f" stroked="f">
              <v:textbox inset="0,0,0,0">
                <w:txbxContent>
                  <w:p w:rsidR="006E5AFE" w:rsidRDefault="00426A33">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FC4" w:rsidRDefault="00CE5FC4">
      <w:r>
        <w:separator/>
      </w:r>
    </w:p>
  </w:footnote>
  <w:footnote w:type="continuationSeparator" w:id="0">
    <w:p w:rsidR="00CE5FC4" w:rsidRDefault="00CE5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AFE" w:rsidRDefault="00426A33">
    <w:pPr>
      <w:pStyle w:val="BodyText"/>
      <w:spacing w:line="14" w:lineRule="auto"/>
      <w:rPr>
        <w:b w:val="0"/>
      </w:rPr>
    </w:pPr>
    <w:r>
      <w:rPr>
        <w:b w:val="0"/>
        <w:noProof/>
      </w:rPr>
      <mc:AlternateContent>
        <mc:Choice Requires="wps">
          <w:drawing>
            <wp:anchor distT="0" distB="0" distL="0" distR="0" simplePos="0" relativeHeight="487413760"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6E5AFE" w:rsidRDefault="00426A33">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6E5AFE" w:rsidRDefault="00426A33">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E5AFE"/>
    <w:rsid w:val="00354E00"/>
    <w:rsid w:val="00426A33"/>
    <w:rsid w:val="004461B2"/>
    <w:rsid w:val="0053603F"/>
    <w:rsid w:val="006E5AFE"/>
    <w:rsid w:val="00895A92"/>
    <w:rsid w:val="00CE5F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54C5D3-3D35-4E44-A8B9-2F44954F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53603F"/>
    <w:rPr>
      <w:color w:val="0000FF"/>
      <w:u w:val="single"/>
    </w:rPr>
  </w:style>
  <w:style w:type="paragraph" w:customStyle="1" w:styleId="Affiliation">
    <w:name w:val="Affiliation"/>
    <w:basedOn w:val="Normal"/>
    <w:rsid w:val="004461B2"/>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e.com/index.php/AJE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4</cp:revision>
  <dcterms:created xsi:type="dcterms:W3CDTF">2025-11-07T05:50:00Z</dcterms:created>
  <dcterms:modified xsi:type="dcterms:W3CDTF">2025-11-08T11:47:00Z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Microsoft® Word 2024</vt:lpwstr>
  </property>
  <property fmtid="{D5CDD505-2E9C-101B-9397-08002B2CF9AE}" pid="4" name="LastSaved">
    <vt:filetime>2025-11-07T00:00:00Z</vt:filetime>
  </property>
  <property fmtid="{D5CDD505-2E9C-101B-9397-08002B2CF9AE}" pid="5" name="Producer">
    <vt:lpwstr>Microsoft® Word 2024</vt:lpwstr>
  </property>
</Properties>
</file>