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2E8C0" w14:textId="5BD6E7E5" w:rsidR="00937415" w:rsidRDefault="007C78FA" w:rsidP="00937415">
      <w:pPr>
        <w:jc w:val="right"/>
        <w:rPr>
          <w:rFonts w:ascii="Arial" w:hAnsi="Arial" w:cs="Arial"/>
          <w:b/>
          <w:sz w:val="24"/>
          <w:szCs w:val="24"/>
        </w:rPr>
      </w:pPr>
      <w:commentRangeStart w:id="0"/>
      <w:r w:rsidRPr="00937415">
        <w:rPr>
          <w:rFonts w:ascii="Arial" w:hAnsi="Arial" w:cs="Arial"/>
          <w:b/>
          <w:sz w:val="24"/>
          <w:szCs w:val="24"/>
        </w:rPr>
        <w:t>The Role of Risk Management Subcommittees in Corporate Governance</w:t>
      </w:r>
      <w:commentRangeEnd w:id="0"/>
      <w:r w:rsidR="00DF7690">
        <w:rPr>
          <w:rStyle w:val="CommentReference"/>
        </w:rPr>
        <w:commentReference w:id="0"/>
      </w:r>
      <w:r w:rsidRPr="00937415">
        <w:rPr>
          <w:rFonts w:ascii="Arial" w:hAnsi="Arial" w:cs="Arial"/>
          <w:b/>
          <w:sz w:val="24"/>
          <w:szCs w:val="24"/>
        </w:rPr>
        <w:t>: Lessons from Scandals and Reforms</w:t>
      </w:r>
    </w:p>
    <w:p w14:paraId="38D63522" w14:textId="77777777" w:rsidR="0090769D" w:rsidRPr="00937415" w:rsidRDefault="0090769D" w:rsidP="00937415">
      <w:pPr>
        <w:jc w:val="right"/>
        <w:rPr>
          <w:rFonts w:ascii="Arial" w:hAnsi="Arial" w:cs="Arial"/>
          <w:b/>
          <w:sz w:val="24"/>
          <w:szCs w:val="24"/>
        </w:rPr>
      </w:pPr>
    </w:p>
    <w:p w14:paraId="55346922" w14:textId="77777777" w:rsidR="008A65AE" w:rsidRDefault="008A65AE" w:rsidP="0011127B">
      <w:pPr>
        <w:spacing w:line="240" w:lineRule="auto"/>
        <w:jc w:val="both"/>
        <w:rPr>
          <w:rFonts w:ascii="Arial" w:hAnsi="Arial" w:cs="Arial"/>
          <w:b/>
        </w:rPr>
      </w:pPr>
    </w:p>
    <w:p w14:paraId="3DD80DA6" w14:textId="6A839693" w:rsidR="00C030F2" w:rsidRPr="00073F3C" w:rsidRDefault="00C030F2" w:rsidP="0011127B">
      <w:pPr>
        <w:spacing w:line="240" w:lineRule="auto"/>
        <w:jc w:val="both"/>
        <w:rPr>
          <w:rFonts w:ascii="Arial" w:hAnsi="Arial" w:cs="Arial"/>
          <w:b/>
        </w:rPr>
      </w:pPr>
      <w:commentRangeStart w:id="2"/>
      <w:r w:rsidRPr="00073F3C">
        <w:rPr>
          <w:rFonts w:ascii="Arial" w:hAnsi="Arial" w:cs="Arial"/>
          <w:b/>
        </w:rPr>
        <w:t>Abstract:</w:t>
      </w:r>
      <w:commentRangeEnd w:id="2"/>
      <w:r w:rsidR="00B344EC">
        <w:rPr>
          <w:rStyle w:val="CommentReference"/>
        </w:rPr>
        <w:commentReference w:id="2"/>
      </w:r>
    </w:p>
    <w:p w14:paraId="43A9BD0F" w14:textId="2E8906CB" w:rsidR="00352610" w:rsidRPr="00073F3C" w:rsidRDefault="00352610" w:rsidP="0011127B">
      <w:pPr>
        <w:spacing w:line="240" w:lineRule="auto"/>
        <w:jc w:val="both"/>
        <w:rPr>
          <w:rFonts w:ascii="Arial" w:hAnsi="Arial" w:cs="Arial"/>
        </w:rPr>
      </w:pPr>
      <w:r w:rsidRPr="00073F3C">
        <w:rPr>
          <w:rFonts w:ascii="Arial" w:hAnsi="Arial" w:cs="Arial"/>
          <w:b/>
        </w:rPr>
        <w:t>Purpose:</w:t>
      </w:r>
      <w:r w:rsidRPr="00073F3C">
        <w:rPr>
          <w:rFonts w:ascii="Arial" w:hAnsi="Arial" w:cs="Arial"/>
        </w:rPr>
        <w:t xml:space="preserve"> This paper explores the </w:t>
      </w:r>
      <w:r w:rsidR="007C78FA" w:rsidRPr="00073F3C">
        <w:rPr>
          <w:rFonts w:ascii="Arial" w:hAnsi="Arial" w:cs="Arial"/>
        </w:rPr>
        <w:t xml:space="preserve">Role </w:t>
      </w:r>
      <w:r w:rsidRPr="00073F3C">
        <w:rPr>
          <w:rFonts w:ascii="Arial" w:hAnsi="Arial" w:cs="Arial"/>
        </w:rPr>
        <w:t>of risk management committee (RMC) as an emerging subcommittee within corporate governance.</w:t>
      </w:r>
    </w:p>
    <w:p w14:paraId="61C6CA4E" w14:textId="77777777" w:rsidR="00352610" w:rsidRPr="00073F3C" w:rsidRDefault="00352610" w:rsidP="0011127B">
      <w:pPr>
        <w:spacing w:line="240" w:lineRule="auto"/>
        <w:jc w:val="both"/>
        <w:rPr>
          <w:rFonts w:ascii="Arial" w:hAnsi="Arial" w:cs="Arial"/>
        </w:rPr>
      </w:pPr>
      <w:r w:rsidRPr="00073F3C">
        <w:rPr>
          <w:rFonts w:ascii="Arial" w:hAnsi="Arial" w:cs="Arial"/>
          <w:b/>
        </w:rPr>
        <w:t>Data and Methodology</w:t>
      </w:r>
      <w:r w:rsidRPr="00073F3C">
        <w:rPr>
          <w:rFonts w:ascii="Arial" w:hAnsi="Arial" w:cs="Arial"/>
        </w:rPr>
        <w:t xml:space="preserve">: This study employs a qualitative research methodology and analyzes secondary data from various sources. The research focuses on examining the function of Risk Management Committees within corporate governance, particularly in voluntary regions, and their impact on significant failures. </w:t>
      </w:r>
    </w:p>
    <w:p w14:paraId="224BF4B8" w14:textId="4A87CB3F" w:rsidR="00352610" w:rsidRPr="00073F3C" w:rsidRDefault="00937415" w:rsidP="0011127B">
      <w:pPr>
        <w:spacing w:line="240" w:lineRule="auto"/>
        <w:jc w:val="both"/>
        <w:rPr>
          <w:rFonts w:ascii="Arial" w:hAnsi="Arial" w:cs="Arial"/>
        </w:rPr>
      </w:pPr>
      <w:r w:rsidRPr="00073F3C">
        <w:rPr>
          <w:rFonts w:ascii="Arial" w:hAnsi="Arial" w:cs="Arial"/>
          <w:b/>
          <w:bCs/>
          <w:iCs/>
        </w:rPr>
        <w:t>Results</w:t>
      </w:r>
      <w:r w:rsidR="00352610" w:rsidRPr="00073F3C">
        <w:rPr>
          <w:rFonts w:ascii="Arial" w:hAnsi="Arial" w:cs="Arial"/>
          <w:b/>
          <w:bCs/>
          <w:iCs/>
        </w:rPr>
        <w:t>:</w:t>
      </w:r>
      <w:r w:rsidR="00352610" w:rsidRPr="00073F3C">
        <w:rPr>
          <w:rFonts w:ascii="Arial" w:hAnsi="Arial" w:cs="Arial"/>
          <w:b/>
          <w:bCs/>
          <w:i/>
          <w:iCs/>
        </w:rPr>
        <w:t xml:space="preserve">  </w:t>
      </w:r>
      <w:r w:rsidR="00352610" w:rsidRPr="00073F3C">
        <w:rPr>
          <w:rFonts w:ascii="Arial" w:hAnsi="Arial" w:cs="Arial"/>
        </w:rPr>
        <w:t xml:space="preserve">The study's findings specify that establishing a separate Risk Management Sub Committee remains voluntary despite heightened demand and numerous corporate scandals. Additionally, existing corporate governance standards or codes do not sufficiently cover the risk management committee from our country's perspective. </w:t>
      </w:r>
    </w:p>
    <w:p w14:paraId="533CB7B0" w14:textId="52983894" w:rsidR="00446CAA" w:rsidRPr="00073F3C" w:rsidRDefault="00352610" w:rsidP="0011127B">
      <w:pPr>
        <w:spacing w:line="240" w:lineRule="auto"/>
        <w:jc w:val="both"/>
        <w:rPr>
          <w:rFonts w:ascii="Arial" w:hAnsi="Arial" w:cs="Arial"/>
        </w:rPr>
      </w:pPr>
      <w:r w:rsidRPr="00073F3C">
        <w:rPr>
          <w:rFonts w:ascii="Arial" w:hAnsi="Arial" w:cs="Arial"/>
          <w:b/>
          <w:bCs/>
          <w:iCs/>
        </w:rPr>
        <w:t>Research implications:</w:t>
      </w:r>
      <w:r w:rsidRPr="00073F3C">
        <w:rPr>
          <w:rFonts w:ascii="Arial" w:hAnsi="Arial" w:cs="Arial"/>
          <w:b/>
          <w:bCs/>
          <w:i/>
          <w:iCs/>
        </w:rPr>
        <w:t xml:space="preserve"> </w:t>
      </w:r>
      <w:r w:rsidRPr="00073F3C">
        <w:rPr>
          <w:rFonts w:ascii="Arial" w:hAnsi="Arial" w:cs="Arial"/>
        </w:rPr>
        <w:t xml:space="preserve"> </w:t>
      </w:r>
      <w:r w:rsidR="00446CAA" w:rsidRPr="00073F3C">
        <w:rPr>
          <w:rFonts w:ascii="Arial" w:hAnsi="Arial" w:cs="Arial"/>
        </w:rPr>
        <w:t>The study examines various scandals across different companies and emphasizes the significance of the Risk Management Subcommittee in corporate governance. It suggests that regulators and standard setters should view this subcommittee as a crucial element in corporate governance and risk management, as it helps mitigate corporate failures, improve governance, and prevent future scandals. Furthermore, the study emphasizes that establishing risk management subcommittees is essential for effectively implementing corporate governance practices and ensuring the long-term resilience of organizations.</w:t>
      </w:r>
    </w:p>
    <w:p w14:paraId="22F0F473" w14:textId="77777777" w:rsidR="007C78FA" w:rsidRPr="00073F3C" w:rsidRDefault="00C030F2" w:rsidP="0011127B">
      <w:pPr>
        <w:spacing w:line="240" w:lineRule="auto"/>
        <w:jc w:val="both"/>
        <w:rPr>
          <w:rFonts w:ascii="Arial" w:hAnsi="Arial" w:cs="Arial"/>
        </w:rPr>
      </w:pPr>
      <w:r w:rsidRPr="00073F3C">
        <w:rPr>
          <w:rFonts w:ascii="Arial" w:hAnsi="Arial" w:cs="Arial"/>
          <w:b/>
        </w:rPr>
        <w:t>Keywords</w:t>
      </w:r>
      <w:r w:rsidRPr="00073F3C">
        <w:rPr>
          <w:rFonts w:ascii="Arial" w:hAnsi="Arial" w:cs="Arial"/>
        </w:rPr>
        <w:t xml:space="preserve">: </w:t>
      </w:r>
      <w:r w:rsidR="00CA154F" w:rsidRPr="00073F3C">
        <w:rPr>
          <w:rFonts w:ascii="Arial" w:hAnsi="Arial" w:cs="Arial"/>
        </w:rPr>
        <w:t>Risk management</w:t>
      </w:r>
      <w:r w:rsidR="00CA154F" w:rsidRPr="00073F3C">
        <w:rPr>
          <w:rFonts w:ascii="Arial" w:hAnsi="Arial" w:cs="Arial"/>
          <w:b/>
        </w:rPr>
        <w:t>, </w:t>
      </w:r>
      <w:r w:rsidR="00AA533A" w:rsidRPr="00073F3C">
        <w:rPr>
          <w:rFonts w:ascii="Arial" w:hAnsi="Arial" w:cs="Arial"/>
        </w:rPr>
        <w:t xml:space="preserve">Risk management subcommittee, </w:t>
      </w:r>
      <w:proofErr w:type="gramStart"/>
      <w:r w:rsidR="00AA533A" w:rsidRPr="00073F3C">
        <w:rPr>
          <w:rFonts w:ascii="Arial" w:hAnsi="Arial" w:cs="Arial"/>
        </w:rPr>
        <w:t>Corporate</w:t>
      </w:r>
      <w:proofErr w:type="gramEnd"/>
      <w:r w:rsidR="00AA533A" w:rsidRPr="00073F3C">
        <w:rPr>
          <w:rFonts w:ascii="Arial" w:hAnsi="Arial" w:cs="Arial"/>
        </w:rPr>
        <w:t xml:space="preserve"> governance, </w:t>
      </w:r>
      <w:r w:rsidR="009E564A" w:rsidRPr="00073F3C">
        <w:rPr>
          <w:rFonts w:ascii="Arial" w:hAnsi="Arial" w:cs="Arial"/>
        </w:rPr>
        <w:t>Risk management failure</w:t>
      </w:r>
      <w:r w:rsidR="00CA154F" w:rsidRPr="00073F3C">
        <w:rPr>
          <w:rFonts w:ascii="Arial" w:hAnsi="Arial" w:cs="Arial"/>
        </w:rPr>
        <w:t>,</w:t>
      </w:r>
      <w:r w:rsidR="00AA533A" w:rsidRPr="00073F3C">
        <w:rPr>
          <w:rFonts w:ascii="Arial" w:hAnsi="Arial" w:cs="Arial"/>
        </w:rPr>
        <w:t xml:space="preserve"> </w:t>
      </w:r>
      <w:r w:rsidRPr="00073F3C">
        <w:rPr>
          <w:rFonts w:ascii="Arial" w:hAnsi="Arial" w:cs="Arial"/>
        </w:rPr>
        <w:t xml:space="preserve">Corporate scandal, </w:t>
      </w:r>
      <w:r w:rsidR="000534E8" w:rsidRPr="00073F3C">
        <w:rPr>
          <w:rFonts w:ascii="Arial" w:hAnsi="Arial" w:cs="Arial"/>
        </w:rPr>
        <w:t>Financial crisis</w:t>
      </w:r>
      <w:bookmarkStart w:id="3" w:name="_Hlk168069482"/>
    </w:p>
    <w:p w14:paraId="7CF43CAD" w14:textId="0FBEB9F7" w:rsidR="00CA5D98" w:rsidRPr="00514D5A" w:rsidRDefault="00513531" w:rsidP="0011127B">
      <w:pPr>
        <w:spacing w:line="240" w:lineRule="auto"/>
        <w:jc w:val="both"/>
        <w:rPr>
          <w:rFonts w:ascii="Arial" w:hAnsi="Arial" w:cs="Arial"/>
          <w:sz w:val="20"/>
          <w:szCs w:val="20"/>
        </w:rPr>
      </w:pPr>
      <w:r w:rsidRPr="00514D5A">
        <w:rPr>
          <w:rFonts w:ascii="Arial" w:hAnsi="Arial" w:cs="Arial"/>
          <w:b/>
          <w:sz w:val="20"/>
          <w:szCs w:val="20"/>
        </w:rPr>
        <w:t xml:space="preserve">1. </w:t>
      </w:r>
      <w:r w:rsidR="00CA5D98" w:rsidRPr="00514D5A">
        <w:rPr>
          <w:rFonts w:ascii="Arial" w:hAnsi="Arial" w:cs="Arial"/>
          <w:b/>
          <w:sz w:val="20"/>
          <w:szCs w:val="20"/>
        </w:rPr>
        <w:t>Introduction</w:t>
      </w:r>
      <w:r w:rsidR="00CA5D98" w:rsidRPr="00514D5A">
        <w:rPr>
          <w:rFonts w:ascii="Arial" w:hAnsi="Arial" w:cs="Arial"/>
          <w:sz w:val="20"/>
          <w:szCs w:val="20"/>
        </w:rPr>
        <w:t xml:space="preserve"> </w:t>
      </w:r>
    </w:p>
    <w:p w14:paraId="27204A39" w14:textId="08DA95DD" w:rsidR="00CA5D98" w:rsidRPr="00514D5A" w:rsidRDefault="00CA5D98" w:rsidP="00CA5D98">
      <w:pPr>
        <w:spacing w:line="276" w:lineRule="auto"/>
        <w:jc w:val="both"/>
        <w:rPr>
          <w:rFonts w:ascii="Arial" w:hAnsi="Arial" w:cs="Arial"/>
          <w:i/>
          <w:sz w:val="20"/>
          <w:szCs w:val="20"/>
        </w:rPr>
      </w:pPr>
      <w:r w:rsidRPr="00514D5A">
        <w:rPr>
          <w:rFonts w:ascii="Arial" w:hAnsi="Arial" w:cs="Arial"/>
          <w:b/>
          <w:i/>
          <w:sz w:val="20"/>
          <w:szCs w:val="20"/>
        </w:rPr>
        <w:t>1.1</w:t>
      </w:r>
      <w:r w:rsidRPr="00514D5A">
        <w:rPr>
          <w:rFonts w:ascii="Arial" w:hAnsi="Arial" w:cs="Arial"/>
          <w:i/>
          <w:sz w:val="20"/>
          <w:szCs w:val="20"/>
        </w:rPr>
        <w:t xml:space="preserve"> </w:t>
      </w:r>
      <w:r w:rsidRPr="00514D5A">
        <w:rPr>
          <w:rFonts w:ascii="Arial" w:hAnsi="Arial" w:cs="Arial"/>
          <w:b/>
          <w:i/>
          <w:sz w:val="20"/>
          <w:szCs w:val="20"/>
        </w:rPr>
        <w:t>Problem Statement</w:t>
      </w:r>
    </w:p>
    <w:p w14:paraId="73E48A7B" w14:textId="77777777" w:rsidR="00430E35" w:rsidRPr="00514D5A" w:rsidRDefault="00CA5D98" w:rsidP="00430E35">
      <w:pPr>
        <w:spacing w:line="480" w:lineRule="auto"/>
        <w:jc w:val="both"/>
        <w:rPr>
          <w:rFonts w:ascii="Arial" w:hAnsi="Arial" w:cs="Arial"/>
          <w:sz w:val="20"/>
          <w:szCs w:val="20"/>
        </w:rPr>
      </w:pPr>
      <w:r w:rsidRPr="00514D5A">
        <w:rPr>
          <w:rFonts w:ascii="Arial" w:hAnsi="Arial" w:cs="Arial"/>
          <w:sz w:val="20"/>
          <w:szCs w:val="20"/>
        </w:rPr>
        <w:t xml:space="preserve">In today’s unstable business environment, over 60% of companies experience substantial financial setbacks due to ineffective risk management practices. Emerging businesses have introduced new challenges and obstacles recently. Businesses' current and future performance is significantly affected by complex market conditions, increasing competition, and economic, political, and regulatory uncertainty (Kumar </w:t>
      </w:r>
      <w:commentRangeStart w:id="4"/>
      <w:r w:rsidRPr="00514D5A">
        <w:rPr>
          <w:rFonts w:ascii="Arial" w:hAnsi="Arial" w:cs="Arial"/>
          <w:sz w:val="20"/>
          <w:szCs w:val="20"/>
        </w:rPr>
        <w:t>et al</w:t>
      </w:r>
      <w:commentRangeEnd w:id="4"/>
      <w:r w:rsidR="00A309E9">
        <w:rPr>
          <w:rStyle w:val="CommentReference"/>
        </w:rPr>
        <w:commentReference w:id="4"/>
      </w:r>
      <w:proofErr w:type="gramStart"/>
      <w:r w:rsidRPr="00514D5A">
        <w:rPr>
          <w:rFonts w:ascii="Arial" w:hAnsi="Arial" w:cs="Arial"/>
          <w:sz w:val="20"/>
          <w:szCs w:val="20"/>
        </w:rPr>
        <w:t>.,</w:t>
      </w:r>
      <w:proofErr w:type="gramEnd"/>
      <w:r w:rsidRPr="00514D5A">
        <w:rPr>
          <w:rFonts w:ascii="Arial" w:hAnsi="Arial" w:cs="Arial"/>
          <w:sz w:val="20"/>
          <w:szCs w:val="20"/>
        </w:rPr>
        <w:t xml:space="preserve"> 2017). Moreover, enterprises encounter a distinct array of risks that are particular to the industry in which they operate. These risks often lead to negative outcomes such as losses or threats. </w:t>
      </w:r>
      <w:proofErr w:type="spellStart"/>
      <w:r w:rsidR="00430E35" w:rsidRPr="00514D5A">
        <w:rPr>
          <w:rFonts w:ascii="Arial" w:hAnsi="Arial" w:cs="Arial"/>
          <w:sz w:val="20"/>
          <w:szCs w:val="20"/>
        </w:rPr>
        <w:t>Deyour</w:t>
      </w:r>
      <w:proofErr w:type="spellEnd"/>
      <w:r w:rsidR="00430E35" w:rsidRPr="00514D5A">
        <w:rPr>
          <w:rFonts w:ascii="Arial" w:hAnsi="Arial" w:cs="Arial"/>
          <w:sz w:val="20"/>
          <w:szCs w:val="20"/>
        </w:rPr>
        <w:t xml:space="preserve"> et al. (2020) mentioned that Risk </w:t>
      </w:r>
      <w:proofErr w:type="gramStart"/>
      <w:r w:rsidR="00430E35" w:rsidRPr="00514D5A">
        <w:rPr>
          <w:rFonts w:ascii="Arial" w:hAnsi="Arial" w:cs="Arial"/>
          <w:sz w:val="20"/>
          <w:szCs w:val="20"/>
        </w:rPr>
        <w:t>is measured</w:t>
      </w:r>
      <w:proofErr w:type="gramEnd"/>
      <w:r w:rsidR="00430E35" w:rsidRPr="00514D5A">
        <w:rPr>
          <w:rFonts w:ascii="Arial" w:hAnsi="Arial" w:cs="Arial"/>
          <w:sz w:val="20"/>
          <w:szCs w:val="20"/>
        </w:rPr>
        <w:t xml:space="preserve"> as one of the most important driving factors in business operations. The Institute of Internal Auditors Research Foundation (IIARF) </w:t>
      </w:r>
      <w:proofErr w:type="gramStart"/>
      <w:r w:rsidR="00430E35" w:rsidRPr="00514D5A">
        <w:rPr>
          <w:rFonts w:ascii="Arial" w:hAnsi="Arial" w:cs="Arial"/>
          <w:sz w:val="20"/>
          <w:szCs w:val="20"/>
        </w:rPr>
        <w:t>defined  business</w:t>
      </w:r>
      <w:proofErr w:type="gramEnd"/>
      <w:r w:rsidR="00430E35" w:rsidRPr="00514D5A">
        <w:rPr>
          <w:rFonts w:ascii="Arial" w:hAnsi="Arial" w:cs="Arial"/>
          <w:sz w:val="20"/>
          <w:szCs w:val="20"/>
        </w:rPr>
        <w:t xml:space="preserve"> risks in 2003 as “threats that hinder the achievement of the organization’s goals.” </w:t>
      </w:r>
    </w:p>
    <w:p w14:paraId="6398BC15" w14:textId="35110237" w:rsidR="00CA5D98" w:rsidRPr="00514D5A" w:rsidRDefault="00430E35" w:rsidP="00B1407A">
      <w:pPr>
        <w:spacing w:line="480" w:lineRule="auto"/>
        <w:jc w:val="both"/>
        <w:rPr>
          <w:rFonts w:ascii="Arial" w:hAnsi="Arial" w:cs="Arial"/>
          <w:sz w:val="20"/>
          <w:szCs w:val="20"/>
        </w:rPr>
      </w:pPr>
      <w:r w:rsidRPr="00514D5A">
        <w:rPr>
          <w:rFonts w:ascii="Arial" w:hAnsi="Arial" w:cs="Arial"/>
          <w:sz w:val="20"/>
          <w:szCs w:val="20"/>
        </w:rPr>
        <w:lastRenderedPageBreak/>
        <w:t xml:space="preserve"> The ever-changing and fast-paced global business environment requires proper planning to deal with risks. </w:t>
      </w:r>
      <w:r w:rsidR="00E300C0" w:rsidRPr="00514D5A">
        <w:rPr>
          <w:rFonts w:ascii="Arial" w:hAnsi="Arial" w:cs="Arial"/>
          <w:sz w:val="20"/>
          <w:szCs w:val="20"/>
        </w:rPr>
        <w:t>These</w:t>
      </w:r>
      <w:r w:rsidRPr="00514D5A">
        <w:rPr>
          <w:rFonts w:ascii="Arial" w:hAnsi="Arial" w:cs="Arial"/>
          <w:sz w:val="20"/>
          <w:szCs w:val="20"/>
        </w:rPr>
        <w:t xml:space="preserve"> types of plans are vital for business survival and success. </w:t>
      </w:r>
      <w:r w:rsidR="00CA5D98" w:rsidRPr="00514D5A">
        <w:rPr>
          <w:rFonts w:ascii="Arial" w:hAnsi="Arial" w:cs="Arial"/>
          <w:sz w:val="20"/>
          <w:szCs w:val="20"/>
        </w:rPr>
        <w:t xml:space="preserve">Failing to address these risks could result in serious repercussions, such as damage to reputation and financial losses, which may </w:t>
      </w:r>
      <w:proofErr w:type="gramStart"/>
      <w:r w:rsidR="00CA5D98" w:rsidRPr="00514D5A">
        <w:rPr>
          <w:rFonts w:ascii="Arial" w:hAnsi="Arial" w:cs="Arial"/>
          <w:sz w:val="20"/>
          <w:szCs w:val="20"/>
        </w:rPr>
        <w:t>impact</w:t>
      </w:r>
      <w:proofErr w:type="gramEnd"/>
      <w:r w:rsidR="00CA5D98" w:rsidRPr="00514D5A">
        <w:rPr>
          <w:rFonts w:ascii="Arial" w:hAnsi="Arial" w:cs="Arial"/>
          <w:sz w:val="20"/>
          <w:szCs w:val="20"/>
        </w:rPr>
        <w:t xml:space="preserve"> the long-term viability of the business. Many organizations have been carrying it out informally and continuously. Understanding an organization's risks is essential for the management, shareholders, and stakeholders. This information helps in understanding the stability of the organization's operations and anticipated outcomes (Zhang, N. S. L. M. J., 2009). As a result, to enhance risk management effectiveness and convey results to stakeholders, companies should implement suitable </w:t>
      </w:r>
      <w:proofErr w:type="gramStart"/>
      <w:r w:rsidR="00CA5D98" w:rsidRPr="00514D5A">
        <w:rPr>
          <w:rFonts w:ascii="Arial" w:hAnsi="Arial" w:cs="Arial"/>
          <w:sz w:val="20"/>
          <w:szCs w:val="20"/>
        </w:rPr>
        <w:t>risk management support structures</w:t>
      </w:r>
      <w:proofErr w:type="gramEnd"/>
      <w:r w:rsidR="00CA5D98" w:rsidRPr="00514D5A">
        <w:rPr>
          <w:rFonts w:ascii="Arial" w:hAnsi="Arial" w:cs="Arial"/>
          <w:sz w:val="20"/>
          <w:szCs w:val="20"/>
        </w:rPr>
        <w:t>.</w:t>
      </w:r>
    </w:p>
    <w:p w14:paraId="7574561B" w14:textId="77777777"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 xml:space="preserve">Risk management has always been an important aspect and is nothing new for any business. However, recent corporate failures and the global financial crisis have brought it to the forefront of attention and highlighted the necessity for businesses to address various </w:t>
      </w:r>
      <w:proofErr w:type="gramStart"/>
      <w:r w:rsidRPr="00514D5A">
        <w:rPr>
          <w:rFonts w:ascii="Arial" w:hAnsi="Arial" w:cs="Arial"/>
          <w:sz w:val="20"/>
          <w:szCs w:val="20"/>
        </w:rPr>
        <w:t>risks(</w:t>
      </w:r>
      <w:proofErr w:type="spellStart"/>
      <w:proofErr w:type="gramEnd"/>
      <w:r w:rsidRPr="00514D5A">
        <w:rPr>
          <w:rFonts w:ascii="Arial" w:hAnsi="Arial" w:cs="Arial"/>
          <w:sz w:val="20"/>
          <w:szCs w:val="20"/>
        </w:rPr>
        <w:t>Kerlikowski</w:t>
      </w:r>
      <w:proofErr w:type="spellEnd"/>
      <w:r w:rsidRPr="00514D5A">
        <w:rPr>
          <w:rFonts w:ascii="Arial" w:hAnsi="Arial" w:cs="Arial"/>
          <w:sz w:val="20"/>
          <w:szCs w:val="20"/>
        </w:rPr>
        <w:t>, 2016). During the financial crisis, one of the major takeaways was the inadequacy of risk management. The crisis revealed deficiencies in risk oversight and management practices, even within highly sophisticated corporations (C. Fox</w:t>
      </w:r>
      <w:proofErr w:type="gramStart"/>
      <w:r w:rsidRPr="00514D5A">
        <w:rPr>
          <w:rFonts w:ascii="Arial" w:hAnsi="Arial" w:cs="Arial"/>
          <w:sz w:val="20"/>
          <w:szCs w:val="20"/>
        </w:rPr>
        <w:t>,2018</w:t>
      </w:r>
      <w:proofErr w:type="gramEnd"/>
      <w:r w:rsidRPr="00514D5A">
        <w:rPr>
          <w:rFonts w:ascii="Arial" w:hAnsi="Arial" w:cs="Arial"/>
          <w:sz w:val="20"/>
          <w:szCs w:val="20"/>
        </w:rPr>
        <w:t>). Additionally, scandals involving financial institutions around the world have raised concerns among both investors and regulators. Many attribute the global financial crisis to excessive risk-taking, while others point to the increasing levels of risk faced by firms as the main culprit (</w:t>
      </w:r>
      <w:proofErr w:type="spellStart"/>
      <w:r w:rsidRPr="00514D5A">
        <w:rPr>
          <w:rFonts w:ascii="Arial" w:hAnsi="Arial" w:cs="Arial"/>
          <w:sz w:val="20"/>
          <w:szCs w:val="20"/>
        </w:rPr>
        <w:t>Tarraf</w:t>
      </w:r>
      <w:proofErr w:type="spellEnd"/>
      <w:r w:rsidRPr="00514D5A">
        <w:rPr>
          <w:rFonts w:ascii="Arial" w:hAnsi="Arial" w:cs="Arial"/>
          <w:sz w:val="20"/>
          <w:szCs w:val="20"/>
        </w:rPr>
        <w:t xml:space="preserve">, H. 2010). Regardless of the view, it is clear that risk plays a significant role. Effective risk management is essential for long-term sustainability and success, aiding organizations in aligning with business objectives, enhancing financial reporting, and safeguarding their reputation. Despite its critical role, many organizations still exhibit noticeable gaps in their risk management practices. </w:t>
      </w:r>
    </w:p>
    <w:p w14:paraId="0B1839E8" w14:textId="77777777"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 xml:space="preserve">From another perspective, numerous companies still struggle to develop effective risk management and oversight practices. One of the challenges is that risks </w:t>
      </w:r>
      <w:proofErr w:type="gramStart"/>
      <w:r w:rsidRPr="00514D5A">
        <w:rPr>
          <w:rFonts w:ascii="Arial" w:hAnsi="Arial" w:cs="Arial"/>
          <w:sz w:val="20"/>
          <w:szCs w:val="20"/>
        </w:rPr>
        <w:t>are often not defined or managed on an enterprise-wide basis</w:t>
      </w:r>
      <w:proofErr w:type="gramEnd"/>
      <w:r w:rsidRPr="00514D5A">
        <w:rPr>
          <w:rFonts w:ascii="Arial" w:hAnsi="Arial" w:cs="Arial"/>
          <w:sz w:val="20"/>
          <w:szCs w:val="20"/>
        </w:rPr>
        <w:t xml:space="preserve">. Additionally, boards frequently lack awareness of the risks that the company faces. In response to the corporate collapses, various governance initiatives </w:t>
      </w:r>
      <w:proofErr w:type="gramStart"/>
      <w:r w:rsidRPr="00514D5A">
        <w:rPr>
          <w:rFonts w:ascii="Arial" w:hAnsi="Arial" w:cs="Arial"/>
          <w:sz w:val="20"/>
          <w:szCs w:val="20"/>
        </w:rPr>
        <w:t>have been suggested</w:t>
      </w:r>
      <w:proofErr w:type="gramEnd"/>
      <w:r w:rsidRPr="00514D5A">
        <w:rPr>
          <w:rFonts w:ascii="Arial" w:hAnsi="Arial" w:cs="Arial"/>
          <w:sz w:val="20"/>
          <w:szCs w:val="20"/>
        </w:rPr>
        <w:t xml:space="preserve"> to enhance corporate governance, with a strong emphasis on the importance of risk management (</w:t>
      </w:r>
      <w:proofErr w:type="spellStart"/>
      <w:r w:rsidRPr="00514D5A">
        <w:rPr>
          <w:rFonts w:ascii="Arial" w:hAnsi="Arial" w:cs="Arial"/>
          <w:sz w:val="20"/>
          <w:szCs w:val="20"/>
        </w:rPr>
        <w:t>Subramaniam</w:t>
      </w:r>
      <w:proofErr w:type="spellEnd"/>
      <w:r w:rsidRPr="00514D5A">
        <w:rPr>
          <w:rFonts w:ascii="Arial" w:hAnsi="Arial" w:cs="Arial"/>
          <w:sz w:val="20"/>
          <w:szCs w:val="20"/>
        </w:rPr>
        <w:t xml:space="preserve"> et al., 2009).</w:t>
      </w:r>
    </w:p>
    <w:p w14:paraId="6C85D8F8" w14:textId="72183557" w:rsidR="00550887" w:rsidRPr="00514D5A" w:rsidRDefault="00CA5D98" w:rsidP="00B1407A">
      <w:pPr>
        <w:spacing w:line="480" w:lineRule="auto"/>
        <w:jc w:val="both"/>
        <w:rPr>
          <w:rFonts w:ascii="Arial" w:hAnsi="Arial" w:cs="Arial"/>
          <w:bCs/>
          <w:sz w:val="20"/>
          <w:szCs w:val="20"/>
        </w:rPr>
      </w:pPr>
      <w:r w:rsidRPr="00514D5A">
        <w:rPr>
          <w:rFonts w:ascii="Arial" w:hAnsi="Arial" w:cs="Arial"/>
          <w:bCs/>
          <w:sz w:val="20"/>
          <w:szCs w:val="20"/>
        </w:rPr>
        <w:t xml:space="preserve">The Sarbanes-Oxley regulation came into effect in the United States in 2002 and established corporate governance rules. Similarly, the New York Stock Exchange (NYSE) introduced risk management </w:t>
      </w:r>
      <w:r w:rsidRPr="00514D5A">
        <w:rPr>
          <w:rFonts w:ascii="Arial" w:hAnsi="Arial" w:cs="Arial"/>
          <w:bCs/>
          <w:sz w:val="20"/>
          <w:szCs w:val="20"/>
        </w:rPr>
        <w:lastRenderedPageBreak/>
        <w:t>governance rules for listed companies in the same year</w:t>
      </w:r>
      <w:r w:rsidR="002158B9" w:rsidRPr="00514D5A">
        <w:rPr>
          <w:rFonts w:ascii="Arial" w:hAnsi="Arial" w:cs="Arial"/>
          <w:bCs/>
          <w:sz w:val="20"/>
          <w:szCs w:val="20"/>
        </w:rPr>
        <w:t xml:space="preserve"> </w:t>
      </w:r>
      <w:r w:rsidR="002158B9" w:rsidRPr="00514D5A">
        <w:rPr>
          <w:rFonts w:ascii="Arial" w:hAnsi="Arial" w:cs="Arial"/>
          <w:bCs/>
          <w:iCs/>
          <w:sz w:val="20"/>
          <w:szCs w:val="20"/>
        </w:rPr>
        <w:t>(</w:t>
      </w:r>
      <w:proofErr w:type="spellStart"/>
      <w:r w:rsidR="002158B9" w:rsidRPr="00514D5A">
        <w:rPr>
          <w:rFonts w:ascii="Arial" w:hAnsi="Arial" w:cs="Arial"/>
          <w:bCs/>
          <w:iCs/>
          <w:sz w:val="20"/>
          <w:szCs w:val="20"/>
        </w:rPr>
        <w:t>Mallin</w:t>
      </w:r>
      <w:proofErr w:type="spellEnd"/>
      <w:r w:rsidR="002158B9" w:rsidRPr="00514D5A">
        <w:rPr>
          <w:rFonts w:ascii="Arial" w:hAnsi="Arial" w:cs="Arial"/>
          <w:bCs/>
          <w:iCs/>
          <w:sz w:val="20"/>
          <w:szCs w:val="20"/>
        </w:rPr>
        <w:t>, C.A.</w:t>
      </w:r>
      <w:proofErr w:type="gramStart"/>
      <w:r w:rsidR="002158B9" w:rsidRPr="00514D5A">
        <w:rPr>
          <w:rFonts w:ascii="Arial" w:hAnsi="Arial" w:cs="Arial"/>
          <w:bCs/>
          <w:iCs/>
          <w:sz w:val="20"/>
          <w:szCs w:val="20"/>
        </w:rPr>
        <w:t>,2007</w:t>
      </w:r>
      <w:proofErr w:type="gramEnd"/>
      <w:r w:rsidR="002158B9" w:rsidRPr="00514D5A">
        <w:rPr>
          <w:rFonts w:ascii="Arial" w:hAnsi="Arial" w:cs="Arial"/>
          <w:bCs/>
          <w:iCs/>
          <w:sz w:val="20"/>
          <w:szCs w:val="20"/>
        </w:rPr>
        <w:t>)</w:t>
      </w:r>
      <w:r w:rsidR="002158B9" w:rsidRPr="00514D5A">
        <w:rPr>
          <w:rFonts w:ascii="Arial" w:hAnsi="Arial" w:cs="Arial"/>
          <w:bCs/>
          <w:sz w:val="20"/>
          <w:szCs w:val="20"/>
        </w:rPr>
        <w:t>.</w:t>
      </w:r>
      <w:bookmarkStart w:id="5" w:name="_Hlk172792113"/>
      <w:r w:rsidR="00550887" w:rsidRPr="00514D5A">
        <w:rPr>
          <w:rFonts w:ascii="Arial" w:hAnsi="Arial" w:cs="Arial"/>
          <w:bCs/>
          <w:sz w:val="20"/>
          <w:szCs w:val="20"/>
        </w:rPr>
        <w:t xml:space="preserve">OECD (2014), stated that every business should have policies to identify risks and implement the necessary adjustments to reduce them. </w:t>
      </w:r>
      <w:bookmarkEnd w:id="5"/>
      <w:r w:rsidR="00550887" w:rsidRPr="00514D5A">
        <w:rPr>
          <w:rFonts w:ascii="Arial" w:hAnsi="Arial" w:cs="Arial"/>
          <w:bCs/>
          <w:sz w:val="20"/>
          <w:szCs w:val="20"/>
        </w:rPr>
        <w:t>It helps to improve the financial growth and performance of business companies.</w:t>
      </w:r>
    </w:p>
    <w:p w14:paraId="24A4F1BD" w14:textId="47AB74B2" w:rsidR="00CA5D98" w:rsidRPr="00514D5A" w:rsidRDefault="00CA5D98" w:rsidP="00B1407A">
      <w:pPr>
        <w:spacing w:line="480" w:lineRule="auto"/>
        <w:jc w:val="both"/>
        <w:rPr>
          <w:rFonts w:ascii="Arial" w:hAnsi="Arial" w:cs="Arial"/>
          <w:bCs/>
          <w:sz w:val="20"/>
          <w:szCs w:val="20"/>
        </w:rPr>
      </w:pPr>
      <w:r w:rsidRPr="00514D5A">
        <w:rPr>
          <w:rFonts w:ascii="Arial" w:hAnsi="Arial" w:cs="Arial"/>
          <w:bCs/>
          <w:sz w:val="20"/>
          <w:szCs w:val="20"/>
        </w:rPr>
        <w:t xml:space="preserve">However, despite existing regulations and risk management methods, the financial crisis </w:t>
      </w:r>
      <w:proofErr w:type="gramStart"/>
      <w:r w:rsidRPr="00514D5A">
        <w:rPr>
          <w:rFonts w:ascii="Arial" w:hAnsi="Arial" w:cs="Arial"/>
          <w:bCs/>
          <w:sz w:val="20"/>
          <w:szCs w:val="20"/>
        </w:rPr>
        <w:t>could not be avoided</w:t>
      </w:r>
      <w:proofErr w:type="gramEnd"/>
      <w:r w:rsidRPr="00514D5A">
        <w:rPr>
          <w:rFonts w:ascii="Arial" w:hAnsi="Arial" w:cs="Arial"/>
          <w:bCs/>
          <w:sz w:val="20"/>
          <w:szCs w:val="20"/>
        </w:rPr>
        <w:t xml:space="preserve">. The issue was </w:t>
      </w:r>
      <w:proofErr w:type="gramStart"/>
      <w:r w:rsidRPr="00514D5A">
        <w:rPr>
          <w:rFonts w:ascii="Arial" w:hAnsi="Arial" w:cs="Arial"/>
          <w:bCs/>
          <w:sz w:val="20"/>
          <w:szCs w:val="20"/>
        </w:rPr>
        <w:t>not merely ineffective</w:t>
      </w:r>
      <w:proofErr w:type="gramEnd"/>
      <w:r w:rsidRPr="00514D5A">
        <w:rPr>
          <w:rFonts w:ascii="Arial" w:hAnsi="Arial" w:cs="Arial"/>
          <w:bCs/>
          <w:sz w:val="20"/>
          <w:szCs w:val="20"/>
        </w:rPr>
        <w:t xml:space="preserve"> regulation and governance rules but the implementation and enforcement of these measures. According to Chapman (2011), Risk management is a comprehensive approach that covers the entire organization. It involves identifying, evaluating, assessing, treating, reviewing, and communicating risks</w:t>
      </w:r>
      <w:r w:rsidR="00E300C0" w:rsidRPr="00514D5A">
        <w:rPr>
          <w:rFonts w:ascii="Arial" w:hAnsi="Arial" w:cs="Arial"/>
          <w:bCs/>
          <w:sz w:val="20"/>
          <w:szCs w:val="20"/>
        </w:rPr>
        <w:t>,</w:t>
      </w:r>
      <w:r w:rsidRPr="00514D5A">
        <w:rPr>
          <w:rFonts w:ascii="Arial" w:hAnsi="Arial" w:cs="Arial"/>
          <w:bCs/>
          <w:sz w:val="20"/>
          <w:szCs w:val="20"/>
        </w:rPr>
        <w:t xml:space="preserve"> but the report indicates that breakdowns occurred in all these aspects and in using a comprehensive approach. Dionne, G. (2013) mentioned in her report that Managers in various markets often ignore regulations and rules, and this is a well-known fact. Moreover, in 2018, Fox pointed out the challenges financial firms face in effectively managing risk during the financial crisis</w:t>
      </w:r>
      <w:r w:rsidRPr="00514D5A">
        <w:rPr>
          <w:rFonts w:ascii="Arial" w:hAnsi="Arial" w:cs="Arial"/>
          <w:bCs/>
          <w:color w:val="C45911" w:themeColor="accent2" w:themeShade="BF"/>
          <w:sz w:val="20"/>
          <w:szCs w:val="20"/>
        </w:rPr>
        <w:t xml:space="preserve">, </w:t>
      </w:r>
      <w:r w:rsidRPr="00514D5A">
        <w:rPr>
          <w:rFonts w:ascii="Arial" w:hAnsi="Arial" w:cs="Arial"/>
          <w:bCs/>
          <w:sz w:val="20"/>
          <w:szCs w:val="20"/>
        </w:rPr>
        <w:t>despite having sophisticated systems in place. The Financial Crisis Investigation Commission (FCIC) report identified five areas of risk management failure: failures in the risk management process, inadequate compensation systems, insufficient human and financial resources, top management hubris, and a false choice between risk management and company objectives</w:t>
      </w:r>
      <w:bookmarkStart w:id="6" w:name="_Hlk173047612"/>
      <w:r w:rsidRPr="00514D5A">
        <w:rPr>
          <w:rFonts w:ascii="Arial" w:hAnsi="Arial" w:cs="Arial"/>
          <w:bCs/>
          <w:sz w:val="20"/>
          <w:szCs w:val="20"/>
        </w:rPr>
        <w:t>. These issues led to inadequate risk management to address the challenges presented by the financial crisis</w:t>
      </w:r>
      <w:bookmarkEnd w:id="6"/>
      <w:r w:rsidRPr="00514D5A">
        <w:rPr>
          <w:rFonts w:ascii="Arial" w:hAnsi="Arial" w:cs="Arial"/>
          <w:bCs/>
          <w:sz w:val="20"/>
          <w:szCs w:val="20"/>
        </w:rPr>
        <w:t>.</w:t>
      </w:r>
    </w:p>
    <w:p w14:paraId="341DD20E" w14:textId="6033F1C7"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 xml:space="preserve">Alta </w:t>
      </w:r>
      <w:proofErr w:type="spellStart"/>
      <w:r w:rsidRPr="00514D5A">
        <w:rPr>
          <w:rFonts w:ascii="Arial" w:hAnsi="Arial" w:cs="Arial"/>
          <w:sz w:val="20"/>
          <w:szCs w:val="20"/>
        </w:rPr>
        <w:t>Nashat</w:t>
      </w:r>
      <w:proofErr w:type="spellEnd"/>
      <w:r w:rsidRPr="00514D5A">
        <w:rPr>
          <w:rFonts w:ascii="Arial" w:hAnsi="Arial" w:cs="Arial"/>
          <w:sz w:val="20"/>
          <w:szCs w:val="20"/>
        </w:rPr>
        <w:t xml:space="preserve"> et al. (2019)</w:t>
      </w:r>
      <w:r w:rsidR="00E300C0" w:rsidRPr="00514D5A">
        <w:rPr>
          <w:rFonts w:ascii="Arial" w:hAnsi="Arial" w:cs="Arial"/>
          <w:sz w:val="20"/>
          <w:szCs w:val="20"/>
        </w:rPr>
        <w:t xml:space="preserve"> </w:t>
      </w:r>
      <w:r w:rsidRPr="00514D5A">
        <w:rPr>
          <w:rFonts w:ascii="Arial" w:hAnsi="Arial" w:cs="Arial"/>
          <w:sz w:val="20"/>
          <w:szCs w:val="20"/>
        </w:rPr>
        <w:t xml:space="preserve">emphasized in their research paper that effective risk management is not just an option </w:t>
      </w:r>
      <w:proofErr w:type="gramStart"/>
      <w:r w:rsidRPr="00514D5A">
        <w:rPr>
          <w:rFonts w:ascii="Arial" w:hAnsi="Arial" w:cs="Arial"/>
          <w:sz w:val="20"/>
          <w:szCs w:val="20"/>
        </w:rPr>
        <w:t>but</w:t>
      </w:r>
      <w:proofErr w:type="gramEnd"/>
      <w:r w:rsidRPr="00514D5A">
        <w:rPr>
          <w:rFonts w:ascii="Arial" w:hAnsi="Arial" w:cs="Arial"/>
          <w:sz w:val="20"/>
          <w:szCs w:val="20"/>
        </w:rPr>
        <w:t xml:space="preserve"> a necessity in today's corporate environment.</w:t>
      </w:r>
      <w:r w:rsidR="00E300C0" w:rsidRPr="00514D5A">
        <w:rPr>
          <w:rFonts w:ascii="Arial" w:hAnsi="Arial" w:cs="Arial"/>
          <w:sz w:val="20"/>
          <w:szCs w:val="20"/>
        </w:rPr>
        <w:t xml:space="preserve"> </w:t>
      </w:r>
      <w:proofErr w:type="spellStart"/>
      <w:r w:rsidR="00430E35" w:rsidRPr="00514D5A">
        <w:rPr>
          <w:rFonts w:ascii="Arial" w:hAnsi="Arial" w:cs="Arial"/>
          <w:sz w:val="20"/>
          <w:szCs w:val="20"/>
        </w:rPr>
        <w:t>Ghazieh</w:t>
      </w:r>
      <w:proofErr w:type="spellEnd"/>
      <w:r w:rsidR="00430E35" w:rsidRPr="00514D5A">
        <w:rPr>
          <w:rFonts w:ascii="Arial" w:hAnsi="Arial" w:cs="Arial"/>
          <w:sz w:val="20"/>
          <w:szCs w:val="20"/>
        </w:rPr>
        <w:t xml:space="preserve">, L., and </w:t>
      </w:r>
      <w:proofErr w:type="spellStart"/>
      <w:r w:rsidR="00430E35" w:rsidRPr="00514D5A">
        <w:rPr>
          <w:rFonts w:ascii="Arial" w:hAnsi="Arial" w:cs="Arial"/>
          <w:sz w:val="20"/>
          <w:szCs w:val="20"/>
        </w:rPr>
        <w:t>Chebana</w:t>
      </w:r>
      <w:proofErr w:type="spellEnd"/>
      <w:r w:rsidR="00430E35" w:rsidRPr="00514D5A">
        <w:rPr>
          <w:rFonts w:ascii="Arial" w:hAnsi="Arial" w:cs="Arial"/>
          <w:sz w:val="20"/>
          <w:szCs w:val="20"/>
        </w:rPr>
        <w:t xml:space="preserve">, N. (2021) provided evidence that a company can achieve its objectives, enhance its financial reporting, and protect its corporate reputation through a well-organized risk management system. </w:t>
      </w:r>
      <w:proofErr w:type="spellStart"/>
      <w:r w:rsidR="00430E35" w:rsidRPr="00514D5A">
        <w:rPr>
          <w:rFonts w:ascii="Arial" w:hAnsi="Arial" w:cs="Arial"/>
          <w:sz w:val="20"/>
          <w:szCs w:val="20"/>
        </w:rPr>
        <w:t>Shakatreh</w:t>
      </w:r>
      <w:proofErr w:type="spellEnd"/>
      <w:r w:rsidR="00430E35" w:rsidRPr="00514D5A">
        <w:rPr>
          <w:rFonts w:ascii="Arial" w:hAnsi="Arial" w:cs="Arial"/>
          <w:sz w:val="20"/>
          <w:szCs w:val="20"/>
        </w:rPr>
        <w:t xml:space="preserve"> et al.  (2023) specifically noticed that risk management is one of the most important factors for any business organization as it encourages business development and enables businesses to recognize dangers that are likely to occur within their operations and other activities. To address this issue, organizations should consider risk management to ensure sufficient attention and emphasize the significance of implementing effective corporate governance frameworks. Risk management is essential for effective corporate governance, which makes it a board-level responsibility. </w:t>
      </w:r>
      <w:r w:rsidR="00E300C0" w:rsidRPr="00514D5A">
        <w:rPr>
          <w:rFonts w:ascii="Arial" w:hAnsi="Arial" w:cs="Arial"/>
          <w:sz w:val="20"/>
          <w:szCs w:val="20"/>
        </w:rPr>
        <w:t>It</w:t>
      </w:r>
      <w:r w:rsidR="00430E35" w:rsidRPr="00514D5A">
        <w:rPr>
          <w:rFonts w:ascii="Arial" w:hAnsi="Arial" w:cs="Arial"/>
          <w:sz w:val="20"/>
          <w:szCs w:val="20"/>
        </w:rPr>
        <w:t xml:space="preserve"> </w:t>
      </w:r>
      <w:proofErr w:type="gramStart"/>
      <w:r w:rsidR="00430E35" w:rsidRPr="00514D5A">
        <w:rPr>
          <w:rFonts w:ascii="Arial" w:hAnsi="Arial" w:cs="Arial"/>
          <w:sz w:val="20"/>
          <w:szCs w:val="20"/>
        </w:rPr>
        <w:t>is well known</w:t>
      </w:r>
      <w:proofErr w:type="gramEnd"/>
      <w:r w:rsidR="00430E35" w:rsidRPr="00514D5A">
        <w:rPr>
          <w:rFonts w:ascii="Arial" w:hAnsi="Arial" w:cs="Arial"/>
          <w:sz w:val="20"/>
          <w:szCs w:val="20"/>
        </w:rPr>
        <w:t xml:space="preserve"> that </w:t>
      </w:r>
      <w:r w:rsidR="00E300C0" w:rsidRPr="00514D5A">
        <w:rPr>
          <w:rFonts w:ascii="Arial" w:hAnsi="Arial" w:cs="Arial"/>
          <w:sz w:val="20"/>
          <w:szCs w:val="20"/>
        </w:rPr>
        <w:t>every</w:t>
      </w:r>
      <w:r w:rsidR="00430E35" w:rsidRPr="00514D5A">
        <w:rPr>
          <w:rFonts w:ascii="Arial" w:hAnsi="Arial" w:cs="Arial"/>
          <w:sz w:val="20"/>
          <w:szCs w:val="20"/>
        </w:rPr>
        <w:t xml:space="preserve"> company board is held responsible for ensuring efficient risk management practices. This concept appears in corporate governance codes and </w:t>
      </w:r>
      <w:r w:rsidR="00430E35" w:rsidRPr="00514D5A">
        <w:rPr>
          <w:rFonts w:ascii="Arial" w:hAnsi="Arial" w:cs="Arial"/>
          <w:sz w:val="20"/>
          <w:szCs w:val="20"/>
        </w:rPr>
        <w:lastRenderedPageBreak/>
        <w:t xml:space="preserve">practices of many countries. </w:t>
      </w:r>
      <w:proofErr w:type="spellStart"/>
      <w:r w:rsidR="00430E35" w:rsidRPr="00514D5A">
        <w:rPr>
          <w:rFonts w:ascii="Arial" w:hAnsi="Arial" w:cs="Arial"/>
          <w:sz w:val="20"/>
          <w:szCs w:val="20"/>
        </w:rPr>
        <w:t>Alkelani</w:t>
      </w:r>
      <w:proofErr w:type="spellEnd"/>
      <w:r w:rsidR="00430E35" w:rsidRPr="00514D5A">
        <w:rPr>
          <w:rFonts w:ascii="Arial" w:hAnsi="Arial" w:cs="Arial"/>
          <w:sz w:val="20"/>
          <w:szCs w:val="20"/>
        </w:rPr>
        <w:t>, S. N. Z., et al.(2020) noted that there is greater interest in the creation of a risk management subcommittee at the board level due to the wide range of complex risks businesses face today</w:t>
      </w:r>
      <w:bookmarkStart w:id="7" w:name="_Hlk203519383"/>
      <w:r w:rsidR="00430E35" w:rsidRPr="00514D5A">
        <w:rPr>
          <w:rFonts w:ascii="Arial" w:hAnsi="Arial" w:cs="Arial"/>
          <w:sz w:val="20"/>
          <w:szCs w:val="20"/>
        </w:rPr>
        <w:t xml:space="preserve">. </w:t>
      </w:r>
      <w:bookmarkEnd w:id="7"/>
      <w:r w:rsidR="00430E35" w:rsidRPr="00514D5A">
        <w:rPr>
          <w:rFonts w:ascii="Arial" w:hAnsi="Arial" w:cs="Arial"/>
          <w:sz w:val="20"/>
          <w:szCs w:val="20"/>
        </w:rPr>
        <w:t xml:space="preserve">Some studies recommend the creation of a risk management subcommittee as a first step toward effective risk governance. Certain decisions or actions taken by the board require extensive communication and careful monitoring, which a committee best accomplishes. The board can appoint various subcommittees that are expected to </w:t>
      </w:r>
      <w:proofErr w:type="gramStart"/>
      <w:r w:rsidR="00430E35" w:rsidRPr="00514D5A">
        <w:rPr>
          <w:rFonts w:ascii="Arial" w:hAnsi="Arial" w:cs="Arial"/>
          <w:sz w:val="20"/>
          <w:szCs w:val="20"/>
        </w:rPr>
        <w:t>report back</w:t>
      </w:r>
      <w:proofErr w:type="gramEnd"/>
      <w:r w:rsidR="00430E35" w:rsidRPr="00514D5A">
        <w:rPr>
          <w:rFonts w:ascii="Arial" w:hAnsi="Arial" w:cs="Arial"/>
          <w:sz w:val="20"/>
          <w:szCs w:val="20"/>
        </w:rPr>
        <w:t xml:space="preserve"> to the board on a regular basis. Board subcommittees </w:t>
      </w:r>
      <w:proofErr w:type="gramStart"/>
      <w:r w:rsidR="00430E35" w:rsidRPr="00514D5A">
        <w:rPr>
          <w:rFonts w:ascii="Arial" w:hAnsi="Arial" w:cs="Arial"/>
          <w:sz w:val="20"/>
          <w:szCs w:val="20"/>
        </w:rPr>
        <w:t>are established</w:t>
      </w:r>
      <w:proofErr w:type="gramEnd"/>
      <w:r w:rsidR="00430E35" w:rsidRPr="00514D5A">
        <w:rPr>
          <w:rFonts w:ascii="Arial" w:hAnsi="Arial" w:cs="Arial"/>
          <w:sz w:val="20"/>
          <w:szCs w:val="20"/>
        </w:rPr>
        <w:t xml:space="preserve"> to aid the board </w:t>
      </w:r>
      <w:r w:rsidR="00E300C0" w:rsidRPr="00514D5A">
        <w:rPr>
          <w:rFonts w:ascii="Arial" w:hAnsi="Arial" w:cs="Arial"/>
          <w:sz w:val="20"/>
          <w:szCs w:val="20"/>
        </w:rPr>
        <w:t>in fulfilling</w:t>
      </w:r>
      <w:r w:rsidR="00430E35" w:rsidRPr="00514D5A">
        <w:rPr>
          <w:rFonts w:ascii="Arial" w:hAnsi="Arial" w:cs="Arial"/>
          <w:sz w:val="20"/>
          <w:szCs w:val="20"/>
        </w:rPr>
        <w:t xml:space="preserve"> its obligations, particularly due to the increasing demands and responsibilities confronting the board. Subcommittees help to strengthen the corporate governance of an organization by enhancing the control and decision-making in key operational areas.</w:t>
      </w:r>
      <w:r w:rsidR="00E300C0" w:rsidRPr="00514D5A">
        <w:rPr>
          <w:rFonts w:ascii="Arial" w:hAnsi="Arial" w:cs="Arial"/>
          <w:sz w:val="20"/>
          <w:szCs w:val="20"/>
        </w:rPr>
        <w:t xml:space="preserve"> </w:t>
      </w:r>
      <w:r w:rsidR="00430E35" w:rsidRPr="00514D5A">
        <w:rPr>
          <w:rFonts w:ascii="Arial" w:hAnsi="Arial" w:cs="Arial"/>
          <w:sz w:val="20"/>
          <w:szCs w:val="20"/>
        </w:rPr>
        <w:t>This committee also</w:t>
      </w:r>
      <w:r w:rsidRPr="00514D5A">
        <w:rPr>
          <w:rFonts w:ascii="Arial" w:hAnsi="Arial" w:cs="Arial"/>
          <w:sz w:val="20"/>
          <w:szCs w:val="20"/>
        </w:rPr>
        <w:t xml:space="preserve"> </w:t>
      </w:r>
      <w:r w:rsidR="00E300C0" w:rsidRPr="00514D5A">
        <w:rPr>
          <w:rFonts w:ascii="Arial" w:hAnsi="Arial" w:cs="Arial"/>
          <w:sz w:val="20"/>
          <w:szCs w:val="20"/>
        </w:rPr>
        <w:t>contributes</w:t>
      </w:r>
      <w:r w:rsidRPr="00514D5A">
        <w:rPr>
          <w:rFonts w:ascii="Arial" w:hAnsi="Arial" w:cs="Arial"/>
          <w:sz w:val="20"/>
          <w:szCs w:val="20"/>
        </w:rPr>
        <w:t xml:space="preserve"> to </w:t>
      </w:r>
      <w:r w:rsidR="00E300C0" w:rsidRPr="00514D5A">
        <w:rPr>
          <w:rFonts w:ascii="Arial" w:hAnsi="Arial" w:cs="Arial"/>
          <w:sz w:val="20"/>
          <w:szCs w:val="20"/>
        </w:rPr>
        <w:t>developing</w:t>
      </w:r>
      <w:r w:rsidR="00430E35" w:rsidRPr="00514D5A">
        <w:rPr>
          <w:rFonts w:ascii="Arial" w:hAnsi="Arial" w:cs="Arial"/>
          <w:sz w:val="20"/>
          <w:szCs w:val="20"/>
        </w:rPr>
        <w:t xml:space="preserve"> </w:t>
      </w:r>
      <w:r w:rsidRPr="00514D5A">
        <w:rPr>
          <w:rFonts w:ascii="Arial" w:hAnsi="Arial" w:cs="Arial"/>
          <w:sz w:val="20"/>
          <w:szCs w:val="20"/>
        </w:rPr>
        <w:t xml:space="preserve">stakeholder </w:t>
      </w:r>
      <w:r w:rsidR="00E300C0" w:rsidRPr="00514D5A">
        <w:rPr>
          <w:rFonts w:ascii="Arial" w:hAnsi="Arial" w:cs="Arial"/>
          <w:sz w:val="20"/>
          <w:szCs w:val="20"/>
        </w:rPr>
        <w:t>confidence</w:t>
      </w:r>
      <w:r w:rsidRPr="00514D5A">
        <w:rPr>
          <w:rFonts w:ascii="Arial" w:hAnsi="Arial" w:cs="Arial"/>
          <w:sz w:val="20"/>
          <w:szCs w:val="20"/>
        </w:rPr>
        <w:t xml:space="preserve"> and </w:t>
      </w:r>
      <w:r w:rsidR="00E300C0" w:rsidRPr="00514D5A">
        <w:rPr>
          <w:rFonts w:ascii="Arial" w:hAnsi="Arial" w:cs="Arial"/>
          <w:sz w:val="20"/>
          <w:szCs w:val="20"/>
        </w:rPr>
        <w:t>supports</w:t>
      </w:r>
      <w:r w:rsidRPr="00514D5A">
        <w:rPr>
          <w:rFonts w:ascii="Arial" w:hAnsi="Arial" w:cs="Arial"/>
          <w:sz w:val="20"/>
          <w:szCs w:val="20"/>
        </w:rPr>
        <w:t xml:space="preserve"> the overall success of the organization by demonstrating the company's commitment to high governance standards.</w:t>
      </w:r>
    </w:p>
    <w:p w14:paraId="771043D1" w14:textId="76E5D8A2"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The Cadbury Report suggests the creation of audit, remuneration, and nomination committees, but no specific recommendations for risk management subcommittees. However, countries like the UK are establishing board-level risk committees in large companies. In the non-financial sector, only a limited number of countries have established clear regulations for risk committees. In the US, the NYSE requires companies to have audit committees that address policies related to risk assessment and risk management. Financial institutions should have an independent chair for standalone risk committees. The Australian Stock Exchange's corporate governance guideline acknowledges the role of a risk committee in supporting the full board's risk oversight and internal control management, particularly in large, financial firms. Moreover, Firms that have a higher number of independent directors, larger boards, greater company size, and operate in the financial sector are more inclined to create a dedicated risk committee</w:t>
      </w:r>
      <w:r w:rsidR="002D564B" w:rsidRPr="00514D5A">
        <w:rPr>
          <w:rFonts w:ascii="Arial" w:hAnsi="Arial" w:cs="Arial"/>
          <w:sz w:val="20"/>
          <w:szCs w:val="20"/>
        </w:rPr>
        <w:t xml:space="preserve"> </w:t>
      </w:r>
      <w:r w:rsidRPr="00514D5A">
        <w:rPr>
          <w:rFonts w:ascii="Arial" w:hAnsi="Arial" w:cs="Arial"/>
          <w:sz w:val="20"/>
          <w:szCs w:val="20"/>
        </w:rPr>
        <w:t>(</w:t>
      </w:r>
      <w:proofErr w:type="spellStart"/>
      <w:r w:rsidRPr="00514D5A">
        <w:rPr>
          <w:rFonts w:ascii="Arial" w:hAnsi="Arial" w:cs="Arial"/>
          <w:sz w:val="20"/>
          <w:szCs w:val="20"/>
        </w:rPr>
        <w:t>Subramaniam</w:t>
      </w:r>
      <w:proofErr w:type="spellEnd"/>
      <w:r w:rsidRPr="00514D5A">
        <w:rPr>
          <w:rFonts w:ascii="Arial" w:hAnsi="Arial" w:cs="Arial"/>
          <w:sz w:val="20"/>
          <w:szCs w:val="20"/>
        </w:rPr>
        <w:t xml:space="preserve"> et al., 2009; </w:t>
      </w:r>
      <w:proofErr w:type="spellStart"/>
      <w:r w:rsidRPr="00514D5A">
        <w:rPr>
          <w:rFonts w:ascii="Arial" w:hAnsi="Arial" w:cs="Arial"/>
          <w:sz w:val="20"/>
          <w:szCs w:val="20"/>
        </w:rPr>
        <w:t>Yatim</w:t>
      </w:r>
      <w:proofErr w:type="spellEnd"/>
      <w:r w:rsidRPr="00514D5A">
        <w:rPr>
          <w:rFonts w:ascii="Arial" w:hAnsi="Arial" w:cs="Arial"/>
          <w:sz w:val="20"/>
          <w:szCs w:val="20"/>
        </w:rPr>
        <w:t>, 2010; Hines &amp; Peters, 2015).</w:t>
      </w:r>
    </w:p>
    <w:p w14:paraId="460695DF" w14:textId="772C7606"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 xml:space="preserve">In our country, the BSEC notification of 2018 did not include guidelines for the risk management sub-committee. The BEI Report of 2004 contains notifications about risk management for financial firms. The Bangladesh Bank Guidelines of 2014 advise every bank to form an executive committee, </w:t>
      </w:r>
      <w:r w:rsidR="0066225D" w:rsidRPr="00514D5A">
        <w:rPr>
          <w:rFonts w:ascii="Arial" w:hAnsi="Arial" w:cs="Arial"/>
          <w:sz w:val="20"/>
          <w:szCs w:val="20"/>
        </w:rPr>
        <w:t xml:space="preserve">an </w:t>
      </w:r>
      <w:r w:rsidRPr="00514D5A">
        <w:rPr>
          <w:rFonts w:ascii="Arial" w:hAnsi="Arial" w:cs="Arial"/>
          <w:sz w:val="20"/>
          <w:szCs w:val="20"/>
        </w:rPr>
        <w:t xml:space="preserve">audit committee, and </w:t>
      </w:r>
      <w:r w:rsidR="0066225D" w:rsidRPr="00514D5A">
        <w:rPr>
          <w:rFonts w:ascii="Arial" w:hAnsi="Arial" w:cs="Arial"/>
          <w:sz w:val="20"/>
          <w:szCs w:val="20"/>
        </w:rPr>
        <w:t xml:space="preserve">a </w:t>
      </w:r>
      <w:r w:rsidRPr="00514D5A">
        <w:rPr>
          <w:rFonts w:ascii="Arial" w:hAnsi="Arial" w:cs="Arial"/>
          <w:sz w:val="20"/>
          <w:szCs w:val="20"/>
        </w:rPr>
        <w:t xml:space="preserve">risk management committee with the directors. The guidelines strictly prohibit the </w:t>
      </w:r>
      <w:r w:rsidRPr="00514D5A">
        <w:rPr>
          <w:rFonts w:ascii="Arial" w:hAnsi="Arial" w:cs="Arial"/>
          <w:sz w:val="20"/>
          <w:szCs w:val="20"/>
        </w:rPr>
        <w:lastRenderedPageBreak/>
        <w:t xml:space="preserve">establishment of any additional permanent, temporary, or </w:t>
      </w:r>
      <w:r w:rsidR="0066225D" w:rsidRPr="00514D5A">
        <w:rPr>
          <w:rFonts w:ascii="Arial" w:hAnsi="Arial" w:cs="Arial"/>
          <w:sz w:val="20"/>
          <w:szCs w:val="20"/>
        </w:rPr>
        <w:t>subcommittee</w:t>
      </w:r>
      <w:r w:rsidRPr="00514D5A">
        <w:rPr>
          <w:rFonts w:ascii="Arial" w:hAnsi="Arial" w:cs="Arial"/>
          <w:sz w:val="20"/>
          <w:szCs w:val="20"/>
        </w:rPr>
        <w:t xml:space="preserve"> beyond these three committees</w:t>
      </w:r>
      <w:r w:rsidR="00796F70" w:rsidRPr="00514D5A">
        <w:rPr>
          <w:rFonts w:ascii="Arial" w:hAnsi="Arial" w:cs="Arial"/>
          <w:sz w:val="20"/>
          <w:szCs w:val="20"/>
        </w:rPr>
        <w:t xml:space="preserve"> </w:t>
      </w:r>
      <w:r w:rsidRPr="00514D5A">
        <w:rPr>
          <w:rFonts w:ascii="Arial" w:hAnsi="Arial" w:cs="Arial"/>
          <w:bCs/>
          <w:iCs/>
          <w:sz w:val="20"/>
          <w:szCs w:val="20"/>
        </w:rPr>
        <w:t xml:space="preserve">(Bangladesh Bank, Banking Regulation &amp; Policy </w:t>
      </w:r>
      <w:r w:rsidR="0066225D" w:rsidRPr="00514D5A">
        <w:rPr>
          <w:rFonts w:ascii="Arial" w:hAnsi="Arial" w:cs="Arial"/>
          <w:bCs/>
          <w:iCs/>
          <w:sz w:val="20"/>
          <w:szCs w:val="20"/>
        </w:rPr>
        <w:t xml:space="preserve">Department, </w:t>
      </w:r>
      <w:r w:rsidRPr="00514D5A">
        <w:rPr>
          <w:rFonts w:ascii="Arial" w:hAnsi="Arial" w:cs="Arial"/>
          <w:iCs/>
          <w:sz w:val="20"/>
          <w:szCs w:val="20"/>
        </w:rPr>
        <w:t>2014, August 13).</w:t>
      </w:r>
    </w:p>
    <w:p w14:paraId="05B06A0D" w14:textId="7FB8BC83"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 xml:space="preserve">In Bangladesh, companies in the banking sector must establish a Risk Management Committee (RMC) due to the sector's complex risks. The majority of research related to RMC concentrates on the banking industry, and the influence of a risk committee on corporate governance </w:t>
      </w:r>
      <w:proofErr w:type="gramStart"/>
      <w:r w:rsidRPr="00514D5A">
        <w:rPr>
          <w:rFonts w:ascii="Arial" w:hAnsi="Arial" w:cs="Arial"/>
          <w:sz w:val="20"/>
          <w:szCs w:val="20"/>
        </w:rPr>
        <w:t>is predominantly examined</w:t>
      </w:r>
      <w:proofErr w:type="gramEnd"/>
      <w:r w:rsidRPr="00514D5A">
        <w:rPr>
          <w:rFonts w:ascii="Arial" w:hAnsi="Arial" w:cs="Arial"/>
          <w:sz w:val="20"/>
          <w:szCs w:val="20"/>
        </w:rPr>
        <w:t xml:space="preserve"> within financial institutions such as banks, insurance companies, and real estate firms (Abebi et al. 2012; Hines &amp; Peters 2015). Monitoring risk in financial firms is crucial due to the potential ripple effects observed in the 2008 global financial crisis (Tao &amp; Hutchinson, 2013)</w:t>
      </w:r>
      <w:r w:rsidR="00796F70" w:rsidRPr="00514D5A">
        <w:rPr>
          <w:rFonts w:ascii="Arial" w:hAnsi="Arial" w:cs="Arial"/>
          <w:sz w:val="20"/>
          <w:szCs w:val="20"/>
        </w:rPr>
        <w:t>.</w:t>
      </w:r>
    </w:p>
    <w:p w14:paraId="5BE126A0" w14:textId="77777777"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Establishing an RMC is voluntary for non-banking companies, but many choose to form RMCs to improve risk management.  Brown et al. (2009) highlighted the need for corporate governance that emphasizes risk management practices, such as through RMC formation, due to increasingly complex non-financial industry risks.</w:t>
      </w:r>
    </w:p>
    <w:p w14:paraId="1E52F50A" w14:textId="77777777" w:rsidR="00185F6A" w:rsidRPr="00514D5A" w:rsidRDefault="00CA5D98" w:rsidP="00185F6A">
      <w:pPr>
        <w:spacing w:line="480" w:lineRule="auto"/>
        <w:jc w:val="both"/>
        <w:rPr>
          <w:rFonts w:ascii="Arial" w:hAnsi="Arial" w:cs="Arial"/>
          <w:sz w:val="20"/>
          <w:szCs w:val="20"/>
        </w:rPr>
      </w:pPr>
      <w:r w:rsidRPr="00514D5A">
        <w:rPr>
          <w:rFonts w:ascii="Arial" w:hAnsi="Arial" w:cs="Arial"/>
          <w:sz w:val="20"/>
          <w:szCs w:val="20"/>
        </w:rPr>
        <w:t xml:space="preserve">The Risk Management Committee (RMC) plays a vital role in maintaining strong corporate governance by adopting a proactive and systematic approach to identifying, evaluating, and addressing potential risks. </w:t>
      </w:r>
      <w:r w:rsidR="00185F6A" w:rsidRPr="00514D5A">
        <w:rPr>
          <w:rFonts w:ascii="Arial" w:hAnsi="Arial" w:cs="Arial"/>
          <w:sz w:val="20"/>
          <w:szCs w:val="20"/>
        </w:rPr>
        <w:t xml:space="preserve">This text outlines how the company defines its risk tolerance and </w:t>
      </w:r>
      <w:proofErr w:type="gramStart"/>
      <w:r w:rsidR="00185F6A" w:rsidRPr="00514D5A">
        <w:rPr>
          <w:rFonts w:ascii="Arial" w:hAnsi="Arial" w:cs="Arial"/>
          <w:sz w:val="20"/>
          <w:szCs w:val="20"/>
        </w:rPr>
        <w:t>crafts</w:t>
      </w:r>
      <w:proofErr w:type="gramEnd"/>
      <w:r w:rsidR="00185F6A" w:rsidRPr="00514D5A">
        <w:rPr>
          <w:rFonts w:ascii="Arial" w:hAnsi="Arial" w:cs="Arial"/>
          <w:sz w:val="20"/>
          <w:szCs w:val="20"/>
        </w:rPr>
        <w:t xml:space="preserve"> strategies to manage those risks. The committee also plays a crucial role in ensuring compliance with laws, working alongside internal audit teams, fostering a culture of risk awareness, and offering valuable insights to the board. The main goal of the Risk Management Committee (RMC) is to safeguard the company's assets, reputation, and long-term sustainability while upholding the principles of good corporate governance. </w:t>
      </w:r>
    </w:p>
    <w:p w14:paraId="25911437" w14:textId="531558B3" w:rsidR="00CA5D98" w:rsidRPr="00514D5A" w:rsidRDefault="00185F6A" w:rsidP="00B1407A">
      <w:pPr>
        <w:spacing w:line="480" w:lineRule="auto"/>
        <w:jc w:val="both"/>
        <w:rPr>
          <w:rFonts w:ascii="Arial" w:hAnsi="Arial" w:cs="Arial"/>
          <w:sz w:val="20"/>
          <w:szCs w:val="20"/>
        </w:rPr>
      </w:pPr>
      <w:r w:rsidRPr="00514D5A">
        <w:rPr>
          <w:rFonts w:ascii="Arial" w:hAnsi="Arial" w:cs="Arial"/>
          <w:sz w:val="20"/>
          <w:szCs w:val="20"/>
        </w:rPr>
        <w:t xml:space="preserve">Choi (2013) and Fraser and Henry (2007) have </w:t>
      </w:r>
      <w:proofErr w:type="gramStart"/>
      <w:r w:rsidRPr="00514D5A">
        <w:rPr>
          <w:rFonts w:ascii="Arial" w:hAnsi="Arial" w:cs="Arial"/>
          <w:sz w:val="20"/>
          <w:szCs w:val="20"/>
        </w:rPr>
        <w:t>emphasized  the</w:t>
      </w:r>
      <w:proofErr w:type="gramEnd"/>
      <w:r w:rsidRPr="00514D5A">
        <w:rPr>
          <w:rFonts w:ascii="Arial" w:hAnsi="Arial" w:cs="Arial"/>
          <w:sz w:val="20"/>
          <w:szCs w:val="20"/>
        </w:rPr>
        <w:t xml:space="preserve"> importance of having a dedicated risk management committee filled with skilled members who possess deep knowledge in risk management. Notably, </w:t>
      </w:r>
      <w:bookmarkStart w:id="8" w:name="_Hlk203523727"/>
      <w:r w:rsidRPr="00514D5A">
        <w:rPr>
          <w:rFonts w:ascii="Arial" w:hAnsi="Arial" w:cs="Arial"/>
          <w:sz w:val="20"/>
          <w:szCs w:val="20"/>
        </w:rPr>
        <w:t xml:space="preserve">Abdullah and </w:t>
      </w:r>
      <w:proofErr w:type="spellStart"/>
      <w:r w:rsidRPr="00514D5A">
        <w:rPr>
          <w:rFonts w:ascii="Arial" w:hAnsi="Arial" w:cs="Arial"/>
          <w:sz w:val="20"/>
          <w:szCs w:val="20"/>
        </w:rPr>
        <w:t>Shukor</w:t>
      </w:r>
      <w:proofErr w:type="spellEnd"/>
      <w:r w:rsidRPr="00514D5A">
        <w:rPr>
          <w:rFonts w:ascii="Arial" w:hAnsi="Arial" w:cs="Arial"/>
          <w:sz w:val="20"/>
          <w:szCs w:val="20"/>
        </w:rPr>
        <w:t xml:space="preserve"> (2017) conducted studies that </w:t>
      </w:r>
      <w:commentRangeStart w:id="9"/>
      <w:r w:rsidRPr="00514D5A">
        <w:rPr>
          <w:rFonts w:ascii="Arial" w:hAnsi="Arial" w:cs="Arial"/>
          <w:sz w:val="20"/>
          <w:szCs w:val="20"/>
        </w:rPr>
        <w:t>confirmed a positive relation separate risk management committee would enhanced risk management disclosure.</w:t>
      </w:r>
      <w:bookmarkEnd w:id="8"/>
      <w:r w:rsidRPr="00514D5A">
        <w:rPr>
          <w:rFonts w:ascii="Arial" w:hAnsi="Arial" w:cs="Arial"/>
          <w:sz w:val="20"/>
          <w:szCs w:val="20"/>
        </w:rPr>
        <w:t xml:space="preserve"> </w:t>
      </w:r>
      <w:commentRangeEnd w:id="9"/>
      <w:r w:rsidR="009661E5">
        <w:rPr>
          <w:rStyle w:val="CommentReference"/>
        </w:rPr>
        <w:commentReference w:id="9"/>
      </w:r>
      <w:r w:rsidRPr="00514D5A">
        <w:rPr>
          <w:rFonts w:ascii="Arial" w:hAnsi="Arial" w:cs="Arial"/>
          <w:sz w:val="20"/>
          <w:szCs w:val="20"/>
        </w:rPr>
        <w:t xml:space="preserve">Furthermore, it </w:t>
      </w:r>
      <w:proofErr w:type="gramStart"/>
      <w:r w:rsidRPr="00514D5A">
        <w:rPr>
          <w:rFonts w:ascii="Arial" w:hAnsi="Arial" w:cs="Arial"/>
          <w:sz w:val="20"/>
          <w:szCs w:val="20"/>
        </w:rPr>
        <w:t>has been suggested</w:t>
      </w:r>
      <w:proofErr w:type="gramEnd"/>
      <w:r w:rsidRPr="00514D5A">
        <w:rPr>
          <w:rFonts w:ascii="Arial" w:hAnsi="Arial" w:cs="Arial"/>
          <w:sz w:val="20"/>
          <w:szCs w:val="20"/>
        </w:rPr>
        <w:t xml:space="preserve"> that the risk management committee plays a direct role in reducing incidents of financial crime (Abdullah &amp; Said 2019). </w:t>
      </w:r>
      <w:proofErr w:type="spellStart"/>
      <w:r w:rsidRPr="00514D5A">
        <w:rPr>
          <w:rFonts w:ascii="Arial" w:hAnsi="Arial" w:cs="Arial"/>
          <w:sz w:val="20"/>
          <w:szCs w:val="20"/>
        </w:rPr>
        <w:t>Harymawan</w:t>
      </w:r>
      <w:proofErr w:type="spellEnd"/>
      <w:r w:rsidRPr="00514D5A">
        <w:rPr>
          <w:rFonts w:ascii="Arial" w:hAnsi="Arial" w:cs="Arial"/>
          <w:sz w:val="20"/>
          <w:szCs w:val="20"/>
        </w:rPr>
        <w:t xml:space="preserve"> et al. (2021) also pointed out the RMC's function in overseeing </w:t>
      </w:r>
      <w:commentRangeStart w:id="10"/>
      <w:r w:rsidRPr="00514D5A">
        <w:rPr>
          <w:rFonts w:ascii="Arial" w:hAnsi="Arial" w:cs="Arial"/>
          <w:sz w:val="20"/>
          <w:szCs w:val="20"/>
        </w:rPr>
        <w:t>company</w:t>
      </w:r>
      <w:commentRangeEnd w:id="10"/>
      <w:r w:rsidR="009661E5">
        <w:rPr>
          <w:rStyle w:val="CommentReference"/>
        </w:rPr>
        <w:commentReference w:id="10"/>
      </w:r>
      <w:r w:rsidRPr="00514D5A">
        <w:rPr>
          <w:rFonts w:ascii="Arial" w:hAnsi="Arial" w:cs="Arial"/>
          <w:sz w:val="20"/>
          <w:szCs w:val="20"/>
        </w:rPr>
        <w:t xml:space="preserve"> activities and broadening the scope for identifying potential risks. Recent research has shown that a board-level risk committee can positively influence a firm's performance, especially in the UK (Malik et al. 2020). Similarly, </w:t>
      </w:r>
      <w:proofErr w:type="spellStart"/>
      <w:r w:rsidRPr="00514D5A">
        <w:rPr>
          <w:rFonts w:ascii="Arial" w:hAnsi="Arial" w:cs="Arial"/>
          <w:sz w:val="20"/>
          <w:szCs w:val="20"/>
        </w:rPr>
        <w:lastRenderedPageBreak/>
        <w:t>Kamiya</w:t>
      </w:r>
      <w:proofErr w:type="spellEnd"/>
      <w:r w:rsidRPr="00514D5A">
        <w:rPr>
          <w:rFonts w:ascii="Arial" w:hAnsi="Arial" w:cs="Arial"/>
          <w:sz w:val="20"/>
          <w:szCs w:val="20"/>
        </w:rPr>
        <w:t xml:space="preserve"> et al. (2020) discovered that companies with a risk committee faced significantly lower losses during cyberattacks compared to those without one. Additionally, Magee et al. (2019) found that during the 2008 Global Financial Crisis, companies with a stronger risk governance index generally had a lower likelihood of default. </w:t>
      </w:r>
      <w:r w:rsidR="00CA5D98" w:rsidRPr="00514D5A">
        <w:rPr>
          <w:rFonts w:ascii="Arial" w:hAnsi="Arial" w:cs="Arial"/>
          <w:sz w:val="20"/>
          <w:szCs w:val="20"/>
        </w:rPr>
        <w:t xml:space="preserve">In light of the agency theory, </w:t>
      </w:r>
      <w:proofErr w:type="spellStart"/>
      <w:r w:rsidR="00CA5D98" w:rsidRPr="00514D5A">
        <w:rPr>
          <w:rFonts w:ascii="Arial" w:hAnsi="Arial" w:cs="Arial"/>
          <w:sz w:val="20"/>
          <w:szCs w:val="20"/>
        </w:rPr>
        <w:t>Alles</w:t>
      </w:r>
      <w:proofErr w:type="spellEnd"/>
      <w:r w:rsidR="00CA5D98" w:rsidRPr="00514D5A">
        <w:rPr>
          <w:rFonts w:ascii="Arial" w:hAnsi="Arial" w:cs="Arial"/>
          <w:sz w:val="20"/>
          <w:szCs w:val="20"/>
        </w:rPr>
        <w:t xml:space="preserve"> et al. (2005) suggested that a separate RMC strengthens board monitoring and discourages unethical practices among managers. Similarly, according to the resource dependency theory, the RMC </w:t>
      </w:r>
      <w:proofErr w:type="gramStart"/>
      <w:r w:rsidR="00CA5D98" w:rsidRPr="00514D5A">
        <w:rPr>
          <w:rFonts w:ascii="Arial" w:hAnsi="Arial" w:cs="Arial"/>
          <w:sz w:val="20"/>
          <w:szCs w:val="20"/>
        </w:rPr>
        <w:t>is expected</w:t>
      </w:r>
      <w:proofErr w:type="gramEnd"/>
      <w:r w:rsidR="00CA5D98" w:rsidRPr="00514D5A">
        <w:rPr>
          <w:rFonts w:ascii="Arial" w:hAnsi="Arial" w:cs="Arial"/>
          <w:sz w:val="20"/>
          <w:szCs w:val="20"/>
        </w:rPr>
        <w:t xml:space="preserve"> to provide additional resources and skills to minimize potential agency problems and enhance earnings reporting as a board </w:t>
      </w:r>
      <w:r w:rsidR="00DB3128" w:rsidRPr="00514D5A">
        <w:rPr>
          <w:rFonts w:ascii="Arial" w:hAnsi="Arial" w:cs="Arial"/>
          <w:sz w:val="20"/>
          <w:szCs w:val="20"/>
        </w:rPr>
        <w:t>subcommittee</w:t>
      </w:r>
      <w:r w:rsidR="00CA5D98" w:rsidRPr="00514D5A">
        <w:rPr>
          <w:rFonts w:ascii="Arial" w:hAnsi="Arial" w:cs="Arial"/>
          <w:sz w:val="20"/>
          <w:szCs w:val="20"/>
        </w:rPr>
        <w:t>.</w:t>
      </w:r>
    </w:p>
    <w:p w14:paraId="49C14856" w14:textId="6D0618B7"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 xml:space="preserve">We noticed an additional issue with the Corporate Governance Code. The risk management function within the board is commonly part of the audit committee (KPMG, 2005). This integration has led to criticisms and doubts about the audit committee's ability </w:t>
      </w:r>
      <w:proofErr w:type="gramStart"/>
      <w:r w:rsidRPr="00514D5A">
        <w:rPr>
          <w:rFonts w:ascii="Arial" w:hAnsi="Arial" w:cs="Arial"/>
          <w:sz w:val="20"/>
          <w:szCs w:val="20"/>
        </w:rPr>
        <w:t>to effectively oversee</w:t>
      </w:r>
      <w:proofErr w:type="gramEnd"/>
      <w:r w:rsidRPr="00514D5A">
        <w:rPr>
          <w:rFonts w:ascii="Arial" w:hAnsi="Arial" w:cs="Arial"/>
          <w:sz w:val="20"/>
          <w:szCs w:val="20"/>
        </w:rPr>
        <w:t xml:space="preserve"> non-financial risks (</w:t>
      </w:r>
      <w:proofErr w:type="spellStart"/>
      <w:r w:rsidRPr="00514D5A">
        <w:rPr>
          <w:rFonts w:ascii="Arial" w:hAnsi="Arial" w:cs="Arial"/>
          <w:sz w:val="20"/>
          <w:szCs w:val="20"/>
        </w:rPr>
        <w:t>Alles</w:t>
      </w:r>
      <w:proofErr w:type="spellEnd"/>
      <w:r w:rsidRPr="00514D5A">
        <w:rPr>
          <w:rFonts w:ascii="Arial" w:hAnsi="Arial" w:cs="Arial"/>
          <w:sz w:val="20"/>
          <w:szCs w:val="20"/>
        </w:rPr>
        <w:t xml:space="preserve"> et al., 2005).  Additionally</w:t>
      </w:r>
      <w:bookmarkStart w:id="11" w:name="_Hlk203533903"/>
      <w:r w:rsidRPr="00514D5A">
        <w:rPr>
          <w:rFonts w:ascii="Arial" w:hAnsi="Arial" w:cs="Arial"/>
          <w:sz w:val="20"/>
          <w:szCs w:val="20"/>
        </w:rPr>
        <w:t xml:space="preserve">, </w:t>
      </w:r>
      <w:proofErr w:type="spellStart"/>
      <w:r w:rsidRPr="00514D5A">
        <w:rPr>
          <w:rFonts w:ascii="Arial" w:hAnsi="Arial" w:cs="Arial"/>
          <w:sz w:val="20"/>
          <w:szCs w:val="20"/>
        </w:rPr>
        <w:t>Alles</w:t>
      </w:r>
      <w:proofErr w:type="spellEnd"/>
      <w:r w:rsidRPr="00514D5A">
        <w:rPr>
          <w:rFonts w:ascii="Arial" w:hAnsi="Arial" w:cs="Arial"/>
          <w:sz w:val="20"/>
          <w:szCs w:val="20"/>
        </w:rPr>
        <w:t xml:space="preserve"> et al. (2005) argued that </w:t>
      </w:r>
      <w:r w:rsidR="00DB3128" w:rsidRPr="00514D5A">
        <w:rPr>
          <w:rFonts w:ascii="Arial" w:hAnsi="Arial" w:cs="Arial"/>
          <w:sz w:val="20"/>
          <w:szCs w:val="20"/>
        </w:rPr>
        <w:t>despite their excellent qualifications, audit committee members frequently work full-time, high-level positions elsewhere, which limits their ability and motivation to be more involved with the company.</w:t>
      </w:r>
      <w:bookmarkEnd w:id="11"/>
      <w:r w:rsidRPr="00514D5A">
        <w:rPr>
          <w:rFonts w:ascii="Arial" w:hAnsi="Arial" w:cs="Arial"/>
          <w:sz w:val="20"/>
          <w:szCs w:val="20"/>
        </w:rPr>
        <w:t xml:space="preserve"> Some experts argue that establishing a separate Risk Management Committee (RMC) may be more efficient than combining it with the audit committee (Collier, 1993; </w:t>
      </w:r>
      <w:proofErr w:type="spellStart"/>
      <w:r w:rsidRPr="00514D5A">
        <w:rPr>
          <w:rFonts w:ascii="Arial" w:hAnsi="Arial" w:cs="Arial"/>
          <w:sz w:val="20"/>
          <w:szCs w:val="20"/>
        </w:rPr>
        <w:t>Ruigrok</w:t>
      </w:r>
      <w:proofErr w:type="spellEnd"/>
      <w:r w:rsidRPr="00514D5A">
        <w:rPr>
          <w:rFonts w:ascii="Arial" w:hAnsi="Arial" w:cs="Arial"/>
          <w:sz w:val="20"/>
          <w:szCs w:val="20"/>
        </w:rPr>
        <w:t xml:space="preserve"> et al., 2006). Authorities in multiple countries have recommended creating a dedicated risk committee to oversee the overall risk profile (</w:t>
      </w:r>
      <w:r w:rsidR="00873CBD" w:rsidRPr="00514D5A">
        <w:rPr>
          <w:rFonts w:ascii="Arial" w:hAnsi="Arial" w:cs="Arial"/>
          <w:bCs/>
          <w:iCs/>
          <w:sz w:val="20"/>
          <w:szCs w:val="20"/>
        </w:rPr>
        <w:t>Board, F.S., 2013</w:t>
      </w:r>
      <w:r w:rsidRPr="00514D5A">
        <w:rPr>
          <w:rFonts w:ascii="Arial" w:hAnsi="Arial" w:cs="Arial"/>
          <w:sz w:val="20"/>
          <w:szCs w:val="20"/>
        </w:rPr>
        <w:t xml:space="preserve">). According to </w:t>
      </w:r>
      <w:proofErr w:type="spellStart"/>
      <w:r w:rsidRPr="00514D5A">
        <w:rPr>
          <w:rFonts w:ascii="Arial" w:hAnsi="Arial" w:cs="Arial"/>
          <w:sz w:val="20"/>
          <w:szCs w:val="20"/>
        </w:rPr>
        <w:t>Jia</w:t>
      </w:r>
      <w:proofErr w:type="spellEnd"/>
      <w:r w:rsidRPr="00514D5A">
        <w:rPr>
          <w:rFonts w:ascii="Arial" w:hAnsi="Arial" w:cs="Arial"/>
          <w:sz w:val="20"/>
          <w:szCs w:val="20"/>
        </w:rPr>
        <w:t xml:space="preserve"> et al. (2019), a distinct risk management committee </w:t>
      </w:r>
      <w:proofErr w:type="gramStart"/>
      <w:r w:rsidRPr="00514D5A">
        <w:rPr>
          <w:rFonts w:ascii="Arial" w:hAnsi="Arial" w:cs="Arial"/>
          <w:sz w:val="20"/>
          <w:szCs w:val="20"/>
        </w:rPr>
        <w:t>is anticipated</w:t>
      </w:r>
      <w:proofErr w:type="gramEnd"/>
      <w:r w:rsidRPr="00514D5A">
        <w:rPr>
          <w:rFonts w:ascii="Arial" w:hAnsi="Arial" w:cs="Arial"/>
          <w:sz w:val="20"/>
          <w:szCs w:val="20"/>
        </w:rPr>
        <w:t xml:space="preserve"> to improve the quality of risk management disclosure. However, the corporate governance and firm-related factors influencing an organization's choice to establish a separate RMC instead of a combined committee have limited empirical evidence.</w:t>
      </w:r>
    </w:p>
    <w:p w14:paraId="1700FA97" w14:textId="77777777"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 xml:space="preserve">Financial institutions can enhance their risk management efforts by establishing risk management committees. Institutions can effectively minimize potential risks by following thorough risk assessment and treatment procedures. </w:t>
      </w:r>
    </w:p>
    <w:p w14:paraId="1B9A2330" w14:textId="77777777" w:rsidR="00CA5D98" w:rsidRPr="00514D5A" w:rsidRDefault="00CA5D98" w:rsidP="00B1407A">
      <w:pPr>
        <w:spacing w:line="480" w:lineRule="auto"/>
        <w:jc w:val="both"/>
        <w:rPr>
          <w:rFonts w:ascii="Arial" w:hAnsi="Arial" w:cs="Arial"/>
          <w:bCs/>
          <w:sz w:val="20"/>
          <w:szCs w:val="20"/>
        </w:rPr>
      </w:pPr>
      <w:r w:rsidRPr="00514D5A">
        <w:rPr>
          <w:rFonts w:ascii="Arial" w:hAnsi="Arial" w:cs="Arial"/>
          <w:bCs/>
          <w:sz w:val="20"/>
          <w:szCs w:val="20"/>
        </w:rPr>
        <w:t xml:space="preserve">The emergence of the abovementioned situations has emphasized the importance of the risk management subcommittee in corporate governance. In response to the growing need for risk management, this study proposes the establishment of a dedicated risk management subcommittee within the corporate governance structure, aiming to address these shortcomings and enhance the effectiveness of risk </w:t>
      </w:r>
      <w:r w:rsidRPr="00514D5A">
        <w:rPr>
          <w:rFonts w:ascii="Arial" w:hAnsi="Arial" w:cs="Arial"/>
          <w:bCs/>
          <w:sz w:val="20"/>
          <w:szCs w:val="20"/>
        </w:rPr>
        <w:lastRenderedPageBreak/>
        <w:t>management strategies. The research emphasizes the important function of a risk management subcommittee and its impact on a successful business.</w:t>
      </w:r>
    </w:p>
    <w:p w14:paraId="7B070733" w14:textId="77777777"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 xml:space="preserve">The following sections of this paper will outline the objectives, methodology, and findings of the study. These findings </w:t>
      </w:r>
      <w:proofErr w:type="gramStart"/>
      <w:r w:rsidRPr="00514D5A">
        <w:rPr>
          <w:rFonts w:ascii="Arial" w:hAnsi="Arial" w:cs="Arial"/>
          <w:sz w:val="20"/>
          <w:szCs w:val="20"/>
        </w:rPr>
        <w:t>will be illustrated</w:t>
      </w:r>
      <w:proofErr w:type="gramEnd"/>
      <w:r w:rsidRPr="00514D5A">
        <w:rPr>
          <w:rFonts w:ascii="Arial" w:hAnsi="Arial" w:cs="Arial"/>
          <w:sz w:val="20"/>
          <w:szCs w:val="20"/>
        </w:rPr>
        <w:t xml:space="preserve"> with cases where companies suffered due to the lack of a risk management committee, as well as instances where the risk management committee effectively mitigated risk.</w:t>
      </w:r>
    </w:p>
    <w:p w14:paraId="57AC3ABF" w14:textId="4ABDE484"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 xml:space="preserve">In the final part of the paper, a comprehensive </w:t>
      </w:r>
      <w:r w:rsidR="00DB3128" w:rsidRPr="00514D5A">
        <w:rPr>
          <w:rFonts w:ascii="Arial" w:hAnsi="Arial" w:cs="Arial"/>
          <w:sz w:val="20"/>
          <w:szCs w:val="20"/>
        </w:rPr>
        <w:t>statement</w:t>
      </w:r>
      <w:r w:rsidRPr="00514D5A">
        <w:rPr>
          <w:rFonts w:ascii="Arial" w:hAnsi="Arial" w:cs="Arial"/>
          <w:sz w:val="20"/>
          <w:szCs w:val="20"/>
        </w:rPr>
        <w:t xml:space="preserve"> of the findings </w:t>
      </w:r>
      <w:proofErr w:type="gramStart"/>
      <w:r w:rsidRPr="00514D5A">
        <w:rPr>
          <w:rFonts w:ascii="Arial" w:hAnsi="Arial" w:cs="Arial"/>
          <w:sz w:val="20"/>
          <w:szCs w:val="20"/>
        </w:rPr>
        <w:t>is provided</w:t>
      </w:r>
      <w:proofErr w:type="gramEnd"/>
      <w:r w:rsidRPr="00514D5A">
        <w:rPr>
          <w:rFonts w:ascii="Arial" w:hAnsi="Arial" w:cs="Arial"/>
          <w:sz w:val="20"/>
          <w:szCs w:val="20"/>
        </w:rPr>
        <w:t>, along with the resulting conclusions and proposed avenues for future research stemming from the study.</w:t>
      </w:r>
    </w:p>
    <w:bookmarkEnd w:id="3"/>
    <w:p w14:paraId="6BFC1AE7" w14:textId="0351E836" w:rsidR="00A21860" w:rsidRPr="00514D5A" w:rsidRDefault="00AF7A2F" w:rsidP="00B1407A">
      <w:pPr>
        <w:spacing w:line="480" w:lineRule="auto"/>
        <w:jc w:val="both"/>
        <w:rPr>
          <w:rFonts w:ascii="Arial" w:hAnsi="Arial" w:cs="Arial"/>
          <w:b/>
          <w:sz w:val="20"/>
          <w:szCs w:val="20"/>
        </w:rPr>
      </w:pPr>
      <w:r w:rsidRPr="00514D5A">
        <w:rPr>
          <w:rFonts w:ascii="Arial" w:hAnsi="Arial" w:cs="Arial"/>
          <w:b/>
          <w:sz w:val="20"/>
          <w:szCs w:val="20"/>
        </w:rPr>
        <w:t>2</w:t>
      </w:r>
      <w:r w:rsidR="009E564A" w:rsidRPr="00514D5A">
        <w:rPr>
          <w:rFonts w:ascii="Arial" w:hAnsi="Arial" w:cs="Arial"/>
          <w:b/>
          <w:sz w:val="20"/>
          <w:szCs w:val="20"/>
        </w:rPr>
        <w:t xml:space="preserve">.0 </w:t>
      </w:r>
      <w:r w:rsidR="00E16635" w:rsidRPr="00514D5A">
        <w:rPr>
          <w:rFonts w:ascii="Arial" w:hAnsi="Arial" w:cs="Arial"/>
          <w:b/>
          <w:sz w:val="20"/>
          <w:szCs w:val="20"/>
        </w:rPr>
        <w:t>The objective of the Study:</w:t>
      </w:r>
    </w:p>
    <w:p w14:paraId="5DB4B15A" w14:textId="46DEF189" w:rsidR="00A21860" w:rsidRPr="00514D5A" w:rsidRDefault="00A21860" w:rsidP="00B1407A">
      <w:pPr>
        <w:spacing w:line="480" w:lineRule="auto"/>
        <w:jc w:val="both"/>
        <w:rPr>
          <w:rFonts w:ascii="Arial" w:hAnsi="Arial" w:cs="Arial"/>
          <w:sz w:val="20"/>
          <w:szCs w:val="20"/>
        </w:rPr>
      </w:pPr>
      <w:r w:rsidRPr="00514D5A">
        <w:rPr>
          <w:rFonts w:ascii="Arial" w:hAnsi="Arial" w:cs="Arial"/>
          <w:sz w:val="20"/>
          <w:szCs w:val="20"/>
        </w:rPr>
        <w:t xml:space="preserve">The objective of the study is to </w:t>
      </w:r>
      <w:r w:rsidR="00806FD1" w:rsidRPr="00514D5A">
        <w:rPr>
          <w:rFonts w:ascii="Arial" w:hAnsi="Arial" w:cs="Arial"/>
          <w:sz w:val="20"/>
          <w:szCs w:val="20"/>
        </w:rPr>
        <w:t>review</w:t>
      </w:r>
      <w:r w:rsidRPr="00514D5A">
        <w:rPr>
          <w:rFonts w:ascii="Arial" w:hAnsi="Arial" w:cs="Arial"/>
          <w:sz w:val="20"/>
          <w:szCs w:val="20"/>
        </w:rPr>
        <w:t xml:space="preserve"> the literature, concepts, </w:t>
      </w:r>
      <w:r w:rsidR="003C6ED5" w:rsidRPr="00514D5A">
        <w:rPr>
          <w:rFonts w:ascii="Arial" w:hAnsi="Arial" w:cs="Arial"/>
          <w:sz w:val="20"/>
          <w:szCs w:val="20"/>
        </w:rPr>
        <w:t xml:space="preserve">and </w:t>
      </w:r>
      <w:r w:rsidRPr="00514D5A">
        <w:rPr>
          <w:rFonts w:ascii="Arial" w:hAnsi="Arial" w:cs="Arial"/>
          <w:sz w:val="20"/>
          <w:szCs w:val="20"/>
        </w:rPr>
        <w:t xml:space="preserve">theories </w:t>
      </w:r>
      <w:r w:rsidR="00C9529E" w:rsidRPr="00514D5A">
        <w:rPr>
          <w:rFonts w:ascii="Arial" w:hAnsi="Arial" w:cs="Arial"/>
          <w:sz w:val="20"/>
          <w:szCs w:val="20"/>
        </w:rPr>
        <w:t>related</w:t>
      </w:r>
      <w:r w:rsidRPr="00514D5A">
        <w:rPr>
          <w:rFonts w:ascii="Arial" w:hAnsi="Arial" w:cs="Arial"/>
          <w:sz w:val="20"/>
          <w:szCs w:val="20"/>
        </w:rPr>
        <w:t xml:space="preserve"> to </w:t>
      </w:r>
      <w:r w:rsidR="003C6ED5" w:rsidRPr="00514D5A">
        <w:rPr>
          <w:rFonts w:ascii="Arial" w:hAnsi="Arial" w:cs="Arial"/>
          <w:sz w:val="20"/>
          <w:szCs w:val="20"/>
        </w:rPr>
        <w:t xml:space="preserve">the </w:t>
      </w:r>
      <w:r w:rsidRPr="00514D5A">
        <w:rPr>
          <w:rFonts w:ascii="Arial" w:hAnsi="Arial" w:cs="Arial"/>
          <w:sz w:val="20"/>
          <w:szCs w:val="20"/>
        </w:rPr>
        <w:t xml:space="preserve">formation of </w:t>
      </w:r>
      <w:r w:rsidR="003C6ED5" w:rsidRPr="00514D5A">
        <w:rPr>
          <w:rFonts w:ascii="Arial" w:hAnsi="Arial" w:cs="Arial"/>
          <w:sz w:val="20"/>
          <w:szCs w:val="20"/>
        </w:rPr>
        <w:t>risk subcommittees</w:t>
      </w:r>
      <w:r w:rsidRPr="00514D5A">
        <w:rPr>
          <w:rFonts w:ascii="Arial" w:hAnsi="Arial" w:cs="Arial"/>
          <w:sz w:val="20"/>
          <w:szCs w:val="20"/>
        </w:rPr>
        <w:t xml:space="preserve"> as part of board governance.</w:t>
      </w:r>
    </w:p>
    <w:p w14:paraId="5C5A85ED" w14:textId="3465853D" w:rsidR="00B62668" w:rsidRPr="00514D5A" w:rsidRDefault="00AF7A2F" w:rsidP="00B1407A">
      <w:pPr>
        <w:spacing w:line="480" w:lineRule="auto"/>
        <w:jc w:val="both"/>
        <w:rPr>
          <w:rFonts w:ascii="Arial" w:hAnsi="Arial" w:cs="Arial"/>
          <w:b/>
          <w:sz w:val="20"/>
          <w:szCs w:val="20"/>
        </w:rPr>
      </w:pPr>
      <w:r w:rsidRPr="00514D5A">
        <w:rPr>
          <w:rFonts w:ascii="Arial" w:hAnsi="Arial" w:cs="Arial"/>
          <w:b/>
          <w:sz w:val="20"/>
          <w:szCs w:val="20"/>
        </w:rPr>
        <w:t>3</w:t>
      </w:r>
      <w:r w:rsidR="009E564A" w:rsidRPr="00514D5A">
        <w:rPr>
          <w:rFonts w:ascii="Arial" w:hAnsi="Arial" w:cs="Arial"/>
          <w:b/>
          <w:sz w:val="20"/>
          <w:szCs w:val="20"/>
        </w:rPr>
        <w:t xml:space="preserve">.0 </w:t>
      </w:r>
      <w:r w:rsidR="00E16635" w:rsidRPr="00514D5A">
        <w:rPr>
          <w:rFonts w:ascii="Arial" w:hAnsi="Arial" w:cs="Arial"/>
          <w:b/>
          <w:sz w:val="20"/>
          <w:szCs w:val="20"/>
        </w:rPr>
        <w:t xml:space="preserve">Methodology of the Study: </w:t>
      </w:r>
    </w:p>
    <w:p w14:paraId="1B18ADF3" w14:textId="6196535A" w:rsidR="00E9025E" w:rsidRPr="00514D5A" w:rsidRDefault="009E564A" w:rsidP="00B1407A">
      <w:pPr>
        <w:spacing w:line="480" w:lineRule="auto"/>
        <w:jc w:val="both"/>
        <w:rPr>
          <w:rFonts w:ascii="Arial" w:hAnsi="Arial" w:cs="Arial"/>
          <w:sz w:val="20"/>
          <w:szCs w:val="20"/>
        </w:rPr>
      </w:pPr>
      <w:r w:rsidRPr="00514D5A">
        <w:rPr>
          <w:rFonts w:ascii="Arial" w:hAnsi="Arial" w:cs="Arial"/>
          <w:sz w:val="20"/>
          <w:szCs w:val="20"/>
        </w:rPr>
        <w:t xml:space="preserve">The research employs the case study method, conducting a thorough qualitative analysis of data gathered from secondary sources. The data </w:t>
      </w:r>
      <w:proofErr w:type="gramStart"/>
      <w:r w:rsidRPr="00514D5A">
        <w:rPr>
          <w:rFonts w:ascii="Arial" w:hAnsi="Arial" w:cs="Arial"/>
          <w:sz w:val="20"/>
          <w:szCs w:val="20"/>
        </w:rPr>
        <w:t>was sourced</w:t>
      </w:r>
      <w:proofErr w:type="gramEnd"/>
      <w:r w:rsidRPr="00514D5A">
        <w:rPr>
          <w:rFonts w:ascii="Arial" w:hAnsi="Arial" w:cs="Arial"/>
          <w:sz w:val="20"/>
          <w:szCs w:val="20"/>
        </w:rPr>
        <w:t xml:space="preserve"> from academic literature, corporate governance codes, regulatory reports, and news articles.</w:t>
      </w:r>
      <w:r w:rsidR="004B6FC7" w:rsidRPr="00514D5A">
        <w:rPr>
          <w:rFonts w:ascii="Arial" w:hAnsi="Arial" w:cs="Arial"/>
          <w:sz w:val="20"/>
          <w:szCs w:val="20"/>
        </w:rPr>
        <w:t xml:space="preserve"> The sample of the study </w:t>
      </w:r>
      <w:proofErr w:type="gramStart"/>
      <w:r w:rsidR="00440825" w:rsidRPr="00514D5A">
        <w:rPr>
          <w:rFonts w:ascii="Arial" w:hAnsi="Arial" w:cs="Arial"/>
          <w:sz w:val="20"/>
          <w:szCs w:val="20"/>
        </w:rPr>
        <w:t xml:space="preserve">was </w:t>
      </w:r>
      <w:r w:rsidR="004B6FC7" w:rsidRPr="00514D5A">
        <w:rPr>
          <w:rFonts w:ascii="Arial" w:hAnsi="Arial" w:cs="Arial"/>
          <w:sz w:val="20"/>
          <w:szCs w:val="20"/>
        </w:rPr>
        <w:t>selected</w:t>
      </w:r>
      <w:proofErr w:type="gramEnd"/>
      <w:r w:rsidR="004B6FC7" w:rsidRPr="00514D5A">
        <w:rPr>
          <w:rFonts w:ascii="Arial" w:hAnsi="Arial" w:cs="Arial"/>
          <w:sz w:val="20"/>
          <w:szCs w:val="20"/>
        </w:rPr>
        <w:t xml:space="preserve"> based on purposive sampling techniques.</w:t>
      </w:r>
      <w:r w:rsidRPr="00514D5A">
        <w:rPr>
          <w:rFonts w:ascii="Arial" w:hAnsi="Arial" w:cs="Arial"/>
          <w:sz w:val="20"/>
          <w:szCs w:val="20"/>
        </w:rPr>
        <w:t xml:space="preserve"> This study is focused on conducting a comprehensive analysis of major scandals that have impacted various countries such as the United States, </w:t>
      </w:r>
      <w:r w:rsidR="00C772C9" w:rsidRPr="00514D5A">
        <w:rPr>
          <w:rFonts w:ascii="Arial" w:hAnsi="Arial" w:cs="Arial"/>
          <w:sz w:val="20"/>
          <w:szCs w:val="20"/>
        </w:rPr>
        <w:t xml:space="preserve">the </w:t>
      </w:r>
      <w:r w:rsidRPr="00514D5A">
        <w:rPr>
          <w:rFonts w:ascii="Arial" w:hAnsi="Arial" w:cs="Arial"/>
          <w:sz w:val="20"/>
          <w:szCs w:val="20"/>
        </w:rPr>
        <w:t>United Kingdom</w:t>
      </w:r>
      <w:proofErr w:type="gramStart"/>
      <w:r w:rsidRPr="00514D5A">
        <w:rPr>
          <w:rFonts w:ascii="Arial" w:hAnsi="Arial" w:cs="Arial"/>
          <w:sz w:val="20"/>
          <w:szCs w:val="20"/>
        </w:rPr>
        <w:t>,  and</w:t>
      </w:r>
      <w:proofErr w:type="gramEnd"/>
      <w:r w:rsidRPr="00514D5A">
        <w:rPr>
          <w:rFonts w:ascii="Arial" w:hAnsi="Arial" w:cs="Arial"/>
          <w:sz w:val="20"/>
          <w:szCs w:val="20"/>
        </w:rPr>
        <w:t xml:space="preserve"> Bangladesh. The paper aims to reveal the systemic causes of corporate failures and the inability of companies to recover from downturns, despite their efforts to manage corporate scandals. Additionally, the paper examines cases of companies that have successfully recovered from downturns through proactive initiatives.</w:t>
      </w:r>
      <w:r w:rsidR="00E9025E" w:rsidRPr="00514D5A">
        <w:rPr>
          <w:rFonts w:ascii="Arial" w:eastAsia="Times New Roman" w:hAnsi="Arial" w:cs="Arial"/>
          <w:sz w:val="20"/>
          <w:szCs w:val="20"/>
        </w:rPr>
        <w:t xml:space="preserve"> </w:t>
      </w:r>
      <w:r w:rsidR="00E9025E" w:rsidRPr="00514D5A">
        <w:rPr>
          <w:rFonts w:ascii="Arial" w:hAnsi="Arial" w:cs="Arial"/>
          <w:sz w:val="20"/>
          <w:szCs w:val="20"/>
        </w:rPr>
        <w:t>The analysis compares major corporate scandals and crises</w:t>
      </w:r>
      <w:r w:rsidR="00806FD1" w:rsidRPr="00514D5A">
        <w:rPr>
          <w:rFonts w:ascii="Arial" w:hAnsi="Arial" w:cs="Arial"/>
          <w:sz w:val="20"/>
          <w:szCs w:val="20"/>
        </w:rPr>
        <w:t>,</w:t>
      </w:r>
      <w:r w:rsidR="00BA5A2E" w:rsidRPr="00514D5A">
        <w:rPr>
          <w:rFonts w:ascii="Arial" w:hAnsi="Arial" w:cs="Arial"/>
          <w:sz w:val="20"/>
          <w:szCs w:val="20"/>
        </w:rPr>
        <w:t xml:space="preserve"> and i</w:t>
      </w:r>
      <w:r w:rsidR="00E9025E" w:rsidRPr="00514D5A">
        <w:rPr>
          <w:rFonts w:ascii="Arial" w:hAnsi="Arial" w:cs="Arial"/>
          <w:sz w:val="20"/>
          <w:szCs w:val="20"/>
        </w:rPr>
        <w:t>t explores the role of governance and risk management in corporate resilience, and the implications of Risk Management sub-committees, particularly in voluntary regions, within corporate governance frameworks.</w:t>
      </w:r>
    </w:p>
    <w:p w14:paraId="579A9962" w14:textId="6FABA442" w:rsidR="00A21860" w:rsidRPr="00514D5A" w:rsidRDefault="009E564A" w:rsidP="00B1407A">
      <w:pPr>
        <w:spacing w:line="480" w:lineRule="auto"/>
        <w:jc w:val="both"/>
        <w:rPr>
          <w:rFonts w:ascii="Arial" w:hAnsi="Arial" w:cs="Arial"/>
          <w:b/>
          <w:sz w:val="20"/>
          <w:szCs w:val="20"/>
        </w:rPr>
      </w:pPr>
      <w:r w:rsidRPr="00514D5A">
        <w:rPr>
          <w:rFonts w:ascii="Arial" w:hAnsi="Arial" w:cs="Arial"/>
          <w:b/>
          <w:sz w:val="20"/>
          <w:szCs w:val="20"/>
        </w:rPr>
        <w:t xml:space="preserve"> </w:t>
      </w:r>
      <w:r w:rsidR="00AF7A2F" w:rsidRPr="00514D5A">
        <w:rPr>
          <w:rFonts w:ascii="Arial" w:hAnsi="Arial" w:cs="Arial"/>
          <w:b/>
          <w:sz w:val="20"/>
          <w:szCs w:val="20"/>
        </w:rPr>
        <w:t>4</w:t>
      </w:r>
      <w:r w:rsidR="005E5E8C" w:rsidRPr="00514D5A">
        <w:rPr>
          <w:rFonts w:ascii="Arial" w:hAnsi="Arial" w:cs="Arial"/>
          <w:b/>
          <w:sz w:val="20"/>
          <w:szCs w:val="20"/>
        </w:rPr>
        <w:t xml:space="preserve">.0 </w:t>
      </w:r>
      <w:r w:rsidR="00A21860" w:rsidRPr="00514D5A">
        <w:rPr>
          <w:rFonts w:ascii="Arial" w:hAnsi="Arial" w:cs="Arial"/>
          <w:b/>
          <w:bCs/>
          <w:sz w:val="20"/>
          <w:szCs w:val="20"/>
        </w:rPr>
        <w:t>Findings of the study:</w:t>
      </w:r>
    </w:p>
    <w:p w14:paraId="60FB23D5" w14:textId="4BEE51E1" w:rsidR="00A21860" w:rsidRPr="00514D5A" w:rsidRDefault="00AF7A2F" w:rsidP="00B1407A">
      <w:pPr>
        <w:spacing w:line="480" w:lineRule="auto"/>
        <w:jc w:val="both"/>
        <w:rPr>
          <w:rFonts w:ascii="Arial" w:hAnsi="Arial" w:cs="Arial"/>
          <w:b/>
          <w:bCs/>
          <w:i/>
          <w:sz w:val="20"/>
          <w:szCs w:val="20"/>
          <w:u w:val="single"/>
        </w:rPr>
      </w:pPr>
      <w:r w:rsidRPr="00514D5A">
        <w:rPr>
          <w:rFonts w:ascii="Arial" w:hAnsi="Arial" w:cs="Arial"/>
          <w:b/>
          <w:bCs/>
          <w:i/>
          <w:sz w:val="20"/>
          <w:szCs w:val="20"/>
          <w:u w:val="single"/>
        </w:rPr>
        <w:t>4</w:t>
      </w:r>
      <w:r w:rsidR="005E5E8C" w:rsidRPr="00514D5A">
        <w:rPr>
          <w:rFonts w:ascii="Arial" w:hAnsi="Arial" w:cs="Arial"/>
          <w:b/>
          <w:bCs/>
          <w:i/>
          <w:sz w:val="20"/>
          <w:szCs w:val="20"/>
          <w:u w:val="single"/>
        </w:rPr>
        <w:t xml:space="preserve">.1 </w:t>
      </w:r>
      <w:r w:rsidR="00A21860" w:rsidRPr="00514D5A">
        <w:rPr>
          <w:rFonts w:ascii="Arial" w:hAnsi="Arial" w:cs="Arial"/>
          <w:b/>
          <w:bCs/>
          <w:i/>
          <w:sz w:val="20"/>
          <w:szCs w:val="20"/>
          <w:u w:val="single"/>
        </w:rPr>
        <w:t>Cases Where the Company Suffered a Lot in the Absence of a Risk Committee</w:t>
      </w:r>
    </w:p>
    <w:p w14:paraId="196605E2" w14:textId="7779114E" w:rsidR="00AA4FA3" w:rsidRPr="00514D5A" w:rsidRDefault="00AA4FA3" w:rsidP="00B1407A">
      <w:pPr>
        <w:spacing w:line="480" w:lineRule="auto"/>
        <w:jc w:val="both"/>
        <w:rPr>
          <w:rFonts w:ascii="Arial" w:hAnsi="Arial" w:cs="Arial"/>
          <w:bCs/>
          <w:sz w:val="20"/>
          <w:szCs w:val="20"/>
        </w:rPr>
      </w:pPr>
      <w:r w:rsidRPr="00514D5A">
        <w:rPr>
          <w:rFonts w:ascii="Arial" w:hAnsi="Arial" w:cs="Arial"/>
          <w:bCs/>
          <w:sz w:val="20"/>
          <w:szCs w:val="20"/>
        </w:rPr>
        <w:lastRenderedPageBreak/>
        <w:t>It is important to acknowledge that corporate fraud, bankruptcies, and other illegal acts have unfortunately been present in the business environment. These issues often become more prominent during recessions or economic downturns, and they tend to affect high-risk firms the most. Despite seemingly healthy annual reports and accounts, there have been instances of high-profile corporate collapses (</w:t>
      </w:r>
      <w:proofErr w:type="spellStart"/>
      <w:r w:rsidRPr="00514D5A">
        <w:rPr>
          <w:rFonts w:ascii="Arial" w:hAnsi="Arial" w:cs="Arial"/>
          <w:bCs/>
          <w:sz w:val="20"/>
          <w:szCs w:val="20"/>
        </w:rPr>
        <w:t>Mallin</w:t>
      </w:r>
      <w:proofErr w:type="spellEnd"/>
      <w:r w:rsidRPr="00514D5A">
        <w:rPr>
          <w:rFonts w:ascii="Arial" w:hAnsi="Arial" w:cs="Arial"/>
          <w:bCs/>
          <w:sz w:val="20"/>
          <w:szCs w:val="20"/>
        </w:rPr>
        <w:t>, C.</w:t>
      </w:r>
      <w:r w:rsidR="00D60BAD" w:rsidRPr="00514D5A">
        <w:rPr>
          <w:rFonts w:ascii="Arial" w:hAnsi="Arial" w:cs="Arial"/>
          <w:bCs/>
          <w:sz w:val="20"/>
          <w:szCs w:val="20"/>
        </w:rPr>
        <w:t>A.</w:t>
      </w:r>
      <w:r w:rsidRPr="00514D5A">
        <w:rPr>
          <w:rFonts w:ascii="Arial" w:hAnsi="Arial" w:cs="Arial"/>
          <w:bCs/>
          <w:sz w:val="20"/>
          <w:szCs w:val="20"/>
        </w:rPr>
        <w:t xml:space="preserve"> 20</w:t>
      </w:r>
      <w:r w:rsidR="00D60BAD" w:rsidRPr="00514D5A">
        <w:rPr>
          <w:rFonts w:ascii="Arial" w:hAnsi="Arial" w:cs="Arial"/>
          <w:bCs/>
          <w:sz w:val="20"/>
          <w:szCs w:val="20"/>
        </w:rPr>
        <w:t>07</w:t>
      </w:r>
      <w:r w:rsidRPr="00514D5A">
        <w:rPr>
          <w:rFonts w:ascii="Arial" w:hAnsi="Arial" w:cs="Arial"/>
          <w:bCs/>
          <w:sz w:val="20"/>
          <w:szCs w:val="20"/>
        </w:rPr>
        <w:t xml:space="preserve">). To understand why these </w:t>
      </w:r>
      <w:r w:rsidR="005540FE" w:rsidRPr="00514D5A">
        <w:rPr>
          <w:rFonts w:ascii="Arial" w:hAnsi="Arial" w:cs="Arial"/>
          <w:bCs/>
          <w:sz w:val="20"/>
          <w:szCs w:val="20"/>
        </w:rPr>
        <w:t>failures</w:t>
      </w:r>
      <w:r w:rsidRPr="00514D5A">
        <w:rPr>
          <w:rFonts w:ascii="Arial" w:hAnsi="Arial" w:cs="Arial"/>
          <w:bCs/>
          <w:sz w:val="20"/>
          <w:szCs w:val="20"/>
        </w:rPr>
        <w:t xml:space="preserve"> occur, it is crucial to analyze the major causes of financial corporate failures by focusing on the most important scandals. This study aims to shed light on these issues and summarize their impact.</w:t>
      </w:r>
    </w:p>
    <w:p w14:paraId="4200F6D2" w14:textId="3982C9C8" w:rsidR="007E05AF" w:rsidRPr="00514D5A" w:rsidRDefault="00AF7A2F" w:rsidP="00B1407A">
      <w:pPr>
        <w:spacing w:line="480" w:lineRule="auto"/>
        <w:jc w:val="both"/>
        <w:rPr>
          <w:rFonts w:ascii="Arial" w:hAnsi="Arial" w:cs="Arial"/>
          <w:bCs/>
          <w:i/>
          <w:sz w:val="20"/>
          <w:szCs w:val="20"/>
        </w:rPr>
      </w:pPr>
      <w:r w:rsidRPr="00514D5A">
        <w:rPr>
          <w:rFonts w:ascii="Arial" w:hAnsi="Arial" w:cs="Arial"/>
          <w:bCs/>
          <w:i/>
          <w:sz w:val="20"/>
          <w:szCs w:val="20"/>
        </w:rPr>
        <w:t>4</w:t>
      </w:r>
      <w:r w:rsidR="005E5E8C" w:rsidRPr="00514D5A">
        <w:rPr>
          <w:rFonts w:ascii="Arial" w:hAnsi="Arial" w:cs="Arial"/>
          <w:bCs/>
          <w:i/>
          <w:sz w:val="20"/>
          <w:szCs w:val="20"/>
        </w:rPr>
        <w:t xml:space="preserve">.1.1 </w:t>
      </w:r>
      <w:r w:rsidR="004E60F0" w:rsidRPr="00514D5A">
        <w:rPr>
          <w:rFonts w:ascii="Arial" w:hAnsi="Arial" w:cs="Arial"/>
          <w:bCs/>
          <w:i/>
          <w:sz w:val="20"/>
          <w:szCs w:val="20"/>
        </w:rPr>
        <w:t>B</w:t>
      </w:r>
      <w:r w:rsidR="007E05AF" w:rsidRPr="00514D5A">
        <w:rPr>
          <w:rFonts w:ascii="Arial" w:hAnsi="Arial" w:cs="Arial"/>
          <w:bCs/>
          <w:i/>
          <w:sz w:val="20"/>
          <w:szCs w:val="20"/>
        </w:rPr>
        <w:t>aring Bank</w:t>
      </w:r>
    </w:p>
    <w:p w14:paraId="1906EBA9" w14:textId="1C514E21" w:rsidR="008C1433" w:rsidRPr="00514D5A" w:rsidRDefault="008C1433" w:rsidP="00B1407A">
      <w:pPr>
        <w:shd w:val="clear" w:color="auto" w:fill="FFFFFF"/>
        <w:spacing w:line="480" w:lineRule="auto"/>
        <w:jc w:val="both"/>
        <w:rPr>
          <w:rFonts w:ascii="Arial" w:eastAsia="Times New Roman" w:hAnsi="Arial" w:cs="Arial"/>
          <w:bCs/>
          <w:sz w:val="20"/>
          <w:szCs w:val="20"/>
        </w:rPr>
      </w:pPr>
      <w:r w:rsidRPr="00514D5A">
        <w:rPr>
          <w:rFonts w:ascii="Arial" w:eastAsia="Times New Roman" w:hAnsi="Arial" w:cs="Arial"/>
          <w:sz w:val="20"/>
          <w:szCs w:val="20"/>
        </w:rPr>
        <w:t xml:space="preserve">Baring was one of England's oldest merchant banks, established in 1762, and at </w:t>
      </w:r>
      <w:proofErr w:type="gramStart"/>
      <w:r w:rsidRPr="00514D5A">
        <w:rPr>
          <w:rFonts w:ascii="Arial" w:eastAsia="Times New Roman" w:hAnsi="Arial" w:cs="Arial"/>
          <w:sz w:val="20"/>
          <w:szCs w:val="20"/>
        </w:rPr>
        <w:t>one</w:t>
      </w:r>
      <w:proofErr w:type="gramEnd"/>
      <w:r w:rsidRPr="00514D5A">
        <w:rPr>
          <w:rFonts w:ascii="Arial" w:eastAsia="Times New Roman" w:hAnsi="Arial" w:cs="Arial"/>
          <w:sz w:val="20"/>
          <w:szCs w:val="20"/>
        </w:rPr>
        <w:t xml:space="preserve"> point, even Queen Elizabeth II had an account with it. </w:t>
      </w:r>
      <w:r w:rsidRPr="00514D5A">
        <w:rPr>
          <w:rFonts w:ascii="Arial" w:eastAsia="Times New Roman" w:hAnsi="Arial" w:cs="Arial"/>
          <w:bCs/>
          <w:sz w:val="20"/>
          <w:szCs w:val="20"/>
        </w:rPr>
        <w:t xml:space="preserve">The bank expanded its activities in Asia, the Pacific, and Latin America </w:t>
      </w:r>
      <w:proofErr w:type="gramStart"/>
      <w:r w:rsidRPr="00514D5A">
        <w:rPr>
          <w:rFonts w:ascii="Arial" w:eastAsia="Times New Roman" w:hAnsi="Arial" w:cs="Arial"/>
          <w:bCs/>
          <w:sz w:val="20"/>
          <w:szCs w:val="20"/>
        </w:rPr>
        <w:t>as a result</w:t>
      </w:r>
      <w:proofErr w:type="gramEnd"/>
      <w:r w:rsidRPr="00514D5A">
        <w:rPr>
          <w:rFonts w:ascii="Arial" w:eastAsia="Times New Roman" w:hAnsi="Arial" w:cs="Arial"/>
          <w:bCs/>
          <w:sz w:val="20"/>
          <w:szCs w:val="20"/>
        </w:rPr>
        <w:t xml:space="preserve"> of its growing recognition as a financial concern </w:t>
      </w:r>
      <w:bookmarkStart w:id="12" w:name="_Hlk203536804"/>
      <w:r w:rsidRPr="00514D5A">
        <w:rPr>
          <w:rFonts w:ascii="Arial" w:eastAsia="Times New Roman" w:hAnsi="Arial" w:cs="Arial"/>
          <w:bCs/>
          <w:sz w:val="20"/>
          <w:szCs w:val="20"/>
        </w:rPr>
        <w:t>(C</w:t>
      </w:r>
      <w:r w:rsidR="003055F9" w:rsidRPr="00514D5A">
        <w:rPr>
          <w:rFonts w:ascii="Arial" w:eastAsia="Times New Roman" w:hAnsi="Arial" w:cs="Arial"/>
          <w:bCs/>
          <w:sz w:val="20"/>
          <w:szCs w:val="20"/>
        </w:rPr>
        <w:t>o</w:t>
      </w:r>
      <w:r w:rsidRPr="00514D5A">
        <w:rPr>
          <w:rFonts w:ascii="Arial" w:eastAsia="Times New Roman" w:hAnsi="Arial" w:cs="Arial"/>
          <w:bCs/>
          <w:sz w:val="20"/>
          <w:szCs w:val="20"/>
        </w:rPr>
        <w:t>ll</w:t>
      </w:r>
      <w:r w:rsidR="003055F9" w:rsidRPr="00514D5A">
        <w:rPr>
          <w:rFonts w:ascii="Arial" w:eastAsia="Times New Roman" w:hAnsi="Arial" w:cs="Arial"/>
          <w:bCs/>
          <w:sz w:val="20"/>
          <w:szCs w:val="20"/>
        </w:rPr>
        <w:t>i</w:t>
      </w:r>
      <w:r w:rsidRPr="00514D5A">
        <w:rPr>
          <w:rFonts w:ascii="Arial" w:eastAsia="Times New Roman" w:hAnsi="Arial" w:cs="Arial"/>
          <w:bCs/>
          <w:sz w:val="20"/>
          <w:szCs w:val="20"/>
        </w:rPr>
        <w:t>e</w:t>
      </w:r>
      <w:r w:rsidR="003055F9" w:rsidRPr="00514D5A">
        <w:rPr>
          <w:rFonts w:ascii="Arial" w:eastAsia="Times New Roman" w:hAnsi="Arial" w:cs="Arial"/>
          <w:bCs/>
          <w:sz w:val="20"/>
          <w:szCs w:val="20"/>
        </w:rPr>
        <w:t>r</w:t>
      </w:r>
      <w:r w:rsidR="003C1CF2" w:rsidRPr="00514D5A">
        <w:rPr>
          <w:rFonts w:ascii="Arial" w:eastAsia="Times New Roman" w:hAnsi="Arial" w:cs="Arial"/>
          <w:bCs/>
          <w:sz w:val="20"/>
          <w:szCs w:val="20"/>
        </w:rPr>
        <w:t>,</w:t>
      </w:r>
      <w:r w:rsidRPr="00514D5A">
        <w:rPr>
          <w:rFonts w:ascii="Arial" w:eastAsia="Times New Roman" w:hAnsi="Arial" w:cs="Arial"/>
          <w:bCs/>
          <w:sz w:val="20"/>
          <w:szCs w:val="20"/>
        </w:rPr>
        <w:t xml:space="preserve"> P</w:t>
      </w:r>
      <w:r w:rsidR="003C1CF2" w:rsidRPr="00514D5A">
        <w:rPr>
          <w:rFonts w:ascii="Arial" w:eastAsia="Times New Roman" w:hAnsi="Arial" w:cs="Arial"/>
          <w:bCs/>
          <w:sz w:val="20"/>
          <w:szCs w:val="20"/>
        </w:rPr>
        <w:t xml:space="preserve">. </w:t>
      </w:r>
      <w:r w:rsidR="003055F9" w:rsidRPr="00514D5A">
        <w:rPr>
          <w:rFonts w:ascii="Arial" w:eastAsia="Times New Roman" w:hAnsi="Arial" w:cs="Arial"/>
          <w:bCs/>
          <w:sz w:val="20"/>
          <w:szCs w:val="20"/>
        </w:rPr>
        <w:t>A. 1993</w:t>
      </w:r>
      <w:r w:rsidRPr="00514D5A">
        <w:rPr>
          <w:rFonts w:ascii="Arial" w:eastAsia="Times New Roman" w:hAnsi="Arial" w:cs="Arial"/>
          <w:bCs/>
          <w:sz w:val="20"/>
          <w:szCs w:val="20"/>
        </w:rPr>
        <w:t>).</w:t>
      </w:r>
    </w:p>
    <w:bookmarkEnd w:id="12"/>
    <w:p w14:paraId="398B7B9A" w14:textId="67FFB402" w:rsidR="008C1433" w:rsidRPr="00514D5A" w:rsidRDefault="008C1433" w:rsidP="00B1407A">
      <w:pPr>
        <w:shd w:val="clear" w:color="auto" w:fill="FFFFFF"/>
        <w:spacing w:line="480" w:lineRule="auto"/>
        <w:jc w:val="both"/>
        <w:rPr>
          <w:rFonts w:ascii="Arial" w:eastAsia="Times New Roman" w:hAnsi="Arial" w:cs="Arial"/>
          <w:sz w:val="20"/>
          <w:szCs w:val="20"/>
        </w:rPr>
      </w:pPr>
      <w:proofErr w:type="gramStart"/>
      <w:r w:rsidRPr="00514D5A">
        <w:rPr>
          <w:rFonts w:ascii="Arial" w:eastAsia="Times New Roman" w:hAnsi="Arial" w:cs="Arial"/>
          <w:sz w:val="20"/>
          <w:szCs w:val="20"/>
        </w:rPr>
        <w:t>But</w:t>
      </w:r>
      <w:proofErr w:type="gramEnd"/>
      <w:r w:rsidRPr="00514D5A">
        <w:rPr>
          <w:rFonts w:ascii="Arial" w:eastAsia="Times New Roman" w:hAnsi="Arial" w:cs="Arial"/>
          <w:sz w:val="20"/>
          <w:szCs w:val="20"/>
        </w:rPr>
        <w:t xml:space="preserve"> this venerable bank collapsed in 1995 due to massive losses incurred by a single trader, Nick Leeson, through unauthorized and risky derivative trades. The collapse, triggered by Leeson's fraudulent activities, resulted in losses exceeding its available capital and led to the bank's acquisition by ING </w:t>
      </w:r>
      <w:proofErr w:type="gramStart"/>
      <w:r w:rsidRPr="00514D5A">
        <w:rPr>
          <w:rFonts w:ascii="Arial" w:eastAsia="Times New Roman" w:hAnsi="Arial" w:cs="Arial"/>
          <w:sz w:val="20"/>
          <w:szCs w:val="20"/>
        </w:rPr>
        <w:t>Group</w:t>
      </w:r>
      <w:r w:rsidR="003C1CF2" w:rsidRPr="00514D5A">
        <w:rPr>
          <w:rFonts w:ascii="Arial" w:eastAsia="Times New Roman" w:hAnsi="Arial" w:cs="Arial"/>
          <w:bCs/>
          <w:sz w:val="20"/>
          <w:szCs w:val="20"/>
        </w:rPr>
        <w:t>(</w:t>
      </w:r>
      <w:proofErr w:type="spellStart"/>
      <w:proofErr w:type="gramEnd"/>
      <w:r w:rsidR="003C1CF2" w:rsidRPr="00514D5A">
        <w:rPr>
          <w:rFonts w:ascii="Arial" w:eastAsia="Times New Roman" w:hAnsi="Arial" w:cs="Arial"/>
          <w:bCs/>
          <w:sz w:val="20"/>
          <w:szCs w:val="20"/>
        </w:rPr>
        <w:t>Bhalla</w:t>
      </w:r>
      <w:proofErr w:type="spellEnd"/>
      <w:r w:rsidR="003C1CF2" w:rsidRPr="00514D5A">
        <w:rPr>
          <w:rFonts w:ascii="Arial" w:eastAsia="Times New Roman" w:hAnsi="Arial" w:cs="Arial"/>
          <w:bCs/>
          <w:sz w:val="20"/>
          <w:szCs w:val="20"/>
        </w:rPr>
        <w:t xml:space="preserve">, A. S. 1995).  </w:t>
      </w:r>
      <w:r w:rsidRPr="00514D5A">
        <w:rPr>
          <w:rFonts w:ascii="Arial" w:eastAsia="Times New Roman" w:hAnsi="Arial" w:cs="Arial"/>
          <w:sz w:val="20"/>
          <w:szCs w:val="20"/>
        </w:rPr>
        <w:t> </w:t>
      </w:r>
    </w:p>
    <w:p w14:paraId="3711882E" w14:textId="4B5084BC" w:rsidR="008C1433" w:rsidRPr="00514D5A" w:rsidRDefault="008C1433" w:rsidP="00B1407A">
      <w:pPr>
        <w:shd w:val="clear" w:color="auto" w:fill="FFFFFF"/>
        <w:spacing w:after="150" w:line="480" w:lineRule="auto"/>
        <w:jc w:val="both"/>
        <w:rPr>
          <w:rFonts w:ascii="Arial" w:eastAsia="Times New Roman" w:hAnsi="Arial" w:cs="Arial"/>
          <w:bCs/>
          <w:sz w:val="20"/>
          <w:szCs w:val="20"/>
        </w:rPr>
      </w:pPr>
      <w:r w:rsidRPr="00514D5A">
        <w:rPr>
          <w:rFonts w:ascii="Arial" w:eastAsia="Times New Roman" w:hAnsi="Arial" w:cs="Arial"/>
          <w:bCs/>
          <w:sz w:val="20"/>
          <w:szCs w:val="20"/>
        </w:rPr>
        <w:t xml:space="preserve">In 1989, Nick Leeson </w:t>
      </w:r>
      <w:proofErr w:type="gramStart"/>
      <w:r w:rsidRPr="00514D5A">
        <w:rPr>
          <w:rFonts w:ascii="Arial" w:eastAsia="Times New Roman" w:hAnsi="Arial" w:cs="Arial"/>
          <w:bCs/>
          <w:sz w:val="20"/>
          <w:szCs w:val="20"/>
        </w:rPr>
        <w:t>was appointed</w:t>
      </w:r>
      <w:proofErr w:type="gramEnd"/>
      <w:r w:rsidRPr="00514D5A">
        <w:rPr>
          <w:rFonts w:ascii="Arial" w:eastAsia="Times New Roman" w:hAnsi="Arial" w:cs="Arial"/>
          <w:bCs/>
          <w:sz w:val="20"/>
          <w:szCs w:val="20"/>
        </w:rPr>
        <w:t xml:space="preserve"> as head of settlement in Barings Singapore. He </w:t>
      </w:r>
      <w:proofErr w:type="gramStart"/>
      <w:r w:rsidRPr="00514D5A">
        <w:rPr>
          <w:rFonts w:ascii="Arial" w:eastAsia="Times New Roman" w:hAnsi="Arial" w:cs="Arial"/>
          <w:bCs/>
          <w:sz w:val="20"/>
          <w:szCs w:val="20"/>
        </w:rPr>
        <w:t>was authorized</w:t>
      </w:r>
      <w:proofErr w:type="gramEnd"/>
      <w:r w:rsidRPr="00514D5A">
        <w:rPr>
          <w:rFonts w:ascii="Arial" w:eastAsia="Times New Roman" w:hAnsi="Arial" w:cs="Arial"/>
          <w:bCs/>
          <w:sz w:val="20"/>
          <w:szCs w:val="20"/>
        </w:rPr>
        <w:t xml:space="preserve"> to both trade and look after the growing derivatives market. Leeson was an aggressive trader</w:t>
      </w:r>
      <w:r w:rsidR="00336D8B" w:rsidRPr="00514D5A">
        <w:rPr>
          <w:rFonts w:ascii="Arial" w:eastAsia="Times New Roman" w:hAnsi="Arial" w:cs="Arial"/>
          <w:bCs/>
          <w:sz w:val="20"/>
          <w:szCs w:val="20"/>
        </w:rPr>
        <w:t>.</w:t>
      </w:r>
      <w:r w:rsidRPr="00514D5A">
        <w:rPr>
          <w:rFonts w:ascii="Arial" w:eastAsia="Times New Roman" w:hAnsi="Arial" w:cs="Arial"/>
          <w:bCs/>
          <w:sz w:val="20"/>
          <w:szCs w:val="20"/>
        </w:rPr>
        <w:t xml:space="preserve"> He made money through arbitrage by buying and selling futures contracts on the Osaka Securities Exchange and the Singapore Monetary Exchange (</w:t>
      </w:r>
      <w:proofErr w:type="spellStart"/>
      <w:r w:rsidRPr="00514D5A">
        <w:rPr>
          <w:rFonts w:ascii="Arial" w:eastAsia="Times New Roman" w:hAnsi="Arial" w:cs="Arial"/>
          <w:bCs/>
          <w:sz w:val="20"/>
          <w:szCs w:val="20"/>
        </w:rPr>
        <w:t>Bhalla</w:t>
      </w:r>
      <w:proofErr w:type="spellEnd"/>
      <w:r w:rsidRPr="00514D5A">
        <w:rPr>
          <w:rFonts w:ascii="Arial" w:eastAsia="Times New Roman" w:hAnsi="Arial" w:cs="Arial"/>
          <w:bCs/>
          <w:sz w:val="20"/>
          <w:szCs w:val="20"/>
        </w:rPr>
        <w:t xml:space="preserve">, A. S. 1995).  </w:t>
      </w:r>
    </w:p>
    <w:p w14:paraId="36A22042" w14:textId="2E5F781C" w:rsidR="008C1433" w:rsidRPr="00514D5A" w:rsidRDefault="008C1433" w:rsidP="00B1407A">
      <w:pPr>
        <w:shd w:val="clear" w:color="auto" w:fill="FFFFFF"/>
        <w:spacing w:after="150" w:line="480" w:lineRule="auto"/>
        <w:jc w:val="both"/>
        <w:rPr>
          <w:rFonts w:ascii="Arial" w:eastAsia="Times New Roman" w:hAnsi="Arial" w:cs="Arial"/>
          <w:bCs/>
          <w:sz w:val="20"/>
          <w:szCs w:val="20"/>
        </w:rPr>
      </w:pPr>
      <w:r w:rsidRPr="00514D5A">
        <w:rPr>
          <w:rFonts w:ascii="Arial" w:eastAsia="Times New Roman" w:hAnsi="Arial" w:cs="Arial"/>
          <w:bCs/>
          <w:sz w:val="20"/>
          <w:szCs w:val="20"/>
        </w:rPr>
        <w:t xml:space="preserve">His good fortune ended when a powerful earthquake in Japan negatively </w:t>
      </w:r>
      <w:proofErr w:type="gramStart"/>
      <w:r w:rsidRPr="00514D5A">
        <w:rPr>
          <w:rFonts w:ascii="Arial" w:eastAsia="Times New Roman" w:hAnsi="Arial" w:cs="Arial"/>
          <w:bCs/>
          <w:sz w:val="20"/>
          <w:szCs w:val="20"/>
        </w:rPr>
        <w:t>impacted</w:t>
      </w:r>
      <w:proofErr w:type="gramEnd"/>
      <w:r w:rsidRPr="00514D5A">
        <w:rPr>
          <w:rFonts w:ascii="Arial" w:eastAsia="Times New Roman" w:hAnsi="Arial" w:cs="Arial"/>
          <w:bCs/>
          <w:sz w:val="20"/>
          <w:szCs w:val="20"/>
        </w:rPr>
        <w:t xml:space="preserve"> the stock market, leading to significant losses for Barings. After requesting additional funds from headquarters in London, he faced even more losses. To protect his reputation, Leeson concealed these losses in an error account, initially numbered 99905 and later 88888, which </w:t>
      </w:r>
      <w:proofErr w:type="gramStart"/>
      <w:r w:rsidRPr="00514D5A">
        <w:rPr>
          <w:rFonts w:ascii="Arial" w:eastAsia="Times New Roman" w:hAnsi="Arial" w:cs="Arial"/>
          <w:bCs/>
          <w:sz w:val="20"/>
          <w:szCs w:val="20"/>
        </w:rPr>
        <w:t>was used</w:t>
      </w:r>
      <w:proofErr w:type="gramEnd"/>
      <w:r w:rsidRPr="00514D5A">
        <w:rPr>
          <w:rFonts w:ascii="Arial" w:eastAsia="Times New Roman" w:hAnsi="Arial" w:cs="Arial"/>
          <w:bCs/>
          <w:sz w:val="20"/>
          <w:szCs w:val="20"/>
        </w:rPr>
        <w:t xml:space="preserve"> to hide losses from Barings' senior management. </w:t>
      </w:r>
      <w:proofErr w:type="gramStart"/>
      <w:r w:rsidRPr="00514D5A">
        <w:rPr>
          <w:rFonts w:ascii="Arial" w:eastAsia="Times New Roman" w:hAnsi="Arial" w:cs="Arial"/>
          <w:bCs/>
          <w:sz w:val="20"/>
          <w:szCs w:val="20"/>
        </w:rPr>
        <w:t>and</w:t>
      </w:r>
      <w:proofErr w:type="gramEnd"/>
      <w:r w:rsidRPr="00514D5A">
        <w:rPr>
          <w:rFonts w:ascii="Arial" w:eastAsia="Times New Roman" w:hAnsi="Arial" w:cs="Arial"/>
          <w:bCs/>
          <w:sz w:val="20"/>
          <w:szCs w:val="20"/>
        </w:rPr>
        <w:t xml:space="preserve"> engaged in speculative trading, which resulted in even larger hidden losses. He continued to increase his bets, but ultimately, losses totaled £850 million, leading to the overnight collapse of Barings, a 233-year-old bank (</w:t>
      </w:r>
      <w:r w:rsidR="00711355" w:rsidRPr="00514D5A">
        <w:rPr>
          <w:rFonts w:ascii="Arial" w:eastAsia="Times New Roman" w:hAnsi="Arial" w:cs="Arial"/>
          <w:bCs/>
          <w:sz w:val="20"/>
          <w:szCs w:val="20"/>
        </w:rPr>
        <w:t>Prentice, R. A. 2022).</w:t>
      </w:r>
    </w:p>
    <w:p w14:paraId="6992EE3B" w14:textId="09558AE8" w:rsidR="007E05AF" w:rsidRPr="00514D5A" w:rsidRDefault="00444521" w:rsidP="00B1407A">
      <w:pPr>
        <w:spacing w:line="480" w:lineRule="auto"/>
        <w:jc w:val="both"/>
        <w:rPr>
          <w:rFonts w:ascii="Arial" w:hAnsi="Arial" w:cs="Arial"/>
          <w:bCs/>
          <w:i/>
          <w:sz w:val="20"/>
          <w:szCs w:val="20"/>
        </w:rPr>
      </w:pPr>
      <w:r w:rsidRPr="00514D5A">
        <w:rPr>
          <w:rFonts w:ascii="Arial" w:hAnsi="Arial" w:cs="Arial"/>
          <w:bCs/>
          <w:i/>
          <w:sz w:val="20"/>
          <w:szCs w:val="20"/>
        </w:rPr>
        <w:lastRenderedPageBreak/>
        <w:tab/>
      </w:r>
      <w:r w:rsidR="007E05AF" w:rsidRPr="00514D5A">
        <w:rPr>
          <w:rFonts w:ascii="Arial" w:hAnsi="Arial" w:cs="Arial"/>
          <w:bCs/>
          <w:i/>
          <w:sz w:val="20"/>
          <w:szCs w:val="20"/>
        </w:rPr>
        <w:t xml:space="preserve">Reason </w:t>
      </w:r>
      <w:proofErr w:type="gramStart"/>
      <w:r w:rsidR="007E05AF" w:rsidRPr="00514D5A">
        <w:rPr>
          <w:rFonts w:ascii="Arial" w:hAnsi="Arial" w:cs="Arial"/>
          <w:bCs/>
          <w:i/>
          <w:sz w:val="20"/>
          <w:szCs w:val="20"/>
        </w:rPr>
        <w:t>Behind</w:t>
      </w:r>
      <w:proofErr w:type="gramEnd"/>
      <w:r w:rsidR="007E05AF" w:rsidRPr="00514D5A">
        <w:rPr>
          <w:rFonts w:ascii="Arial" w:hAnsi="Arial" w:cs="Arial"/>
          <w:bCs/>
          <w:i/>
          <w:sz w:val="20"/>
          <w:szCs w:val="20"/>
        </w:rPr>
        <w:t xml:space="preserve"> the Collapses and Lessons Learned from Collapses</w:t>
      </w:r>
    </w:p>
    <w:p w14:paraId="6D9EC177" w14:textId="67179C29" w:rsidR="00FC7403" w:rsidRPr="00514D5A" w:rsidRDefault="00FC7403" w:rsidP="00B1407A">
      <w:pPr>
        <w:spacing w:line="480" w:lineRule="auto"/>
        <w:jc w:val="both"/>
        <w:rPr>
          <w:rFonts w:ascii="Arial" w:hAnsi="Arial" w:cs="Arial"/>
          <w:bCs/>
          <w:sz w:val="20"/>
          <w:szCs w:val="20"/>
        </w:rPr>
      </w:pPr>
      <w:bookmarkStart w:id="13" w:name="_Hlk173006717"/>
      <w:r w:rsidRPr="00514D5A">
        <w:rPr>
          <w:rFonts w:ascii="Arial" w:hAnsi="Arial" w:cs="Arial"/>
          <w:bCs/>
          <w:sz w:val="20"/>
          <w:szCs w:val="20"/>
        </w:rPr>
        <w:t xml:space="preserve">The collapse highlighted the dangers of unchecked trading activity, </w:t>
      </w:r>
      <w:r w:rsidR="00C772C9" w:rsidRPr="00514D5A">
        <w:rPr>
          <w:rFonts w:ascii="Arial" w:hAnsi="Arial" w:cs="Arial"/>
          <w:bCs/>
          <w:sz w:val="20"/>
          <w:szCs w:val="20"/>
        </w:rPr>
        <w:t>a lack of</w:t>
      </w:r>
      <w:r w:rsidR="003B68FB" w:rsidRPr="00514D5A">
        <w:rPr>
          <w:rFonts w:ascii="Arial" w:hAnsi="Arial" w:cs="Arial"/>
          <w:bCs/>
          <w:sz w:val="20"/>
          <w:szCs w:val="20"/>
        </w:rPr>
        <w:t xml:space="preserve"> controls and supervision of the Singapore office, </w:t>
      </w:r>
      <w:r w:rsidRPr="00514D5A">
        <w:rPr>
          <w:rFonts w:ascii="Arial" w:hAnsi="Arial" w:cs="Arial"/>
          <w:bCs/>
          <w:sz w:val="20"/>
          <w:szCs w:val="20"/>
        </w:rPr>
        <w:t>inadequate risk management, and the need for robust internal controls. </w:t>
      </w:r>
    </w:p>
    <w:p w14:paraId="23BF5132" w14:textId="431937DE" w:rsidR="00A40243" w:rsidRPr="00514D5A" w:rsidRDefault="003055F9" w:rsidP="00B1407A">
      <w:pPr>
        <w:spacing w:line="480" w:lineRule="auto"/>
        <w:jc w:val="both"/>
        <w:rPr>
          <w:rFonts w:ascii="Arial" w:hAnsi="Arial" w:cs="Arial"/>
          <w:bCs/>
          <w:sz w:val="20"/>
          <w:szCs w:val="20"/>
        </w:rPr>
      </w:pPr>
      <w:r w:rsidRPr="00514D5A">
        <w:rPr>
          <w:rFonts w:ascii="Arial" w:hAnsi="Arial" w:cs="Arial"/>
          <w:bCs/>
          <w:sz w:val="20"/>
          <w:szCs w:val="20"/>
        </w:rPr>
        <w:t>Collier, P. A. (1993</w:t>
      </w:r>
      <w:proofErr w:type="gramStart"/>
      <w:r w:rsidRPr="00514D5A">
        <w:rPr>
          <w:rFonts w:ascii="Arial" w:hAnsi="Arial" w:cs="Arial"/>
          <w:bCs/>
          <w:sz w:val="20"/>
          <w:szCs w:val="20"/>
        </w:rPr>
        <w:t>)</w:t>
      </w:r>
      <w:r w:rsidR="000847F9" w:rsidRPr="00514D5A">
        <w:rPr>
          <w:rFonts w:ascii="Arial" w:hAnsi="Arial" w:cs="Arial"/>
          <w:bCs/>
          <w:sz w:val="20"/>
          <w:szCs w:val="20"/>
        </w:rPr>
        <w:t>stated</w:t>
      </w:r>
      <w:proofErr w:type="gramEnd"/>
      <w:r w:rsidR="000847F9" w:rsidRPr="00514D5A">
        <w:rPr>
          <w:rFonts w:ascii="Arial" w:hAnsi="Arial" w:cs="Arial"/>
          <w:bCs/>
          <w:sz w:val="20"/>
          <w:szCs w:val="20"/>
        </w:rPr>
        <w:t xml:space="preserve"> in her study report that Baring Futures Singapore (BFS) conducted an internal audit in July 1994. The final report mentioned that Leeson was performing the dual roles of trader and back office manager, allowing him to complete transactions and then adjust them according to </w:t>
      </w:r>
      <w:r w:rsidR="00B24BDC" w:rsidRPr="00514D5A">
        <w:rPr>
          <w:rFonts w:ascii="Arial" w:hAnsi="Arial" w:cs="Arial"/>
          <w:bCs/>
          <w:sz w:val="20"/>
          <w:szCs w:val="20"/>
        </w:rPr>
        <w:t>instructions,</w:t>
      </w:r>
      <w:r w:rsidR="000847F9" w:rsidRPr="00514D5A">
        <w:rPr>
          <w:rFonts w:ascii="Arial" w:hAnsi="Arial" w:cs="Arial"/>
          <w:bCs/>
          <w:sz w:val="20"/>
          <w:szCs w:val="20"/>
        </w:rPr>
        <w:t xml:space="preserve"> even though no anomalies concerning unlawful transactions </w:t>
      </w:r>
      <w:proofErr w:type="gramStart"/>
      <w:r w:rsidR="000847F9" w:rsidRPr="00514D5A">
        <w:rPr>
          <w:rFonts w:ascii="Arial" w:hAnsi="Arial" w:cs="Arial"/>
          <w:bCs/>
          <w:sz w:val="20"/>
          <w:szCs w:val="20"/>
        </w:rPr>
        <w:t>were found</w:t>
      </w:r>
      <w:proofErr w:type="gramEnd"/>
      <w:r w:rsidR="007E05AF" w:rsidRPr="00514D5A">
        <w:rPr>
          <w:rFonts w:ascii="Arial" w:hAnsi="Arial" w:cs="Arial"/>
          <w:bCs/>
          <w:sz w:val="20"/>
          <w:szCs w:val="20"/>
        </w:rPr>
        <w:t xml:space="preserve">. </w:t>
      </w:r>
      <w:bookmarkEnd w:id="13"/>
      <w:r w:rsidR="00120C3A" w:rsidRPr="00514D5A">
        <w:rPr>
          <w:rFonts w:ascii="Arial" w:hAnsi="Arial" w:cs="Arial"/>
          <w:bCs/>
          <w:sz w:val="20"/>
          <w:szCs w:val="20"/>
        </w:rPr>
        <w:t>This dual role creates an opportunity for him to hide losses in a secret "error" account. </w:t>
      </w:r>
      <w:r w:rsidR="00A40243" w:rsidRPr="00514D5A">
        <w:rPr>
          <w:rFonts w:ascii="Arial" w:hAnsi="Arial" w:cs="Arial"/>
          <w:bCs/>
          <w:sz w:val="20"/>
          <w:szCs w:val="20"/>
        </w:rPr>
        <w:t xml:space="preserve">An internal audit warned management against Leeson's excessive </w:t>
      </w:r>
      <w:r w:rsidR="00B24BDC" w:rsidRPr="00514D5A">
        <w:rPr>
          <w:rFonts w:ascii="Arial" w:hAnsi="Arial" w:cs="Arial"/>
          <w:bCs/>
          <w:sz w:val="20"/>
          <w:szCs w:val="20"/>
        </w:rPr>
        <w:t>concentration of power, which led to errors</w:t>
      </w:r>
      <w:r w:rsidR="00A40243" w:rsidRPr="00514D5A">
        <w:rPr>
          <w:rFonts w:ascii="Arial" w:hAnsi="Arial" w:cs="Arial"/>
          <w:bCs/>
          <w:sz w:val="20"/>
          <w:szCs w:val="20"/>
        </w:rPr>
        <w:t xml:space="preserve"> and fraud. However, management ignored </w:t>
      </w:r>
      <w:r w:rsidR="00B24BDC" w:rsidRPr="00514D5A">
        <w:rPr>
          <w:rFonts w:ascii="Arial" w:hAnsi="Arial" w:cs="Arial"/>
          <w:bCs/>
          <w:sz w:val="20"/>
          <w:szCs w:val="20"/>
        </w:rPr>
        <w:t>the auditors' warnings about speculative activities and non-compliance with</w:t>
      </w:r>
      <w:r w:rsidR="00A40243" w:rsidRPr="00514D5A">
        <w:rPr>
          <w:rFonts w:ascii="Arial" w:hAnsi="Arial" w:cs="Arial"/>
          <w:bCs/>
          <w:sz w:val="20"/>
          <w:szCs w:val="20"/>
        </w:rPr>
        <w:t xml:space="preserve"> banking regulations</w:t>
      </w:r>
      <w:r w:rsidR="00D06E5A" w:rsidRPr="00514D5A">
        <w:rPr>
          <w:rFonts w:ascii="Arial" w:hAnsi="Arial" w:cs="Arial"/>
          <w:bCs/>
          <w:sz w:val="20"/>
          <w:szCs w:val="20"/>
        </w:rPr>
        <w:t>. Besides, in 1995</w:t>
      </w:r>
      <w:r w:rsidR="00B24BDC" w:rsidRPr="00514D5A">
        <w:rPr>
          <w:rFonts w:ascii="Arial" w:hAnsi="Arial" w:cs="Arial"/>
          <w:bCs/>
          <w:sz w:val="20"/>
          <w:szCs w:val="20"/>
        </w:rPr>
        <w:t>,</w:t>
      </w:r>
      <w:r w:rsidR="00D06E5A" w:rsidRPr="00514D5A">
        <w:rPr>
          <w:rFonts w:ascii="Arial" w:hAnsi="Arial" w:cs="Arial"/>
          <w:bCs/>
          <w:sz w:val="20"/>
          <w:szCs w:val="20"/>
        </w:rPr>
        <w:t xml:space="preserve"> </w:t>
      </w:r>
      <w:proofErr w:type="spellStart"/>
      <w:r w:rsidR="00D06E5A" w:rsidRPr="00514D5A">
        <w:rPr>
          <w:rFonts w:ascii="Arial" w:hAnsi="Arial" w:cs="Arial"/>
          <w:bCs/>
          <w:sz w:val="20"/>
          <w:szCs w:val="20"/>
        </w:rPr>
        <w:t>Bhalla</w:t>
      </w:r>
      <w:proofErr w:type="spellEnd"/>
      <w:r w:rsidR="00D06E5A" w:rsidRPr="00514D5A">
        <w:rPr>
          <w:rFonts w:ascii="Arial" w:hAnsi="Arial" w:cs="Arial"/>
          <w:bCs/>
          <w:sz w:val="20"/>
          <w:szCs w:val="20"/>
        </w:rPr>
        <w:t>, A.S.</w:t>
      </w:r>
      <w:r w:rsidR="00A40243" w:rsidRPr="00514D5A">
        <w:rPr>
          <w:rFonts w:ascii="Arial" w:hAnsi="Arial" w:cs="Arial"/>
          <w:bCs/>
          <w:sz w:val="20"/>
          <w:szCs w:val="20"/>
        </w:rPr>
        <w:t xml:space="preserve"> </w:t>
      </w:r>
      <w:r w:rsidR="00D06E5A" w:rsidRPr="00514D5A">
        <w:rPr>
          <w:rFonts w:ascii="Arial" w:hAnsi="Arial" w:cs="Arial"/>
          <w:bCs/>
          <w:sz w:val="20"/>
          <w:szCs w:val="20"/>
        </w:rPr>
        <w:t xml:space="preserve">contended </w:t>
      </w:r>
      <w:r w:rsidR="00A40243" w:rsidRPr="00514D5A">
        <w:rPr>
          <w:rFonts w:ascii="Arial" w:hAnsi="Arial" w:cs="Arial"/>
          <w:bCs/>
          <w:sz w:val="20"/>
          <w:szCs w:val="20"/>
        </w:rPr>
        <w:t>that there was no control mechanism in place because the bank did not have a separate risk-management department to keep an eye on Leeson's operations</w:t>
      </w:r>
      <w:r w:rsidR="00D06E5A" w:rsidRPr="00514D5A">
        <w:rPr>
          <w:rFonts w:ascii="Arial" w:hAnsi="Arial" w:cs="Arial"/>
          <w:bCs/>
          <w:sz w:val="20"/>
          <w:szCs w:val="20"/>
        </w:rPr>
        <w:t>.</w:t>
      </w:r>
    </w:p>
    <w:p w14:paraId="179A1BD5" w14:textId="6C082B00" w:rsidR="005227EA" w:rsidRPr="00514D5A" w:rsidRDefault="00572318" w:rsidP="00B1407A">
      <w:pPr>
        <w:spacing w:line="480" w:lineRule="auto"/>
        <w:jc w:val="both"/>
        <w:rPr>
          <w:rFonts w:ascii="Arial" w:hAnsi="Arial" w:cs="Arial"/>
          <w:bCs/>
          <w:sz w:val="20"/>
          <w:szCs w:val="20"/>
        </w:rPr>
      </w:pPr>
      <w:r w:rsidRPr="00514D5A">
        <w:rPr>
          <w:rFonts w:ascii="Arial" w:hAnsi="Arial" w:cs="Arial"/>
          <w:bCs/>
          <w:sz w:val="20"/>
          <w:szCs w:val="20"/>
        </w:rPr>
        <w:t>Thus, the collapse of Barings Bank illustrates the critical importance of identifying, managing, and controlling risks before they materialize</w:t>
      </w:r>
      <w:r w:rsidR="007E05AF" w:rsidRPr="00514D5A">
        <w:rPr>
          <w:rFonts w:ascii="Arial" w:hAnsi="Arial" w:cs="Arial"/>
          <w:bCs/>
          <w:sz w:val="20"/>
          <w:szCs w:val="20"/>
        </w:rPr>
        <w:t>.</w:t>
      </w:r>
      <w:r w:rsidR="007E05AF" w:rsidRPr="00514D5A">
        <w:rPr>
          <w:rFonts w:ascii="Arial" w:hAnsi="Arial" w:cs="Arial"/>
          <w:sz w:val="20"/>
          <w:szCs w:val="20"/>
        </w:rPr>
        <w:t xml:space="preserve"> </w:t>
      </w:r>
      <w:r w:rsidR="005227EA" w:rsidRPr="00514D5A">
        <w:rPr>
          <w:rFonts w:ascii="Arial" w:hAnsi="Arial" w:cs="Arial"/>
          <w:bCs/>
          <w:sz w:val="20"/>
          <w:szCs w:val="20"/>
        </w:rPr>
        <w:t xml:space="preserve">This fraud emphasizes the need for effective risk management and compliance guidelines in financial institutions to regulate and oversee risky ventures in </w:t>
      </w:r>
      <w:r w:rsidR="00B24BDC" w:rsidRPr="00514D5A">
        <w:rPr>
          <w:rFonts w:ascii="Arial" w:hAnsi="Arial" w:cs="Arial"/>
          <w:bCs/>
          <w:sz w:val="20"/>
          <w:szCs w:val="20"/>
        </w:rPr>
        <w:t xml:space="preserve">the </w:t>
      </w:r>
      <w:r w:rsidR="005227EA" w:rsidRPr="00514D5A">
        <w:rPr>
          <w:rFonts w:ascii="Arial" w:hAnsi="Arial" w:cs="Arial"/>
          <w:bCs/>
          <w:sz w:val="20"/>
          <w:szCs w:val="20"/>
        </w:rPr>
        <w:t>financial market.</w:t>
      </w:r>
    </w:p>
    <w:p w14:paraId="02CADBBB" w14:textId="79450865" w:rsidR="007E05AF" w:rsidRPr="00514D5A" w:rsidRDefault="00AF7A2F" w:rsidP="00B1407A">
      <w:pPr>
        <w:spacing w:line="480" w:lineRule="auto"/>
        <w:jc w:val="both"/>
        <w:rPr>
          <w:rFonts w:ascii="Arial" w:hAnsi="Arial" w:cs="Arial"/>
          <w:i/>
          <w:sz w:val="20"/>
          <w:szCs w:val="20"/>
        </w:rPr>
      </w:pPr>
      <w:r w:rsidRPr="00514D5A">
        <w:rPr>
          <w:rFonts w:ascii="Arial" w:hAnsi="Arial" w:cs="Arial"/>
          <w:i/>
          <w:sz w:val="20"/>
          <w:szCs w:val="20"/>
        </w:rPr>
        <w:t>4</w:t>
      </w:r>
      <w:r w:rsidR="005E5E8C" w:rsidRPr="00514D5A">
        <w:rPr>
          <w:rFonts w:ascii="Arial" w:hAnsi="Arial" w:cs="Arial"/>
          <w:i/>
          <w:sz w:val="20"/>
          <w:szCs w:val="20"/>
        </w:rPr>
        <w:t xml:space="preserve">.1.2 </w:t>
      </w:r>
      <w:r w:rsidR="007E05AF" w:rsidRPr="00514D5A">
        <w:rPr>
          <w:rFonts w:ascii="Arial" w:hAnsi="Arial" w:cs="Arial"/>
          <w:i/>
          <w:sz w:val="20"/>
          <w:szCs w:val="20"/>
        </w:rPr>
        <w:t>Enron</w:t>
      </w:r>
    </w:p>
    <w:p w14:paraId="71BB7737" w14:textId="341D4580" w:rsidR="005C1680" w:rsidRPr="00514D5A" w:rsidRDefault="00137BFA" w:rsidP="00B1407A">
      <w:pPr>
        <w:spacing w:line="480" w:lineRule="auto"/>
        <w:jc w:val="both"/>
        <w:rPr>
          <w:rFonts w:ascii="Arial" w:hAnsi="Arial" w:cs="Arial"/>
          <w:sz w:val="20"/>
          <w:szCs w:val="20"/>
        </w:rPr>
      </w:pPr>
      <w:bookmarkStart w:id="14" w:name="_Hlk173008724"/>
      <w:r w:rsidRPr="00514D5A">
        <w:rPr>
          <w:rFonts w:ascii="Arial" w:hAnsi="Arial" w:cs="Arial"/>
          <w:sz w:val="20"/>
          <w:szCs w:val="20"/>
        </w:rPr>
        <w:t xml:space="preserve">Enron, one of the leading companies in the global </w:t>
      </w:r>
      <w:proofErr w:type="gramStart"/>
      <w:r w:rsidRPr="00514D5A">
        <w:rPr>
          <w:rFonts w:ascii="Arial" w:hAnsi="Arial" w:cs="Arial"/>
          <w:sz w:val="20"/>
          <w:szCs w:val="20"/>
        </w:rPr>
        <w:t>energy trading</w:t>
      </w:r>
      <w:proofErr w:type="gramEnd"/>
      <w:r w:rsidRPr="00514D5A">
        <w:rPr>
          <w:rFonts w:ascii="Arial" w:hAnsi="Arial" w:cs="Arial"/>
          <w:sz w:val="20"/>
          <w:szCs w:val="20"/>
        </w:rPr>
        <w:t xml:space="preserve"> sector, expanded its large-scale energy trading activities from operating gas pipelines to acting as an agent and market maker.</w:t>
      </w:r>
    </w:p>
    <w:bookmarkEnd w:id="14"/>
    <w:p w14:paraId="0CD72F2E" w14:textId="11B75251" w:rsidR="00674D20" w:rsidRPr="00514D5A" w:rsidRDefault="00137BFA" w:rsidP="00B1407A">
      <w:pPr>
        <w:spacing w:line="480" w:lineRule="auto"/>
        <w:jc w:val="both"/>
        <w:rPr>
          <w:rFonts w:ascii="Arial" w:hAnsi="Arial" w:cs="Arial"/>
          <w:sz w:val="20"/>
          <w:szCs w:val="20"/>
        </w:rPr>
      </w:pPr>
      <w:r w:rsidRPr="00514D5A">
        <w:rPr>
          <w:rFonts w:ascii="Arial" w:hAnsi="Arial" w:cs="Arial"/>
          <w:sz w:val="20"/>
          <w:szCs w:val="20"/>
        </w:rPr>
        <w:t xml:space="preserve">Enron, one of America's most admired and innovative firms, saw its revenues grow from $13.5 billion in 1991 to $100 billion in 2001. It provided a nearly 500% return to its shareholders during the last five years of the previous millennium and ranked #7 on the Fortune 500 list in 2001 (Petra, S., &amp; </w:t>
      </w:r>
      <w:proofErr w:type="spellStart"/>
      <w:r w:rsidRPr="00514D5A">
        <w:rPr>
          <w:rFonts w:ascii="Arial" w:hAnsi="Arial" w:cs="Arial"/>
          <w:sz w:val="20"/>
          <w:szCs w:val="20"/>
        </w:rPr>
        <w:t>Spieler</w:t>
      </w:r>
      <w:proofErr w:type="spellEnd"/>
      <w:r w:rsidRPr="00514D5A">
        <w:rPr>
          <w:rFonts w:ascii="Arial" w:hAnsi="Arial" w:cs="Arial"/>
          <w:sz w:val="20"/>
          <w:szCs w:val="20"/>
        </w:rPr>
        <w:t xml:space="preserve">, A. C., 2020). </w:t>
      </w:r>
    </w:p>
    <w:p w14:paraId="22200E6A" w14:textId="66B4EB3B" w:rsidR="00F75089" w:rsidRPr="00514D5A" w:rsidRDefault="00137BFA" w:rsidP="00B1407A">
      <w:pPr>
        <w:spacing w:line="480" w:lineRule="auto"/>
        <w:jc w:val="both"/>
        <w:rPr>
          <w:rFonts w:ascii="Arial" w:hAnsi="Arial" w:cs="Arial"/>
          <w:iCs/>
          <w:sz w:val="20"/>
          <w:szCs w:val="20"/>
        </w:rPr>
      </w:pPr>
      <w:proofErr w:type="gramStart"/>
      <w:r w:rsidRPr="00514D5A">
        <w:rPr>
          <w:rFonts w:ascii="Arial" w:hAnsi="Arial" w:cs="Arial"/>
          <w:iCs/>
          <w:sz w:val="20"/>
          <w:szCs w:val="20"/>
        </w:rPr>
        <w:t>But</w:t>
      </w:r>
      <w:proofErr w:type="gramEnd"/>
      <w:r w:rsidRPr="00514D5A">
        <w:rPr>
          <w:rFonts w:ascii="Arial" w:hAnsi="Arial" w:cs="Arial"/>
          <w:iCs/>
          <w:sz w:val="20"/>
          <w:szCs w:val="20"/>
        </w:rPr>
        <w:t xml:space="preserve"> in 2001</w:t>
      </w:r>
      <w:r w:rsidR="00FD1EB6" w:rsidRPr="00514D5A">
        <w:rPr>
          <w:rFonts w:ascii="Arial" w:hAnsi="Arial" w:cs="Arial"/>
          <w:iCs/>
          <w:sz w:val="20"/>
          <w:szCs w:val="20"/>
        </w:rPr>
        <w:t>,</w:t>
      </w:r>
      <w:r w:rsidRPr="00514D5A">
        <w:rPr>
          <w:rFonts w:ascii="Arial" w:hAnsi="Arial" w:cs="Arial"/>
          <w:iCs/>
          <w:sz w:val="20"/>
          <w:szCs w:val="20"/>
        </w:rPr>
        <w:t xml:space="preserve"> the company collapsed</w:t>
      </w:r>
      <w:r w:rsidR="00FD1EB6" w:rsidRPr="00514D5A">
        <w:rPr>
          <w:rFonts w:ascii="Arial" w:hAnsi="Arial" w:cs="Arial"/>
          <w:iCs/>
          <w:sz w:val="20"/>
          <w:szCs w:val="20"/>
        </w:rPr>
        <w:t xml:space="preserve"> because of </w:t>
      </w:r>
      <w:r w:rsidR="009276E4" w:rsidRPr="00514D5A">
        <w:rPr>
          <w:rFonts w:ascii="Arial" w:hAnsi="Arial" w:cs="Arial"/>
          <w:iCs/>
          <w:sz w:val="20"/>
          <w:szCs w:val="20"/>
        </w:rPr>
        <w:t xml:space="preserve">its involvement in the energy sector and the formation of numerous "special purpose entities" (SPEs). </w:t>
      </w:r>
      <w:r w:rsidR="00FD1EB6" w:rsidRPr="00514D5A">
        <w:rPr>
          <w:rFonts w:ascii="Arial" w:hAnsi="Arial" w:cs="Arial"/>
          <w:iCs/>
          <w:sz w:val="20"/>
          <w:szCs w:val="20"/>
        </w:rPr>
        <w:t xml:space="preserve">Enron inflated its net income by over $500 million and stockholder equity by more than $1 billion </w:t>
      </w:r>
      <w:proofErr w:type="gramStart"/>
      <w:r w:rsidR="00FD1EB6" w:rsidRPr="00514D5A">
        <w:rPr>
          <w:rFonts w:ascii="Arial" w:hAnsi="Arial" w:cs="Arial"/>
          <w:iCs/>
          <w:sz w:val="20"/>
          <w:szCs w:val="20"/>
        </w:rPr>
        <w:t>through the use of</w:t>
      </w:r>
      <w:proofErr w:type="gramEnd"/>
      <w:r w:rsidR="00FD1EB6" w:rsidRPr="00514D5A">
        <w:rPr>
          <w:rFonts w:ascii="Arial" w:hAnsi="Arial" w:cs="Arial"/>
          <w:iCs/>
          <w:sz w:val="20"/>
          <w:szCs w:val="20"/>
        </w:rPr>
        <w:t xml:space="preserve"> SPEs to conceal substantial losses from the market</w:t>
      </w:r>
      <w:r w:rsidR="00CF32B5" w:rsidRPr="00514D5A">
        <w:rPr>
          <w:rFonts w:ascii="Arial" w:hAnsi="Arial" w:cs="Arial"/>
          <w:iCs/>
          <w:sz w:val="20"/>
          <w:szCs w:val="20"/>
        </w:rPr>
        <w:t>.</w:t>
      </w:r>
      <w:r w:rsidR="009276E4" w:rsidRPr="00514D5A">
        <w:rPr>
          <w:rFonts w:ascii="Arial" w:hAnsi="Arial" w:cs="Arial"/>
          <w:iCs/>
          <w:sz w:val="20"/>
          <w:szCs w:val="20"/>
        </w:rPr>
        <w:t xml:space="preserve"> </w:t>
      </w:r>
      <w:r w:rsidR="00CF32B5" w:rsidRPr="00514D5A">
        <w:rPr>
          <w:rFonts w:ascii="Arial" w:hAnsi="Arial" w:cs="Arial"/>
          <w:iCs/>
          <w:sz w:val="20"/>
          <w:szCs w:val="20"/>
        </w:rPr>
        <w:t>B</w:t>
      </w:r>
      <w:r w:rsidR="009276E4" w:rsidRPr="00514D5A">
        <w:rPr>
          <w:rFonts w:ascii="Arial" w:hAnsi="Arial" w:cs="Arial"/>
          <w:iCs/>
          <w:sz w:val="20"/>
          <w:szCs w:val="20"/>
        </w:rPr>
        <w:t>y failing to consolidate the SPEs as required by GAAP</w:t>
      </w:r>
      <w:bookmarkStart w:id="15" w:name="_Hlk203527990"/>
      <w:r w:rsidR="00CF32B5" w:rsidRPr="00514D5A">
        <w:rPr>
          <w:rFonts w:ascii="Arial" w:hAnsi="Arial" w:cs="Arial"/>
          <w:iCs/>
          <w:sz w:val="20"/>
          <w:szCs w:val="20"/>
        </w:rPr>
        <w:t xml:space="preserve">, Enron was able to successfully erase billions of dollars' worth of debt off its balance sheet </w:t>
      </w:r>
      <w:r w:rsidR="00FB3DBC" w:rsidRPr="00514D5A">
        <w:rPr>
          <w:rFonts w:ascii="Arial" w:hAnsi="Arial" w:cs="Arial"/>
          <w:iCs/>
          <w:sz w:val="20"/>
          <w:szCs w:val="20"/>
        </w:rPr>
        <w:t>(</w:t>
      </w:r>
      <w:proofErr w:type="spellStart"/>
      <w:r w:rsidR="00FB3DBC" w:rsidRPr="00514D5A">
        <w:rPr>
          <w:rFonts w:ascii="Arial" w:hAnsi="Arial" w:cs="Arial"/>
          <w:iCs/>
          <w:sz w:val="20"/>
          <w:szCs w:val="20"/>
        </w:rPr>
        <w:t>Mallin</w:t>
      </w:r>
      <w:proofErr w:type="spellEnd"/>
      <w:r w:rsidR="00FB3DBC" w:rsidRPr="00514D5A">
        <w:rPr>
          <w:rFonts w:ascii="Arial" w:hAnsi="Arial" w:cs="Arial"/>
          <w:iCs/>
          <w:sz w:val="20"/>
          <w:szCs w:val="20"/>
        </w:rPr>
        <w:t>, C.A.</w:t>
      </w:r>
      <w:proofErr w:type="gramStart"/>
      <w:r w:rsidR="00FB3DBC" w:rsidRPr="00514D5A">
        <w:rPr>
          <w:rFonts w:ascii="Arial" w:hAnsi="Arial" w:cs="Arial"/>
          <w:iCs/>
          <w:sz w:val="20"/>
          <w:szCs w:val="20"/>
        </w:rPr>
        <w:t>,2007</w:t>
      </w:r>
      <w:proofErr w:type="gramEnd"/>
      <w:r w:rsidR="00FB3DBC" w:rsidRPr="00514D5A">
        <w:rPr>
          <w:rFonts w:ascii="Arial" w:hAnsi="Arial" w:cs="Arial"/>
          <w:iCs/>
          <w:sz w:val="20"/>
          <w:szCs w:val="20"/>
        </w:rPr>
        <w:t>)</w:t>
      </w:r>
      <w:r w:rsidR="00F75089" w:rsidRPr="00514D5A">
        <w:rPr>
          <w:rFonts w:ascii="Arial" w:hAnsi="Arial" w:cs="Arial"/>
          <w:sz w:val="20"/>
          <w:szCs w:val="20"/>
        </w:rPr>
        <w:t xml:space="preserve">. </w:t>
      </w:r>
      <w:bookmarkStart w:id="16" w:name="_Hlk173009171"/>
      <w:bookmarkEnd w:id="15"/>
      <w:r w:rsidR="00480F26" w:rsidRPr="00514D5A">
        <w:rPr>
          <w:rFonts w:ascii="Arial" w:hAnsi="Arial" w:cs="Arial"/>
          <w:sz w:val="20"/>
          <w:szCs w:val="20"/>
        </w:rPr>
        <w:t xml:space="preserve">Enron's collapse began in October </w:t>
      </w:r>
      <w:r w:rsidR="00480F26" w:rsidRPr="00514D5A">
        <w:rPr>
          <w:rFonts w:ascii="Arial" w:hAnsi="Arial" w:cs="Arial"/>
          <w:sz w:val="20"/>
          <w:szCs w:val="20"/>
        </w:rPr>
        <w:lastRenderedPageBreak/>
        <w:t xml:space="preserve">2001 when it disclosed a $1.2 billion write-off against shareholders' cash and claimed a non-recurring loss of $1 billion. </w:t>
      </w:r>
      <w:proofErr w:type="gramStart"/>
      <w:r w:rsidR="00480F26" w:rsidRPr="00514D5A">
        <w:rPr>
          <w:rFonts w:ascii="Arial" w:hAnsi="Arial" w:cs="Arial"/>
          <w:sz w:val="20"/>
          <w:szCs w:val="20"/>
        </w:rPr>
        <w:t>A portion of the SPEs were</w:t>
      </w:r>
      <w:proofErr w:type="gramEnd"/>
      <w:r w:rsidR="00480F26" w:rsidRPr="00514D5A">
        <w:rPr>
          <w:rFonts w:ascii="Arial" w:hAnsi="Arial" w:cs="Arial"/>
          <w:sz w:val="20"/>
          <w:szCs w:val="20"/>
        </w:rPr>
        <w:t xml:space="preserve"> utilized to send money to a few directors of Enron. Later in October, Enron revealed another accounting issue that caused its market value to drop by more than $0.5 million. In November, Enron announced further indebtedness, which caused the takeover offer to collapse. Enron filed for bankruptcy in December 2001, making it the biggest bankruptcy in US history </w:t>
      </w:r>
      <w:r w:rsidR="00FB3DBC" w:rsidRPr="00514D5A">
        <w:rPr>
          <w:rFonts w:ascii="Arial" w:hAnsi="Arial" w:cs="Arial"/>
          <w:iCs/>
          <w:sz w:val="20"/>
          <w:szCs w:val="20"/>
        </w:rPr>
        <w:t>(</w:t>
      </w:r>
      <w:proofErr w:type="spellStart"/>
      <w:r w:rsidR="00FB3DBC" w:rsidRPr="00514D5A">
        <w:rPr>
          <w:rFonts w:ascii="Arial" w:hAnsi="Arial" w:cs="Arial"/>
          <w:iCs/>
          <w:sz w:val="20"/>
          <w:szCs w:val="20"/>
        </w:rPr>
        <w:t>Mallin</w:t>
      </w:r>
      <w:proofErr w:type="spellEnd"/>
      <w:r w:rsidR="00FB3DBC" w:rsidRPr="00514D5A">
        <w:rPr>
          <w:rFonts w:ascii="Arial" w:hAnsi="Arial" w:cs="Arial"/>
          <w:iCs/>
          <w:sz w:val="20"/>
          <w:szCs w:val="20"/>
        </w:rPr>
        <w:t>, C.A.</w:t>
      </w:r>
      <w:proofErr w:type="gramStart"/>
      <w:r w:rsidR="00FB3DBC" w:rsidRPr="00514D5A">
        <w:rPr>
          <w:rFonts w:ascii="Arial" w:hAnsi="Arial" w:cs="Arial"/>
          <w:iCs/>
          <w:sz w:val="20"/>
          <w:szCs w:val="20"/>
        </w:rPr>
        <w:t>,2007</w:t>
      </w:r>
      <w:proofErr w:type="gramEnd"/>
      <w:r w:rsidR="00FB3DBC" w:rsidRPr="00514D5A">
        <w:rPr>
          <w:rFonts w:ascii="Arial" w:hAnsi="Arial" w:cs="Arial"/>
          <w:iCs/>
          <w:sz w:val="20"/>
          <w:szCs w:val="20"/>
        </w:rPr>
        <w:t xml:space="preserve">). </w:t>
      </w:r>
    </w:p>
    <w:bookmarkEnd w:id="16"/>
    <w:p w14:paraId="1B2D41D4" w14:textId="31BEA692" w:rsidR="007368E8" w:rsidRPr="00514D5A" w:rsidRDefault="00444521" w:rsidP="00B1407A">
      <w:pPr>
        <w:spacing w:line="480" w:lineRule="auto"/>
        <w:jc w:val="both"/>
        <w:rPr>
          <w:rFonts w:ascii="Arial" w:hAnsi="Arial" w:cs="Arial"/>
          <w:bCs/>
          <w:i/>
          <w:sz w:val="20"/>
          <w:szCs w:val="20"/>
        </w:rPr>
      </w:pPr>
      <w:r w:rsidRPr="00514D5A">
        <w:rPr>
          <w:rFonts w:ascii="Arial" w:hAnsi="Arial" w:cs="Arial"/>
          <w:bCs/>
          <w:i/>
          <w:sz w:val="20"/>
          <w:szCs w:val="20"/>
        </w:rPr>
        <w:tab/>
      </w:r>
      <w:r w:rsidR="0009607B" w:rsidRPr="00514D5A">
        <w:rPr>
          <w:rFonts w:ascii="Arial" w:hAnsi="Arial" w:cs="Arial"/>
          <w:bCs/>
          <w:i/>
          <w:sz w:val="20"/>
          <w:szCs w:val="20"/>
        </w:rPr>
        <w:t xml:space="preserve"> </w:t>
      </w:r>
      <w:r w:rsidR="007E05AF" w:rsidRPr="00514D5A">
        <w:rPr>
          <w:rFonts w:ascii="Arial" w:hAnsi="Arial" w:cs="Arial"/>
          <w:bCs/>
          <w:i/>
          <w:sz w:val="20"/>
          <w:szCs w:val="20"/>
        </w:rPr>
        <w:t xml:space="preserve">Reason </w:t>
      </w:r>
      <w:proofErr w:type="gramStart"/>
      <w:r w:rsidR="007E05AF" w:rsidRPr="00514D5A">
        <w:rPr>
          <w:rFonts w:ascii="Arial" w:hAnsi="Arial" w:cs="Arial"/>
          <w:bCs/>
          <w:i/>
          <w:sz w:val="20"/>
          <w:szCs w:val="20"/>
        </w:rPr>
        <w:t>Behind</w:t>
      </w:r>
      <w:proofErr w:type="gramEnd"/>
      <w:r w:rsidR="007E05AF" w:rsidRPr="00514D5A">
        <w:rPr>
          <w:rFonts w:ascii="Arial" w:hAnsi="Arial" w:cs="Arial"/>
          <w:bCs/>
          <w:i/>
          <w:sz w:val="20"/>
          <w:szCs w:val="20"/>
        </w:rPr>
        <w:t xml:space="preserve"> the Collapses and Lessons Learned from Collapses</w:t>
      </w:r>
    </w:p>
    <w:p w14:paraId="56B855D8" w14:textId="23C28058" w:rsidR="00D22ACC" w:rsidRPr="00514D5A" w:rsidRDefault="007E05AF" w:rsidP="00B1407A">
      <w:pPr>
        <w:spacing w:line="480" w:lineRule="auto"/>
        <w:jc w:val="both"/>
        <w:rPr>
          <w:rFonts w:ascii="Arial" w:hAnsi="Arial" w:cs="Arial"/>
          <w:b/>
          <w:bCs/>
          <w:sz w:val="20"/>
          <w:szCs w:val="20"/>
        </w:rPr>
      </w:pPr>
      <w:r w:rsidRPr="00514D5A">
        <w:rPr>
          <w:rFonts w:ascii="Arial" w:hAnsi="Arial" w:cs="Arial"/>
          <w:sz w:val="20"/>
          <w:szCs w:val="20"/>
        </w:rPr>
        <w:t xml:space="preserve">The </w:t>
      </w:r>
      <w:r w:rsidR="00C66B2F" w:rsidRPr="00514D5A">
        <w:rPr>
          <w:rFonts w:ascii="Arial" w:hAnsi="Arial" w:cs="Arial"/>
          <w:sz w:val="20"/>
          <w:szCs w:val="20"/>
        </w:rPr>
        <w:t xml:space="preserve">root </w:t>
      </w:r>
      <w:r w:rsidRPr="00514D5A">
        <w:rPr>
          <w:rFonts w:ascii="Arial" w:hAnsi="Arial" w:cs="Arial"/>
          <w:sz w:val="20"/>
          <w:szCs w:val="20"/>
        </w:rPr>
        <w:t xml:space="preserve">cause of this </w:t>
      </w:r>
      <w:r w:rsidR="00C66B2F" w:rsidRPr="00514D5A">
        <w:rPr>
          <w:rFonts w:ascii="Arial" w:hAnsi="Arial" w:cs="Arial"/>
          <w:sz w:val="20"/>
          <w:szCs w:val="20"/>
        </w:rPr>
        <w:t>quick</w:t>
      </w:r>
      <w:r w:rsidRPr="00514D5A">
        <w:rPr>
          <w:rFonts w:ascii="Arial" w:hAnsi="Arial" w:cs="Arial"/>
          <w:sz w:val="20"/>
          <w:szCs w:val="20"/>
        </w:rPr>
        <w:t xml:space="preserve"> and </w:t>
      </w:r>
      <w:r w:rsidR="00C66B2F" w:rsidRPr="00514D5A">
        <w:rPr>
          <w:rFonts w:ascii="Arial" w:hAnsi="Arial" w:cs="Arial"/>
          <w:sz w:val="20"/>
          <w:szCs w:val="20"/>
        </w:rPr>
        <w:t>disgraceful</w:t>
      </w:r>
      <w:r w:rsidRPr="00514D5A">
        <w:rPr>
          <w:rFonts w:ascii="Arial" w:hAnsi="Arial" w:cs="Arial"/>
          <w:sz w:val="20"/>
          <w:szCs w:val="20"/>
        </w:rPr>
        <w:t xml:space="preserve"> collapse was </w:t>
      </w:r>
      <w:r w:rsidR="00C66B2F" w:rsidRPr="00514D5A">
        <w:rPr>
          <w:rFonts w:ascii="Arial" w:hAnsi="Arial" w:cs="Arial"/>
          <w:sz w:val="20"/>
          <w:szCs w:val="20"/>
        </w:rPr>
        <w:t xml:space="preserve">Enron's attempt to conceal losses through a series of questionable transactions involving off-balance sheet SPEs, false accounting, insider trading, and significant conflicts of interest involving the company's highest-ranking executives (Petra, S., &amp; </w:t>
      </w:r>
      <w:proofErr w:type="spellStart"/>
      <w:r w:rsidR="00C66B2F" w:rsidRPr="00514D5A">
        <w:rPr>
          <w:rFonts w:ascii="Arial" w:hAnsi="Arial" w:cs="Arial"/>
          <w:sz w:val="20"/>
          <w:szCs w:val="20"/>
        </w:rPr>
        <w:t>Spieler</w:t>
      </w:r>
      <w:proofErr w:type="spellEnd"/>
      <w:r w:rsidR="00C66B2F" w:rsidRPr="00514D5A">
        <w:rPr>
          <w:rFonts w:ascii="Arial" w:hAnsi="Arial" w:cs="Arial"/>
          <w:sz w:val="20"/>
          <w:szCs w:val="20"/>
        </w:rPr>
        <w:t>, A. C., 2020).</w:t>
      </w:r>
      <w:r w:rsidR="00875EAF" w:rsidRPr="00514D5A">
        <w:rPr>
          <w:rFonts w:ascii="Arial" w:hAnsi="Arial" w:cs="Arial"/>
          <w:sz w:val="20"/>
          <w:szCs w:val="20"/>
        </w:rPr>
        <w:t xml:space="preserve"> </w:t>
      </w:r>
      <w:r w:rsidR="00D22ACC" w:rsidRPr="00514D5A">
        <w:rPr>
          <w:rFonts w:ascii="Arial" w:hAnsi="Arial" w:cs="Arial"/>
          <w:sz w:val="20"/>
          <w:szCs w:val="20"/>
        </w:rPr>
        <w:t xml:space="preserve">Elliot &amp; </w:t>
      </w:r>
      <w:proofErr w:type="spellStart"/>
      <w:r w:rsidR="00D22ACC" w:rsidRPr="00514D5A">
        <w:rPr>
          <w:rFonts w:ascii="Arial" w:hAnsi="Arial" w:cs="Arial"/>
          <w:sz w:val="20"/>
          <w:szCs w:val="20"/>
        </w:rPr>
        <w:t>Schroth</w:t>
      </w:r>
      <w:proofErr w:type="spellEnd"/>
      <w:r w:rsidR="00D22ACC" w:rsidRPr="00514D5A">
        <w:rPr>
          <w:rFonts w:ascii="Arial" w:hAnsi="Arial" w:cs="Arial"/>
          <w:sz w:val="20"/>
          <w:szCs w:val="20"/>
        </w:rPr>
        <w:t xml:space="preserve"> (2002) stated in their paper that the Enron event had prompted increased attention on business ethics, corporate governance, and risk management. In addition, </w:t>
      </w:r>
      <w:proofErr w:type="gramStart"/>
      <w:r w:rsidR="00D22ACC" w:rsidRPr="00514D5A">
        <w:rPr>
          <w:rFonts w:ascii="Arial" w:hAnsi="Arial" w:cs="Arial"/>
          <w:sz w:val="20"/>
          <w:szCs w:val="20"/>
        </w:rPr>
        <w:t>it's</w:t>
      </w:r>
      <w:proofErr w:type="gramEnd"/>
      <w:r w:rsidR="00D22ACC" w:rsidRPr="00514D5A">
        <w:rPr>
          <w:rFonts w:ascii="Arial" w:hAnsi="Arial" w:cs="Arial"/>
          <w:sz w:val="20"/>
          <w:szCs w:val="20"/>
        </w:rPr>
        <w:t xml:space="preserve"> important to note that the issues leading to Enron's downfall are not entirely new and have roots in past financial crises that impacted the UK private sector in the 1980s and early 1990s. This </w:t>
      </w:r>
      <w:r w:rsidR="001B3E62" w:rsidRPr="00514D5A">
        <w:rPr>
          <w:rFonts w:ascii="Arial" w:hAnsi="Arial" w:cs="Arial"/>
          <w:sz w:val="20"/>
          <w:szCs w:val="20"/>
        </w:rPr>
        <w:t xml:space="preserve">resulted in the establishment </w:t>
      </w:r>
      <w:r w:rsidR="00D22ACC" w:rsidRPr="00514D5A">
        <w:rPr>
          <w:rFonts w:ascii="Arial" w:hAnsi="Arial" w:cs="Arial"/>
          <w:sz w:val="20"/>
          <w:szCs w:val="20"/>
        </w:rPr>
        <w:t xml:space="preserve">of corporate governance regulations aimed at improving risk </w:t>
      </w:r>
      <w:proofErr w:type="gramStart"/>
      <w:r w:rsidR="00D22ACC" w:rsidRPr="00514D5A">
        <w:rPr>
          <w:rFonts w:ascii="Arial" w:hAnsi="Arial" w:cs="Arial"/>
          <w:sz w:val="20"/>
          <w:szCs w:val="20"/>
        </w:rPr>
        <w:t>management</w:t>
      </w:r>
      <w:r w:rsidR="00E21BA8" w:rsidRPr="00514D5A">
        <w:rPr>
          <w:rFonts w:ascii="Arial" w:hAnsi="Arial" w:cs="Arial"/>
          <w:sz w:val="20"/>
          <w:szCs w:val="20"/>
        </w:rPr>
        <w:t>(</w:t>
      </w:r>
      <w:proofErr w:type="spellStart"/>
      <w:proofErr w:type="gramEnd"/>
      <w:r w:rsidR="00E21BA8" w:rsidRPr="00514D5A">
        <w:rPr>
          <w:rFonts w:ascii="Arial" w:hAnsi="Arial" w:cs="Arial"/>
          <w:sz w:val="20"/>
          <w:szCs w:val="20"/>
        </w:rPr>
        <w:t>Mallin</w:t>
      </w:r>
      <w:proofErr w:type="spellEnd"/>
      <w:r w:rsidR="00E21BA8" w:rsidRPr="00514D5A">
        <w:rPr>
          <w:rFonts w:ascii="Arial" w:hAnsi="Arial" w:cs="Arial"/>
          <w:sz w:val="20"/>
          <w:szCs w:val="20"/>
        </w:rPr>
        <w:t>, C.A.,2007)</w:t>
      </w:r>
      <w:r w:rsidR="00D22ACC" w:rsidRPr="00514D5A">
        <w:rPr>
          <w:rFonts w:ascii="Arial" w:hAnsi="Arial" w:cs="Arial"/>
          <w:sz w:val="20"/>
          <w:szCs w:val="20"/>
        </w:rPr>
        <w:t>.</w:t>
      </w:r>
    </w:p>
    <w:p w14:paraId="3007374E" w14:textId="5E3D13F2" w:rsidR="007E05AF" w:rsidRPr="00514D5A" w:rsidRDefault="00AF7A2F" w:rsidP="00B1407A">
      <w:pPr>
        <w:spacing w:line="480" w:lineRule="auto"/>
        <w:jc w:val="both"/>
        <w:rPr>
          <w:rFonts w:ascii="Arial" w:hAnsi="Arial" w:cs="Arial"/>
          <w:bCs/>
          <w:i/>
          <w:iCs/>
          <w:sz w:val="20"/>
          <w:szCs w:val="20"/>
        </w:rPr>
      </w:pPr>
      <w:r w:rsidRPr="00514D5A">
        <w:rPr>
          <w:rFonts w:ascii="Arial" w:hAnsi="Arial" w:cs="Arial"/>
          <w:bCs/>
          <w:i/>
          <w:iCs/>
          <w:sz w:val="20"/>
          <w:szCs w:val="20"/>
        </w:rPr>
        <w:t>4</w:t>
      </w:r>
      <w:r w:rsidR="005E5E8C" w:rsidRPr="00514D5A">
        <w:rPr>
          <w:rFonts w:ascii="Arial" w:hAnsi="Arial" w:cs="Arial"/>
          <w:bCs/>
          <w:i/>
          <w:iCs/>
          <w:sz w:val="20"/>
          <w:szCs w:val="20"/>
        </w:rPr>
        <w:t>.1.</w:t>
      </w:r>
      <w:r w:rsidR="0076771B">
        <w:rPr>
          <w:rFonts w:ascii="Arial" w:hAnsi="Arial" w:cs="Arial"/>
          <w:bCs/>
          <w:i/>
          <w:iCs/>
          <w:sz w:val="20"/>
          <w:szCs w:val="20"/>
        </w:rPr>
        <w:t>3</w:t>
      </w:r>
      <w:r w:rsidR="005E5E8C" w:rsidRPr="00514D5A">
        <w:rPr>
          <w:rFonts w:ascii="Arial" w:hAnsi="Arial" w:cs="Arial"/>
          <w:bCs/>
          <w:i/>
          <w:iCs/>
          <w:sz w:val="20"/>
          <w:szCs w:val="20"/>
        </w:rPr>
        <w:t xml:space="preserve"> </w:t>
      </w:r>
      <w:r w:rsidR="007E05AF" w:rsidRPr="00514D5A">
        <w:rPr>
          <w:rFonts w:ascii="Arial" w:hAnsi="Arial" w:cs="Arial"/>
          <w:bCs/>
          <w:i/>
          <w:iCs/>
          <w:sz w:val="20"/>
          <w:szCs w:val="20"/>
        </w:rPr>
        <w:t>Hallmark-</w:t>
      </w:r>
      <w:proofErr w:type="spellStart"/>
      <w:r w:rsidR="007E05AF" w:rsidRPr="00514D5A">
        <w:rPr>
          <w:rFonts w:ascii="Arial" w:hAnsi="Arial" w:cs="Arial"/>
          <w:bCs/>
          <w:i/>
          <w:iCs/>
          <w:sz w:val="20"/>
          <w:szCs w:val="20"/>
        </w:rPr>
        <w:t>Sonali</w:t>
      </w:r>
      <w:proofErr w:type="spellEnd"/>
      <w:r w:rsidR="007E05AF" w:rsidRPr="00514D5A">
        <w:rPr>
          <w:rFonts w:ascii="Arial" w:hAnsi="Arial" w:cs="Arial"/>
          <w:bCs/>
          <w:i/>
          <w:iCs/>
          <w:sz w:val="20"/>
          <w:szCs w:val="20"/>
        </w:rPr>
        <w:t xml:space="preserve"> Bank Loan Scam</w:t>
      </w:r>
    </w:p>
    <w:p w14:paraId="339E36A5" w14:textId="2572E249" w:rsidR="00411092" w:rsidRPr="00514D5A" w:rsidRDefault="00497F69" w:rsidP="00B1407A">
      <w:pPr>
        <w:spacing w:line="480" w:lineRule="auto"/>
        <w:jc w:val="both"/>
        <w:rPr>
          <w:rFonts w:ascii="Arial" w:hAnsi="Arial" w:cs="Arial"/>
          <w:bCs/>
          <w:iCs/>
          <w:sz w:val="20"/>
          <w:szCs w:val="20"/>
        </w:rPr>
      </w:pPr>
      <w:bookmarkStart w:id="17" w:name="_Hlk165623943"/>
      <w:bookmarkStart w:id="18" w:name="_Hlk159759030"/>
      <w:r w:rsidRPr="00514D5A">
        <w:rPr>
          <w:rFonts w:ascii="Arial" w:hAnsi="Arial" w:cs="Arial"/>
          <w:bCs/>
          <w:iCs/>
          <w:sz w:val="20"/>
          <w:szCs w:val="20"/>
        </w:rPr>
        <w:t xml:space="preserve">It is unfortunate that, </w:t>
      </w:r>
      <w:r w:rsidR="00963445" w:rsidRPr="00514D5A">
        <w:rPr>
          <w:rFonts w:ascii="Arial" w:hAnsi="Arial" w:cs="Arial"/>
          <w:bCs/>
          <w:iCs/>
          <w:sz w:val="20"/>
          <w:szCs w:val="20"/>
        </w:rPr>
        <w:t>between</w:t>
      </w:r>
      <w:r w:rsidRPr="00514D5A">
        <w:rPr>
          <w:rFonts w:ascii="Arial" w:hAnsi="Arial" w:cs="Arial"/>
          <w:bCs/>
          <w:iCs/>
          <w:sz w:val="20"/>
          <w:szCs w:val="20"/>
        </w:rPr>
        <w:t xml:space="preserve"> 2010 and 2012, Bangladesh faced a significant loan </w:t>
      </w:r>
      <w:proofErr w:type="gramStart"/>
      <w:r w:rsidRPr="00514D5A">
        <w:rPr>
          <w:rFonts w:ascii="Arial" w:hAnsi="Arial" w:cs="Arial"/>
          <w:bCs/>
          <w:iCs/>
          <w:sz w:val="20"/>
          <w:szCs w:val="20"/>
        </w:rPr>
        <w:t>scam</w:t>
      </w:r>
      <w:proofErr w:type="gramEnd"/>
      <w:r w:rsidRPr="00514D5A">
        <w:rPr>
          <w:rFonts w:ascii="Arial" w:hAnsi="Arial" w:cs="Arial"/>
          <w:bCs/>
          <w:iCs/>
          <w:sz w:val="20"/>
          <w:szCs w:val="20"/>
        </w:rPr>
        <w:t xml:space="preserve"> known as the Hallmark-</w:t>
      </w:r>
      <w:proofErr w:type="spellStart"/>
      <w:r w:rsidRPr="00514D5A">
        <w:rPr>
          <w:rFonts w:ascii="Arial" w:hAnsi="Arial" w:cs="Arial"/>
          <w:bCs/>
          <w:iCs/>
          <w:sz w:val="20"/>
          <w:szCs w:val="20"/>
        </w:rPr>
        <w:t>Sonali</w:t>
      </w:r>
      <w:proofErr w:type="spellEnd"/>
      <w:r w:rsidRPr="00514D5A">
        <w:rPr>
          <w:rFonts w:ascii="Arial" w:hAnsi="Arial" w:cs="Arial"/>
          <w:bCs/>
          <w:iCs/>
          <w:sz w:val="20"/>
          <w:szCs w:val="20"/>
        </w:rPr>
        <w:t xml:space="preserve"> Bank loan scam. The </w:t>
      </w:r>
      <w:proofErr w:type="spellStart"/>
      <w:r w:rsidRPr="00514D5A">
        <w:rPr>
          <w:rFonts w:ascii="Arial" w:hAnsi="Arial" w:cs="Arial"/>
          <w:bCs/>
          <w:iCs/>
          <w:sz w:val="20"/>
          <w:szCs w:val="20"/>
        </w:rPr>
        <w:t>Ruposhi</w:t>
      </w:r>
      <w:proofErr w:type="spellEnd"/>
      <w:r w:rsidRPr="00514D5A">
        <w:rPr>
          <w:rFonts w:ascii="Arial" w:hAnsi="Arial" w:cs="Arial"/>
          <w:bCs/>
          <w:iCs/>
          <w:sz w:val="20"/>
          <w:szCs w:val="20"/>
        </w:rPr>
        <w:t xml:space="preserve"> Bangla Hotel branch of the state-owned </w:t>
      </w:r>
      <w:proofErr w:type="spellStart"/>
      <w:r w:rsidRPr="00514D5A">
        <w:rPr>
          <w:rFonts w:ascii="Arial" w:hAnsi="Arial" w:cs="Arial"/>
          <w:bCs/>
          <w:iCs/>
          <w:sz w:val="20"/>
          <w:szCs w:val="20"/>
        </w:rPr>
        <w:t>Sonali</w:t>
      </w:r>
      <w:proofErr w:type="spellEnd"/>
      <w:r w:rsidRPr="00514D5A">
        <w:rPr>
          <w:rFonts w:ascii="Arial" w:hAnsi="Arial" w:cs="Arial"/>
          <w:bCs/>
          <w:iCs/>
          <w:sz w:val="20"/>
          <w:szCs w:val="20"/>
        </w:rPr>
        <w:t xml:space="preserve"> Bank granted loans exceeding 35 billion Bangladeshi taka (about $454 million as of 2011) using falsified documents (Wikipedia contributors</w:t>
      </w:r>
      <w:r w:rsidR="004E4C60" w:rsidRPr="00514D5A">
        <w:rPr>
          <w:rFonts w:ascii="Arial" w:hAnsi="Arial" w:cs="Arial"/>
          <w:bCs/>
          <w:iCs/>
          <w:sz w:val="20"/>
          <w:szCs w:val="20"/>
        </w:rPr>
        <w:t>,</w:t>
      </w:r>
      <w:r w:rsidRPr="00514D5A">
        <w:rPr>
          <w:rFonts w:ascii="Arial" w:hAnsi="Arial" w:cs="Arial"/>
          <w:bCs/>
          <w:iCs/>
          <w:sz w:val="20"/>
          <w:szCs w:val="20"/>
        </w:rPr>
        <w:t xml:space="preserve"> </w:t>
      </w:r>
      <w:proofErr w:type="spellStart"/>
      <w:r w:rsidRPr="00514D5A">
        <w:rPr>
          <w:rFonts w:ascii="Arial" w:hAnsi="Arial" w:cs="Arial"/>
          <w:bCs/>
          <w:iCs/>
          <w:sz w:val="20"/>
          <w:szCs w:val="20"/>
        </w:rPr>
        <w:t>n.d.</w:t>
      </w:r>
      <w:proofErr w:type="spellEnd"/>
      <w:r w:rsidRPr="00514D5A">
        <w:rPr>
          <w:rFonts w:ascii="Arial" w:hAnsi="Arial" w:cs="Arial"/>
          <w:bCs/>
          <w:iCs/>
          <w:sz w:val="20"/>
          <w:szCs w:val="20"/>
        </w:rPr>
        <w:t xml:space="preserve">). The little-known Hallmark Group received the majority of the loans, totaling around </w:t>
      </w:r>
      <w:proofErr w:type="spellStart"/>
      <w:r w:rsidRPr="00514D5A">
        <w:rPr>
          <w:rFonts w:ascii="Arial" w:hAnsi="Arial" w:cs="Arial"/>
          <w:bCs/>
          <w:iCs/>
          <w:sz w:val="20"/>
          <w:szCs w:val="20"/>
        </w:rPr>
        <w:t>Tk</w:t>
      </w:r>
      <w:proofErr w:type="spellEnd"/>
      <w:r w:rsidRPr="00514D5A">
        <w:rPr>
          <w:rFonts w:ascii="Arial" w:hAnsi="Arial" w:cs="Arial"/>
          <w:bCs/>
          <w:iCs/>
          <w:sz w:val="20"/>
          <w:szCs w:val="20"/>
        </w:rPr>
        <w:t xml:space="preserve"> 27 billion ($344M)</w:t>
      </w:r>
      <w:r w:rsidR="007A5195" w:rsidRPr="00514D5A">
        <w:rPr>
          <w:rFonts w:ascii="Arial" w:hAnsi="Arial" w:cs="Arial"/>
          <w:bCs/>
          <w:iCs/>
          <w:sz w:val="20"/>
          <w:szCs w:val="20"/>
        </w:rPr>
        <w:t>. At the same time,</w:t>
      </w:r>
      <w:r w:rsidRPr="00514D5A">
        <w:rPr>
          <w:rFonts w:ascii="Arial" w:hAnsi="Arial" w:cs="Arial"/>
          <w:bCs/>
          <w:iCs/>
          <w:sz w:val="20"/>
          <w:szCs w:val="20"/>
        </w:rPr>
        <w:t xml:space="preserve"> the remaining amount </w:t>
      </w:r>
      <w:proofErr w:type="gramStart"/>
      <w:r w:rsidRPr="00514D5A">
        <w:rPr>
          <w:rFonts w:ascii="Arial" w:hAnsi="Arial" w:cs="Arial"/>
          <w:bCs/>
          <w:iCs/>
          <w:sz w:val="20"/>
          <w:szCs w:val="20"/>
        </w:rPr>
        <w:t>was shared</w:t>
      </w:r>
      <w:proofErr w:type="gramEnd"/>
      <w:r w:rsidRPr="00514D5A">
        <w:rPr>
          <w:rFonts w:ascii="Arial" w:hAnsi="Arial" w:cs="Arial"/>
          <w:bCs/>
          <w:iCs/>
          <w:sz w:val="20"/>
          <w:szCs w:val="20"/>
        </w:rPr>
        <w:t xml:space="preserve"> among T &amp; Brothers, Paragon Group, </w:t>
      </w:r>
      <w:proofErr w:type="spellStart"/>
      <w:r w:rsidRPr="00514D5A">
        <w:rPr>
          <w:rFonts w:ascii="Arial" w:hAnsi="Arial" w:cs="Arial"/>
          <w:bCs/>
          <w:iCs/>
          <w:sz w:val="20"/>
          <w:szCs w:val="20"/>
        </w:rPr>
        <w:t>Nakshi</w:t>
      </w:r>
      <w:proofErr w:type="spellEnd"/>
      <w:r w:rsidRPr="00514D5A">
        <w:rPr>
          <w:rFonts w:ascii="Arial" w:hAnsi="Arial" w:cs="Arial"/>
          <w:bCs/>
          <w:iCs/>
          <w:sz w:val="20"/>
          <w:szCs w:val="20"/>
        </w:rPr>
        <w:t xml:space="preserve"> Knit, DN Sports, and Khan Jahan Ali (Staff Correspondent</w:t>
      </w:r>
      <w:r w:rsidR="004E4C60" w:rsidRPr="00514D5A">
        <w:rPr>
          <w:rFonts w:ascii="Arial" w:hAnsi="Arial" w:cs="Arial"/>
          <w:bCs/>
          <w:iCs/>
          <w:sz w:val="20"/>
          <w:szCs w:val="20"/>
        </w:rPr>
        <w:t>,</w:t>
      </w:r>
      <w:r w:rsidRPr="00514D5A">
        <w:rPr>
          <w:rFonts w:ascii="Arial" w:hAnsi="Arial" w:cs="Arial"/>
          <w:bCs/>
          <w:iCs/>
          <w:sz w:val="20"/>
          <w:szCs w:val="20"/>
        </w:rPr>
        <w:t xml:space="preserve"> 2012, August 14). The central bank of Bangladesh </w:t>
      </w:r>
      <w:r w:rsidR="00963445" w:rsidRPr="00514D5A">
        <w:rPr>
          <w:rFonts w:ascii="Arial" w:hAnsi="Arial" w:cs="Arial"/>
          <w:bCs/>
          <w:iCs/>
          <w:sz w:val="20"/>
          <w:szCs w:val="20"/>
        </w:rPr>
        <w:t>investigated</w:t>
      </w:r>
      <w:r w:rsidRPr="00514D5A">
        <w:rPr>
          <w:rFonts w:ascii="Arial" w:hAnsi="Arial" w:cs="Arial"/>
          <w:bCs/>
          <w:iCs/>
          <w:sz w:val="20"/>
          <w:szCs w:val="20"/>
        </w:rPr>
        <w:t xml:space="preserve"> and </w:t>
      </w:r>
      <w:r w:rsidR="00411092" w:rsidRPr="00514D5A">
        <w:rPr>
          <w:rFonts w:ascii="Arial" w:hAnsi="Arial" w:cs="Arial"/>
          <w:bCs/>
          <w:iCs/>
          <w:sz w:val="20"/>
          <w:szCs w:val="20"/>
        </w:rPr>
        <w:t xml:space="preserve">found that the borrowers had planned to embezzle the funds with the help of senior </w:t>
      </w:r>
      <w:proofErr w:type="spellStart"/>
      <w:r w:rsidR="00411092" w:rsidRPr="00514D5A">
        <w:rPr>
          <w:rFonts w:ascii="Arial" w:hAnsi="Arial" w:cs="Arial"/>
          <w:bCs/>
          <w:iCs/>
          <w:sz w:val="20"/>
          <w:szCs w:val="20"/>
        </w:rPr>
        <w:t>Sonali</w:t>
      </w:r>
      <w:proofErr w:type="spellEnd"/>
      <w:r w:rsidR="00411092" w:rsidRPr="00514D5A">
        <w:rPr>
          <w:rFonts w:ascii="Arial" w:hAnsi="Arial" w:cs="Arial"/>
          <w:bCs/>
          <w:iCs/>
          <w:sz w:val="20"/>
          <w:szCs w:val="20"/>
        </w:rPr>
        <w:t xml:space="preserve"> Bank executives. The Economist referred to the </w:t>
      </w:r>
      <w:proofErr w:type="gramStart"/>
      <w:r w:rsidR="00411092" w:rsidRPr="00514D5A">
        <w:rPr>
          <w:rFonts w:ascii="Arial" w:hAnsi="Arial" w:cs="Arial"/>
          <w:bCs/>
          <w:iCs/>
          <w:sz w:val="20"/>
          <w:szCs w:val="20"/>
        </w:rPr>
        <w:t>scam</w:t>
      </w:r>
      <w:proofErr w:type="gramEnd"/>
      <w:r w:rsidR="00411092" w:rsidRPr="00514D5A">
        <w:rPr>
          <w:rFonts w:ascii="Arial" w:hAnsi="Arial" w:cs="Arial"/>
          <w:bCs/>
          <w:iCs/>
          <w:sz w:val="20"/>
          <w:szCs w:val="20"/>
        </w:rPr>
        <w:t xml:space="preserve"> as the "</w:t>
      </w:r>
      <w:r w:rsidR="00487BC3" w:rsidRPr="00514D5A">
        <w:rPr>
          <w:rFonts w:ascii="Arial" w:hAnsi="Arial" w:cs="Arial"/>
          <w:bCs/>
          <w:iCs/>
          <w:sz w:val="20"/>
          <w:szCs w:val="20"/>
        </w:rPr>
        <w:t xml:space="preserve">worst banking scandal in Bangladesh since the banks were nationalized forty years prior” </w:t>
      </w:r>
      <w:r w:rsidR="00D7449F" w:rsidRPr="00514D5A">
        <w:rPr>
          <w:rFonts w:ascii="Arial" w:hAnsi="Arial" w:cs="Arial"/>
          <w:bCs/>
          <w:iCs/>
          <w:sz w:val="20"/>
          <w:szCs w:val="20"/>
        </w:rPr>
        <w:t>(Staff Correspondent, 2012, August 14)</w:t>
      </w:r>
      <w:r w:rsidR="00411092" w:rsidRPr="00514D5A">
        <w:rPr>
          <w:rFonts w:ascii="Arial" w:hAnsi="Arial" w:cs="Arial"/>
          <w:bCs/>
          <w:iCs/>
          <w:sz w:val="20"/>
          <w:szCs w:val="20"/>
        </w:rPr>
        <w:t>.</w:t>
      </w:r>
    </w:p>
    <w:p w14:paraId="1A113718" w14:textId="03E5769D" w:rsidR="007E05AF" w:rsidRPr="00514D5A" w:rsidRDefault="00444521" w:rsidP="00B1407A">
      <w:pPr>
        <w:spacing w:line="480" w:lineRule="auto"/>
        <w:jc w:val="both"/>
        <w:rPr>
          <w:rFonts w:ascii="Arial" w:hAnsi="Arial" w:cs="Arial"/>
          <w:bCs/>
          <w:i/>
          <w:iCs/>
          <w:sz w:val="20"/>
          <w:szCs w:val="20"/>
        </w:rPr>
      </w:pPr>
      <w:r w:rsidRPr="00514D5A">
        <w:rPr>
          <w:rFonts w:ascii="Arial" w:hAnsi="Arial" w:cs="Arial"/>
          <w:bCs/>
          <w:i/>
          <w:iCs/>
          <w:sz w:val="20"/>
          <w:szCs w:val="20"/>
        </w:rPr>
        <w:tab/>
      </w:r>
      <w:r w:rsidR="007E05AF" w:rsidRPr="00514D5A">
        <w:rPr>
          <w:rFonts w:ascii="Arial" w:hAnsi="Arial" w:cs="Arial"/>
          <w:bCs/>
          <w:i/>
          <w:iCs/>
          <w:sz w:val="20"/>
          <w:szCs w:val="20"/>
        </w:rPr>
        <w:t xml:space="preserve">Reason </w:t>
      </w:r>
      <w:proofErr w:type="gramStart"/>
      <w:r w:rsidR="007E05AF" w:rsidRPr="00514D5A">
        <w:rPr>
          <w:rFonts w:ascii="Arial" w:hAnsi="Arial" w:cs="Arial"/>
          <w:bCs/>
          <w:i/>
          <w:iCs/>
          <w:sz w:val="20"/>
          <w:szCs w:val="20"/>
        </w:rPr>
        <w:t>Behind</w:t>
      </w:r>
      <w:proofErr w:type="gramEnd"/>
      <w:r w:rsidR="007E05AF" w:rsidRPr="00514D5A">
        <w:rPr>
          <w:rFonts w:ascii="Arial" w:hAnsi="Arial" w:cs="Arial"/>
          <w:bCs/>
          <w:i/>
          <w:iCs/>
          <w:sz w:val="20"/>
          <w:szCs w:val="20"/>
        </w:rPr>
        <w:t xml:space="preserve"> the Collapses and Lessons Learned from Collapses</w:t>
      </w:r>
    </w:p>
    <w:p w14:paraId="1B66E7BE" w14:textId="6B645123" w:rsidR="007E05AF" w:rsidRPr="00514D5A" w:rsidRDefault="007E05AF" w:rsidP="00B1407A">
      <w:pPr>
        <w:spacing w:line="480" w:lineRule="auto"/>
        <w:jc w:val="both"/>
        <w:rPr>
          <w:rFonts w:ascii="Arial" w:hAnsi="Arial" w:cs="Arial"/>
          <w:bCs/>
          <w:iCs/>
          <w:sz w:val="20"/>
          <w:szCs w:val="20"/>
        </w:rPr>
      </w:pPr>
      <w:bookmarkStart w:id="19" w:name="_Hlk165644168"/>
      <w:bookmarkEnd w:id="17"/>
      <w:r w:rsidRPr="00514D5A">
        <w:rPr>
          <w:rFonts w:ascii="Arial" w:hAnsi="Arial" w:cs="Arial"/>
          <w:bCs/>
          <w:iCs/>
          <w:sz w:val="20"/>
          <w:szCs w:val="20"/>
        </w:rPr>
        <w:lastRenderedPageBreak/>
        <w:t xml:space="preserve">The </w:t>
      </w:r>
      <w:proofErr w:type="spellStart"/>
      <w:r w:rsidRPr="00514D5A">
        <w:rPr>
          <w:rFonts w:ascii="Arial" w:hAnsi="Arial" w:cs="Arial"/>
          <w:bCs/>
          <w:iCs/>
          <w:sz w:val="20"/>
          <w:szCs w:val="20"/>
        </w:rPr>
        <w:t>Sonali</w:t>
      </w:r>
      <w:proofErr w:type="spellEnd"/>
      <w:r w:rsidRPr="00514D5A">
        <w:rPr>
          <w:rFonts w:ascii="Arial" w:hAnsi="Arial" w:cs="Arial"/>
          <w:bCs/>
          <w:iCs/>
          <w:sz w:val="20"/>
          <w:szCs w:val="20"/>
        </w:rPr>
        <w:t xml:space="preserve"> Bank loan </w:t>
      </w:r>
      <w:proofErr w:type="gramStart"/>
      <w:r w:rsidRPr="00514D5A">
        <w:rPr>
          <w:rFonts w:ascii="Arial" w:hAnsi="Arial" w:cs="Arial"/>
          <w:bCs/>
          <w:iCs/>
          <w:sz w:val="20"/>
          <w:szCs w:val="20"/>
        </w:rPr>
        <w:t>scam</w:t>
      </w:r>
      <w:proofErr w:type="gramEnd"/>
      <w:r w:rsidRPr="00514D5A">
        <w:rPr>
          <w:rFonts w:ascii="Arial" w:hAnsi="Arial" w:cs="Arial"/>
          <w:bCs/>
          <w:iCs/>
          <w:sz w:val="20"/>
          <w:szCs w:val="20"/>
        </w:rPr>
        <w:t xml:space="preserve"> in Bangladesh was a result of inadequate risk management measures and the inefficiency of the existing risk management committee.</w:t>
      </w:r>
      <w:bookmarkEnd w:id="18"/>
      <w:r w:rsidRPr="00514D5A">
        <w:rPr>
          <w:rFonts w:ascii="Arial" w:hAnsi="Arial" w:cs="Arial"/>
          <w:bCs/>
          <w:iCs/>
          <w:sz w:val="20"/>
          <w:szCs w:val="20"/>
        </w:rPr>
        <w:t xml:space="preserve"> The lack of proper risk assessment and mitigation measures exposed financial institutions to higher risks of fraud and embezzlement. Inefficient internal controls failed to detect falsified documents and </w:t>
      </w:r>
      <w:r w:rsidR="004E4C60" w:rsidRPr="00514D5A">
        <w:rPr>
          <w:rFonts w:ascii="Arial" w:hAnsi="Arial" w:cs="Arial"/>
          <w:bCs/>
          <w:iCs/>
          <w:sz w:val="20"/>
          <w:szCs w:val="20"/>
        </w:rPr>
        <w:t xml:space="preserve">the </w:t>
      </w:r>
      <w:r w:rsidRPr="00514D5A">
        <w:rPr>
          <w:rFonts w:ascii="Arial" w:hAnsi="Arial" w:cs="Arial"/>
          <w:bCs/>
          <w:iCs/>
          <w:sz w:val="20"/>
          <w:szCs w:val="20"/>
        </w:rPr>
        <w:t xml:space="preserve">disbursement of large sums of money based on fraudulent claims. Collusion and corruption between senior officials and borrowers played a crucial role in the </w:t>
      </w:r>
      <w:proofErr w:type="gramStart"/>
      <w:r w:rsidRPr="00514D5A">
        <w:rPr>
          <w:rFonts w:ascii="Arial" w:hAnsi="Arial" w:cs="Arial"/>
          <w:bCs/>
          <w:iCs/>
          <w:sz w:val="20"/>
          <w:szCs w:val="20"/>
        </w:rPr>
        <w:t>scam</w:t>
      </w:r>
      <w:proofErr w:type="gramEnd"/>
      <w:r w:rsidRPr="00514D5A">
        <w:rPr>
          <w:rFonts w:ascii="Arial" w:hAnsi="Arial" w:cs="Arial"/>
          <w:bCs/>
          <w:iCs/>
          <w:sz w:val="20"/>
          <w:szCs w:val="20"/>
        </w:rPr>
        <w:t>. The inefficiency of the risk management committee and weak regulatory oversight may have allowed fraudulent activities to persist without detection. Addressing these issues requires improved governance, enhanced risk management practices, and strengthened regulatory oversight within financial institutions.</w:t>
      </w:r>
    </w:p>
    <w:bookmarkEnd w:id="19"/>
    <w:p w14:paraId="6DF5B883" w14:textId="0A2A3C31" w:rsidR="007E05AF" w:rsidRPr="00514D5A" w:rsidRDefault="00AF7A2F" w:rsidP="00B1407A">
      <w:pPr>
        <w:spacing w:line="480" w:lineRule="auto"/>
        <w:jc w:val="both"/>
        <w:rPr>
          <w:rFonts w:ascii="Arial" w:hAnsi="Arial" w:cs="Arial"/>
          <w:bCs/>
          <w:i/>
          <w:iCs/>
          <w:sz w:val="20"/>
          <w:szCs w:val="20"/>
        </w:rPr>
      </w:pPr>
      <w:r w:rsidRPr="00514D5A">
        <w:rPr>
          <w:rFonts w:ascii="Arial" w:hAnsi="Arial" w:cs="Arial"/>
          <w:bCs/>
          <w:i/>
          <w:iCs/>
          <w:sz w:val="20"/>
          <w:szCs w:val="20"/>
        </w:rPr>
        <w:t>4</w:t>
      </w:r>
      <w:r w:rsidR="005E5E8C" w:rsidRPr="00514D5A">
        <w:rPr>
          <w:rFonts w:ascii="Arial" w:hAnsi="Arial" w:cs="Arial"/>
          <w:bCs/>
          <w:i/>
          <w:iCs/>
          <w:sz w:val="20"/>
          <w:szCs w:val="20"/>
        </w:rPr>
        <w:t>.1.</w:t>
      </w:r>
      <w:r w:rsidR="0076771B">
        <w:rPr>
          <w:rFonts w:ascii="Arial" w:hAnsi="Arial" w:cs="Arial"/>
          <w:bCs/>
          <w:i/>
          <w:iCs/>
          <w:sz w:val="20"/>
          <w:szCs w:val="20"/>
        </w:rPr>
        <w:t>4</w:t>
      </w:r>
      <w:r w:rsidR="005E5E8C" w:rsidRPr="00514D5A">
        <w:rPr>
          <w:rFonts w:ascii="Arial" w:hAnsi="Arial" w:cs="Arial"/>
          <w:bCs/>
          <w:i/>
          <w:iCs/>
          <w:sz w:val="20"/>
          <w:szCs w:val="20"/>
        </w:rPr>
        <w:t xml:space="preserve"> </w:t>
      </w:r>
      <w:r w:rsidR="007E05AF" w:rsidRPr="00514D5A">
        <w:rPr>
          <w:rFonts w:ascii="Arial" w:hAnsi="Arial" w:cs="Arial"/>
          <w:bCs/>
          <w:i/>
          <w:iCs/>
          <w:sz w:val="20"/>
          <w:szCs w:val="20"/>
        </w:rPr>
        <w:t>Bangladesh Bank scandal:</w:t>
      </w:r>
    </w:p>
    <w:p w14:paraId="62255FE2" w14:textId="34E7C43A" w:rsidR="00105023" w:rsidRPr="00514D5A" w:rsidRDefault="00CC1FC0" w:rsidP="00B1407A">
      <w:pPr>
        <w:spacing w:line="480" w:lineRule="auto"/>
        <w:jc w:val="both"/>
        <w:rPr>
          <w:rFonts w:ascii="Arial" w:hAnsi="Arial" w:cs="Arial"/>
          <w:b/>
          <w:bCs/>
          <w:iCs/>
          <w:sz w:val="20"/>
          <w:szCs w:val="20"/>
        </w:rPr>
      </w:pPr>
      <w:r w:rsidRPr="00514D5A">
        <w:rPr>
          <w:rFonts w:ascii="Arial" w:hAnsi="Arial" w:cs="Arial"/>
          <w:bCs/>
          <w:iCs/>
          <w:sz w:val="20"/>
          <w:szCs w:val="20"/>
        </w:rPr>
        <w:t xml:space="preserve">In 2016, the Bangladesh central bank </w:t>
      </w:r>
      <w:proofErr w:type="gramStart"/>
      <w:r w:rsidRPr="00514D5A">
        <w:rPr>
          <w:rFonts w:ascii="Arial" w:hAnsi="Arial" w:cs="Arial"/>
          <w:bCs/>
          <w:iCs/>
          <w:sz w:val="20"/>
          <w:szCs w:val="20"/>
        </w:rPr>
        <w:t>was targeted</w:t>
      </w:r>
      <w:proofErr w:type="gramEnd"/>
      <w:r w:rsidRPr="00514D5A">
        <w:rPr>
          <w:rFonts w:ascii="Arial" w:hAnsi="Arial" w:cs="Arial"/>
          <w:bCs/>
          <w:iCs/>
          <w:sz w:val="20"/>
          <w:szCs w:val="20"/>
        </w:rPr>
        <w:t xml:space="preserve"> by a sophisticated cyberattack known as the Bangladesh Bank Heist.</w:t>
      </w:r>
      <w:r w:rsidR="004E4C60" w:rsidRPr="00514D5A">
        <w:rPr>
          <w:rFonts w:ascii="Arial" w:hAnsi="Arial" w:cs="Arial"/>
          <w:bCs/>
          <w:iCs/>
          <w:sz w:val="20"/>
          <w:szCs w:val="20"/>
        </w:rPr>
        <w:t xml:space="preserve"> </w:t>
      </w:r>
      <w:r w:rsidR="007B6278" w:rsidRPr="00514D5A">
        <w:rPr>
          <w:rFonts w:ascii="Arial" w:hAnsi="Arial" w:cs="Arial"/>
          <w:bCs/>
          <w:iCs/>
          <w:sz w:val="20"/>
          <w:szCs w:val="20"/>
        </w:rPr>
        <w:t>T</w:t>
      </w:r>
      <w:r w:rsidR="009A2C7C" w:rsidRPr="00514D5A">
        <w:rPr>
          <w:rFonts w:ascii="Arial" w:hAnsi="Arial" w:cs="Arial"/>
          <w:bCs/>
          <w:iCs/>
          <w:sz w:val="20"/>
          <w:szCs w:val="20"/>
        </w:rPr>
        <w:t xml:space="preserve">he attackers employed a mix of malware, social engineering techniques, and insider assistance </w:t>
      </w:r>
      <w:r w:rsidR="007B6278" w:rsidRPr="00514D5A">
        <w:rPr>
          <w:rFonts w:ascii="Arial" w:hAnsi="Arial" w:cs="Arial"/>
          <w:bCs/>
          <w:iCs/>
          <w:sz w:val="20"/>
          <w:szCs w:val="20"/>
        </w:rPr>
        <w:t xml:space="preserve">to steal more than $81 million </w:t>
      </w:r>
      <w:r w:rsidR="00204A3A" w:rsidRPr="00514D5A">
        <w:rPr>
          <w:rFonts w:ascii="Arial" w:hAnsi="Arial" w:cs="Arial"/>
          <w:b/>
          <w:bCs/>
          <w:iCs/>
          <w:sz w:val="20"/>
          <w:szCs w:val="20"/>
        </w:rPr>
        <w:t>(</w:t>
      </w:r>
      <w:r w:rsidR="00204A3A" w:rsidRPr="00514D5A">
        <w:rPr>
          <w:rFonts w:ascii="Arial" w:hAnsi="Arial" w:cs="Arial"/>
          <w:bCs/>
          <w:iCs/>
          <w:sz w:val="20"/>
          <w:szCs w:val="20"/>
        </w:rPr>
        <w:t>DIGIALERT</w:t>
      </w:r>
      <w:r w:rsidR="00204A3A" w:rsidRPr="00514D5A">
        <w:rPr>
          <w:rFonts w:ascii="Arial" w:hAnsi="Arial" w:cs="Arial"/>
          <w:b/>
          <w:bCs/>
          <w:iCs/>
          <w:sz w:val="20"/>
          <w:szCs w:val="20"/>
        </w:rPr>
        <w:t>.</w:t>
      </w:r>
      <w:r w:rsidR="00204A3A" w:rsidRPr="00514D5A">
        <w:rPr>
          <w:rFonts w:ascii="Arial" w:hAnsi="Arial" w:cs="Arial"/>
          <w:bCs/>
          <w:iCs/>
          <w:sz w:val="20"/>
          <w:szCs w:val="20"/>
        </w:rPr>
        <w:t xml:space="preserve"> 2023, March 23).</w:t>
      </w:r>
      <w:r w:rsidR="009940FA" w:rsidRPr="00514D5A">
        <w:rPr>
          <w:rFonts w:ascii="Arial" w:hAnsi="Arial" w:cs="Arial"/>
          <w:bCs/>
          <w:iCs/>
          <w:sz w:val="20"/>
          <w:szCs w:val="20"/>
        </w:rPr>
        <w:t xml:space="preserve"> </w:t>
      </w:r>
      <w:r w:rsidR="00105023" w:rsidRPr="00514D5A">
        <w:rPr>
          <w:rFonts w:ascii="Arial" w:hAnsi="Arial" w:cs="Arial"/>
          <w:bCs/>
          <w:iCs/>
          <w:sz w:val="20"/>
          <w:szCs w:val="20"/>
        </w:rPr>
        <w:t>The attack involved accessing the bank's SWIFT credentials and sending a s</w:t>
      </w:r>
      <w:r w:rsidR="005141D1" w:rsidRPr="00514D5A">
        <w:rPr>
          <w:rFonts w:ascii="Arial" w:hAnsi="Arial" w:cs="Arial"/>
          <w:bCs/>
          <w:iCs/>
          <w:sz w:val="20"/>
          <w:szCs w:val="20"/>
        </w:rPr>
        <w:t>equence</w:t>
      </w:r>
      <w:r w:rsidR="00105023" w:rsidRPr="00514D5A">
        <w:rPr>
          <w:rFonts w:ascii="Arial" w:hAnsi="Arial" w:cs="Arial"/>
          <w:bCs/>
          <w:iCs/>
          <w:sz w:val="20"/>
          <w:szCs w:val="20"/>
        </w:rPr>
        <w:t xml:space="preserve"> of transfer requests to the Federal Reserve Bank of New York for funds to </w:t>
      </w:r>
      <w:proofErr w:type="gramStart"/>
      <w:r w:rsidR="00105023" w:rsidRPr="00514D5A">
        <w:rPr>
          <w:rFonts w:ascii="Arial" w:hAnsi="Arial" w:cs="Arial"/>
          <w:bCs/>
          <w:iCs/>
          <w:sz w:val="20"/>
          <w:szCs w:val="20"/>
        </w:rPr>
        <w:t>be transferred</w:t>
      </w:r>
      <w:proofErr w:type="gramEnd"/>
      <w:r w:rsidR="00105023" w:rsidRPr="00514D5A">
        <w:rPr>
          <w:rFonts w:ascii="Arial" w:hAnsi="Arial" w:cs="Arial"/>
          <w:bCs/>
          <w:iCs/>
          <w:sz w:val="20"/>
          <w:szCs w:val="20"/>
        </w:rPr>
        <w:t xml:space="preserve"> to various accounts in Sri Lanka and the Philippines. The hackers disguised the transfers using non-profit organizations and fake charities, making it</w:t>
      </w:r>
      <w:r w:rsidR="007B6278" w:rsidRPr="00514D5A">
        <w:rPr>
          <w:rFonts w:ascii="Arial" w:hAnsi="Arial" w:cs="Arial"/>
          <w:bCs/>
          <w:iCs/>
          <w:sz w:val="20"/>
          <w:szCs w:val="20"/>
        </w:rPr>
        <w:t xml:space="preserve"> challenging</w:t>
      </w:r>
      <w:r w:rsidR="00105023" w:rsidRPr="00514D5A">
        <w:rPr>
          <w:rFonts w:ascii="Arial" w:hAnsi="Arial" w:cs="Arial"/>
          <w:bCs/>
          <w:iCs/>
          <w:sz w:val="20"/>
          <w:szCs w:val="20"/>
        </w:rPr>
        <w:t xml:space="preserve"> </w:t>
      </w:r>
      <w:proofErr w:type="gramStart"/>
      <w:r w:rsidR="00105023" w:rsidRPr="00514D5A">
        <w:rPr>
          <w:rFonts w:ascii="Arial" w:hAnsi="Arial" w:cs="Arial"/>
          <w:bCs/>
          <w:iCs/>
          <w:sz w:val="20"/>
          <w:szCs w:val="20"/>
        </w:rPr>
        <w:t>for authorities</w:t>
      </w:r>
      <w:proofErr w:type="gramEnd"/>
      <w:r w:rsidR="00105023" w:rsidRPr="00514D5A">
        <w:rPr>
          <w:rFonts w:ascii="Arial" w:hAnsi="Arial" w:cs="Arial"/>
          <w:bCs/>
          <w:iCs/>
          <w:sz w:val="20"/>
          <w:szCs w:val="20"/>
        </w:rPr>
        <w:t xml:space="preserve"> to </w:t>
      </w:r>
      <w:r w:rsidR="007B6278" w:rsidRPr="00514D5A">
        <w:rPr>
          <w:rFonts w:ascii="Arial" w:hAnsi="Arial" w:cs="Arial"/>
          <w:bCs/>
          <w:iCs/>
          <w:sz w:val="20"/>
          <w:szCs w:val="20"/>
        </w:rPr>
        <w:t>trace</w:t>
      </w:r>
      <w:r w:rsidR="00105023" w:rsidRPr="00514D5A">
        <w:rPr>
          <w:rFonts w:ascii="Arial" w:hAnsi="Arial" w:cs="Arial"/>
          <w:bCs/>
          <w:iCs/>
          <w:sz w:val="20"/>
          <w:szCs w:val="20"/>
        </w:rPr>
        <w:t xml:space="preserve"> the </w:t>
      </w:r>
      <w:bookmarkStart w:id="20" w:name="_Hlk176858072"/>
      <w:r w:rsidR="00963445" w:rsidRPr="00514D5A">
        <w:rPr>
          <w:rFonts w:ascii="Arial" w:hAnsi="Arial" w:cs="Arial"/>
          <w:bCs/>
          <w:iCs/>
          <w:sz w:val="20"/>
          <w:szCs w:val="20"/>
        </w:rPr>
        <w:t>funds</w:t>
      </w:r>
      <w:r w:rsidR="00963445" w:rsidRPr="00514D5A">
        <w:rPr>
          <w:rFonts w:ascii="Arial" w:hAnsi="Arial" w:cs="Arial"/>
          <w:b/>
          <w:bCs/>
          <w:iCs/>
          <w:sz w:val="20"/>
          <w:szCs w:val="20"/>
        </w:rPr>
        <w:t xml:space="preserve"> (</w:t>
      </w:r>
      <w:r w:rsidR="004E4C60" w:rsidRPr="00514D5A">
        <w:rPr>
          <w:rFonts w:ascii="Arial" w:hAnsi="Arial" w:cs="Arial"/>
          <w:bCs/>
          <w:iCs/>
          <w:sz w:val="20"/>
          <w:szCs w:val="20"/>
        </w:rPr>
        <w:t>DIGITALERT</w:t>
      </w:r>
      <w:r w:rsidR="00D867F0" w:rsidRPr="00514D5A">
        <w:rPr>
          <w:rFonts w:ascii="Arial" w:hAnsi="Arial" w:cs="Arial"/>
          <w:bCs/>
          <w:iCs/>
          <w:sz w:val="20"/>
          <w:szCs w:val="20"/>
        </w:rPr>
        <w:t xml:space="preserve"> 2023, March 23)</w:t>
      </w:r>
      <w:r w:rsidR="00105023" w:rsidRPr="00514D5A">
        <w:rPr>
          <w:rFonts w:ascii="Arial" w:hAnsi="Arial" w:cs="Arial"/>
          <w:bCs/>
          <w:iCs/>
          <w:sz w:val="20"/>
          <w:szCs w:val="20"/>
        </w:rPr>
        <w:t xml:space="preserve">. </w:t>
      </w:r>
    </w:p>
    <w:bookmarkEnd w:id="20"/>
    <w:p w14:paraId="5141ECDB" w14:textId="1DF0A092" w:rsidR="00501D10" w:rsidRPr="00514D5A" w:rsidRDefault="00AD5C86" w:rsidP="00B1407A">
      <w:pPr>
        <w:spacing w:line="480" w:lineRule="auto"/>
        <w:jc w:val="both"/>
        <w:rPr>
          <w:rFonts w:ascii="Arial" w:hAnsi="Arial" w:cs="Arial"/>
          <w:bCs/>
          <w:iCs/>
          <w:sz w:val="20"/>
          <w:szCs w:val="20"/>
        </w:rPr>
      </w:pPr>
      <w:r w:rsidRPr="00514D5A">
        <w:rPr>
          <w:rFonts w:ascii="Arial" w:hAnsi="Arial" w:cs="Arial"/>
          <w:bCs/>
          <w:iCs/>
          <w:sz w:val="20"/>
          <w:szCs w:val="20"/>
        </w:rPr>
        <w:t xml:space="preserve">According to Business Inspection BD. (2021, August 9) </w:t>
      </w:r>
      <w:proofErr w:type="gramStart"/>
      <w:r w:rsidR="00105023" w:rsidRPr="00514D5A">
        <w:rPr>
          <w:rFonts w:ascii="Arial" w:hAnsi="Arial" w:cs="Arial"/>
          <w:bCs/>
          <w:iCs/>
          <w:sz w:val="20"/>
          <w:szCs w:val="20"/>
        </w:rPr>
        <w:t>This</w:t>
      </w:r>
      <w:proofErr w:type="gramEnd"/>
      <w:r w:rsidR="00105023" w:rsidRPr="00514D5A">
        <w:rPr>
          <w:rFonts w:ascii="Arial" w:hAnsi="Arial" w:cs="Arial"/>
          <w:bCs/>
          <w:iCs/>
          <w:sz w:val="20"/>
          <w:szCs w:val="20"/>
        </w:rPr>
        <w:t xml:space="preserve"> attack could have been even more disastrous if it hadn't been for a typo by the hackers that raised suspicions among the </w:t>
      </w:r>
      <w:r w:rsidR="00CC1FC0" w:rsidRPr="00514D5A">
        <w:rPr>
          <w:rFonts w:ascii="Arial" w:hAnsi="Arial" w:cs="Arial"/>
          <w:bCs/>
          <w:iCs/>
          <w:sz w:val="20"/>
          <w:szCs w:val="20"/>
        </w:rPr>
        <w:t xml:space="preserve">staff of the </w:t>
      </w:r>
      <w:r w:rsidR="00DD2208" w:rsidRPr="00514D5A">
        <w:rPr>
          <w:rFonts w:ascii="Arial" w:hAnsi="Arial" w:cs="Arial"/>
          <w:bCs/>
          <w:iCs/>
          <w:sz w:val="20"/>
          <w:szCs w:val="20"/>
        </w:rPr>
        <w:t>Federal Reserve</w:t>
      </w:r>
      <w:r w:rsidR="00501D10" w:rsidRPr="00514D5A">
        <w:rPr>
          <w:rFonts w:ascii="Arial" w:hAnsi="Arial" w:cs="Arial"/>
          <w:bCs/>
          <w:iCs/>
          <w:sz w:val="20"/>
          <w:szCs w:val="20"/>
        </w:rPr>
        <w:t xml:space="preserve"> </w:t>
      </w:r>
      <w:r w:rsidR="00DD2208" w:rsidRPr="00514D5A">
        <w:rPr>
          <w:rFonts w:ascii="Arial" w:hAnsi="Arial" w:cs="Arial"/>
          <w:bCs/>
          <w:iCs/>
          <w:sz w:val="20"/>
          <w:szCs w:val="20"/>
        </w:rPr>
        <w:t>Bank of New York</w:t>
      </w:r>
      <w:r w:rsidR="00105023" w:rsidRPr="00514D5A">
        <w:rPr>
          <w:rFonts w:ascii="Arial" w:hAnsi="Arial" w:cs="Arial"/>
          <w:bCs/>
          <w:iCs/>
          <w:sz w:val="20"/>
          <w:szCs w:val="20"/>
        </w:rPr>
        <w:t>.</w:t>
      </w:r>
      <w:r w:rsidR="00501D10" w:rsidRPr="00514D5A">
        <w:rPr>
          <w:rFonts w:ascii="Arial" w:eastAsia="Times New Roman" w:hAnsi="Arial" w:cs="Arial"/>
          <w:sz w:val="20"/>
          <w:szCs w:val="20"/>
        </w:rPr>
        <w:t xml:space="preserve"> </w:t>
      </w:r>
      <w:r w:rsidR="00501D10" w:rsidRPr="00514D5A">
        <w:rPr>
          <w:rFonts w:ascii="Arial" w:hAnsi="Arial" w:cs="Arial"/>
          <w:bCs/>
          <w:iCs/>
          <w:sz w:val="20"/>
          <w:szCs w:val="20"/>
        </w:rPr>
        <w:t xml:space="preserve">The casinos in the Philippines </w:t>
      </w:r>
      <w:proofErr w:type="gramStart"/>
      <w:r w:rsidR="00501D10" w:rsidRPr="00514D5A">
        <w:rPr>
          <w:rFonts w:ascii="Arial" w:hAnsi="Arial" w:cs="Arial"/>
          <w:bCs/>
          <w:iCs/>
          <w:sz w:val="20"/>
          <w:szCs w:val="20"/>
        </w:rPr>
        <w:t>were eventually used</w:t>
      </w:r>
      <w:proofErr w:type="gramEnd"/>
      <w:r w:rsidR="00501D10" w:rsidRPr="00514D5A">
        <w:rPr>
          <w:rFonts w:ascii="Arial" w:hAnsi="Arial" w:cs="Arial"/>
          <w:bCs/>
          <w:iCs/>
          <w:sz w:val="20"/>
          <w:szCs w:val="20"/>
        </w:rPr>
        <w:t xml:space="preserve"> to conceal the stolen money.</w:t>
      </w:r>
    </w:p>
    <w:p w14:paraId="2C7F3EA9" w14:textId="1504069B" w:rsidR="008A6BD5" w:rsidRPr="00514D5A" w:rsidRDefault="00444521" w:rsidP="00B1407A">
      <w:pPr>
        <w:spacing w:line="480" w:lineRule="auto"/>
        <w:jc w:val="both"/>
        <w:rPr>
          <w:rFonts w:ascii="Arial" w:hAnsi="Arial" w:cs="Arial"/>
          <w:bCs/>
          <w:i/>
          <w:iCs/>
          <w:sz w:val="20"/>
          <w:szCs w:val="20"/>
        </w:rPr>
      </w:pPr>
      <w:r w:rsidRPr="00514D5A">
        <w:rPr>
          <w:rFonts w:ascii="Arial" w:hAnsi="Arial" w:cs="Arial"/>
          <w:bCs/>
          <w:i/>
          <w:iCs/>
          <w:sz w:val="20"/>
          <w:szCs w:val="20"/>
        </w:rPr>
        <w:tab/>
      </w:r>
      <w:r w:rsidR="008A6BD5" w:rsidRPr="00514D5A">
        <w:rPr>
          <w:rFonts w:ascii="Arial" w:hAnsi="Arial" w:cs="Arial"/>
          <w:bCs/>
          <w:i/>
          <w:iCs/>
          <w:sz w:val="20"/>
          <w:szCs w:val="20"/>
        </w:rPr>
        <w:t xml:space="preserve">Reason </w:t>
      </w:r>
      <w:proofErr w:type="gramStart"/>
      <w:r w:rsidR="008A6BD5" w:rsidRPr="00514D5A">
        <w:rPr>
          <w:rFonts w:ascii="Arial" w:hAnsi="Arial" w:cs="Arial"/>
          <w:bCs/>
          <w:i/>
          <w:iCs/>
          <w:sz w:val="20"/>
          <w:szCs w:val="20"/>
        </w:rPr>
        <w:t>Behind</w:t>
      </w:r>
      <w:proofErr w:type="gramEnd"/>
      <w:r w:rsidR="008A6BD5" w:rsidRPr="00514D5A">
        <w:rPr>
          <w:rFonts w:ascii="Arial" w:hAnsi="Arial" w:cs="Arial"/>
          <w:bCs/>
          <w:i/>
          <w:iCs/>
          <w:sz w:val="20"/>
          <w:szCs w:val="20"/>
        </w:rPr>
        <w:t xml:space="preserve"> the Collapses and Lessons Learned from Collapses</w:t>
      </w:r>
    </w:p>
    <w:p w14:paraId="48D6D616" w14:textId="05AEB85D" w:rsidR="003D198A" w:rsidRPr="00514D5A" w:rsidRDefault="00105023" w:rsidP="003D198A">
      <w:pPr>
        <w:spacing w:line="480" w:lineRule="auto"/>
        <w:jc w:val="both"/>
        <w:rPr>
          <w:rFonts w:ascii="Arial" w:hAnsi="Arial" w:cs="Arial"/>
          <w:bCs/>
          <w:iCs/>
          <w:sz w:val="20"/>
          <w:szCs w:val="20"/>
        </w:rPr>
      </w:pPr>
      <w:r w:rsidRPr="00514D5A">
        <w:rPr>
          <w:rFonts w:ascii="Arial" w:hAnsi="Arial" w:cs="Arial"/>
          <w:bCs/>
          <w:iCs/>
          <w:sz w:val="20"/>
          <w:szCs w:val="20"/>
        </w:rPr>
        <w:t xml:space="preserve">The Bangladesh Bank </w:t>
      </w:r>
      <w:proofErr w:type="gramStart"/>
      <w:r w:rsidR="00E30A54" w:rsidRPr="00514D5A">
        <w:rPr>
          <w:rFonts w:ascii="Arial" w:hAnsi="Arial" w:cs="Arial"/>
          <w:bCs/>
          <w:iCs/>
          <w:sz w:val="20"/>
          <w:szCs w:val="20"/>
        </w:rPr>
        <w:t>scam</w:t>
      </w:r>
      <w:proofErr w:type="gramEnd"/>
      <w:r w:rsidRPr="00514D5A">
        <w:rPr>
          <w:rFonts w:ascii="Arial" w:hAnsi="Arial" w:cs="Arial"/>
          <w:bCs/>
          <w:iCs/>
          <w:sz w:val="20"/>
          <w:szCs w:val="20"/>
        </w:rPr>
        <w:t xml:space="preserve"> highlighted</w:t>
      </w:r>
      <w:r w:rsidR="00DE73C2" w:rsidRPr="00514D5A">
        <w:rPr>
          <w:rFonts w:ascii="Arial" w:hAnsi="Arial" w:cs="Arial"/>
          <w:bCs/>
          <w:iCs/>
          <w:sz w:val="20"/>
          <w:szCs w:val="20"/>
        </w:rPr>
        <w:t xml:space="preserve"> </w:t>
      </w:r>
      <w:r w:rsidR="00B44304" w:rsidRPr="00514D5A">
        <w:rPr>
          <w:rFonts w:ascii="Arial" w:hAnsi="Arial" w:cs="Arial"/>
          <w:bCs/>
          <w:iCs/>
          <w:sz w:val="20"/>
          <w:szCs w:val="20"/>
        </w:rPr>
        <w:t xml:space="preserve">the </w:t>
      </w:r>
      <w:r w:rsidR="00CE6B74" w:rsidRPr="00514D5A">
        <w:rPr>
          <w:rFonts w:ascii="Arial" w:hAnsi="Arial" w:cs="Arial"/>
          <w:bCs/>
          <w:iCs/>
          <w:sz w:val="20"/>
          <w:szCs w:val="20"/>
        </w:rPr>
        <w:t xml:space="preserve">disregard and irresponsibility </w:t>
      </w:r>
      <w:r w:rsidR="00B44304" w:rsidRPr="00514D5A">
        <w:rPr>
          <w:rFonts w:ascii="Arial" w:hAnsi="Arial" w:cs="Arial"/>
          <w:bCs/>
          <w:iCs/>
          <w:sz w:val="20"/>
          <w:szCs w:val="20"/>
        </w:rPr>
        <w:t xml:space="preserve">in securing the security of the Society for Worldwide Interbank </w:t>
      </w:r>
      <w:r w:rsidR="00AD5C86" w:rsidRPr="00514D5A">
        <w:rPr>
          <w:rFonts w:ascii="Arial" w:hAnsi="Arial" w:cs="Arial"/>
          <w:bCs/>
          <w:iCs/>
          <w:sz w:val="20"/>
          <w:szCs w:val="20"/>
        </w:rPr>
        <w:t>Financial</w:t>
      </w:r>
      <w:r w:rsidR="00B44304" w:rsidRPr="00514D5A">
        <w:rPr>
          <w:rFonts w:ascii="Arial" w:hAnsi="Arial" w:cs="Arial"/>
          <w:bCs/>
          <w:iCs/>
          <w:sz w:val="20"/>
          <w:szCs w:val="20"/>
        </w:rPr>
        <w:t xml:space="preserve"> Telecommunication (SWIFT)</w:t>
      </w:r>
      <w:r w:rsidR="00E167BA" w:rsidRPr="00514D5A">
        <w:rPr>
          <w:rFonts w:ascii="Arial" w:hAnsi="Arial" w:cs="Arial"/>
          <w:bCs/>
          <w:iCs/>
          <w:sz w:val="20"/>
          <w:szCs w:val="20"/>
        </w:rPr>
        <w:t xml:space="preserve"> </w:t>
      </w:r>
      <w:r w:rsidR="00B44304" w:rsidRPr="00514D5A">
        <w:rPr>
          <w:rFonts w:ascii="Arial" w:hAnsi="Arial" w:cs="Arial"/>
          <w:bCs/>
          <w:iCs/>
          <w:sz w:val="20"/>
          <w:szCs w:val="20"/>
        </w:rPr>
        <w:t>System</w:t>
      </w:r>
      <w:r w:rsidR="00FC138D" w:rsidRPr="00514D5A">
        <w:rPr>
          <w:rFonts w:ascii="Arial" w:hAnsi="Arial" w:cs="Arial"/>
          <w:bCs/>
          <w:iCs/>
          <w:sz w:val="20"/>
          <w:szCs w:val="20"/>
        </w:rPr>
        <w:t xml:space="preserve"> and </w:t>
      </w:r>
      <w:r w:rsidR="00DD2208" w:rsidRPr="00514D5A">
        <w:rPr>
          <w:rFonts w:ascii="Arial" w:hAnsi="Arial" w:cs="Arial"/>
          <w:bCs/>
          <w:iCs/>
          <w:sz w:val="20"/>
          <w:szCs w:val="20"/>
        </w:rPr>
        <w:t xml:space="preserve">the vulnerability of financial institutions to cyberattacks, and </w:t>
      </w:r>
      <w:r w:rsidR="00FC138D" w:rsidRPr="00514D5A">
        <w:rPr>
          <w:rFonts w:ascii="Arial" w:hAnsi="Arial" w:cs="Arial"/>
          <w:bCs/>
          <w:iCs/>
          <w:sz w:val="20"/>
          <w:szCs w:val="20"/>
        </w:rPr>
        <w:t xml:space="preserve">the </w:t>
      </w:r>
      <w:r w:rsidR="00E30A54" w:rsidRPr="00514D5A">
        <w:rPr>
          <w:rFonts w:ascii="Arial" w:hAnsi="Arial" w:cs="Arial"/>
          <w:bCs/>
          <w:iCs/>
          <w:sz w:val="20"/>
          <w:szCs w:val="20"/>
        </w:rPr>
        <w:t>importance</w:t>
      </w:r>
      <w:r w:rsidR="00FC138D" w:rsidRPr="00514D5A">
        <w:rPr>
          <w:rFonts w:ascii="Arial" w:hAnsi="Arial" w:cs="Arial"/>
          <w:bCs/>
          <w:iCs/>
          <w:sz w:val="20"/>
          <w:szCs w:val="20"/>
        </w:rPr>
        <w:t xml:space="preserve"> of </w:t>
      </w:r>
      <w:r w:rsidR="00E30A54" w:rsidRPr="00514D5A">
        <w:rPr>
          <w:rFonts w:ascii="Arial" w:hAnsi="Arial" w:cs="Arial"/>
          <w:bCs/>
          <w:iCs/>
          <w:sz w:val="20"/>
          <w:szCs w:val="20"/>
        </w:rPr>
        <w:t>p</w:t>
      </w:r>
      <w:r w:rsidR="00542352" w:rsidRPr="00514D5A">
        <w:rPr>
          <w:rFonts w:ascii="Arial" w:hAnsi="Arial" w:cs="Arial"/>
          <w:bCs/>
          <w:iCs/>
          <w:sz w:val="20"/>
          <w:szCs w:val="20"/>
        </w:rPr>
        <w:t>lacing</w:t>
      </w:r>
      <w:r w:rsidR="00FC138D" w:rsidRPr="00514D5A">
        <w:rPr>
          <w:rFonts w:ascii="Arial" w:hAnsi="Arial" w:cs="Arial"/>
          <w:bCs/>
          <w:iCs/>
          <w:sz w:val="20"/>
          <w:szCs w:val="20"/>
        </w:rPr>
        <w:t xml:space="preserve"> </w:t>
      </w:r>
      <w:r w:rsidR="00542352" w:rsidRPr="00514D5A">
        <w:rPr>
          <w:rFonts w:ascii="Arial" w:hAnsi="Arial" w:cs="Arial"/>
          <w:bCs/>
          <w:iCs/>
          <w:sz w:val="20"/>
          <w:szCs w:val="20"/>
        </w:rPr>
        <w:t>robust</w:t>
      </w:r>
      <w:r w:rsidR="00FC138D" w:rsidRPr="00514D5A">
        <w:rPr>
          <w:rFonts w:ascii="Arial" w:hAnsi="Arial" w:cs="Arial"/>
          <w:bCs/>
          <w:iCs/>
          <w:sz w:val="20"/>
          <w:szCs w:val="20"/>
        </w:rPr>
        <w:t xml:space="preserve"> cybersecurity measures in place </w:t>
      </w:r>
      <w:r w:rsidR="00FF1F06" w:rsidRPr="00514D5A">
        <w:rPr>
          <w:rFonts w:ascii="Arial" w:hAnsi="Arial" w:cs="Arial"/>
          <w:bCs/>
          <w:iCs/>
          <w:sz w:val="20"/>
          <w:szCs w:val="20"/>
        </w:rPr>
        <w:t>(Islam, N. 2024, February 4)</w:t>
      </w:r>
      <w:r w:rsidRPr="00514D5A">
        <w:rPr>
          <w:rFonts w:ascii="Arial" w:hAnsi="Arial" w:cs="Arial"/>
          <w:bCs/>
          <w:iCs/>
          <w:sz w:val="20"/>
          <w:szCs w:val="20"/>
        </w:rPr>
        <w:t xml:space="preserve">. </w:t>
      </w:r>
      <w:r w:rsidR="003D198A" w:rsidRPr="00514D5A">
        <w:rPr>
          <w:rFonts w:ascii="Arial" w:hAnsi="Arial" w:cs="Arial"/>
          <w:bCs/>
          <w:iCs/>
          <w:sz w:val="20"/>
          <w:szCs w:val="20"/>
        </w:rPr>
        <w:t xml:space="preserve">The incident highlighted the banking systems of Bangladesh and brought </w:t>
      </w:r>
      <w:r w:rsidR="006D0D95" w:rsidRPr="00514D5A">
        <w:rPr>
          <w:rFonts w:ascii="Arial" w:hAnsi="Arial" w:cs="Arial"/>
          <w:bCs/>
          <w:iCs/>
          <w:sz w:val="20"/>
          <w:szCs w:val="20"/>
        </w:rPr>
        <w:t>to</w:t>
      </w:r>
      <w:r w:rsidR="003D198A" w:rsidRPr="00514D5A">
        <w:rPr>
          <w:rFonts w:ascii="Arial" w:hAnsi="Arial" w:cs="Arial"/>
          <w:bCs/>
          <w:iCs/>
          <w:sz w:val="20"/>
          <w:szCs w:val="20"/>
        </w:rPr>
        <w:t xml:space="preserve"> consideration the protective measures taken to safeguard people’s money deposited in different banking </w:t>
      </w:r>
      <w:r w:rsidR="003D198A" w:rsidRPr="00514D5A">
        <w:rPr>
          <w:rFonts w:ascii="Arial" w:hAnsi="Arial" w:cs="Arial"/>
          <w:bCs/>
          <w:iCs/>
          <w:sz w:val="20"/>
          <w:szCs w:val="20"/>
        </w:rPr>
        <w:lastRenderedPageBreak/>
        <w:t>organizations.  In addition, it raised concerns about the vulnerability of the international banking system to cyberattacks</w:t>
      </w:r>
      <w:proofErr w:type="gramStart"/>
      <w:r w:rsidR="003D198A" w:rsidRPr="00514D5A">
        <w:rPr>
          <w:rFonts w:ascii="Arial" w:hAnsi="Arial" w:cs="Arial"/>
          <w:bCs/>
          <w:iCs/>
          <w:sz w:val="20"/>
          <w:szCs w:val="20"/>
        </w:rPr>
        <w:t>,  which</w:t>
      </w:r>
      <w:proofErr w:type="gramEnd"/>
      <w:r w:rsidR="003D198A" w:rsidRPr="00514D5A">
        <w:rPr>
          <w:rFonts w:ascii="Arial" w:hAnsi="Arial" w:cs="Arial"/>
          <w:bCs/>
          <w:iCs/>
          <w:sz w:val="20"/>
          <w:szCs w:val="20"/>
        </w:rPr>
        <w:t xml:space="preserve"> underscores the importance of international regulators joining forces to deal with crimes of </w:t>
      </w:r>
      <w:r w:rsidR="006D0D95" w:rsidRPr="00514D5A">
        <w:rPr>
          <w:rFonts w:ascii="Arial" w:hAnsi="Arial" w:cs="Arial"/>
          <w:bCs/>
          <w:iCs/>
          <w:sz w:val="20"/>
          <w:szCs w:val="20"/>
        </w:rPr>
        <w:t xml:space="preserve">a </w:t>
      </w:r>
      <w:proofErr w:type="spellStart"/>
      <w:r w:rsidR="003D198A" w:rsidRPr="00514D5A">
        <w:rPr>
          <w:rFonts w:ascii="Arial" w:hAnsi="Arial" w:cs="Arial"/>
          <w:bCs/>
          <w:iCs/>
          <w:sz w:val="20"/>
          <w:szCs w:val="20"/>
        </w:rPr>
        <w:t>cyber nature</w:t>
      </w:r>
      <w:proofErr w:type="spellEnd"/>
      <w:r w:rsidR="003D198A" w:rsidRPr="00514D5A">
        <w:rPr>
          <w:rFonts w:ascii="Arial" w:hAnsi="Arial" w:cs="Arial"/>
          <w:bCs/>
          <w:iCs/>
          <w:sz w:val="20"/>
          <w:szCs w:val="20"/>
        </w:rPr>
        <w:t xml:space="preserve"> targeting finance's multi-national body.</w:t>
      </w:r>
    </w:p>
    <w:p w14:paraId="24093ACA" w14:textId="0CDCEEDE" w:rsidR="00946AC6" w:rsidRPr="00514D5A" w:rsidRDefault="002843DA" w:rsidP="00946AC6">
      <w:pPr>
        <w:spacing w:line="480" w:lineRule="auto"/>
        <w:jc w:val="both"/>
        <w:rPr>
          <w:rFonts w:ascii="Arial" w:hAnsi="Arial" w:cs="Arial"/>
          <w:bCs/>
          <w:iCs/>
          <w:sz w:val="20"/>
          <w:szCs w:val="20"/>
        </w:rPr>
      </w:pPr>
      <w:r w:rsidRPr="00514D5A">
        <w:rPr>
          <w:rFonts w:ascii="Arial" w:hAnsi="Arial" w:cs="Arial"/>
          <w:bCs/>
          <w:iCs/>
          <w:sz w:val="20"/>
          <w:szCs w:val="20"/>
        </w:rPr>
        <w:t xml:space="preserve">To prevent </w:t>
      </w:r>
      <w:r w:rsidR="00946AC6" w:rsidRPr="00514D5A">
        <w:rPr>
          <w:rFonts w:ascii="Arial" w:hAnsi="Arial" w:cs="Arial"/>
          <w:bCs/>
          <w:iCs/>
          <w:sz w:val="20"/>
          <w:szCs w:val="20"/>
        </w:rPr>
        <w:t xml:space="preserve">similar </w:t>
      </w:r>
      <w:r w:rsidRPr="00514D5A">
        <w:rPr>
          <w:rFonts w:ascii="Arial" w:hAnsi="Arial" w:cs="Arial"/>
          <w:bCs/>
          <w:iCs/>
          <w:sz w:val="20"/>
          <w:szCs w:val="20"/>
        </w:rPr>
        <w:t xml:space="preserve">scandals in the future, the Risk Management Committee is </w:t>
      </w:r>
      <w:r w:rsidR="00946AC6" w:rsidRPr="00514D5A">
        <w:rPr>
          <w:rFonts w:ascii="Arial" w:hAnsi="Arial" w:cs="Arial"/>
          <w:bCs/>
          <w:iCs/>
          <w:sz w:val="20"/>
          <w:szCs w:val="20"/>
        </w:rPr>
        <w:t>essential</w:t>
      </w:r>
      <w:r w:rsidRPr="00514D5A">
        <w:rPr>
          <w:rFonts w:ascii="Arial" w:hAnsi="Arial" w:cs="Arial"/>
          <w:bCs/>
          <w:iCs/>
          <w:sz w:val="20"/>
          <w:szCs w:val="20"/>
        </w:rPr>
        <w:t xml:space="preserve"> </w:t>
      </w:r>
      <w:r w:rsidR="004F0977" w:rsidRPr="00514D5A">
        <w:rPr>
          <w:rFonts w:ascii="Arial" w:hAnsi="Arial" w:cs="Arial"/>
          <w:bCs/>
          <w:iCs/>
          <w:sz w:val="20"/>
          <w:szCs w:val="20"/>
        </w:rPr>
        <w:t xml:space="preserve">for </w:t>
      </w:r>
      <w:r w:rsidRPr="00514D5A">
        <w:rPr>
          <w:rFonts w:ascii="Arial" w:hAnsi="Arial" w:cs="Arial"/>
          <w:bCs/>
          <w:iCs/>
          <w:sz w:val="20"/>
          <w:szCs w:val="20"/>
        </w:rPr>
        <w:t xml:space="preserve">identifying and </w:t>
      </w:r>
      <w:r w:rsidR="00946AC6" w:rsidRPr="00514D5A">
        <w:rPr>
          <w:rFonts w:ascii="Arial" w:hAnsi="Arial" w:cs="Arial"/>
          <w:bCs/>
          <w:iCs/>
          <w:sz w:val="20"/>
          <w:szCs w:val="20"/>
        </w:rPr>
        <w:t>reducing</w:t>
      </w:r>
      <w:r w:rsidRPr="00514D5A">
        <w:rPr>
          <w:rFonts w:ascii="Arial" w:hAnsi="Arial" w:cs="Arial"/>
          <w:bCs/>
          <w:iCs/>
          <w:sz w:val="20"/>
          <w:szCs w:val="20"/>
        </w:rPr>
        <w:t xml:space="preserve"> risks in financial institutions, including cybersecurity. </w:t>
      </w:r>
      <w:r w:rsidR="00946AC6" w:rsidRPr="00514D5A">
        <w:rPr>
          <w:rFonts w:ascii="Arial" w:hAnsi="Arial" w:cs="Arial"/>
          <w:bCs/>
          <w:iCs/>
          <w:sz w:val="20"/>
          <w:szCs w:val="20"/>
        </w:rPr>
        <w:t xml:space="preserve">The Bangladesh Bank </w:t>
      </w:r>
      <w:proofErr w:type="gramStart"/>
      <w:r w:rsidR="00E30A54" w:rsidRPr="00514D5A">
        <w:rPr>
          <w:rFonts w:ascii="Arial" w:hAnsi="Arial" w:cs="Arial"/>
          <w:bCs/>
          <w:iCs/>
          <w:sz w:val="20"/>
          <w:szCs w:val="20"/>
        </w:rPr>
        <w:t>scam</w:t>
      </w:r>
      <w:proofErr w:type="gramEnd"/>
      <w:r w:rsidR="00946AC6" w:rsidRPr="00514D5A">
        <w:rPr>
          <w:rFonts w:ascii="Arial" w:hAnsi="Arial" w:cs="Arial"/>
          <w:bCs/>
          <w:iCs/>
          <w:sz w:val="20"/>
          <w:szCs w:val="20"/>
        </w:rPr>
        <w:t xml:space="preserve"> demonstrates the importance of thorough risk assessments as well as robust cybersecurity strategies, including multi-tiered SWIFT protocols. To avert such scandals, a financial institution can strengthen </w:t>
      </w:r>
      <w:r w:rsidR="00C17760" w:rsidRPr="00514D5A">
        <w:rPr>
          <w:rFonts w:ascii="Arial" w:hAnsi="Arial" w:cs="Arial"/>
          <w:bCs/>
          <w:iCs/>
          <w:sz w:val="20"/>
          <w:szCs w:val="20"/>
        </w:rPr>
        <w:t xml:space="preserve">its </w:t>
      </w:r>
      <w:r w:rsidR="00946AC6" w:rsidRPr="00514D5A">
        <w:rPr>
          <w:rFonts w:ascii="Arial" w:hAnsi="Arial" w:cs="Arial"/>
          <w:bCs/>
          <w:iCs/>
          <w:sz w:val="20"/>
          <w:szCs w:val="20"/>
        </w:rPr>
        <w:t>policies by conducting regular security assessments, staff training, and policy renewals.</w:t>
      </w:r>
    </w:p>
    <w:p w14:paraId="2A0977A7" w14:textId="58BE6D3B" w:rsidR="007E05AF" w:rsidRPr="00514D5A" w:rsidRDefault="00AF7A2F" w:rsidP="00B1407A">
      <w:pPr>
        <w:spacing w:line="480" w:lineRule="auto"/>
        <w:jc w:val="both"/>
        <w:rPr>
          <w:rFonts w:ascii="Arial" w:hAnsi="Arial" w:cs="Arial"/>
          <w:bCs/>
          <w:i/>
          <w:iCs/>
          <w:sz w:val="20"/>
          <w:szCs w:val="20"/>
        </w:rPr>
      </w:pPr>
      <w:r w:rsidRPr="00514D5A">
        <w:rPr>
          <w:rFonts w:ascii="Arial" w:hAnsi="Arial" w:cs="Arial"/>
          <w:bCs/>
          <w:i/>
          <w:iCs/>
          <w:sz w:val="20"/>
          <w:szCs w:val="20"/>
        </w:rPr>
        <w:t>4</w:t>
      </w:r>
      <w:r w:rsidR="005E5E8C" w:rsidRPr="00514D5A">
        <w:rPr>
          <w:rFonts w:ascii="Arial" w:hAnsi="Arial" w:cs="Arial"/>
          <w:bCs/>
          <w:i/>
          <w:iCs/>
          <w:sz w:val="20"/>
          <w:szCs w:val="20"/>
        </w:rPr>
        <w:t>.1.</w:t>
      </w:r>
      <w:r w:rsidR="0076771B">
        <w:rPr>
          <w:rFonts w:ascii="Arial" w:hAnsi="Arial" w:cs="Arial"/>
          <w:bCs/>
          <w:i/>
          <w:iCs/>
          <w:sz w:val="20"/>
          <w:szCs w:val="20"/>
        </w:rPr>
        <w:t>5</w:t>
      </w:r>
      <w:r w:rsidR="005E5E8C" w:rsidRPr="00514D5A">
        <w:rPr>
          <w:rFonts w:ascii="Arial" w:hAnsi="Arial" w:cs="Arial"/>
          <w:bCs/>
          <w:i/>
          <w:iCs/>
          <w:sz w:val="20"/>
          <w:szCs w:val="20"/>
        </w:rPr>
        <w:t xml:space="preserve"> </w:t>
      </w:r>
      <w:r w:rsidR="007E05AF" w:rsidRPr="00514D5A">
        <w:rPr>
          <w:rFonts w:ascii="Arial" w:hAnsi="Arial" w:cs="Arial"/>
          <w:bCs/>
          <w:i/>
          <w:iCs/>
          <w:sz w:val="20"/>
          <w:szCs w:val="20"/>
        </w:rPr>
        <w:t>Janata Bank:</w:t>
      </w:r>
    </w:p>
    <w:p w14:paraId="6FE29F92" w14:textId="5F5D72FC" w:rsidR="007336DA" w:rsidRPr="00514D5A" w:rsidRDefault="00EE0D54" w:rsidP="007336DA">
      <w:pPr>
        <w:spacing w:line="480" w:lineRule="auto"/>
        <w:jc w:val="both"/>
        <w:rPr>
          <w:rFonts w:ascii="Arial" w:hAnsi="Arial" w:cs="Arial"/>
          <w:bCs/>
          <w:iCs/>
          <w:sz w:val="20"/>
          <w:szCs w:val="20"/>
        </w:rPr>
      </w:pPr>
      <w:bookmarkStart w:id="21" w:name="_Hlk165495034"/>
      <w:r w:rsidRPr="00514D5A">
        <w:rPr>
          <w:rFonts w:ascii="Arial" w:hAnsi="Arial" w:cs="Arial"/>
          <w:bCs/>
          <w:iCs/>
          <w:sz w:val="20"/>
          <w:szCs w:val="20"/>
        </w:rPr>
        <w:t xml:space="preserve">The Janata Bank in Bangladesh accepted and acknowledged several acts of misconduct from the years 2015 to 2020, leading to a massive loss of </w:t>
      </w:r>
      <w:proofErr w:type="spellStart"/>
      <w:r w:rsidRPr="00514D5A">
        <w:rPr>
          <w:rFonts w:ascii="Arial" w:hAnsi="Arial" w:cs="Arial"/>
          <w:bCs/>
          <w:iCs/>
          <w:sz w:val="20"/>
          <w:szCs w:val="20"/>
        </w:rPr>
        <w:t>Tk</w:t>
      </w:r>
      <w:proofErr w:type="spellEnd"/>
      <w:r w:rsidRPr="00514D5A">
        <w:rPr>
          <w:rFonts w:ascii="Arial" w:hAnsi="Arial" w:cs="Arial"/>
          <w:bCs/>
          <w:iCs/>
          <w:sz w:val="20"/>
          <w:szCs w:val="20"/>
        </w:rPr>
        <w:t xml:space="preserve"> 13,110.8 </w:t>
      </w:r>
      <w:proofErr w:type="gramStart"/>
      <w:r w:rsidRPr="00514D5A">
        <w:rPr>
          <w:rFonts w:ascii="Arial" w:hAnsi="Arial" w:cs="Arial"/>
          <w:bCs/>
          <w:iCs/>
          <w:sz w:val="20"/>
          <w:szCs w:val="20"/>
        </w:rPr>
        <w:t>crore</w:t>
      </w:r>
      <w:proofErr w:type="gramEnd"/>
      <w:r w:rsidRPr="00514D5A">
        <w:rPr>
          <w:rFonts w:ascii="Arial" w:hAnsi="Arial" w:cs="Arial"/>
          <w:bCs/>
          <w:iCs/>
          <w:sz w:val="20"/>
          <w:szCs w:val="20"/>
        </w:rPr>
        <w:t xml:space="preserve">. The bank uncritically issued LC facilities to six subsidiaries of </w:t>
      </w:r>
      <w:proofErr w:type="spellStart"/>
      <w:r w:rsidRPr="00514D5A">
        <w:rPr>
          <w:rFonts w:ascii="Arial" w:hAnsi="Arial" w:cs="Arial"/>
          <w:bCs/>
          <w:iCs/>
          <w:sz w:val="20"/>
          <w:szCs w:val="20"/>
        </w:rPr>
        <w:t>AnonTex</w:t>
      </w:r>
      <w:proofErr w:type="spellEnd"/>
      <w:r w:rsidRPr="00514D5A">
        <w:rPr>
          <w:rFonts w:ascii="Arial" w:hAnsi="Arial" w:cs="Arial"/>
          <w:bCs/>
          <w:iCs/>
          <w:sz w:val="20"/>
          <w:szCs w:val="20"/>
        </w:rPr>
        <w:t xml:space="preserve"> Group and S. </w:t>
      </w:r>
      <w:proofErr w:type="spellStart"/>
      <w:r w:rsidRPr="00514D5A">
        <w:rPr>
          <w:rFonts w:ascii="Arial" w:hAnsi="Arial" w:cs="Arial"/>
          <w:bCs/>
          <w:iCs/>
          <w:sz w:val="20"/>
          <w:szCs w:val="20"/>
        </w:rPr>
        <w:t>Alam</w:t>
      </w:r>
      <w:proofErr w:type="spellEnd"/>
      <w:r w:rsidRPr="00514D5A">
        <w:rPr>
          <w:rFonts w:ascii="Arial" w:hAnsi="Arial" w:cs="Arial"/>
          <w:bCs/>
          <w:iCs/>
          <w:sz w:val="20"/>
          <w:szCs w:val="20"/>
        </w:rPr>
        <w:t xml:space="preserve"> Refined S.</w:t>
      </w:r>
      <w:r w:rsidR="00C17760" w:rsidRPr="00514D5A">
        <w:rPr>
          <w:rFonts w:ascii="Arial" w:hAnsi="Arial" w:cs="Arial"/>
          <w:bCs/>
          <w:iCs/>
          <w:sz w:val="20"/>
          <w:szCs w:val="20"/>
        </w:rPr>
        <w:t>,</w:t>
      </w:r>
      <w:r w:rsidRPr="00514D5A">
        <w:rPr>
          <w:rFonts w:ascii="Arial" w:hAnsi="Arial" w:cs="Arial"/>
          <w:bCs/>
          <w:iCs/>
          <w:sz w:val="20"/>
          <w:szCs w:val="20"/>
        </w:rPr>
        <w:t xml:space="preserve"> </w:t>
      </w:r>
      <w:r w:rsidR="00BB2C65" w:rsidRPr="00514D5A">
        <w:rPr>
          <w:rFonts w:ascii="Arial" w:hAnsi="Arial" w:cs="Arial"/>
          <w:bCs/>
          <w:iCs/>
          <w:sz w:val="20"/>
          <w:szCs w:val="20"/>
        </w:rPr>
        <w:t>and BR Spinning Mills.</w:t>
      </w:r>
      <w:r w:rsidRPr="00514D5A">
        <w:rPr>
          <w:rFonts w:ascii="Arial" w:hAnsi="Arial" w:cs="Arial"/>
          <w:bCs/>
          <w:iCs/>
          <w:sz w:val="20"/>
          <w:szCs w:val="20"/>
        </w:rPr>
        <w:t xml:space="preserve"> </w:t>
      </w:r>
      <w:r w:rsidR="00BB2C65" w:rsidRPr="00514D5A">
        <w:rPr>
          <w:rFonts w:ascii="Arial" w:hAnsi="Arial" w:cs="Arial"/>
          <w:bCs/>
          <w:iCs/>
          <w:sz w:val="20"/>
          <w:szCs w:val="20"/>
        </w:rPr>
        <w:t xml:space="preserve">At the Kemal </w:t>
      </w:r>
      <w:r w:rsidR="001B2BCD" w:rsidRPr="00514D5A">
        <w:rPr>
          <w:rFonts w:ascii="Arial" w:hAnsi="Arial" w:cs="Arial"/>
          <w:bCs/>
          <w:iCs/>
          <w:sz w:val="20"/>
          <w:szCs w:val="20"/>
        </w:rPr>
        <w:t>Atatürk</w:t>
      </w:r>
      <w:r w:rsidR="00BB2C65" w:rsidRPr="00514D5A">
        <w:rPr>
          <w:rFonts w:ascii="Arial" w:hAnsi="Arial" w:cs="Arial"/>
          <w:bCs/>
          <w:iCs/>
          <w:sz w:val="20"/>
          <w:szCs w:val="20"/>
        </w:rPr>
        <w:t xml:space="preserve"> branch, it </w:t>
      </w:r>
      <w:proofErr w:type="gramStart"/>
      <w:r w:rsidR="00BB2C65" w:rsidRPr="00514D5A">
        <w:rPr>
          <w:rFonts w:ascii="Arial" w:hAnsi="Arial" w:cs="Arial"/>
          <w:bCs/>
          <w:iCs/>
          <w:sz w:val="20"/>
          <w:szCs w:val="20"/>
        </w:rPr>
        <w:t>was found</w:t>
      </w:r>
      <w:proofErr w:type="gramEnd"/>
      <w:r w:rsidR="00BB2C65" w:rsidRPr="00514D5A">
        <w:rPr>
          <w:rFonts w:ascii="Arial" w:hAnsi="Arial" w:cs="Arial"/>
          <w:bCs/>
          <w:iCs/>
          <w:sz w:val="20"/>
          <w:szCs w:val="20"/>
        </w:rPr>
        <w:t xml:space="preserve"> that </w:t>
      </w:r>
      <w:r w:rsidR="00031123" w:rsidRPr="00514D5A">
        <w:rPr>
          <w:rFonts w:ascii="Arial" w:hAnsi="Arial" w:cs="Arial"/>
          <w:bCs/>
          <w:iCs/>
          <w:sz w:val="20"/>
          <w:szCs w:val="20"/>
        </w:rPr>
        <w:t>back-to-back</w:t>
      </w:r>
      <w:r w:rsidR="00BB2C65" w:rsidRPr="00514D5A">
        <w:rPr>
          <w:rFonts w:ascii="Arial" w:hAnsi="Arial" w:cs="Arial"/>
          <w:bCs/>
          <w:iCs/>
          <w:sz w:val="20"/>
          <w:szCs w:val="20"/>
        </w:rPr>
        <w:t xml:space="preserve"> LC facilities had been provided against fictitious export bills. </w:t>
      </w:r>
      <w:proofErr w:type="gramStart"/>
      <w:r w:rsidR="007336DA" w:rsidRPr="00514D5A">
        <w:rPr>
          <w:rFonts w:ascii="Arial" w:hAnsi="Arial" w:cs="Arial"/>
          <w:bCs/>
          <w:iCs/>
          <w:sz w:val="20"/>
          <w:szCs w:val="20"/>
        </w:rPr>
        <w:t>due</w:t>
      </w:r>
      <w:proofErr w:type="gramEnd"/>
      <w:r w:rsidR="007336DA" w:rsidRPr="00514D5A">
        <w:rPr>
          <w:rFonts w:ascii="Arial" w:hAnsi="Arial" w:cs="Arial"/>
          <w:bCs/>
          <w:iCs/>
          <w:sz w:val="20"/>
          <w:szCs w:val="20"/>
        </w:rPr>
        <w:t xml:space="preserve"> to the bank extending consecutive LCs against unfulfilled shipments</w:t>
      </w:r>
      <w:r w:rsidR="00C17760" w:rsidRPr="00514D5A">
        <w:rPr>
          <w:rFonts w:ascii="Arial" w:hAnsi="Arial" w:cs="Arial"/>
          <w:bCs/>
          <w:iCs/>
          <w:sz w:val="20"/>
          <w:szCs w:val="20"/>
        </w:rPr>
        <w:t>,</w:t>
      </w:r>
      <w:r w:rsidR="007336DA" w:rsidRPr="00514D5A">
        <w:rPr>
          <w:rFonts w:ascii="Arial" w:hAnsi="Arial" w:cs="Arial"/>
          <w:bCs/>
          <w:iCs/>
          <w:sz w:val="20"/>
          <w:szCs w:val="20"/>
        </w:rPr>
        <w:t xml:space="preserve"> </w:t>
      </w:r>
      <w:r w:rsidR="00BB2C65" w:rsidRPr="00514D5A">
        <w:rPr>
          <w:rFonts w:ascii="Arial" w:hAnsi="Arial" w:cs="Arial"/>
          <w:bCs/>
          <w:iCs/>
          <w:sz w:val="20"/>
          <w:szCs w:val="20"/>
        </w:rPr>
        <w:t xml:space="preserve">Doreen Garments owes </w:t>
      </w:r>
      <w:proofErr w:type="spellStart"/>
      <w:r w:rsidR="00BB2C65" w:rsidRPr="00514D5A">
        <w:rPr>
          <w:rFonts w:ascii="Arial" w:hAnsi="Arial" w:cs="Arial"/>
          <w:bCs/>
          <w:iCs/>
          <w:sz w:val="20"/>
          <w:szCs w:val="20"/>
        </w:rPr>
        <w:t>Tk</w:t>
      </w:r>
      <w:proofErr w:type="spellEnd"/>
      <w:r w:rsidR="00BB2C65" w:rsidRPr="00514D5A">
        <w:rPr>
          <w:rFonts w:ascii="Arial" w:hAnsi="Arial" w:cs="Arial"/>
          <w:bCs/>
          <w:iCs/>
          <w:sz w:val="20"/>
          <w:szCs w:val="20"/>
        </w:rPr>
        <w:t xml:space="preserve"> 168.2 crore</w:t>
      </w:r>
      <w:r w:rsidR="007336DA" w:rsidRPr="00514D5A">
        <w:rPr>
          <w:rFonts w:ascii="Arial" w:hAnsi="Arial" w:cs="Arial"/>
          <w:bCs/>
          <w:iCs/>
          <w:sz w:val="20"/>
          <w:szCs w:val="20"/>
        </w:rPr>
        <w:t xml:space="preserve">. </w:t>
      </w:r>
      <w:r w:rsidR="00BB2C65" w:rsidRPr="00514D5A">
        <w:rPr>
          <w:rFonts w:ascii="Arial" w:hAnsi="Arial" w:cs="Arial"/>
          <w:bCs/>
          <w:iCs/>
          <w:sz w:val="20"/>
          <w:szCs w:val="20"/>
        </w:rPr>
        <w:t xml:space="preserve"> </w:t>
      </w:r>
      <w:proofErr w:type="spellStart"/>
      <w:r w:rsidR="007336DA" w:rsidRPr="00514D5A">
        <w:rPr>
          <w:rFonts w:ascii="Arial" w:hAnsi="Arial" w:cs="Arial"/>
          <w:bCs/>
          <w:iCs/>
          <w:sz w:val="20"/>
          <w:szCs w:val="20"/>
        </w:rPr>
        <w:t>Rafique</w:t>
      </w:r>
      <w:proofErr w:type="spellEnd"/>
      <w:r w:rsidR="007336DA" w:rsidRPr="00514D5A">
        <w:rPr>
          <w:rFonts w:ascii="Arial" w:hAnsi="Arial" w:cs="Arial"/>
          <w:bCs/>
          <w:iCs/>
          <w:sz w:val="20"/>
          <w:szCs w:val="20"/>
        </w:rPr>
        <w:t xml:space="preserve">, R. B., &amp; </w:t>
      </w:r>
      <w:proofErr w:type="spellStart"/>
      <w:r w:rsidR="007336DA" w:rsidRPr="00514D5A">
        <w:rPr>
          <w:rFonts w:ascii="Arial" w:hAnsi="Arial" w:cs="Arial"/>
          <w:bCs/>
          <w:iCs/>
          <w:sz w:val="20"/>
          <w:szCs w:val="20"/>
        </w:rPr>
        <w:t>Duraisingam</w:t>
      </w:r>
      <w:proofErr w:type="spellEnd"/>
      <w:r w:rsidR="007336DA" w:rsidRPr="00514D5A">
        <w:rPr>
          <w:rFonts w:ascii="Arial" w:hAnsi="Arial" w:cs="Arial"/>
          <w:bCs/>
          <w:iCs/>
          <w:sz w:val="20"/>
          <w:szCs w:val="20"/>
        </w:rPr>
        <w:t>, T. J., (2023)</w:t>
      </w:r>
    </w:p>
    <w:p w14:paraId="372C4568" w14:textId="1F1121FD" w:rsidR="007336DA" w:rsidRPr="00514D5A" w:rsidRDefault="00BB2C65" w:rsidP="00B1407A">
      <w:pPr>
        <w:spacing w:line="480" w:lineRule="auto"/>
        <w:jc w:val="both"/>
        <w:rPr>
          <w:rFonts w:ascii="Arial" w:hAnsi="Arial" w:cs="Arial"/>
          <w:bCs/>
          <w:iCs/>
          <w:sz w:val="20"/>
          <w:szCs w:val="20"/>
        </w:rPr>
      </w:pPr>
      <w:r w:rsidRPr="00514D5A">
        <w:rPr>
          <w:rFonts w:ascii="Arial" w:hAnsi="Arial" w:cs="Arial"/>
          <w:bCs/>
          <w:iCs/>
          <w:sz w:val="20"/>
          <w:szCs w:val="20"/>
        </w:rPr>
        <w:t xml:space="preserve"> </w:t>
      </w:r>
      <w:r w:rsidR="007336DA" w:rsidRPr="00514D5A">
        <w:rPr>
          <w:rFonts w:ascii="Arial" w:hAnsi="Arial" w:cs="Arial"/>
          <w:bCs/>
          <w:iCs/>
          <w:sz w:val="20"/>
          <w:szCs w:val="20"/>
        </w:rPr>
        <w:t>Reported that a</w:t>
      </w:r>
      <w:r w:rsidR="002E3FD7" w:rsidRPr="00514D5A">
        <w:rPr>
          <w:rFonts w:ascii="Arial" w:hAnsi="Arial" w:cs="Arial"/>
          <w:bCs/>
          <w:iCs/>
          <w:sz w:val="20"/>
          <w:szCs w:val="20"/>
        </w:rPr>
        <w:t xml:space="preserve">n audit </w:t>
      </w:r>
      <w:r w:rsidRPr="00514D5A">
        <w:rPr>
          <w:rFonts w:ascii="Arial" w:hAnsi="Arial" w:cs="Arial"/>
          <w:bCs/>
          <w:iCs/>
          <w:sz w:val="20"/>
          <w:szCs w:val="20"/>
        </w:rPr>
        <w:t xml:space="preserve">found </w:t>
      </w:r>
      <w:r w:rsidR="002E3FD7" w:rsidRPr="00514D5A">
        <w:rPr>
          <w:rFonts w:ascii="Arial" w:hAnsi="Arial" w:cs="Arial"/>
          <w:bCs/>
          <w:iCs/>
          <w:sz w:val="20"/>
          <w:szCs w:val="20"/>
        </w:rPr>
        <w:t>irregularities worth Tk. 5304</w:t>
      </w:r>
      <w:r w:rsidR="00835A31" w:rsidRPr="00514D5A">
        <w:rPr>
          <w:rFonts w:ascii="Arial" w:hAnsi="Arial" w:cs="Arial"/>
          <w:bCs/>
          <w:iCs/>
          <w:sz w:val="20"/>
          <w:szCs w:val="20"/>
        </w:rPr>
        <w:t xml:space="preserve"> </w:t>
      </w:r>
      <w:r w:rsidR="002E3FD7" w:rsidRPr="00514D5A">
        <w:rPr>
          <w:rFonts w:ascii="Arial" w:hAnsi="Arial" w:cs="Arial"/>
          <w:bCs/>
          <w:iCs/>
          <w:sz w:val="20"/>
          <w:szCs w:val="20"/>
        </w:rPr>
        <w:t>crore</w:t>
      </w:r>
      <w:r w:rsidR="007336DA" w:rsidRPr="00514D5A">
        <w:rPr>
          <w:rFonts w:ascii="Arial" w:hAnsi="Arial" w:cs="Arial"/>
          <w:bCs/>
          <w:iCs/>
          <w:sz w:val="20"/>
          <w:szCs w:val="20"/>
        </w:rPr>
        <w:t>.</w:t>
      </w:r>
    </w:p>
    <w:p w14:paraId="08A5ADD2" w14:textId="0AAB0641" w:rsidR="00FF40AD" w:rsidRPr="00514D5A" w:rsidRDefault="002E3FD7" w:rsidP="00B1407A">
      <w:pPr>
        <w:spacing w:line="480" w:lineRule="auto"/>
        <w:jc w:val="both"/>
        <w:rPr>
          <w:rFonts w:ascii="Arial" w:hAnsi="Arial" w:cs="Arial"/>
          <w:bCs/>
          <w:iCs/>
          <w:sz w:val="20"/>
          <w:szCs w:val="20"/>
        </w:rPr>
      </w:pPr>
      <w:r w:rsidRPr="00514D5A">
        <w:rPr>
          <w:rFonts w:ascii="Arial" w:hAnsi="Arial" w:cs="Arial"/>
          <w:bCs/>
          <w:iCs/>
          <w:sz w:val="20"/>
          <w:szCs w:val="20"/>
        </w:rPr>
        <w:t xml:space="preserve"> </w:t>
      </w:r>
      <w:r w:rsidR="00F72308" w:rsidRPr="00514D5A">
        <w:rPr>
          <w:rFonts w:ascii="Arial" w:hAnsi="Arial" w:cs="Arial"/>
          <w:bCs/>
          <w:iCs/>
          <w:sz w:val="20"/>
          <w:szCs w:val="20"/>
        </w:rPr>
        <w:t xml:space="preserve">In response, </w:t>
      </w:r>
      <w:r w:rsidR="00205C07" w:rsidRPr="00514D5A">
        <w:rPr>
          <w:rFonts w:ascii="Arial" w:hAnsi="Arial" w:cs="Arial"/>
          <w:bCs/>
          <w:iCs/>
          <w:sz w:val="20"/>
          <w:szCs w:val="20"/>
        </w:rPr>
        <w:t>to</w:t>
      </w:r>
      <w:r w:rsidR="001B2BCD" w:rsidRPr="00514D5A">
        <w:rPr>
          <w:rFonts w:ascii="Arial" w:hAnsi="Arial" w:cs="Arial"/>
          <w:bCs/>
          <w:iCs/>
          <w:sz w:val="20"/>
          <w:szCs w:val="20"/>
        </w:rPr>
        <w:t xml:space="preserve"> prevent s</w:t>
      </w:r>
      <w:r w:rsidR="00E30A54" w:rsidRPr="00514D5A">
        <w:rPr>
          <w:rFonts w:ascii="Arial" w:hAnsi="Arial" w:cs="Arial"/>
          <w:bCs/>
          <w:iCs/>
          <w:sz w:val="20"/>
          <w:szCs w:val="20"/>
        </w:rPr>
        <w:t>uch occurrences</w:t>
      </w:r>
      <w:r w:rsidR="001B2BCD" w:rsidRPr="00514D5A">
        <w:rPr>
          <w:rFonts w:ascii="Arial" w:hAnsi="Arial" w:cs="Arial"/>
          <w:bCs/>
          <w:iCs/>
          <w:sz w:val="20"/>
          <w:szCs w:val="20"/>
        </w:rPr>
        <w:t xml:space="preserve"> in the future</w:t>
      </w:r>
      <w:r w:rsidR="00205C07" w:rsidRPr="00514D5A">
        <w:rPr>
          <w:rFonts w:ascii="Arial" w:hAnsi="Arial" w:cs="Arial"/>
          <w:bCs/>
          <w:iCs/>
          <w:sz w:val="20"/>
          <w:szCs w:val="20"/>
        </w:rPr>
        <w:t>, Janata Bank has taken steps to resolve these issues.</w:t>
      </w:r>
      <w:r w:rsidR="007C2BDD" w:rsidRPr="00514D5A">
        <w:rPr>
          <w:rFonts w:ascii="Arial" w:eastAsia="Times New Roman" w:hAnsi="Arial" w:cs="Arial"/>
          <w:sz w:val="20"/>
          <w:szCs w:val="20"/>
        </w:rPr>
        <w:t xml:space="preserve"> </w:t>
      </w:r>
      <w:r w:rsidR="007C2BDD" w:rsidRPr="00514D5A">
        <w:rPr>
          <w:rFonts w:ascii="Arial" w:hAnsi="Arial" w:cs="Arial"/>
          <w:bCs/>
          <w:iCs/>
          <w:sz w:val="20"/>
          <w:szCs w:val="20"/>
        </w:rPr>
        <w:t>Compliance Audit Report (2015-</w:t>
      </w:r>
      <w:r w:rsidR="00963445" w:rsidRPr="00514D5A">
        <w:rPr>
          <w:rFonts w:ascii="Arial" w:hAnsi="Arial" w:cs="Arial"/>
          <w:bCs/>
          <w:iCs/>
          <w:sz w:val="20"/>
          <w:szCs w:val="20"/>
        </w:rPr>
        <w:t>2020)</w:t>
      </w:r>
      <w:r w:rsidR="007C2BDD" w:rsidRPr="00514D5A">
        <w:rPr>
          <w:rFonts w:ascii="Arial" w:hAnsi="Arial" w:cs="Arial"/>
          <w:bCs/>
          <w:iCs/>
          <w:sz w:val="20"/>
          <w:szCs w:val="20"/>
        </w:rPr>
        <w:t xml:space="preserve"> states that they have used their cash to settle </w:t>
      </w:r>
      <w:proofErr w:type="spellStart"/>
      <w:r w:rsidR="007C2BDD" w:rsidRPr="00514D5A">
        <w:rPr>
          <w:rFonts w:ascii="Arial" w:hAnsi="Arial" w:cs="Arial"/>
          <w:bCs/>
          <w:iCs/>
          <w:sz w:val="20"/>
          <w:szCs w:val="20"/>
        </w:rPr>
        <w:t>AnonTex's</w:t>
      </w:r>
      <w:proofErr w:type="spellEnd"/>
      <w:r w:rsidR="007C2BDD" w:rsidRPr="00514D5A">
        <w:rPr>
          <w:rFonts w:ascii="Arial" w:hAnsi="Arial" w:cs="Arial"/>
          <w:bCs/>
          <w:iCs/>
          <w:sz w:val="20"/>
          <w:szCs w:val="20"/>
        </w:rPr>
        <w:t xml:space="preserve"> LCs and have committed to pursuing defaulting employees for unpaid bills </w:t>
      </w:r>
      <w:r w:rsidR="0042563D" w:rsidRPr="00514D5A">
        <w:rPr>
          <w:rFonts w:ascii="Arial" w:hAnsi="Arial" w:cs="Arial"/>
          <w:bCs/>
          <w:iCs/>
          <w:sz w:val="20"/>
          <w:szCs w:val="20"/>
        </w:rPr>
        <w:t>(The Daily Star, 2021).</w:t>
      </w:r>
    </w:p>
    <w:p w14:paraId="11307D4C" w14:textId="567E2A2B" w:rsidR="007E05AF" w:rsidRPr="00514D5A" w:rsidRDefault="00444521" w:rsidP="00B1407A">
      <w:pPr>
        <w:spacing w:line="480" w:lineRule="auto"/>
        <w:jc w:val="both"/>
        <w:rPr>
          <w:rFonts w:ascii="Arial" w:hAnsi="Arial" w:cs="Arial"/>
          <w:bCs/>
          <w:i/>
          <w:iCs/>
          <w:sz w:val="20"/>
          <w:szCs w:val="20"/>
        </w:rPr>
      </w:pPr>
      <w:r w:rsidRPr="00514D5A">
        <w:rPr>
          <w:rFonts w:ascii="Arial" w:hAnsi="Arial" w:cs="Arial"/>
          <w:bCs/>
          <w:i/>
          <w:iCs/>
          <w:sz w:val="20"/>
          <w:szCs w:val="20"/>
        </w:rPr>
        <w:tab/>
      </w:r>
      <w:r w:rsidR="007E05AF" w:rsidRPr="00514D5A">
        <w:rPr>
          <w:rFonts w:ascii="Arial" w:hAnsi="Arial" w:cs="Arial"/>
          <w:bCs/>
          <w:i/>
          <w:iCs/>
          <w:sz w:val="20"/>
          <w:szCs w:val="20"/>
        </w:rPr>
        <w:t xml:space="preserve">Reason </w:t>
      </w:r>
      <w:proofErr w:type="gramStart"/>
      <w:r w:rsidR="007E05AF" w:rsidRPr="00514D5A">
        <w:rPr>
          <w:rFonts w:ascii="Arial" w:hAnsi="Arial" w:cs="Arial"/>
          <w:bCs/>
          <w:i/>
          <w:iCs/>
          <w:sz w:val="20"/>
          <w:szCs w:val="20"/>
        </w:rPr>
        <w:t>Behind</w:t>
      </w:r>
      <w:proofErr w:type="gramEnd"/>
      <w:r w:rsidR="007E05AF" w:rsidRPr="00514D5A">
        <w:rPr>
          <w:rFonts w:ascii="Arial" w:hAnsi="Arial" w:cs="Arial"/>
          <w:bCs/>
          <w:i/>
          <w:iCs/>
          <w:sz w:val="20"/>
          <w:szCs w:val="20"/>
        </w:rPr>
        <w:t xml:space="preserve"> the Collapses and Lessons Learned from Collapses</w:t>
      </w:r>
    </w:p>
    <w:bookmarkEnd w:id="21"/>
    <w:p w14:paraId="49C144AD" w14:textId="69FDD8AE" w:rsidR="00812CEF" w:rsidRDefault="00812CEF" w:rsidP="00B1407A">
      <w:pPr>
        <w:spacing w:line="480" w:lineRule="auto"/>
        <w:jc w:val="both"/>
        <w:rPr>
          <w:rFonts w:ascii="Arial" w:hAnsi="Arial" w:cs="Arial"/>
          <w:bCs/>
          <w:iCs/>
          <w:sz w:val="20"/>
          <w:szCs w:val="20"/>
        </w:rPr>
      </w:pPr>
      <w:r w:rsidRPr="00514D5A">
        <w:rPr>
          <w:rFonts w:ascii="Arial" w:hAnsi="Arial" w:cs="Arial"/>
          <w:bCs/>
          <w:iCs/>
          <w:sz w:val="20"/>
          <w:szCs w:val="20"/>
        </w:rPr>
        <w:t xml:space="preserve">The investigation into the Janata Bank fraud incident revealed shortcomings in the Bangladesh banking industry’s overall practices in risk assessment and risk mitigation. In order to prevent recurrence of such incidents in the future, the risk management committee should actively manage and mitigate risks of fraud, loan defaults, and inadequate verification prior to granting LC facilities. This could be achieved through the establishment of internal control frameworks, enhanced due diligence, supervision of subsidiary dealings, </w:t>
      </w:r>
      <w:r w:rsidRPr="00514D5A">
        <w:rPr>
          <w:rFonts w:ascii="Arial" w:hAnsi="Arial" w:cs="Arial"/>
          <w:bCs/>
          <w:iCs/>
          <w:sz w:val="20"/>
          <w:szCs w:val="20"/>
        </w:rPr>
        <w:lastRenderedPageBreak/>
        <w:t>and fraud prevention controls. These measures will assist the committee in safeguarding the entire banking ecosystem.</w:t>
      </w:r>
    </w:p>
    <w:p w14:paraId="3C1576D4" w14:textId="7C47A24E" w:rsidR="0076771B" w:rsidRPr="0076771B" w:rsidRDefault="0076771B" w:rsidP="0076771B">
      <w:pPr>
        <w:spacing w:line="480" w:lineRule="auto"/>
        <w:jc w:val="both"/>
        <w:rPr>
          <w:rFonts w:ascii="Arial" w:hAnsi="Arial" w:cs="Arial"/>
          <w:bCs/>
          <w:i/>
          <w:iCs/>
          <w:sz w:val="20"/>
          <w:szCs w:val="20"/>
        </w:rPr>
      </w:pPr>
      <w:r w:rsidRPr="0076771B">
        <w:rPr>
          <w:rFonts w:ascii="Arial" w:hAnsi="Arial" w:cs="Arial"/>
          <w:bCs/>
          <w:i/>
          <w:iCs/>
          <w:sz w:val="20"/>
          <w:szCs w:val="20"/>
        </w:rPr>
        <w:t>4.1.6 Destiny Group</w:t>
      </w:r>
    </w:p>
    <w:p w14:paraId="1E7C7B82" w14:textId="77777777" w:rsidR="0076771B" w:rsidRPr="0076771B" w:rsidRDefault="0076771B" w:rsidP="0076771B">
      <w:pPr>
        <w:spacing w:line="480" w:lineRule="auto"/>
        <w:jc w:val="both"/>
        <w:rPr>
          <w:rFonts w:ascii="Arial" w:hAnsi="Arial" w:cs="Arial"/>
          <w:bCs/>
          <w:iCs/>
          <w:sz w:val="20"/>
          <w:szCs w:val="20"/>
        </w:rPr>
      </w:pPr>
      <w:r w:rsidRPr="0076771B">
        <w:rPr>
          <w:rFonts w:ascii="Arial" w:hAnsi="Arial" w:cs="Arial"/>
          <w:bCs/>
          <w:iCs/>
          <w:sz w:val="20"/>
          <w:szCs w:val="20"/>
        </w:rPr>
        <w:t xml:space="preserve">Destiny was a well-known multi-level marketing (MLM) business in Bangladesh that operated across 22 regions and had a significant impact on the nation's administration. It claimed to have </w:t>
      </w:r>
      <w:bookmarkStart w:id="22" w:name="_Hlk172998096"/>
      <w:r w:rsidRPr="0076771B">
        <w:rPr>
          <w:rFonts w:ascii="Arial" w:hAnsi="Arial" w:cs="Arial"/>
          <w:bCs/>
          <w:iCs/>
          <w:sz w:val="20"/>
          <w:szCs w:val="20"/>
        </w:rPr>
        <w:t xml:space="preserve">sold 50 million trees to around 1.7 million investors, generating over Tk.42 </w:t>
      </w:r>
      <w:proofErr w:type="gramStart"/>
      <w:r w:rsidRPr="0076771B">
        <w:rPr>
          <w:rFonts w:ascii="Arial" w:hAnsi="Arial" w:cs="Arial"/>
          <w:bCs/>
          <w:iCs/>
          <w:sz w:val="20"/>
          <w:szCs w:val="20"/>
        </w:rPr>
        <w:t>billion</w:t>
      </w:r>
      <w:proofErr w:type="gramEnd"/>
      <w:r w:rsidRPr="0076771B">
        <w:rPr>
          <w:rFonts w:ascii="Arial" w:hAnsi="Arial" w:cs="Arial"/>
          <w:bCs/>
          <w:iCs/>
          <w:sz w:val="20"/>
          <w:szCs w:val="20"/>
        </w:rPr>
        <w:t xml:space="preserve"> in revenue despite only 5.3% of those investors having any tree</w:t>
      </w:r>
      <w:commentRangeStart w:id="23"/>
      <w:r w:rsidRPr="0076771B">
        <w:rPr>
          <w:rFonts w:ascii="Arial" w:hAnsi="Arial" w:cs="Arial"/>
          <w:bCs/>
          <w:iCs/>
          <w:sz w:val="20"/>
          <w:szCs w:val="20"/>
        </w:rPr>
        <w:t xml:space="preserve">s </w:t>
      </w:r>
      <w:bookmarkEnd w:id="22"/>
      <w:commentRangeEnd w:id="23"/>
      <w:r w:rsidR="00E06CDF">
        <w:rPr>
          <w:rStyle w:val="CommentReference"/>
        </w:rPr>
        <w:commentReference w:id="23"/>
      </w:r>
      <w:r w:rsidRPr="0076771B">
        <w:rPr>
          <w:rFonts w:ascii="Arial" w:hAnsi="Arial" w:cs="Arial"/>
          <w:bCs/>
          <w:iCs/>
          <w:sz w:val="20"/>
          <w:szCs w:val="20"/>
        </w:rPr>
        <w:t>However</w:t>
      </w:r>
      <w:bookmarkStart w:id="24" w:name="_Hlk172998865"/>
      <w:r w:rsidRPr="0076771B">
        <w:rPr>
          <w:rFonts w:ascii="Arial" w:hAnsi="Arial" w:cs="Arial"/>
          <w:bCs/>
          <w:iCs/>
          <w:sz w:val="20"/>
          <w:szCs w:val="20"/>
        </w:rPr>
        <w:t>, the company's greed for early profit and lack of transparency led to it engaging in illicit banking practices, which came to light in 2012 when the central bank discovered it. As a result, the Anti-Corruption Commission filed lawsuits against 53 officials who stole BDT 4200 crore and transferred it to their accounts and the accounts of the 20 companies (Dhaka Tribune. 2014, January 7).</w:t>
      </w:r>
    </w:p>
    <w:bookmarkEnd w:id="24"/>
    <w:p w14:paraId="289AF18F" w14:textId="77777777" w:rsidR="0076771B" w:rsidRPr="0076771B" w:rsidRDefault="0076771B" w:rsidP="0076771B">
      <w:pPr>
        <w:spacing w:line="480" w:lineRule="auto"/>
        <w:jc w:val="both"/>
        <w:rPr>
          <w:rFonts w:ascii="Arial" w:hAnsi="Arial" w:cs="Arial"/>
          <w:bCs/>
          <w:iCs/>
          <w:sz w:val="20"/>
          <w:szCs w:val="20"/>
        </w:rPr>
      </w:pPr>
      <w:r w:rsidRPr="0076771B">
        <w:rPr>
          <w:rFonts w:ascii="Arial" w:hAnsi="Arial" w:cs="Arial"/>
          <w:bCs/>
          <w:iCs/>
          <w:sz w:val="20"/>
          <w:szCs w:val="20"/>
        </w:rPr>
        <w:t>Unfortunately, many investors lost a significant amount of money, and the company's reputation was tarnished. It is important to be vigilant and conduct thorough research before making any investments to avoid such catastrophic outcomes.</w:t>
      </w:r>
    </w:p>
    <w:p w14:paraId="5B31D1CA" w14:textId="7F0E6E46" w:rsidR="0076771B" w:rsidRPr="0076771B" w:rsidRDefault="0076771B" w:rsidP="0076771B">
      <w:pPr>
        <w:spacing w:line="480" w:lineRule="auto"/>
        <w:jc w:val="both"/>
        <w:rPr>
          <w:rFonts w:ascii="Arial" w:hAnsi="Arial" w:cs="Arial"/>
          <w:bCs/>
          <w:i/>
          <w:iCs/>
          <w:sz w:val="20"/>
          <w:szCs w:val="20"/>
        </w:rPr>
      </w:pPr>
      <w:r>
        <w:rPr>
          <w:rFonts w:ascii="Arial" w:hAnsi="Arial" w:cs="Arial"/>
          <w:bCs/>
          <w:i/>
          <w:iCs/>
          <w:sz w:val="20"/>
          <w:szCs w:val="20"/>
        </w:rPr>
        <w:tab/>
      </w:r>
      <w:r w:rsidRPr="0076771B">
        <w:rPr>
          <w:rFonts w:ascii="Arial" w:hAnsi="Arial" w:cs="Arial"/>
          <w:bCs/>
          <w:i/>
          <w:iCs/>
          <w:sz w:val="20"/>
          <w:szCs w:val="20"/>
        </w:rPr>
        <w:t xml:space="preserve">Reason </w:t>
      </w:r>
      <w:proofErr w:type="gramStart"/>
      <w:r w:rsidRPr="0076771B">
        <w:rPr>
          <w:rFonts w:ascii="Arial" w:hAnsi="Arial" w:cs="Arial"/>
          <w:bCs/>
          <w:i/>
          <w:iCs/>
          <w:sz w:val="20"/>
          <w:szCs w:val="20"/>
        </w:rPr>
        <w:t>Behind</w:t>
      </w:r>
      <w:proofErr w:type="gramEnd"/>
      <w:r w:rsidRPr="0076771B">
        <w:rPr>
          <w:rFonts w:ascii="Arial" w:hAnsi="Arial" w:cs="Arial"/>
          <w:bCs/>
          <w:i/>
          <w:iCs/>
          <w:sz w:val="20"/>
          <w:szCs w:val="20"/>
        </w:rPr>
        <w:t xml:space="preserve"> the Collapses and Lessons Learned from Collapses</w:t>
      </w:r>
    </w:p>
    <w:p w14:paraId="4A6E8305" w14:textId="2F34EC39" w:rsidR="0076771B" w:rsidRDefault="0076771B" w:rsidP="0076771B">
      <w:pPr>
        <w:spacing w:line="480" w:lineRule="auto"/>
        <w:jc w:val="both"/>
        <w:rPr>
          <w:rFonts w:ascii="Arial" w:hAnsi="Arial" w:cs="Arial"/>
          <w:bCs/>
          <w:iCs/>
          <w:sz w:val="20"/>
          <w:szCs w:val="20"/>
        </w:rPr>
      </w:pPr>
      <w:r w:rsidRPr="0076771B">
        <w:rPr>
          <w:rFonts w:ascii="Arial" w:hAnsi="Arial" w:cs="Arial"/>
          <w:bCs/>
          <w:iCs/>
          <w:sz w:val="20"/>
          <w:szCs w:val="20"/>
        </w:rPr>
        <w:t xml:space="preserve">The unfortunate Destiny Group scandal in Bangladesh has taught us some valuable lessons. It highlighted the need for robust risk management committees and effective corporate governance practices. The scandal was caused by a combination of factors, including weak oversight and monitoring, inadequate internal controls, non-compliance with regulations, lack of due diligence in investments, uncontrolled expansion, poor financial management, and insufficient internal auditing. All of these factors </w:t>
      </w:r>
      <w:proofErr w:type="gramStart"/>
      <w:r w:rsidRPr="0076771B">
        <w:rPr>
          <w:rFonts w:ascii="Arial" w:hAnsi="Arial" w:cs="Arial"/>
          <w:bCs/>
          <w:iCs/>
          <w:sz w:val="20"/>
          <w:szCs w:val="20"/>
        </w:rPr>
        <w:t>could have been mitigated</w:t>
      </w:r>
      <w:proofErr w:type="gramEnd"/>
      <w:r w:rsidRPr="0076771B">
        <w:rPr>
          <w:rFonts w:ascii="Arial" w:hAnsi="Arial" w:cs="Arial"/>
          <w:bCs/>
          <w:iCs/>
          <w:sz w:val="20"/>
          <w:szCs w:val="20"/>
        </w:rPr>
        <w:t xml:space="preserve"> if a strong risk management committee </w:t>
      </w:r>
      <w:r w:rsidR="00933FBC">
        <w:rPr>
          <w:rFonts w:ascii="Arial" w:hAnsi="Arial" w:cs="Arial"/>
          <w:bCs/>
          <w:iCs/>
          <w:sz w:val="20"/>
          <w:szCs w:val="20"/>
        </w:rPr>
        <w:t>had been</w:t>
      </w:r>
      <w:r w:rsidRPr="0076771B">
        <w:rPr>
          <w:rFonts w:ascii="Arial" w:hAnsi="Arial" w:cs="Arial"/>
          <w:bCs/>
          <w:iCs/>
          <w:sz w:val="20"/>
          <w:szCs w:val="20"/>
        </w:rPr>
        <w:t xml:space="preserve"> in place. The absence of such a committee also allowed funds to be misappropriated and </w:t>
      </w:r>
      <w:proofErr w:type="gramStart"/>
      <w:r w:rsidRPr="0076771B">
        <w:rPr>
          <w:rFonts w:ascii="Arial" w:hAnsi="Arial" w:cs="Arial"/>
          <w:bCs/>
          <w:iCs/>
          <w:sz w:val="20"/>
          <w:szCs w:val="20"/>
        </w:rPr>
        <w:t>transferred</w:t>
      </w:r>
      <w:proofErr w:type="gramEnd"/>
      <w:r w:rsidRPr="0076771B">
        <w:rPr>
          <w:rFonts w:ascii="Arial" w:hAnsi="Arial" w:cs="Arial"/>
          <w:bCs/>
          <w:iCs/>
          <w:sz w:val="20"/>
          <w:szCs w:val="20"/>
        </w:rPr>
        <w:t xml:space="preserve"> to personal accounts. The scandal reminds us of the significance of strong risk management practices and proper corporate governance in preventing financial fraud and mismanagement. By implementing these practices, we can safeguard investors, maintain organizational integrity, and assist in preserving the financial system's stability.</w:t>
      </w:r>
    </w:p>
    <w:p w14:paraId="410EE486" w14:textId="13CED949" w:rsidR="0076771B" w:rsidRPr="0076771B" w:rsidRDefault="0076771B" w:rsidP="0076771B">
      <w:pPr>
        <w:spacing w:line="480" w:lineRule="auto"/>
        <w:jc w:val="both"/>
        <w:rPr>
          <w:rFonts w:ascii="Arial" w:hAnsi="Arial" w:cs="Arial"/>
          <w:bCs/>
          <w:i/>
          <w:iCs/>
          <w:sz w:val="20"/>
          <w:szCs w:val="20"/>
        </w:rPr>
      </w:pPr>
      <w:r w:rsidRPr="0076771B">
        <w:rPr>
          <w:rFonts w:ascii="Arial" w:hAnsi="Arial" w:cs="Arial"/>
          <w:bCs/>
          <w:i/>
          <w:iCs/>
          <w:sz w:val="20"/>
          <w:szCs w:val="20"/>
        </w:rPr>
        <w:t>4.1.7 Delta Life Insurance</w:t>
      </w:r>
    </w:p>
    <w:p w14:paraId="7361C24B" w14:textId="77777777" w:rsidR="0076771B" w:rsidRPr="0076771B" w:rsidRDefault="0076771B" w:rsidP="0076771B">
      <w:pPr>
        <w:spacing w:line="480" w:lineRule="auto"/>
        <w:jc w:val="both"/>
        <w:rPr>
          <w:rFonts w:ascii="Arial" w:hAnsi="Arial" w:cs="Arial"/>
          <w:bCs/>
          <w:iCs/>
          <w:sz w:val="20"/>
          <w:szCs w:val="20"/>
        </w:rPr>
      </w:pPr>
      <w:r w:rsidRPr="0076771B">
        <w:rPr>
          <w:rFonts w:ascii="Arial" w:hAnsi="Arial" w:cs="Arial"/>
          <w:bCs/>
          <w:iCs/>
          <w:sz w:val="20"/>
          <w:szCs w:val="20"/>
        </w:rPr>
        <w:lastRenderedPageBreak/>
        <w:t>Delta Life Insurance Company, which has been operating since December 17, 1986, is a well-known insurance provider that offers various insurance services, including group and health insurance, savings accounts, and traditional coverage to individuals from different socioeconomic backgrounds.</w:t>
      </w:r>
    </w:p>
    <w:p w14:paraId="08679A61" w14:textId="4D15283D" w:rsidR="0076771B" w:rsidRPr="0076771B" w:rsidRDefault="0076771B" w:rsidP="0076771B">
      <w:pPr>
        <w:spacing w:line="480" w:lineRule="auto"/>
        <w:jc w:val="both"/>
        <w:rPr>
          <w:rFonts w:ascii="Arial" w:hAnsi="Arial" w:cs="Arial"/>
          <w:bCs/>
          <w:iCs/>
          <w:sz w:val="20"/>
          <w:szCs w:val="20"/>
        </w:rPr>
      </w:pPr>
      <w:r w:rsidRPr="0076771B">
        <w:rPr>
          <w:rFonts w:ascii="Arial" w:hAnsi="Arial" w:cs="Arial"/>
          <w:bCs/>
          <w:iCs/>
          <w:sz w:val="20"/>
          <w:szCs w:val="20"/>
        </w:rPr>
        <w:t xml:space="preserve">However, in 2021, the Insurance Development and Regulatory Authority (IDRA) investigated and revealed that Delta Life Insurance had allegedly committed several fraudulent activities, manipulations, and covert dealings, which resulted in almost </w:t>
      </w:r>
      <w:proofErr w:type="spellStart"/>
      <w:r w:rsidRPr="0076771B">
        <w:rPr>
          <w:rFonts w:ascii="Arial" w:hAnsi="Arial" w:cs="Arial"/>
          <w:bCs/>
          <w:iCs/>
          <w:sz w:val="20"/>
          <w:szCs w:val="20"/>
        </w:rPr>
        <w:t>Tk</w:t>
      </w:r>
      <w:proofErr w:type="spellEnd"/>
      <w:r w:rsidRPr="0076771B">
        <w:rPr>
          <w:rFonts w:ascii="Arial" w:hAnsi="Arial" w:cs="Arial"/>
          <w:bCs/>
          <w:iCs/>
          <w:sz w:val="20"/>
          <w:szCs w:val="20"/>
        </w:rPr>
        <w:t xml:space="preserve"> 3,000 crore theft from public deposits. The IDRA's provisional interim report exposed that the Board of Directors and administration of DLICL had stolen </w:t>
      </w:r>
      <w:proofErr w:type="spellStart"/>
      <w:r w:rsidRPr="0076771B">
        <w:rPr>
          <w:rFonts w:ascii="Arial" w:hAnsi="Arial" w:cs="Arial"/>
          <w:bCs/>
          <w:iCs/>
          <w:sz w:val="20"/>
          <w:szCs w:val="20"/>
        </w:rPr>
        <w:t>Tk</w:t>
      </w:r>
      <w:proofErr w:type="spellEnd"/>
      <w:r w:rsidRPr="0076771B">
        <w:rPr>
          <w:rFonts w:ascii="Arial" w:hAnsi="Arial" w:cs="Arial"/>
          <w:bCs/>
          <w:iCs/>
          <w:sz w:val="20"/>
          <w:szCs w:val="20"/>
        </w:rPr>
        <w:t xml:space="preserve"> 3,687 crore through tax avoidance and the use of fictitious costs to withdraw funds without proper </w:t>
      </w:r>
      <w:proofErr w:type="gramStart"/>
      <w:r w:rsidRPr="0076771B">
        <w:rPr>
          <w:rFonts w:ascii="Arial" w:hAnsi="Arial" w:cs="Arial"/>
          <w:bCs/>
          <w:iCs/>
          <w:sz w:val="20"/>
          <w:szCs w:val="20"/>
        </w:rPr>
        <w:t>record-keeping</w:t>
      </w:r>
      <w:proofErr w:type="gramEnd"/>
      <w:r w:rsidRPr="0076771B">
        <w:rPr>
          <w:rFonts w:ascii="Arial" w:hAnsi="Arial" w:cs="Arial"/>
          <w:bCs/>
          <w:iCs/>
          <w:sz w:val="20"/>
          <w:szCs w:val="20"/>
        </w:rPr>
        <w:t xml:space="preserve">. The report further disclosed that Delta Life Insurance failed to pay </w:t>
      </w:r>
      <w:proofErr w:type="spellStart"/>
      <w:r w:rsidRPr="0076771B">
        <w:rPr>
          <w:rFonts w:ascii="Arial" w:hAnsi="Arial" w:cs="Arial"/>
          <w:bCs/>
          <w:iCs/>
          <w:sz w:val="20"/>
          <w:szCs w:val="20"/>
        </w:rPr>
        <w:t>Tk</w:t>
      </w:r>
      <w:proofErr w:type="spellEnd"/>
      <w:r w:rsidRPr="0076771B">
        <w:rPr>
          <w:rFonts w:ascii="Arial" w:hAnsi="Arial" w:cs="Arial"/>
          <w:bCs/>
          <w:iCs/>
          <w:sz w:val="20"/>
          <w:szCs w:val="20"/>
        </w:rPr>
        <w:t xml:space="preserve"> 138 crore to policyholders despite the maturity of policies or deaths and paid extravagant dividends on inflated accounts</w:t>
      </w:r>
      <w:r w:rsidRPr="0076771B">
        <w:rPr>
          <w:rFonts w:ascii="Arial" w:hAnsi="Arial" w:cs="Arial"/>
          <w:b/>
          <w:bCs/>
          <w:iCs/>
          <w:sz w:val="20"/>
          <w:szCs w:val="20"/>
        </w:rPr>
        <w:t xml:space="preserve"> (</w:t>
      </w:r>
      <w:r w:rsidR="007E3E7C" w:rsidRPr="007E3E7C">
        <w:rPr>
          <w:rFonts w:ascii="Arial" w:hAnsi="Arial" w:cs="Arial"/>
          <w:bCs/>
          <w:iCs/>
          <w:sz w:val="20"/>
          <w:szCs w:val="20"/>
        </w:rPr>
        <w:t>United News of Bangladesh</w:t>
      </w:r>
      <w:r w:rsidR="007E3E7C" w:rsidRPr="007E3E7C">
        <w:rPr>
          <w:rFonts w:ascii="Arial" w:hAnsi="Arial" w:cs="Arial"/>
          <w:b/>
          <w:bCs/>
          <w:iCs/>
          <w:sz w:val="20"/>
          <w:szCs w:val="20"/>
        </w:rPr>
        <w:t xml:space="preserve">, </w:t>
      </w:r>
      <w:r w:rsidR="007E3E7C" w:rsidRPr="007E3E7C">
        <w:rPr>
          <w:rFonts w:ascii="Arial" w:hAnsi="Arial" w:cs="Arial"/>
          <w:bCs/>
          <w:iCs/>
          <w:sz w:val="20"/>
          <w:szCs w:val="20"/>
        </w:rPr>
        <w:t>2021</w:t>
      </w:r>
      <w:r w:rsidRPr="007E3E7C">
        <w:rPr>
          <w:rFonts w:ascii="Arial" w:hAnsi="Arial" w:cs="Arial"/>
          <w:bCs/>
          <w:iCs/>
          <w:sz w:val="20"/>
          <w:szCs w:val="20"/>
        </w:rPr>
        <w:t>)</w:t>
      </w:r>
      <w:r w:rsidRPr="0076771B">
        <w:rPr>
          <w:rFonts w:ascii="Arial" w:hAnsi="Arial" w:cs="Arial"/>
          <w:bCs/>
          <w:iCs/>
          <w:sz w:val="20"/>
          <w:szCs w:val="20"/>
        </w:rPr>
        <w:t>.</w:t>
      </w:r>
    </w:p>
    <w:p w14:paraId="7CCADF75" w14:textId="0FBB9942" w:rsidR="0076771B" w:rsidRPr="0076771B" w:rsidRDefault="0076771B" w:rsidP="0076771B">
      <w:pPr>
        <w:spacing w:line="480" w:lineRule="auto"/>
        <w:jc w:val="both"/>
        <w:rPr>
          <w:rFonts w:ascii="Arial" w:hAnsi="Arial" w:cs="Arial"/>
          <w:bCs/>
          <w:iCs/>
          <w:sz w:val="20"/>
          <w:szCs w:val="20"/>
        </w:rPr>
      </w:pPr>
      <w:r w:rsidRPr="0076771B">
        <w:rPr>
          <w:rFonts w:ascii="Arial" w:hAnsi="Arial" w:cs="Arial"/>
          <w:bCs/>
          <w:iCs/>
          <w:sz w:val="20"/>
          <w:szCs w:val="20"/>
        </w:rPr>
        <w:t xml:space="preserve">Additionally, the audit firm discovered that DLICL did not pay </w:t>
      </w:r>
      <w:proofErr w:type="spellStart"/>
      <w:r w:rsidRPr="0076771B">
        <w:rPr>
          <w:rFonts w:ascii="Arial" w:hAnsi="Arial" w:cs="Arial"/>
          <w:bCs/>
          <w:iCs/>
          <w:sz w:val="20"/>
          <w:szCs w:val="20"/>
        </w:rPr>
        <w:t>Tk</w:t>
      </w:r>
      <w:proofErr w:type="spellEnd"/>
      <w:r w:rsidRPr="0076771B">
        <w:rPr>
          <w:rFonts w:ascii="Arial" w:hAnsi="Arial" w:cs="Arial"/>
          <w:bCs/>
          <w:iCs/>
          <w:sz w:val="20"/>
          <w:szCs w:val="20"/>
        </w:rPr>
        <w:t xml:space="preserve"> 35.17 crore in VAT and formed a board of more than two family members, which is against the regulations. Furthermore, a single family held 22.78 percent of the shares, which is higher than the permitted 10 percent</w:t>
      </w:r>
      <w:r w:rsidRPr="0076771B">
        <w:rPr>
          <w:rFonts w:ascii="Arial" w:hAnsi="Arial" w:cs="Arial"/>
          <w:b/>
          <w:bCs/>
          <w:iCs/>
          <w:sz w:val="20"/>
          <w:szCs w:val="20"/>
        </w:rPr>
        <w:t xml:space="preserve"> (</w:t>
      </w:r>
      <w:r w:rsidRPr="0076771B">
        <w:rPr>
          <w:rFonts w:ascii="Arial" w:hAnsi="Arial" w:cs="Arial"/>
          <w:bCs/>
          <w:iCs/>
          <w:sz w:val="20"/>
          <w:szCs w:val="20"/>
        </w:rPr>
        <w:t>Star Digital</w:t>
      </w:r>
      <w:r w:rsidRPr="0076771B">
        <w:rPr>
          <w:rFonts w:ascii="Arial" w:hAnsi="Arial" w:cs="Arial"/>
          <w:b/>
          <w:bCs/>
          <w:iCs/>
          <w:sz w:val="20"/>
          <w:szCs w:val="20"/>
        </w:rPr>
        <w:t xml:space="preserve"> </w:t>
      </w:r>
      <w:r w:rsidRPr="0076771B">
        <w:rPr>
          <w:rFonts w:ascii="Arial" w:hAnsi="Arial" w:cs="Arial"/>
          <w:bCs/>
          <w:iCs/>
          <w:sz w:val="20"/>
          <w:szCs w:val="20"/>
        </w:rPr>
        <w:t xml:space="preserve">Report. 2021, February </w:t>
      </w:r>
      <w:proofErr w:type="gramStart"/>
      <w:r w:rsidRPr="0076771B">
        <w:rPr>
          <w:rFonts w:ascii="Arial" w:hAnsi="Arial" w:cs="Arial"/>
          <w:bCs/>
          <w:iCs/>
          <w:sz w:val="20"/>
          <w:szCs w:val="20"/>
        </w:rPr>
        <w:t>11).These findings</w:t>
      </w:r>
      <w:proofErr w:type="gramEnd"/>
      <w:r w:rsidRPr="0076771B">
        <w:rPr>
          <w:rFonts w:ascii="Arial" w:hAnsi="Arial" w:cs="Arial"/>
          <w:bCs/>
          <w:iCs/>
          <w:sz w:val="20"/>
          <w:szCs w:val="20"/>
        </w:rPr>
        <w:t xml:space="preserve"> have raised concerns about the company's operations and its commitment to ethical practices.</w:t>
      </w:r>
    </w:p>
    <w:p w14:paraId="0DEB8411" w14:textId="77777777" w:rsidR="0076771B" w:rsidRPr="0076771B" w:rsidRDefault="0076771B" w:rsidP="0076771B">
      <w:pPr>
        <w:spacing w:line="480" w:lineRule="auto"/>
        <w:jc w:val="both"/>
        <w:rPr>
          <w:rFonts w:ascii="Arial" w:hAnsi="Arial" w:cs="Arial"/>
          <w:bCs/>
          <w:i/>
          <w:iCs/>
          <w:sz w:val="20"/>
          <w:szCs w:val="20"/>
        </w:rPr>
      </w:pPr>
      <w:r w:rsidRPr="0076771B">
        <w:rPr>
          <w:rFonts w:ascii="Arial" w:hAnsi="Arial" w:cs="Arial"/>
          <w:bCs/>
          <w:i/>
          <w:iCs/>
          <w:sz w:val="20"/>
          <w:szCs w:val="20"/>
        </w:rPr>
        <w:t>Reason Behind the Collapses and Lessons Learned from Collapses:</w:t>
      </w:r>
    </w:p>
    <w:p w14:paraId="1F363DB2" w14:textId="77777777" w:rsidR="0076771B" w:rsidRPr="0076771B" w:rsidRDefault="0076771B" w:rsidP="0076771B">
      <w:pPr>
        <w:spacing w:line="480" w:lineRule="auto"/>
        <w:jc w:val="both"/>
        <w:rPr>
          <w:rFonts w:ascii="Arial" w:hAnsi="Arial" w:cs="Arial"/>
          <w:bCs/>
          <w:iCs/>
          <w:sz w:val="20"/>
          <w:szCs w:val="20"/>
        </w:rPr>
      </w:pPr>
      <w:r w:rsidRPr="0076771B">
        <w:rPr>
          <w:rFonts w:ascii="Arial" w:hAnsi="Arial" w:cs="Arial"/>
          <w:bCs/>
          <w:iCs/>
          <w:sz w:val="20"/>
          <w:szCs w:val="20"/>
        </w:rPr>
        <w:t xml:space="preserve">DLICL engaged in fraudulent activities such as tax evasion, fictitious costs, and embezzlement of funds. These actions </w:t>
      </w:r>
      <w:proofErr w:type="gramStart"/>
      <w:r w:rsidRPr="0076771B">
        <w:rPr>
          <w:rFonts w:ascii="Arial" w:hAnsi="Arial" w:cs="Arial"/>
          <w:bCs/>
          <w:iCs/>
          <w:sz w:val="20"/>
          <w:szCs w:val="20"/>
        </w:rPr>
        <w:t>were carried out</w:t>
      </w:r>
      <w:proofErr w:type="gramEnd"/>
      <w:r w:rsidRPr="0076771B">
        <w:rPr>
          <w:rFonts w:ascii="Arial" w:hAnsi="Arial" w:cs="Arial"/>
          <w:bCs/>
          <w:iCs/>
          <w:sz w:val="20"/>
          <w:szCs w:val="20"/>
        </w:rPr>
        <w:t xml:space="preserve"> by individuals within the management and board of directors, indicating a failure in internal controls and oversight. These failures indicate the ineffectiveness of the audit committee or its unethical behavior. Moreover, this noncompliance activities-imposed risk on the </w:t>
      </w:r>
      <w:proofErr w:type="gramStart"/>
      <w:r w:rsidRPr="0076771B">
        <w:rPr>
          <w:rFonts w:ascii="Arial" w:hAnsi="Arial" w:cs="Arial"/>
          <w:bCs/>
          <w:iCs/>
          <w:sz w:val="20"/>
          <w:szCs w:val="20"/>
        </w:rPr>
        <w:t>policy holders</w:t>
      </w:r>
      <w:proofErr w:type="gramEnd"/>
      <w:r w:rsidRPr="0076771B">
        <w:rPr>
          <w:rFonts w:ascii="Arial" w:hAnsi="Arial" w:cs="Arial"/>
          <w:bCs/>
          <w:iCs/>
          <w:sz w:val="20"/>
          <w:szCs w:val="20"/>
        </w:rPr>
        <w:t>’ life fund which indicates a breakdown of the proper risk management process and the absence of a risk management subcommittee.</w:t>
      </w:r>
    </w:p>
    <w:p w14:paraId="7EE98E02" w14:textId="77777777" w:rsidR="0076771B" w:rsidRPr="0076771B" w:rsidRDefault="0076771B" w:rsidP="0076771B">
      <w:pPr>
        <w:spacing w:line="480" w:lineRule="auto"/>
        <w:jc w:val="both"/>
        <w:rPr>
          <w:rFonts w:ascii="Arial" w:hAnsi="Arial" w:cs="Arial"/>
          <w:bCs/>
          <w:iCs/>
          <w:sz w:val="20"/>
          <w:szCs w:val="20"/>
        </w:rPr>
      </w:pPr>
      <w:r w:rsidRPr="0076771B">
        <w:rPr>
          <w:rFonts w:ascii="Arial" w:hAnsi="Arial" w:cs="Arial"/>
          <w:bCs/>
          <w:iCs/>
          <w:sz w:val="20"/>
          <w:szCs w:val="20"/>
        </w:rPr>
        <w:t xml:space="preserve">The formation of a board with more than two family members and the concentration of share ownership by a single family above permissible limits suggest weak corporate governance practices. </w:t>
      </w:r>
    </w:p>
    <w:p w14:paraId="60F9D358" w14:textId="77777777" w:rsidR="0076771B" w:rsidRPr="0076771B" w:rsidRDefault="0076771B" w:rsidP="0076771B">
      <w:pPr>
        <w:spacing w:line="480" w:lineRule="auto"/>
        <w:jc w:val="both"/>
        <w:rPr>
          <w:rFonts w:ascii="Arial" w:hAnsi="Arial" w:cs="Arial"/>
          <w:bCs/>
          <w:iCs/>
          <w:sz w:val="20"/>
          <w:szCs w:val="20"/>
        </w:rPr>
      </w:pPr>
      <w:r w:rsidRPr="0076771B">
        <w:rPr>
          <w:rFonts w:ascii="Arial" w:hAnsi="Arial" w:cs="Arial"/>
          <w:bCs/>
          <w:iCs/>
          <w:sz w:val="20"/>
          <w:szCs w:val="20"/>
        </w:rPr>
        <w:lastRenderedPageBreak/>
        <w:t xml:space="preserve"> DLICL's failure to pay VAT and withholding payments due to policyholders despite policy maturity or policyholders’ deaths points to regulatory non-compliance. The insurance industry is subject to strict regulations regarding financial transparency, customer protection, and tax obligations. DLICL's disregard for these regulations contributed to its downfall and led to negative consequences for the company and its stakeholders.</w:t>
      </w:r>
    </w:p>
    <w:p w14:paraId="1359A076" w14:textId="5098526A" w:rsidR="007E05AF" w:rsidRPr="00514D5A" w:rsidRDefault="00AF7A2F" w:rsidP="00B1407A">
      <w:pPr>
        <w:spacing w:after="200" w:line="480" w:lineRule="auto"/>
        <w:jc w:val="both"/>
        <w:rPr>
          <w:rFonts w:ascii="Arial" w:eastAsia="Calibri" w:hAnsi="Arial" w:cs="Arial"/>
          <w:b/>
          <w:sz w:val="20"/>
          <w:szCs w:val="20"/>
        </w:rPr>
      </w:pPr>
      <w:r w:rsidRPr="00514D5A">
        <w:rPr>
          <w:rFonts w:ascii="Arial" w:eastAsia="Calibri" w:hAnsi="Arial" w:cs="Arial"/>
          <w:b/>
          <w:sz w:val="20"/>
          <w:szCs w:val="20"/>
        </w:rPr>
        <w:t>4</w:t>
      </w:r>
      <w:r w:rsidR="005E5E8C" w:rsidRPr="00514D5A">
        <w:rPr>
          <w:rFonts w:ascii="Arial" w:eastAsia="Calibri" w:hAnsi="Arial" w:cs="Arial"/>
          <w:b/>
          <w:sz w:val="20"/>
          <w:szCs w:val="20"/>
        </w:rPr>
        <w:t xml:space="preserve">.2 </w:t>
      </w:r>
      <w:r w:rsidR="007E05AF" w:rsidRPr="00514D5A">
        <w:rPr>
          <w:rFonts w:ascii="Arial" w:eastAsia="Calibri" w:hAnsi="Arial" w:cs="Arial"/>
          <w:b/>
          <w:sz w:val="20"/>
          <w:szCs w:val="20"/>
        </w:rPr>
        <w:t xml:space="preserve">Cases where </w:t>
      </w:r>
      <w:r w:rsidR="00AF5BAE" w:rsidRPr="00514D5A">
        <w:rPr>
          <w:rFonts w:ascii="Arial" w:eastAsia="Calibri" w:hAnsi="Arial" w:cs="Arial"/>
          <w:b/>
          <w:sz w:val="20"/>
          <w:szCs w:val="20"/>
        </w:rPr>
        <w:t xml:space="preserve">the </w:t>
      </w:r>
      <w:r w:rsidR="007E05AF" w:rsidRPr="00514D5A">
        <w:rPr>
          <w:rFonts w:ascii="Arial" w:eastAsia="Calibri" w:hAnsi="Arial" w:cs="Arial"/>
          <w:b/>
          <w:sz w:val="20"/>
          <w:szCs w:val="20"/>
        </w:rPr>
        <w:t xml:space="preserve">risk committee </w:t>
      </w:r>
      <w:r w:rsidR="00AF5BAE" w:rsidRPr="00514D5A">
        <w:rPr>
          <w:rFonts w:ascii="Arial" w:eastAsia="Calibri" w:hAnsi="Arial" w:cs="Arial"/>
          <w:b/>
          <w:sz w:val="20"/>
          <w:szCs w:val="20"/>
        </w:rPr>
        <w:t>mitigates</w:t>
      </w:r>
      <w:r w:rsidR="007E05AF" w:rsidRPr="00514D5A">
        <w:rPr>
          <w:rFonts w:ascii="Arial" w:eastAsia="Calibri" w:hAnsi="Arial" w:cs="Arial"/>
          <w:b/>
          <w:sz w:val="20"/>
          <w:szCs w:val="20"/>
        </w:rPr>
        <w:t xml:space="preserve"> risk.</w:t>
      </w:r>
    </w:p>
    <w:p w14:paraId="706D91ED" w14:textId="23D107C8" w:rsidR="007E05AF" w:rsidRPr="00514D5A" w:rsidRDefault="00AF7A2F" w:rsidP="00B1407A">
      <w:pPr>
        <w:spacing w:after="200" w:line="480" w:lineRule="auto"/>
        <w:jc w:val="both"/>
        <w:rPr>
          <w:rFonts w:ascii="Arial" w:eastAsia="Calibri" w:hAnsi="Arial" w:cs="Arial"/>
          <w:b/>
          <w:i/>
          <w:sz w:val="20"/>
          <w:szCs w:val="20"/>
        </w:rPr>
      </w:pPr>
      <w:r w:rsidRPr="00514D5A">
        <w:rPr>
          <w:rFonts w:ascii="Arial" w:eastAsia="Calibri" w:hAnsi="Arial" w:cs="Arial"/>
          <w:b/>
          <w:i/>
          <w:sz w:val="20"/>
          <w:szCs w:val="20"/>
        </w:rPr>
        <w:t>4</w:t>
      </w:r>
      <w:r w:rsidR="005E5E8C" w:rsidRPr="00514D5A">
        <w:rPr>
          <w:rFonts w:ascii="Arial" w:eastAsia="Calibri" w:hAnsi="Arial" w:cs="Arial"/>
          <w:b/>
          <w:i/>
          <w:sz w:val="20"/>
          <w:szCs w:val="20"/>
        </w:rPr>
        <w:t xml:space="preserve">.2.1 </w:t>
      </w:r>
      <w:r w:rsidR="007E05AF" w:rsidRPr="00514D5A">
        <w:rPr>
          <w:rFonts w:ascii="Arial" w:eastAsia="Calibri" w:hAnsi="Arial" w:cs="Arial"/>
          <w:b/>
          <w:i/>
          <w:sz w:val="20"/>
          <w:szCs w:val="20"/>
        </w:rPr>
        <w:t xml:space="preserve">Volkswagen (VW) Emission Scandal: </w:t>
      </w:r>
      <w:bookmarkStart w:id="25" w:name="_Hlk153714721"/>
    </w:p>
    <w:p w14:paraId="4CA85879" w14:textId="7CBE80EF" w:rsidR="009112AE" w:rsidRPr="00514D5A" w:rsidRDefault="00BE4F4E" w:rsidP="00B1407A">
      <w:pPr>
        <w:spacing w:after="200" w:line="480" w:lineRule="auto"/>
        <w:jc w:val="both"/>
        <w:rPr>
          <w:rFonts w:ascii="Arial" w:eastAsia="Calibri" w:hAnsi="Arial" w:cs="Arial"/>
          <w:bCs/>
          <w:sz w:val="20"/>
          <w:szCs w:val="20"/>
        </w:rPr>
      </w:pPr>
      <w:bookmarkStart w:id="26" w:name="_Hlk163532727"/>
      <w:bookmarkEnd w:id="25"/>
      <w:r w:rsidRPr="00514D5A">
        <w:rPr>
          <w:rFonts w:ascii="Arial" w:eastAsia="Calibri" w:hAnsi="Arial" w:cs="Arial"/>
          <w:sz w:val="20"/>
          <w:szCs w:val="20"/>
        </w:rPr>
        <w:t xml:space="preserve">In 2015, Volkswagen </w:t>
      </w:r>
      <w:proofErr w:type="gramStart"/>
      <w:r w:rsidRPr="00514D5A">
        <w:rPr>
          <w:rFonts w:ascii="Arial" w:eastAsia="Calibri" w:hAnsi="Arial" w:cs="Arial"/>
          <w:sz w:val="20"/>
          <w:szCs w:val="20"/>
        </w:rPr>
        <w:t>was exposed</w:t>
      </w:r>
      <w:proofErr w:type="gramEnd"/>
      <w:r w:rsidRPr="00514D5A">
        <w:rPr>
          <w:rFonts w:ascii="Arial" w:eastAsia="Calibri" w:hAnsi="Arial" w:cs="Arial"/>
          <w:sz w:val="20"/>
          <w:szCs w:val="20"/>
        </w:rPr>
        <w:t xml:space="preserve"> for cheating on diesel emissions tests in the U.S., leading to a decline in stock prices and investigations by the EPA and Congress. The scandal involved software that manipulated emissions tests, allowing vehicles to emit up to 40 times more pollutants than regulations allowed. Installed on at least 11 million vehicles globally, this deception was discovered by a team from West Virginia University, marking a significant failure in business ethics and causing widespread reputational damage</w:t>
      </w:r>
      <w:r w:rsidR="00B76FDE" w:rsidRPr="00514D5A">
        <w:rPr>
          <w:rFonts w:ascii="Arial" w:eastAsia="Calibri" w:hAnsi="Arial" w:cs="Arial"/>
          <w:sz w:val="20"/>
          <w:szCs w:val="20"/>
        </w:rPr>
        <w:t xml:space="preserve"> (</w:t>
      </w:r>
      <w:r w:rsidR="00B76FDE" w:rsidRPr="00514D5A">
        <w:rPr>
          <w:rFonts w:ascii="Arial" w:eastAsia="Calibri" w:hAnsi="Arial" w:cs="Arial"/>
          <w:iCs/>
          <w:sz w:val="20"/>
          <w:szCs w:val="20"/>
        </w:rPr>
        <w:t>Environmental Protection Agency, 2016</w:t>
      </w:r>
      <w:proofErr w:type="gramStart"/>
      <w:r w:rsidR="00B76FDE" w:rsidRPr="00514D5A">
        <w:rPr>
          <w:rFonts w:ascii="Arial" w:eastAsia="Calibri" w:hAnsi="Arial" w:cs="Arial"/>
          <w:iCs/>
          <w:sz w:val="20"/>
          <w:szCs w:val="20"/>
        </w:rPr>
        <w:t xml:space="preserve">) </w:t>
      </w:r>
      <w:r w:rsidR="005B65D8" w:rsidRPr="00514D5A">
        <w:rPr>
          <w:rFonts w:ascii="Arial" w:eastAsia="Calibri" w:hAnsi="Arial" w:cs="Arial"/>
          <w:bCs/>
          <w:sz w:val="20"/>
          <w:szCs w:val="20"/>
        </w:rPr>
        <w:t>.</w:t>
      </w:r>
      <w:proofErr w:type="gramEnd"/>
    </w:p>
    <w:p w14:paraId="46A8DD65" w14:textId="09F665B4" w:rsidR="002E58B4" w:rsidRPr="00514D5A" w:rsidRDefault="005B65D8" w:rsidP="00B1407A">
      <w:pPr>
        <w:spacing w:after="200" w:line="480" w:lineRule="auto"/>
        <w:jc w:val="both"/>
        <w:rPr>
          <w:rFonts w:ascii="Arial" w:eastAsia="Calibri" w:hAnsi="Arial" w:cs="Arial"/>
          <w:sz w:val="20"/>
          <w:szCs w:val="20"/>
        </w:rPr>
      </w:pPr>
      <w:r w:rsidRPr="00514D5A">
        <w:rPr>
          <w:rFonts w:ascii="Arial" w:eastAsia="Calibri" w:hAnsi="Arial" w:cs="Arial"/>
          <w:bCs/>
          <w:sz w:val="20"/>
          <w:szCs w:val="20"/>
        </w:rPr>
        <w:t xml:space="preserve">The scandal has highlighted the need for a shake-up in Corporate Governance and Risk Management, and accountants and non-executive directors must reassess their roles in light of this crisis. The Volkswagen crisis </w:t>
      </w:r>
      <w:r w:rsidR="00502872" w:rsidRPr="00514D5A">
        <w:rPr>
          <w:rFonts w:ascii="Arial" w:eastAsia="Calibri" w:hAnsi="Arial" w:cs="Arial"/>
          <w:bCs/>
          <w:sz w:val="20"/>
          <w:szCs w:val="20"/>
        </w:rPr>
        <w:t>was</w:t>
      </w:r>
      <w:r w:rsidRPr="00514D5A">
        <w:rPr>
          <w:rFonts w:ascii="Arial" w:eastAsia="Calibri" w:hAnsi="Arial" w:cs="Arial"/>
          <w:bCs/>
          <w:sz w:val="20"/>
          <w:szCs w:val="20"/>
        </w:rPr>
        <w:t xml:space="preserve"> a result of a three-pronged governance and culture failure: marketing, risk management, and internal controls.</w:t>
      </w:r>
      <w:r w:rsidRPr="00514D5A">
        <w:rPr>
          <w:rFonts w:ascii="Arial" w:eastAsia="Calibri" w:hAnsi="Arial" w:cs="Arial"/>
          <w:b/>
          <w:bCs/>
          <w:sz w:val="20"/>
          <w:szCs w:val="20"/>
        </w:rPr>
        <w:t xml:space="preserve"> </w:t>
      </w:r>
      <w:bookmarkStart w:id="27" w:name="_Hlk163531929"/>
      <w:bookmarkEnd w:id="26"/>
      <w:r w:rsidR="002E58B4" w:rsidRPr="00514D5A">
        <w:rPr>
          <w:rFonts w:ascii="Arial" w:eastAsia="Calibri" w:hAnsi="Arial" w:cs="Arial"/>
          <w:sz w:val="20"/>
          <w:szCs w:val="20"/>
        </w:rPr>
        <w:t xml:space="preserve">Volkswagen (VW) established a risk committee after the scandal to identify and prevent similar risks in the future. </w:t>
      </w:r>
      <w:r w:rsidR="00E940B5" w:rsidRPr="00514D5A">
        <w:rPr>
          <w:rFonts w:ascii="Arial" w:eastAsia="Calibri" w:hAnsi="Arial" w:cs="Arial"/>
          <w:sz w:val="20"/>
          <w:szCs w:val="20"/>
        </w:rPr>
        <w:t>The committee implemented stricter compliance controls, revised internal processes, and strengthened governance to ensure regulatory compliance and prevent unethical behavior</w:t>
      </w:r>
      <w:r w:rsidR="002E58B4" w:rsidRPr="00514D5A">
        <w:rPr>
          <w:rFonts w:ascii="Arial" w:eastAsia="Calibri" w:hAnsi="Arial" w:cs="Arial"/>
          <w:sz w:val="20"/>
          <w:szCs w:val="20"/>
        </w:rPr>
        <w:t xml:space="preserve">. In the digital world, risk management is vital, particularly for large multinational conglomerates with global footprints. VW formed a risk management committee to add major reputational threats </w:t>
      </w:r>
      <w:r w:rsidR="00AF5BAE" w:rsidRPr="00514D5A">
        <w:rPr>
          <w:rFonts w:ascii="Arial" w:eastAsia="Calibri" w:hAnsi="Arial" w:cs="Arial"/>
          <w:sz w:val="20"/>
          <w:szCs w:val="20"/>
        </w:rPr>
        <w:t>to</w:t>
      </w:r>
      <w:r w:rsidR="002E58B4" w:rsidRPr="00514D5A">
        <w:rPr>
          <w:rFonts w:ascii="Arial" w:eastAsia="Calibri" w:hAnsi="Arial" w:cs="Arial"/>
          <w:sz w:val="20"/>
          <w:szCs w:val="20"/>
        </w:rPr>
        <w:t xml:space="preserve"> the Risk Register and assess all possible risks that may </w:t>
      </w:r>
      <w:proofErr w:type="gramStart"/>
      <w:r w:rsidR="002E58B4" w:rsidRPr="00514D5A">
        <w:rPr>
          <w:rFonts w:ascii="Arial" w:eastAsia="Calibri" w:hAnsi="Arial" w:cs="Arial"/>
          <w:sz w:val="20"/>
          <w:szCs w:val="20"/>
        </w:rPr>
        <w:t>impact</w:t>
      </w:r>
      <w:proofErr w:type="gramEnd"/>
      <w:r w:rsidR="002E58B4" w:rsidRPr="00514D5A">
        <w:rPr>
          <w:rFonts w:ascii="Arial" w:eastAsia="Calibri" w:hAnsi="Arial" w:cs="Arial"/>
          <w:sz w:val="20"/>
          <w:szCs w:val="20"/>
        </w:rPr>
        <w:t xml:space="preserve"> the company's balance sheet. The scandal is a reminder to other companies to establish a well-functioning governance structure to avoid similar incidents.</w:t>
      </w:r>
    </w:p>
    <w:p w14:paraId="3E7D6A2C" w14:textId="36222DB3" w:rsidR="007535A3" w:rsidRPr="00514D5A" w:rsidRDefault="00AF7A2F" w:rsidP="00B1407A">
      <w:pPr>
        <w:shd w:val="clear" w:color="auto" w:fill="FEFEFE"/>
        <w:spacing w:after="0" w:line="480" w:lineRule="auto"/>
        <w:jc w:val="both"/>
        <w:rPr>
          <w:rFonts w:ascii="Arial" w:eastAsia="Calibri" w:hAnsi="Arial" w:cs="Arial"/>
          <w:b/>
          <w:i/>
          <w:sz w:val="20"/>
          <w:szCs w:val="20"/>
        </w:rPr>
      </w:pPr>
      <w:bookmarkStart w:id="28" w:name="_Hlk163531984"/>
      <w:bookmarkStart w:id="29" w:name="_Hlk172877413"/>
      <w:bookmarkEnd w:id="27"/>
      <w:r w:rsidRPr="00514D5A">
        <w:rPr>
          <w:rFonts w:ascii="Arial" w:eastAsia="Calibri" w:hAnsi="Arial" w:cs="Arial"/>
          <w:b/>
          <w:i/>
          <w:sz w:val="20"/>
          <w:szCs w:val="20"/>
        </w:rPr>
        <w:t>4</w:t>
      </w:r>
      <w:r w:rsidR="005E5E8C" w:rsidRPr="00514D5A">
        <w:rPr>
          <w:rFonts w:ascii="Arial" w:eastAsia="Calibri" w:hAnsi="Arial" w:cs="Arial"/>
          <w:b/>
          <w:i/>
          <w:sz w:val="20"/>
          <w:szCs w:val="20"/>
        </w:rPr>
        <w:t>.2.</w:t>
      </w:r>
      <w:r w:rsidR="00444521" w:rsidRPr="00514D5A">
        <w:rPr>
          <w:rFonts w:ascii="Arial" w:eastAsia="Calibri" w:hAnsi="Arial" w:cs="Arial"/>
          <w:b/>
          <w:i/>
          <w:sz w:val="20"/>
          <w:szCs w:val="20"/>
        </w:rPr>
        <w:t>2</w:t>
      </w:r>
      <w:r w:rsidR="005E5E8C" w:rsidRPr="00514D5A">
        <w:rPr>
          <w:rFonts w:ascii="Arial" w:eastAsia="Calibri" w:hAnsi="Arial" w:cs="Arial"/>
          <w:b/>
          <w:i/>
          <w:sz w:val="20"/>
          <w:szCs w:val="20"/>
        </w:rPr>
        <w:t xml:space="preserve"> </w:t>
      </w:r>
      <w:r w:rsidR="007E05AF" w:rsidRPr="00514D5A">
        <w:rPr>
          <w:rFonts w:ascii="Arial" w:eastAsia="Calibri" w:hAnsi="Arial" w:cs="Arial"/>
          <w:b/>
          <w:i/>
          <w:sz w:val="20"/>
          <w:szCs w:val="20"/>
        </w:rPr>
        <w:t>Equifax Data Breach</w:t>
      </w:r>
      <w:bookmarkEnd w:id="28"/>
    </w:p>
    <w:bookmarkEnd w:id="29"/>
    <w:p w14:paraId="380A9531" w14:textId="7E8BA00B" w:rsidR="00075E7A" w:rsidRPr="00514D5A" w:rsidRDefault="00075E7A" w:rsidP="00075E7A">
      <w:pPr>
        <w:spacing w:after="200" w:line="480" w:lineRule="auto"/>
        <w:jc w:val="both"/>
        <w:rPr>
          <w:rFonts w:ascii="Arial" w:eastAsia="Calibri" w:hAnsi="Arial" w:cs="Arial"/>
          <w:sz w:val="20"/>
          <w:szCs w:val="20"/>
        </w:rPr>
      </w:pPr>
      <w:r w:rsidRPr="00514D5A">
        <w:rPr>
          <w:rFonts w:ascii="Arial" w:eastAsia="Calibri" w:hAnsi="Arial" w:cs="Arial"/>
          <w:sz w:val="20"/>
          <w:szCs w:val="20"/>
        </w:rPr>
        <w:lastRenderedPageBreak/>
        <w:t xml:space="preserve">Equifax, a major credit reporting agency in the United States, experienced a major data breach in September </w:t>
      </w:r>
      <w:proofErr w:type="gramStart"/>
      <w:r w:rsidRPr="00514D5A">
        <w:rPr>
          <w:rFonts w:ascii="Arial" w:eastAsia="Calibri" w:hAnsi="Arial" w:cs="Arial"/>
          <w:sz w:val="20"/>
          <w:szCs w:val="20"/>
        </w:rPr>
        <w:t>2017  that</w:t>
      </w:r>
      <w:proofErr w:type="gramEnd"/>
      <w:r w:rsidRPr="00514D5A">
        <w:rPr>
          <w:rFonts w:ascii="Arial" w:eastAsia="Calibri" w:hAnsi="Arial" w:cs="Arial"/>
          <w:sz w:val="20"/>
          <w:szCs w:val="20"/>
        </w:rPr>
        <w:t xml:space="preserve"> affected approximately 148 million Americans. </w:t>
      </w:r>
      <w:proofErr w:type="gramStart"/>
      <w:r w:rsidRPr="00514D5A">
        <w:rPr>
          <w:rFonts w:ascii="Arial" w:eastAsia="Calibri" w:hAnsi="Arial" w:cs="Arial"/>
          <w:sz w:val="20"/>
          <w:szCs w:val="20"/>
        </w:rPr>
        <w:t>This  breach</w:t>
      </w:r>
      <w:proofErr w:type="gramEnd"/>
      <w:r w:rsidRPr="00514D5A">
        <w:rPr>
          <w:rFonts w:ascii="Arial" w:eastAsia="Calibri" w:hAnsi="Arial" w:cs="Arial"/>
          <w:sz w:val="20"/>
          <w:szCs w:val="20"/>
        </w:rPr>
        <w:t xml:space="preserve"> exposed sensitive personal information, including names, addresses, phone numbers, and credit card details</w:t>
      </w:r>
    </w:p>
    <w:p w14:paraId="25EF6AE5" w14:textId="389E292D" w:rsidR="00AD4F98" w:rsidRPr="00514D5A" w:rsidRDefault="00AD4F98" w:rsidP="00B1407A">
      <w:pPr>
        <w:spacing w:after="200" w:line="480" w:lineRule="auto"/>
        <w:jc w:val="both"/>
        <w:rPr>
          <w:rFonts w:ascii="Arial" w:eastAsia="Calibri" w:hAnsi="Arial" w:cs="Arial"/>
          <w:sz w:val="20"/>
          <w:szCs w:val="20"/>
        </w:rPr>
      </w:pPr>
      <w:r w:rsidRPr="00514D5A">
        <w:rPr>
          <w:rFonts w:ascii="Arial" w:eastAsia="Calibri" w:hAnsi="Arial" w:cs="Arial"/>
          <w:sz w:val="20"/>
          <w:szCs w:val="20"/>
        </w:rPr>
        <w:t>(Chin, K. 2024, February 20).</w:t>
      </w:r>
    </w:p>
    <w:p w14:paraId="7FD2C768" w14:textId="32DCEA89" w:rsidR="00075E7A" w:rsidRPr="00514D5A" w:rsidRDefault="00075E7A" w:rsidP="00075E7A">
      <w:pPr>
        <w:spacing w:after="200" w:line="480" w:lineRule="auto"/>
        <w:jc w:val="both"/>
        <w:rPr>
          <w:rFonts w:ascii="Arial" w:eastAsia="Calibri" w:hAnsi="Arial" w:cs="Arial"/>
          <w:sz w:val="20"/>
          <w:szCs w:val="20"/>
        </w:rPr>
      </w:pPr>
      <w:r w:rsidRPr="00514D5A">
        <w:rPr>
          <w:rFonts w:ascii="Arial" w:eastAsia="Calibri" w:hAnsi="Arial" w:cs="Arial"/>
          <w:sz w:val="20"/>
          <w:szCs w:val="20"/>
        </w:rPr>
        <w:t xml:space="preserve">In response to the </w:t>
      </w:r>
      <w:proofErr w:type="spellStart"/>
      <w:r w:rsidRPr="00514D5A">
        <w:rPr>
          <w:rFonts w:ascii="Arial" w:eastAsia="Calibri" w:hAnsi="Arial" w:cs="Arial"/>
          <w:sz w:val="20"/>
          <w:szCs w:val="20"/>
        </w:rPr>
        <w:t>breach</w:t>
      </w:r>
      <w:proofErr w:type="gramStart"/>
      <w:r w:rsidRPr="00514D5A">
        <w:rPr>
          <w:rFonts w:ascii="Arial" w:eastAsia="Calibri" w:hAnsi="Arial" w:cs="Arial"/>
          <w:sz w:val="20"/>
          <w:szCs w:val="20"/>
        </w:rPr>
        <w:t>,Equifax</w:t>
      </w:r>
      <w:proofErr w:type="spellEnd"/>
      <w:proofErr w:type="gramEnd"/>
      <w:r w:rsidRPr="00514D5A">
        <w:rPr>
          <w:rFonts w:ascii="Arial" w:eastAsia="Calibri" w:hAnsi="Arial" w:cs="Arial"/>
          <w:sz w:val="20"/>
          <w:szCs w:val="20"/>
        </w:rPr>
        <w:t xml:space="preserve"> has improved their processes for management and application security to help mitigate the software vulnerabilities that were exploited. They have removed application-level defenses in order to aid in network intrusion detection/monitoring capabilities. Because of this, their internal servers have had tighter traffic controls. </w:t>
      </w:r>
    </w:p>
    <w:p w14:paraId="7E26006C" w14:textId="0DEF32DC" w:rsidR="00075E7A" w:rsidRPr="00514D5A" w:rsidRDefault="00075E7A" w:rsidP="00075E7A">
      <w:pPr>
        <w:spacing w:after="200" w:line="480" w:lineRule="auto"/>
        <w:jc w:val="both"/>
        <w:rPr>
          <w:rFonts w:ascii="Arial" w:eastAsia="Calibri" w:hAnsi="Arial" w:cs="Arial"/>
          <w:sz w:val="20"/>
          <w:szCs w:val="20"/>
        </w:rPr>
      </w:pPr>
      <w:r w:rsidRPr="00514D5A">
        <w:rPr>
          <w:rFonts w:ascii="Arial" w:eastAsia="Calibri" w:hAnsi="Arial" w:cs="Arial"/>
          <w:sz w:val="20"/>
          <w:szCs w:val="20"/>
        </w:rPr>
        <w:t xml:space="preserve">In addition, Equifax </w:t>
      </w:r>
      <w:commentRangeStart w:id="30"/>
      <w:r w:rsidRPr="00514D5A">
        <w:rPr>
          <w:rFonts w:ascii="Arial" w:eastAsia="Calibri" w:hAnsi="Arial" w:cs="Arial"/>
          <w:sz w:val="20"/>
          <w:szCs w:val="20"/>
        </w:rPr>
        <w:t>has</w:t>
      </w:r>
      <w:commentRangeEnd w:id="30"/>
      <w:r w:rsidR="00D70181">
        <w:rPr>
          <w:rStyle w:val="CommentReference"/>
        </w:rPr>
        <w:commentReference w:id="30"/>
      </w:r>
      <w:r w:rsidRPr="00514D5A">
        <w:rPr>
          <w:rFonts w:ascii="Arial" w:eastAsia="Calibri" w:hAnsi="Arial" w:cs="Arial"/>
          <w:sz w:val="20"/>
          <w:szCs w:val="20"/>
        </w:rPr>
        <w:t xml:space="preserve"> capable of identifying ‘bad configurations’ through the new endpoint security tool that was recently added. The corporation was also able to take charge of the improved risk perception amongst the board and senior management for better reporting and communication after taking charge of the new governance structure.</w:t>
      </w:r>
    </w:p>
    <w:p w14:paraId="5B494784" w14:textId="64836A26" w:rsidR="00075E7A" w:rsidRPr="00514D5A" w:rsidRDefault="00075E7A" w:rsidP="00075E7A">
      <w:pPr>
        <w:spacing w:after="200" w:line="480" w:lineRule="auto"/>
        <w:jc w:val="both"/>
        <w:rPr>
          <w:rFonts w:ascii="Arial" w:eastAsia="Calibri" w:hAnsi="Arial" w:cs="Arial"/>
          <w:sz w:val="20"/>
          <w:szCs w:val="20"/>
        </w:rPr>
      </w:pPr>
      <w:r w:rsidRPr="00514D5A">
        <w:rPr>
          <w:rFonts w:ascii="Arial" w:eastAsia="Calibri" w:hAnsi="Arial" w:cs="Arial"/>
          <w:sz w:val="20"/>
          <w:szCs w:val="20"/>
        </w:rPr>
        <w:t>To help mitigate the damages caused by the breach, Equifax has created a risk committee that focuses on IT cybersecurity to help protect the customer's data. To accomplish this, the committee focused on creating the policies revolving around better data governance, along with creating a better incident response plan.</w:t>
      </w:r>
    </w:p>
    <w:p w14:paraId="681D38BD" w14:textId="28B863A5" w:rsidR="009B22A4" w:rsidRPr="00514D5A" w:rsidRDefault="00AF7A2F" w:rsidP="00B1407A">
      <w:pPr>
        <w:spacing w:line="480" w:lineRule="auto"/>
        <w:jc w:val="both"/>
        <w:rPr>
          <w:rFonts w:ascii="Arial" w:eastAsia="Calibri" w:hAnsi="Arial" w:cs="Arial"/>
          <w:b/>
          <w:i/>
          <w:sz w:val="20"/>
          <w:szCs w:val="20"/>
        </w:rPr>
      </w:pPr>
      <w:bookmarkStart w:id="31" w:name="_Hlk173068197"/>
      <w:r w:rsidRPr="00514D5A">
        <w:rPr>
          <w:rFonts w:ascii="Arial" w:eastAsia="Calibri" w:hAnsi="Arial" w:cs="Arial"/>
          <w:b/>
          <w:i/>
          <w:sz w:val="20"/>
          <w:szCs w:val="20"/>
        </w:rPr>
        <w:t>4</w:t>
      </w:r>
      <w:r w:rsidR="00963445" w:rsidRPr="00514D5A">
        <w:rPr>
          <w:rFonts w:ascii="Arial" w:eastAsia="Calibri" w:hAnsi="Arial" w:cs="Arial"/>
          <w:b/>
          <w:i/>
          <w:sz w:val="20"/>
          <w:szCs w:val="20"/>
        </w:rPr>
        <w:t>.2.</w:t>
      </w:r>
      <w:r w:rsidR="00444521" w:rsidRPr="00514D5A">
        <w:rPr>
          <w:rFonts w:ascii="Arial" w:eastAsia="Calibri" w:hAnsi="Arial" w:cs="Arial"/>
          <w:b/>
          <w:i/>
          <w:sz w:val="20"/>
          <w:szCs w:val="20"/>
        </w:rPr>
        <w:t>3</w:t>
      </w:r>
      <w:r w:rsidR="00963445" w:rsidRPr="00514D5A">
        <w:rPr>
          <w:rFonts w:ascii="Arial" w:eastAsia="Calibri" w:hAnsi="Arial" w:cs="Arial"/>
          <w:b/>
          <w:i/>
          <w:sz w:val="20"/>
          <w:szCs w:val="20"/>
        </w:rPr>
        <w:t xml:space="preserve"> Silicon</w:t>
      </w:r>
      <w:r w:rsidR="009B22A4" w:rsidRPr="00514D5A">
        <w:rPr>
          <w:rFonts w:ascii="Arial" w:eastAsia="Calibri" w:hAnsi="Arial" w:cs="Arial"/>
          <w:b/>
          <w:i/>
          <w:sz w:val="20"/>
          <w:szCs w:val="20"/>
        </w:rPr>
        <w:t xml:space="preserve"> Valley Bank Scandal:</w:t>
      </w:r>
    </w:p>
    <w:p w14:paraId="200EBFBE" w14:textId="48EB36B1" w:rsidR="009C01A4" w:rsidRPr="00514D5A" w:rsidRDefault="009C01A4" w:rsidP="009C01A4">
      <w:pPr>
        <w:spacing w:line="480" w:lineRule="auto"/>
        <w:jc w:val="both"/>
        <w:rPr>
          <w:rFonts w:ascii="Arial" w:eastAsia="Calibri" w:hAnsi="Arial" w:cs="Arial"/>
          <w:bCs/>
          <w:sz w:val="20"/>
          <w:szCs w:val="20"/>
        </w:rPr>
      </w:pPr>
      <w:bookmarkStart w:id="32" w:name="_Hlk173068228"/>
      <w:bookmarkEnd w:id="31"/>
      <w:r w:rsidRPr="00514D5A">
        <w:rPr>
          <w:rFonts w:ascii="Arial" w:eastAsia="Calibri" w:hAnsi="Arial" w:cs="Arial"/>
          <w:bCs/>
          <w:sz w:val="20"/>
          <w:szCs w:val="20"/>
        </w:rPr>
        <w:t xml:space="preserve">The appeal for government support came after shareholders of Silicon Valley Bank suffered losses due to </w:t>
      </w:r>
      <w:r w:rsidR="00C17760" w:rsidRPr="00514D5A">
        <w:rPr>
          <w:rFonts w:ascii="Arial" w:eastAsia="Calibri" w:hAnsi="Arial" w:cs="Arial"/>
          <w:bCs/>
          <w:sz w:val="20"/>
          <w:szCs w:val="20"/>
        </w:rPr>
        <w:t xml:space="preserve">a </w:t>
      </w:r>
      <w:r w:rsidRPr="00514D5A">
        <w:rPr>
          <w:rFonts w:ascii="Arial" w:eastAsia="Calibri" w:hAnsi="Arial" w:cs="Arial"/>
          <w:bCs/>
          <w:sz w:val="20"/>
          <w:szCs w:val="20"/>
        </w:rPr>
        <w:t xml:space="preserve">decline in value and </w:t>
      </w:r>
      <w:r w:rsidR="00C17760" w:rsidRPr="00514D5A">
        <w:rPr>
          <w:rFonts w:ascii="Arial" w:eastAsia="Calibri" w:hAnsi="Arial" w:cs="Arial"/>
          <w:bCs/>
          <w:sz w:val="20"/>
          <w:szCs w:val="20"/>
        </w:rPr>
        <w:t xml:space="preserve">a </w:t>
      </w:r>
      <w:r w:rsidRPr="00514D5A">
        <w:rPr>
          <w:rFonts w:ascii="Arial" w:eastAsia="Calibri" w:hAnsi="Arial" w:cs="Arial"/>
          <w:bCs/>
          <w:sz w:val="20"/>
          <w:szCs w:val="20"/>
        </w:rPr>
        <w:t>burden requiring heavy government assistance. At the same time, the “three lines of defense” model of governance and risk management seemed dysfunctional. This model integrates four lines into one cohesive framework for managing risks, over-simplifying the Silicon Valley Bank case with its all four lines failure.</w:t>
      </w:r>
    </w:p>
    <w:p w14:paraId="2A66D74C" w14:textId="731E9098" w:rsidR="009C01A4" w:rsidRPr="00514D5A" w:rsidRDefault="009C01A4" w:rsidP="009C01A4">
      <w:pPr>
        <w:spacing w:line="480" w:lineRule="auto"/>
        <w:jc w:val="both"/>
        <w:rPr>
          <w:rFonts w:ascii="Arial" w:eastAsia="Calibri" w:hAnsi="Arial" w:cs="Arial"/>
          <w:bCs/>
          <w:sz w:val="20"/>
          <w:szCs w:val="20"/>
        </w:rPr>
      </w:pPr>
      <w:r w:rsidRPr="00514D5A">
        <w:rPr>
          <w:rFonts w:ascii="Arial" w:eastAsia="Calibri" w:hAnsi="Arial" w:cs="Arial"/>
          <w:bCs/>
          <w:sz w:val="20"/>
          <w:szCs w:val="20"/>
        </w:rPr>
        <w:t>Responsibility for greater organizational risk exposure</w:t>
      </w:r>
      <w:r w:rsidR="00C17760" w:rsidRPr="00514D5A">
        <w:rPr>
          <w:rFonts w:ascii="Arial" w:eastAsia="Calibri" w:hAnsi="Arial" w:cs="Arial"/>
          <w:bCs/>
          <w:sz w:val="20"/>
          <w:szCs w:val="20"/>
        </w:rPr>
        <w:t>,</w:t>
      </w:r>
      <w:r w:rsidRPr="00514D5A">
        <w:rPr>
          <w:rFonts w:ascii="Arial" w:eastAsia="Calibri" w:hAnsi="Arial" w:cs="Arial"/>
          <w:bCs/>
          <w:sz w:val="20"/>
          <w:szCs w:val="20"/>
        </w:rPr>
        <w:t xml:space="preserve"> along with effective internal control for the company</w:t>
      </w:r>
      <w:r w:rsidR="00C17760" w:rsidRPr="00514D5A">
        <w:rPr>
          <w:rFonts w:ascii="Arial" w:eastAsia="Calibri" w:hAnsi="Arial" w:cs="Arial"/>
          <w:bCs/>
          <w:sz w:val="20"/>
          <w:szCs w:val="20"/>
        </w:rPr>
        <w:t>,</w:t>
      </w:r>
      <w:r w:rsidRPr="00514D5A">
        <w:rPr>
          <w:rFonts w:ascii="Arial" w:eastAsia="Calibri" w:hAnsi="Arial" w:cs="Arial"/>
          <w:bCs/>
          <w:sz w:val="20"/>
          <w:szCs w:val="20"/>
        </w:rPr>
        <w:t xml:space="preserve"> rested with the Chief Risk Officer (CRO) and </w:t>
      </w:r>
      <w:r w:rsidR="00C17760" w:rsidRPr="00514D5A">
        <w:rPr>
          <w:rFonts w:ascii="Arial" w:eastAsia="Calibri" w:hAnsi="Arial" w:cs="Arial"/>
          <w:bCs/>
          <w:sz w:val="20"/>
          <w:szCs w:val="20"/>
        </w:rPr>
        <w:t xml:space="preserve">the </w:t>
      </w:r>
      <w:r w:rsidRPr="00514D5A">
        <w:rPr>
          <w:rFonts w:ascii="Arial" w:eastAsia="Calibri" w:hAnsi="Arial" w:cs="Arial"/>
          <w:bCs/>
          <w:sz w:val="20"/>
          <w:szCs w:val="20"/>
        </w:rPr>
        <w:t xml:space="preserve">Internal Audit team. The </w:t>
      </w:r>
      <w:proofErr w:type="gramStart"/>
      <w:r w:rsidRPr="00514D5A">
        <w:rPr>
          <w:rFonts w:ascii="Arial" w:eastAsia="Calibri" w:hAnsi="Arial" w:cs="Arial"/>
          <w:bCs/>
          <w:sz w:val="20"/>
          <w:szCs w:val="20"/>
        </w:rPr>
        <w:t>sudden collapse</w:t>
      </w:r>
      <w:proofErr w:type="gramEnd"/>
      <w:r w:rsidRPr="00514D5A">
        <w:rPr>
          <w:rFonts w:ascii="Arial" w:eastAsia="Calibri" w:hAnsi="Arial" w:cs="Arial"/>
          <w:bCs/>
          <w:sz w:val="20"/>
          <w:szCs w:val="20"/>
        </w:rPr>
        <w:t xml:space="preserve"> of SVB caused the first digital era bank run and marked the </w:t>
      </w:r>
      <w:r w:rsidR="00C17760" w:rsidRPr="00514D5A">
        <w:rPr>
          <w:rFonts w:ascii="Arial" w:eastAsia="Calibri" w:hAnsi="Arial" w:cs="Arial"/>
          <w:bCs/>
          <w:sz w:val="20"/>
          <w:szCs w:val="20"/>
        </w:rPr>
        <w:t>second-highest</w:t>
      </w:r>
      <w:r w:rsidRPr="00514D5A">
        <w:rPr>
          <w:rFonts w:ascii="Arial" w:eastAsia="Calibri" w:hAnsi="Arial" w:cs="Arial"/>
          <w:bCs/>
          <w:sz w:val="20"/>
          <w:szCs w:val="20"/>
        </w:rPr>
        <w:t xml:space="preserve"> bank failure in US history. This has shown that the modern theories of risk still have a long way to go.</w:t>
      </w:r>
    </w:p>
    <w:bookmarkEnd w:id="32"/>
    <w:p w14:paraId="40A5B5CE" w14:textId="1AE368C2" w:rsidR="009B22A4" w:rsidRPr="00514D5A" w:rsidRDefault="009B22A4" w:rsidP="00B1407A">
      <w:pPr>
        <w:spacing w:line="480" w:lineRule="auto"/>
        <w:jc w:val="both"/>
        <w:rPr>
          <w:rFonts w:ascii="Arial" w:eastAsia="Calibri" w:hAnsi="Arial" w:cs="Arial"/>
          <w:sz w:val="20"/>
          <w:szCs w:val="20"/>
        </w:rPr>
      </w:pPr>
      <w:r w:rsidRPr="00514D5A">
        <w:rPr>
          <w:rFonts w:ascii="Arial" w:eastAsia="Calibri" w:hAnsi="Arial" w:cs="Arial"/>
          <w:sz w:val="20"/>
          <w:szCs w:val="20"/>
        </w:rPr>
        <w:lastRenderedPageBreak/>
        <w:t xml:space="preserve">To prevent such collapses in the future, SVB has established a board risk committee with experienced members to </w:t>
      </w:r>
      <w:r w:rsidR="00C17760" w:rsidRPr="00514D5A">
        <w:rPr>
          <w:rFonts w:ascii="Arial" w:eastAsia="Calibri" w:hAnsi="Arial" w:cs="Arial"/>
          <w:sz w:val="20"/>
          <w:szCs w:val="20"/>
        </w:rPr>
        <w:t>ensure proper supervision</w:t>
      </w:r>
      <w:r w:rsidR="006D0D95" w:rsidRPr="00514D5A">
        <w:rPr>
          <w:rFonts w:ascii="Arial" w:eastAsia="Calibri" w:hAnsi="Arial" w:cs="Arial"/>
          <w:sz w:val="20"/>
          <w:szCs w:val="20"/>
        </w:rPr>
        <w:t>,</w:t>
      </w:r>
      <w:r w:rsidRPr="00514D5A">
        <w:rPr>
          <w:rFonts w:ascii="Arial" w:eastAsia="Calibri" w:hAnsi="Arial" w:cs="Arial"/>
          <w:sz w:val="20"/>
          <w:szCs w:val="20"/>
        </w:rPr>
        <w:t xml:space="preserve"> such as setting risk appetite, reviewing reports, and ensuring compliance. Analytical models </w:t>
      </w:r>
      <w:proofErr w:type="gramStart"/>
      <w:r w:rsidRPr="00514D5A">
        <w:rPr>
          <w:rFonts w:ascii="Arial" w:eastAsia="Calibri" w:hAnsi="Arial" w:cs="Arial"/>
          <w:sz w:val="20"/>
          <w:szCs w:val="20"/>
        </w:rPr>
        <w:t>are also recommended</w:t>
      </w:r>
      <w:proofErr w:type="gramEnd"/>
      <w:r w:rsidRPr="00514D5A">
        <w:rPr>
          <w:rFonts w:ascii="Arial" w:eastAsia="Calibri" w:hAnsi="Arial" w:cs="Arial"/>
          <w:sz w:val="20"/>
          <w:szCs w:val="20"/>
        </w:rPr>
        <w:t xml:space="preserve"> for assessing strategic, financial, and operational risks.</w:t>
      </w:r>
    </w:p>
    <w:p w14:paraId="1C5F44A6" w14:textId="25F38AC9" w:rsidR="009B22A4" w:rsidRPr="00514D5A" w:rsidRDefault="009B22A4" w:rsidP="00B1407A">
      <w:pPr>
        <w:spacing w:line="480" w:lineRule="auto"/>
        <w:jc w:val="both"/>
        <w:rPr>
          <w:rFonts w:ascii="Arial" w:eastAsia="Calibri" w:hAnsi="Arial" w:cs="Arial"/>
          <w:sz w:val="20"/>
          <w:szCs w:val="20"/>
        </w:rPr>
      </w:pPr>
      <w:r w:rsidRPr="00514D5A">
        <w:rPr>
          <w:rFonts w:ascii="Arial" w:eastAsia="Calibri" w:hAnsi="Arial" w:cs="Arial"/>
          <w:sz w:val="20"/>
          <w:szCs w:val="20"/>
        </w:rPr>
        <w:t xml:space="preserve">The recent bank failures and financial crises have highlighted the importance of effective risk management in banking. Banks play a crucial role in the economy, and unnecessary risk-taking can lead to significant financial losses with far-reaching impacts. Establishing a Chief Risk Officer and a board-level risk committee with experienced members is a good starting point </w:t>
      </w:r>
      <w:r w:rsidR="00BE6556" w:rsidRPr="00514D5A">
        <w:rPr>
          <w:rFonts w:ascii="Arial" w:eastAsia="Calibri" w:hAnsi="Arial" w:cs="Arial"/>
          <w:sz w:val="20"/>
          <w:szCs w:val="20"/>
        </w:rPr>
        <w:t>for improving</w:t>
      </w:r>
      <w:r w:rsidRPr="00514D5A">
        <w:rPr>
          <w:rFonts w:ascii="Arial" w:eastAsia="Calibri" w:hAnsi="Arial" w:cs="Arial"/>
          <w:sz w:val="20"/>
          <w:szCs w:val="20"/>
        </w:rPr>
        <w:t xml:space="preserve"> risk management in banks</w:t>
      </w:r>
      <w:r w:rsidR="008132AB" w:rsidRPr="00514D5A">
        <w:rPr>
          <w:rFonts w:ascii="Arial" w:hAnsi="Arial" w:cs="Arial"/>
          <w:sz w:val="20"/>
          <w:szCs w:val="20"/>
        </w:rPr>
        <w:t xml:space="preserve"> (</w:t>
      </w:r>
      <w:r w:rsidR="008132AB" w:rsidRPr="00514D5A">
        <w:rPr>
          <w:rFonts w:ascii="Arial" w:eastAsia="Calibri" w:hAnsi="Arial" w:cs="Arial"/>
          <w:sz w:val="20"/>
          <w:szCs w:val="20"/>
        </w:rPr>
        <w:t>Lam, J. C. 2023, April 28).</w:t>
      </w:r>
    </w:p>
    <w:p w14:paraId="00592F06" w14:textId="77777777" w:rsidR="00444521" w:rsidRPr="00514D5A" w:rsidRDefault="00AF7A2F" w:rsidP="00B1407A">
      <w:pPr>
        <w:spacing w:after="200" w:line="480" w:lineRule="auto"/>
        <w:jc w:val="both"/>
        <w:rPr>
          <w:rFonts w:ascii="Arial" w:eastAsia="Calibri" w:hAnsi="Arial" w:cs="Arial"/>
          <w:b/>
          <w:bCs/>
          <w:sz w:val="20"/>
          <w:szCs w:val="20"/>
        </w:rPr>
      </w:pPr>
      <w:bookmarkStart w:id="33" w:name="_Hlk163532107"/>
      <w:r w:rsidRPr="00514D5A">
        <w:rPr>
          <w:rFonts w:ascii="Arial" w:eastAsia="Calibri" w:hAnsi="Arial" w:cs="Arial"/>
          <w:b/>
          <w:bCs/>
          <w:i/>
          <w:sz w:val="20"/>
          <w:szCs w:val="20"/>
        </w:rPr>
        <w:t>4</w:t>
      </w:r>
      <w:r w:rsidR="005E5E8C" w:rsidRPr="00514D5A">
        <w:rPr>
          <w:rFonts w:ascii="Arial" w:eastAsia="Calibri" w:hAnsi="Arial" w:cs="Arial"/>
          <w:b/>
          <w:bCs/>
          <w:i/>
          <w:sz w:val="20"/>
          <w:szCs w:val="20"/>
        </w:rPr>
        <w:t>.2.</w:t>
      </w:r>
      <w:r w:rsidR="00444521" w:rsidRPr="00514D5A">
        <w:rPr>
          <w:rFonts w:ascii="Arial" w:eastAsia="Calibri" w:hAnsi="Arial" w:cs="Arial"/>
          <w:b/>
          <w:bCs/>
          <w:i/>
          <w:sz w:val="20"/>
          <w:szCs w:val="20"/>
        </w:rPr>
        <w:t>4</w:t>
      </w:r>
      <w:r w:rsidR="005E5E8C" w:rsidRPr="00514D5A">
        <w:rPr>
          <w:rFonts w:ascii="Arial" w:eastAsia="Calibri" w:hAnsi="Arial" w:cs="Arial"/>
          <w:b/>
          <w:bCs/>
          <w:i/>
          <w:sz w:val="20"/>
          <w:szCs w:val="20"/>
        </w:rPr>
        <w:t xml:space="preserve"> </w:t>
      </w:r>
      <w:r w:rsidR="007E05AF" w:rsidRPr="00514D5A">
        <w:rPr>
          <w:rFonts w:ascii="Arial" w:eastAsia="Calibri" w:hAnsi="Arial" w:cs="Arial"/>
          <w:b/>
          <w:bCs/>
          <w:i/>
          <w:sz w:val="20"/>
          <w:szCs w:val="20"/>
        </w:rPr>
        <w:t xml:space="preserve">China Aviation Oil (Singapore) Corporation Ltd. </w:t>
      </w:r>
      <w:bookmarkEnd w:id="33"/>
      <w:r w:rsidR="007E05AF" w:rsidRPr="00514D5A">
        <w:rPr>
          <w:rFonts w:ascii="Arial" w:eastAsia="Calibri" w:hAnsi="Arial" w:cs="Arial"/>
          <w:b/>
          <w:bCs/>
          <w:i/>
          <w:sz w:val="20"/>
          <w:szCs w:val="20"/>
        </w:rPr>
        <w:t>(CAO)</w:t>
      </w:r>
      <w:r w:rsidR="007E05AF" w:rsidRPr="00514D5A">
        <w:rPr>
          <w:rFonts w:ascii="Arial" w:eastAsia="Calibri" w:hAnsi="Arial" w:cs="Arial"/>
          <w:b/>
          <w:bCs/>
          <w:sz w:val="20"/>
          <w:szCs w:val="20"/>
        </w:rPr>
        <w:t xml:space="preserve"> </w:t>
      </w:r>
      <w:bookmarkStart w:id="34" w:name="_Hlk173069235"/>
    </w:p>
    <w:p w14:paraId="3A09C171" w14:textId="77777777" w:rsidR="00A01B1A" w:rsidRPr="00514D5A" w:rsidRDefault="00A01B1A" w:rsidP="00A01B1A">
      <w:pPr>
        <w:spacing w:after="200" w:line="480" w:lineRule="auto"/>
        <w:jc w:val="both"/>
        <w:rPr>
          <w:rFonts w:ascii="Arial" w:eastAsia="Calibri" w:hAnsi="Arial" w:cs="Arial"/>
          <w:sz w:val="20"/>
          <w:szCs w:val="20"/>
        </w:rPr>
      </w:pPr>
      <w:r w:rsidRPr="00514D5A">
        <w:rPr>
          <w:rFonts w:ascii="Arial" w:eastAsia="Calibri" w:hAnsi="Arial" w:cs="Arial"/>
          <w:sz w:val="20"/>
          <w:szCs w:val="20"/>
        </w:rPr>
        <w:t xml:space="preserve">CAO, short for China Aviation Oil, is a state-owned enterprise in China. It is a subsidiary based in Singapore. CAO oversees </w:t>
      </w:r>
      <w:proofErr w:type="gramStart"/>
      <w:r w:rsidRPr="00514D5A">
        <w:rPr>
          <w:rFonts w:ascii="Arial" w:eastAsia="Calibri" w:hAnsi="Arial" w:cs="Arial"/>
          <w:sz w:val="20"/>
          <w:szCs w:val="20"/>
        </w:rPr>
        <w:t>jet fuel import operations</w:t>
      </w:r>
      <w:proofErr w:type="gramEnd"/>
      <w:r w:rsidRPr="00514D5A">
        <w:rPr>
          <w:rFonts w:ascii="Arial" w:eastAsia="Calibri" w:hAnsi="Arial" w:cs="Arial"/>
          <w:sz w:val="20"/>
          <w:szCs w:val="20"/>
        </w:rPr>
        <w:t xml:space="preserve"> for the Chinese civil aviation sector. CAO went public and </w:t>
      </w:r>
      <w:proofErr w:type="gramStart"/>
      <w:r w:rsidRPr="00514D5A">
        <w:rPr>
          <w:rFonts w:ascii="Arial" w:eastAsia="Calibri" w:hAnsi="Arial" w:cs="Arial"/>
          <w:sz w:val="20"/>
          <w:szCs w:val="20"/>
        </w:rPr>
        <w:t>was listed</w:t>
      </w:r>
      <w:proofErr w:type="gramEnd"/>
      <w:r w:rsidRPr="00514D5A">
        <w:rPr>
          <w:rFonts w:ascii="Arial" w:eastAsia="Calibri" w:hAnsi="Arial" w:cs="Arial"/>
          <w:sz w:val="20"/>
          <w:szCs w:val="20"/>
        </w:rPr>
        <w:t xml:space="preserve"> on the Singapore Stock Exchange. However, the company came under scrutiny in November 2004 when it </w:t>
      </w:r>
      <w:proofErr w:type="gramStart"/>
      <w:r w:rsidRPr="00514D5A">
        <w:rPr>
          <w:rFonts w:ascii="Arial" w:eastAsia="Calibri" w:hAnsi="Arial" w:cs="Arial"/>
          <w:sz w:val="20"/>
          <w:szCs w:val="20"/>
        </w:rPr>
        <w:t>was revealed</w:t>
      </w:r>
      <w:proofErr w:type="gramEnd"/>
      <w:r w:rsidRPr="00514D5A">
        <w:rPr>
          <w:rFonts w:ascii="Arial" w:eastAsia="Calibri" w:hAnsi="Arial" w:cs="Arial"/>
          <w:sz w:val="20"/>
          <w:szCs w:val="20"/>
        </w:rPr>
        <w:t xml:space="preserve"> that it was unable to meet some of the margin calls that resulted from speculative derivatives trading (Choi, I. 2013). Due to unauthorized speculative options trading in fuels, the company suffered losses close to $550 million and faced near collapse. In March 2006, the company's CEO, Chen </w:t>
      </w:r>
      <w:proofErr w:type="spellStart"/>
      <w:r w:rsidRPr="00514D5A">
        <w:rPr>
          <w:rFonts w:ascii="Arial" w:eastAsia="Calibri" w:hAnsi="Arial" w:cs="Arial"/>
          <w:sz w:val="20"/>
          <w:szCs w:val="20"/>
        </w:rPr>
        <w:t>Jiulin</w:t>
      </w:r>
      <w:proofErr w:type="spellEnd"/>
      <w:r w:rsidRPr="00514D5A">
        <w:rPr>
          <w:rFonts w:ascii="Arial" w:eastAsia="Calibri" w:hAnsi="Arial" w:cs="Arial"/>
          <w:sz w:val="20"/>
          <w:szCs w:val="20"/>
        </w:rPr>
        <w:t xml:space="preserve">, was arrested on charges of insider </w:t>
      </w:r>
      <w:proofErr w:type="gramStart"/>
      <w:r w:rsidRPr="00514D5A">
        <w:rPr>
          <w:rFonts w:ascii="Arial" w:eastAsia="Calibri" w:hAnsi="Arial" w:cs="Arial"/>
          <w:sz w:val="20"/>
          <w:szCs w:val="20"/>
        </w:rPr>
        <w:t>trading(</w:t>
      </w:r>
      <w:proofErr w:type="gramEnd"/>
      <w:r w:rsidRPr="00514D5A">
        <w:rPr>
          <w:rFonts w:ascii="Arial" w:eastAsia="Calibri" w:hAnsi="Arial" w:cs="Arial"/>
          <w:sz w:val="20"/>
          <w:szCs w:val="20"/>
        </w:rPr>
        <w:t xml:space="preserve">Choi, I. 2013).  </w:t>
      </w:r>
    </w:p>
    <w:p w14:paraId="234EE332" w14:textId="77777777" w:rsidR="00A01B1A" w:rsidRPr="00514D5A" w:rsidRDefault="00A01B1A" w:rsidP="00A01B1A">
      <w:pPr>
        <w:spacing w:after="200" w:line="480" w:lineRule="auto"/>
        <w:jc w:val="both"/>
        <w:rPr>
          <w:rFonts w:ascii="Arial" w:eastAsia="Calibri" w:hAnsi="Arial" w:cs="Arial"/>
          <w:sz w:val="20"/>
          <w:szCs w:val="20"/>
        </w:rPr>
      </w:pPr>
    </w:p>
    <w:p w14:paraId="246EB228" w14:textId="77777777" w:rsidR="00A01B1A" w:rsidRPr="00514D5A" w:rsidRDefault="00A01B1A" w:rsidP="00A01B1A">
      <w:pPr>
        <w:spacing w:after="200" w:line="480" w:lineRule="auto"/>
        <w:jc w:val="both"/>
        <w:rPr>
          <w:rFonts w:ascii="Arial" w:eastAsia="Calibri" w:hAnsi="Arial" w:cs="Arial"/>
          <w:sz w:val="20"/>
          <w:szCs w:val="20"/>
        </w:rPr>
      </w:pPr>
      <w:r w:rsidRPr="00514D5A">
        <w:rPr>
          <w:rFonts w:ascii="Arial" w:eastAsia="Calibri" w:hAnsi="Arial" w:cs="Arial"/>
          <w:sz w:val="20"/>
          <w:szCs w:val="20"/>
        </w:rPr>
        <w:t>Without a risk management policy in place to govern options trading, the company was already set to fail. Business began to falter and losses began piling up as fuel prices began to shift in inverse to the company's trading strategy. With the company’s finances in disarray, the CEO began to cover up the losses and never revealed the numbers through official documentation. There was a widespread breakdown of corporate governance within CAO.</w:t>
      </w:r>
    </w:p>
    <w:p w14:paraId="27F920CA" w14:textId="374D9DC8" w:rsidR="003E2DFB" w:rsidRPr="00514D5A" w:rsidRDefault="003E2DFB" w:rsidP="00B1407A">
      <w:pPr>
        <w:spacing w:after="200" w:line="480" w:lineRule="auto"/>
        <w:jc w:val="both"/>
        <w:rPr>
          <w:rFonts w:ascii="Arial" w:eastAsia="Calibri" w:hAnsi="Arial" w:cs="Arial"/>
          <w:sz w:val="20"/>
          <w:szCs w:val="20"/>
        </w:rPr>
      </w:pPr>
      <w:bookmarkStart w:id="35" w:name="_Hlk173069526"/>
      <w:bookmarkEnd w:id="34"/>
      <w:r w:rsidRPr="00514D5A">
        <w:rPr>
          <w:rFonts w:ascii="Arial" w:eastAsia="Calibri" w:hAnsi="Arial" w:cs="Arial"/>
          <w:bCs/>
          <w:sz w:val="20"/>
          <w:szCs w:val="20"/>
        </w:rPr>
        <w:t xml:space="preserve">After </w:t>
      </w:r>
      <w:r w:rsidR="00BE6556" w:rsidRPr="00514D5A">
        <w:rPr>
          <w:rFonts w:ascii="Arial" w:eastAsia="Calibri" w:hAnsi="Arial" w:cs="Arial"/>
          <w:bCs/>
          <w:sz w:val="20"/>
          <w:szCs w:val="20"/>
        </w:rPr>
        <w:t xml:space="preserve">the </w:t>
      </w:r>
      <w:r w:rsidR="00AF5BAE" w:rsidRPr="00514D5A">
        <w:rPr>
          <w:rFonts w:ascii="Arial" w:eastAsia="Calibri" w:hAnsi="Arial" w:cs="Arial"/>
          <w:bCs/>
          <w:sz w:val="20"/>
          <w:szCs w:val="20"/>
        </w:rPr>
        <w:t>collapse,</w:t>
      </w:r>
      <w:r w:rsidRPr="00514D5A">
        <w:rPr>
          <w:rFonts w:ascii="Arial" w:eastAsia="Calibri" w:hAnsi="Arial" w:cs="Arial"/>
          <w:bCs/>
          <w:sz w:val="20"/>
          <w:szCs w:val="20"/>
        </w:rPr>
        <w:t xml:space="preserve"> CAO </w:t>
      </w:r>
      <w:r w:rsidR="00906813" w:rsidRPr="00514D5A">
        <w:rPr>
          <w:rFonts w:ascii="Arial" w:eastAsia="Calibri" w:hAnsi="Arial" w:cs="Arial"/>
          <w:bCs/>
          <w:sz w:val="20"/>
          <w:szCs w:val="20"/>
        </w:rPr>
        <w:t>applied</w:t>
      </w:r>
      <w:r w:rsidRPr="00514D5A">
        <w:rPr>
          <w:rFonts w:ascii="Arial" w:eastAsia="Calibri" w:hAnsi="Arial" w:cs="Arial"/>
          <w:bCs/>
          <w:sz w:val="20"/>
          <w:szCs w:val="20"/>
        </w:rPr>
        <w:t xml:space="preserve"> a three-</w:t>
      </w:r>
      <w:r w:rsidR="00906813" w:rsidRPr="00514D5A">
        <w:rPr>
          <w:rFonts w:ascii="Arial" w:eastAsia="Calibri" w:hAnsi="Arial" w:cs="Arial"/>
          <w:bCs/>
          <w:sz w:val="20"/>
          <w:szCs w:val="20"/>
        </w:rPr>
        <w:t xml:space="preserve">level </w:t>
      </w:r>
      <w:r w:rsidRPr="00514D5A">
        <w:rPr>
          <w:rFonts w:ascii="Arial" w:eastAsia="Calibri" w:hAnsi="Arial" w:cs="Arial"/>
          <w:bCs/>
          <w:sz w:val="20"/>
          <w:szCs w:val="20"/>
        </w:rPr>
        <w:t>risk-management system, consisting of a board-level RMC, a tactical-level company risk meeting, and an operational-level risk management department</w:t>
      </w:r>
      <w:bookmarkEnd w:id="35"/>
      <w:r w:rsidRPr="00514D5A">
        <w:rPr>
          <w:rFonts w:ascii="Arial" w:eastAsia="Calibri" w:hAnsi="Arial" w:cs="Arial"/>
          <w:bCs/>
          <w:sz w:val="20"/>
          <w:szCs w:val="20"/>
        </w:rPr>
        <w:t xml:space="preserve">. The RMC </w:t>
      </w:r>
      <w:r w:rsidRPr="00514D5A">
        <w:rPr>
          <w:rFonts w:ascii="Arial" w:eastAsia="Calibri" w:hAnsi="Arial" w:cs="Arial"/>
          <w:bCs/>
          <w:sz w:val="20"/>
          <w:szCs w:val="20"/>
        </w:rPr>
        <w:lastRenderedPageBreak/>
        <w:t xml:space="preserve">approves new businesses, sets risk limits, and determines acceptable levels of risk. The </w:t>
      </w:r>
      <w:r w:rsidR="00C17E6B" w:rsidRPr="00514D5A">
        <w:rPr>
          <w:rFonts w:ascii="Arial" w:eastAsia="Calibri" w:hAnsi="Arial" w:cs="Arial"/>
          <w:bCs/>
          <w:sz w:val="20"/>
          <w:szCs w:val="20"/>
        </w:rPr>
        <w:t>company risk meeting</w:t>
      </w:r>
      <w:r w:rsidRPr="00514D5A">
        <w:rPr>
          <w:rFonts w:ascii="Arial" w:eastAsia="Calibri" w:hAnsi="Arial" w:cs="Arial"/>
          <w:bCs/>
          <w:sz w:val="20"/>
          <w:szCs w:val="20"/>
        </w:rPr>
        <w:t xml:space="preserve"> makes decisions based on RMC's delegations and implements RMC's policies</w:t>
      </w:r>
      <w:r w:rsidR="00906813" w:rsidRPr="00514D5A">
        <w:rPr>
          <w:rFonts w:ascii="Arial" w:eastAsia="Calibri" w:hAnsi="Arial" w:cs="Arial"/>
          <w:bCs/>
          <w:sz w:val="20"/>
          <w:szCs w:val="20"/>
        </w:rPr>
        <w:t xml:space="preserve"> </w:t>
      </w:r>
      <w:bookmarkStart w:id="36" w:name="_Hlk203531005"/>
      <w:r w:rsidRPr="00514D5A">
        <w:rPr>
          <w:rFonts w:ascii="Arial" w:eastAsia="Calibri" w:hAnsi="Arial" w:cs="Arial"/>
          <w:bCs/>
          <w:sz w:val="20"/>
          <w:szCs w:val="20"/>
        </w:rPr>
        <w:t>(Choi, I. 2013).</w:t>
      </w:r>
    </w:p>
    <w:bookmarkEnd w:id="36"/>
    <w:p w14:paraId="4DB399FB" w14:textId="6811F24A" w:rsidR="00632A91" w:rsidRPr="00514D5A" w:rsidRDefault="00AF7A2F" w:rsidP="00B1407A">
      <w:pPr>
        <w:spacing w:line="480" w:lineRule="auto"/>
        <w:jc w:val="both"/>
        <w:rPr>
          <w:rFonts w:ascii="Arial" w:eastAsia="Calibri" w:hAnsi="Arial" w:cs="Arial"/>
          <w:b/>
          <w:sz w:val="20"/>
          <w:szCs w:val="20"/>
        </w:rPr>
      </w:pPr>
      <w:r w:rsidRPr="00514D5A">
        <w:rPr>
          <w:rFonts w:ascii="Arial" w:eastAsia="Calibri" w:hAnsi="Arial" w:cs="Arial"/>
          <w:b/>
          <w:sz w:val="20"/>
          <w:szCs w:val="20"/>
        </w:rPr>
        <w:t>4</w:t>
      </w:r>
      <w:r w:rsidR="005E5E8C" w:rsidRPr="00514D5A">
        <w:rPr>
          <w:rFonts w:ascii="Arial" w:eastAsia="Calibri" w:hAnsi="Arial" w:cs="Arial"/>
          <w:b/>
          <w:sz w:val="20"/>
          <w:szCs w:val="20"/>
        </w:rPr>
        <w:t xml:space="preserve">.3 </w:t>
      </w:r>
      <w:r w:rsidR="00632A91" w:rsidRPr="00514D5A">
        <w:rPr>
          <w:rFonts w:ascii="Arial" w:eastAsia="Calibri" w:hAnsi="Arial" w:cs="Arial"/>
          <w:b/>
          <w:sz w:val="20"/>
          <w:szCs w:val="20"/>
        </w:rPr>
        <w:t>Summary and Conclusion:</w:t>
      </w:r>
    </w:p>
    <w:p w14:paraId="5501A172" w14:textId="37AADBB9" w:rsidR="00665368" w:rsidRPr="00514D5A" w:rsidRDefault="00665368" w:rsidP="00B1407A">
      <w:pPr>
        <w:spacing w:line="480" w:lineRule="auto"/>
        <w:jc w:val="both"/>
        <w:rPr>
          <w:rFonts w:ascii="Arial" w:eastAsia="Calibri" w:hAnsi="Arial" w:cs="Arial"/>
          <w:sz w:val="20"/>
          <w:szCs w:val="20"/>
        </w:rPr>
      </w:pPr>
      <w:bookmarkStart w:id="37" w:name="_Hlk176951866"/>
      <w:r w:rsidRPr="00514D5A">
        <w:rPr>
          <w:rFonts w:ascii="Arial" w:eastAsia="Calibri" w:hAnsi="Arial" w:cs="Arial"/>
          <w:sz w:val="20"/>
          <w:szCs w:val="20"/>
        </w:rPr>
        <w:t xml:space="preserve">The paper aims to examine the </w:t>
      </w:r>
      <w:r w:rsidR="00D12188" w:rsidRPr="00514D5A">
        <w:rPr>
          <w:rFonts w:ascii="Arial" w:eastAsia="Calibri" w:hAnsi="Arial" w:cs="Arial"/>
          <w:sz w:val="20"/>
          <w:szCs w:val="20"/>
        </w:rPr>
        <w:t>implication</w:t>
      </w:r>
      <w:r w:rsidRPr="00514D5A">
        <w:rPr>
          <w:rFonts w:ascii="Arial" w:eastAsia="Calibri" w:hAnsi="Arial" w:cs="Arial"/>
          <w:sz w:val="20"/>
          <w:szCs w:val="20"/>
        </w:rPr>
        <w:t xml:space="preserve"> of the risk management committee in corporate governance as an essential governance support mechanism and analyze the function of the committee (RMC) in supervising an organization's risk management strategies, policies, and procedures.</w:t>
      </w:r>
    </w:p>
    <w:p w14:paraId="3A9B6FB3" w14:textId="14A67F73" w:rsidR="00665368" w:rsidRPr="00514D5A" w:rsidRDefault="00665368" w:rsidP="00B1407A">
      <w:pPr>
        <w:spacing w:line="480" w:lineRule="auto"/>
        <w:jc w:val="both"/>
        <w:rPr>
          <w:rFonts w:ascii="Arial" w:eastAsia="Calibri" w:hAnsi="Arial" w:cs="Arial"/>
          <w:sz w:val="20"/>
          <w:szCs w:val="20"/>
        </w:rPr>
      </w:pPr>
      <w:r w:rsidRPr="00514D5A">
        <w:rPr>
          <w:rFonts w:ascii="Arial" w:eastAsia="Calibri" w:hAnsi="Arial" w:cs="Arial"/>
          <w:sz w:val="20"/>
          <w:szCs w:val="20"/>
        </w:rPr>
        <w:t xml:space="preserve">The </w:t>
      </w:r>
      <w:r w:rsidR="005942AB" w:rsidRPr="00514D5A">
        <w:rPr>
          <w:rFonts w:ascii="Arial" w:eastAsia="Calibri" w:hAnsi="Arial" w:cs="Arial"/>
          <w:sz w:val="20"/>
          <w:szCs w:val="20"/>
        </w:rPr>
        <w:t>research findings</w:t>
      </w:r>
      <w:r w:rsidRPr="00514D5A">
        <w:rPr>
          <w:rFonts w:ascii="Arial" w:eastAsia="Calibri" w:hAnsi="Arial" w:cs="Arial"/>
          <w:sz w:val="20"/>
          <w:szCs w:val="20"/>
        </w:rPr>
        <w:t xml:space="preserve"> provide evidence that the establishment of separate risk management committees is still voluntary</w:t>
      </w:r>
      <w:r w:rsidR="005942AB" w:rsidRPr="00514D5A">
        <w:rPr>
          <w:rFonts w:ascii="Arial" w:eastAsia="Calibri" w:hAnsi="Arial" w:cs="Arial"/>
          <w:sz w:val="20"/>
          <w:szCs w:val="20"/>
        </w:rPr>
        <w:t>,</w:t>
      </w:r>
      <w:r w:rsidRPr="00514D5A">
        <w:rPr>
          <w:rFonts w:ascii="Arial" w:eastAsia="Calibri" w:hAnsi="Arial" w:cs="Arial"/>
          <w:sz w:val="20"/>
          <w:szCs w:val="20"/>
        </w:rPr>
        <w:t xml:space="preserve"> with the increasing demand for risk management. Additionally, existing corporate governance standards or codes do not sufficiently cover the risk management committee from our country's perspective. After analyzing various scandals that had occurred in different companies, the study found that in numerous cases, the management of risks was not assessed appropriately from an enterprise perspective. Moreover, it </w:t>
      </w:r>
      <w:proofErr w:type="gramStart"/>
      <w:r w:rsidRPr="00514D5A">
        <w:rPr>
          <w:rFonts w:ascii="Arial" w:eastAsia="Calibri" w:hAnsi="Arial" w:cs="Arial"/>
          <w:sz w:val="20"/>
          <w:szCs w:val="20"/>
        </w:rPr>
        <w:t>was not aligned</w:t>
      </w:r>
      <w:proofErr w:type="gramEnd"/>
      <w:r w:rsidRPr="00514D5A">
        <w:rPr>
          <w:rFonts w:ascii="Arial" w:eastAsia="Calibri" w:hAnsi="Arial" w:cs="Arial"/>
          <w:sz w:val="20"/>
          <w:szCs w:val="20"/>
        </w:rPr>
        <w:t xml:space="preserve"> with the corporate strategy. This was due to the absence of an independent risk management committee or inefficiency and lack of oversight by the audit committee. One of the most important things about this specific issue is that the boards and management, in some cases, lacked knowledge about the company's risks, and some unethical practices </w:t>
      </w:r>
      <w:proofErr w:type="gramStart"/>
      <w:r w:rsidRPr="00514D5A">
        <w:rPr>
          <w:rFonts w:ascii="Arial" w:eastAsia="Calibri" w:hAnsi="Arial" w:cs="Arial"/>
          <w:sz w:val="20"/>
          <w:szCs w:val="20"/>
        </w:rPr>
        <w:t>were employed</w:t>
      </w:r>
      <w:proofErr w:type="gramEnd"/>
      <w:r w:rsidRPr="00514D5A">
        <w:rPr>
          <w:rFonts w:ascii="Arial" w:eastAsia="Calibri" w:hAnsi="Arial" w:cs="Arial"/>
          <w:sz w:val="20"/>
          <w:szCs w:val="20"/>
        </w:rPr>
        <w:t xml:space="preserve"> to increase profits. </w:t>
      </w:r>
    </w:p>
    <w:p w14:paraId="78190555" w14:textId="77F04EBD" w:rsidR="00665368" w:rsidRPr="00514D5A" w:rsidRDefault="00661EF6" w:rsidP="00B1407A">
      <w:pPr>
        <w:spacing w:line="480" w:lineRule="auto"/>
        <w:jc w:val="both"/>
        <w:rPr>
          <w:rFonts w:ascii="Arial" w:eastAsia="Calibri" w:hAnsi="Arial" w:cs="Arial"/>
          <w:sz w:val="20"/>
          <w:szCs w:val="20"/>
        </w:rPr>
      </w:pPr>
      <w:r w:rsidRPr="00514D5A">
        <w:rPr>
          <w:rFonts w:ascii="Arial" w:eastAsia="Calibri" w:hAnsi="Arial" w:cs="Arial"/>
          <w:sz w:val="20"/>
          <w:szCs w:val="20"/>
        </w:rPr>
        <w:t xml:space="preserve">To </w:t>
      </w:r>
      <w:r w:rsidR="005942AB" w:rsidRPr="00514D5A">
        <w:rPr>
          <w:rFonts w:ascii="Arial" w:eastAsia="Calibri" w:hAnsi="Arial" w:cs="Arial"/>
          <w:sz w:val="20"/>
          <w:szCs w:val="20"/>
        </w:rPr>
        <w:t>avert</w:t>
      </w:r>
      <w:r w:rsidRPr="00514D5A">
        <w:rPr>
          <w:rFonts w:ascii="Arial" w:eastAsia="Calibri" w:hAnsi="Arial" w:cs="Arial"/>
          <w:sz w:val="20"/>
          <w:szCs w:val="20"/>
        </w:rPr>
        <w:t xml:space="preserve"> such </w:t>
      </w:r>
      <w:r w:rsidR="005942AB" w:rsidRPr="00514D5A">
        <w:rPr>
          <w:rFonts w:ascii="Arial" w:eastAsia="Calibri" w:hAnsi="Arial" w:cs="Arial"/>
          <w:sz w:val="20"/>
          <w:szCs w:val="20"/>
        </w:rPr>
        <w:t>scandals</w:t>
      </w:r>
      <w:r w:rsidRPr="00514D5A">
        <w:rPr>
          <w:rFonts w:ascii="Arial" w:eastAsia="Calibri" w:hAnsi="Arial" w:cs="Arial"/>
          <w:sz w:val="20"/>
          <w:szCs w:val="20"/>
        </w:rPr>
        <w:t xml:space="preserve"> from </w:t>
      </w:r>
      <w:r w:rsidR="005942AB" w:rsidRPr="00514D5A">
        <w:rPr>
          <w:rFonts w:ascii="Arial" w:eastAsia="Calibri" w:hAnsi="Arial" w:cs="Arial"/>
          <w:sz w:val="20"/>
          <w:szCs w:val="20"/>
        </w:rPr>
        <w:t>occurring</w:t>
      </w:r>
      <w:r w:rsidRPr="00514D5A">
        <w:rPr>
          <w:rFonts w:ascii="Arial" w:eastAsia="Calibri" w:hAnsi="Arial" w:cs="Arial"/>
          <w:sz w:val="20"/>
          <w:szCs w:val="20"/>
        </w:rPr>
        <w:t xml:space="preserve"> in the future, some companies, such as Volkswagen, Equifax Data Breach, Silicon Valley Bank, Aboitiz Power (AP), and China Aviation Oil (Singapore) Corporation Ltd., have established a board risk committee with significant risk management experience. This committee can identify and address similar risks moving forward. It implemented stricter compliance controls, revised internal processes, and strengthened governance to prevent unethical behavior and ensure regulatory compliance. The study's findings show that regulators and standard setters should understand that successful risk management does not mean eliminating risk-taking, as it is a core motivator in business and entrepreneurship. To promote proper corporate governance, establishing risk management committees is essential.</w:t>
      </w:r>
    </w:p>
    <w:p w14:paraId="72EE8FE0" w14:textId="1F88A63B" w:rsidR="00665368" w:rsidRPr="00514D5A" w:rsidRDefault="00665368" w:rsidP="00B1407A">
      <w:pPr>
        <w:spacing w:line="480" w:lineRule="auto"/>
        <w:jc w:val="both"/>
        <w:rPr>
          <w:rFonts w:ascii="Arial" w:eastAsia="Calibri" w:hAnsi="Arial" w:cs="Arial"/>
          <w:sz w:val="20"/>
          <w:szCs w:val="20"/>
        </w:rPr>
      </w:pPr>
      <w:r w:rsidRPr="00514D5A">
        <w:rPr>
          <w:rFonts w:ascii="Arial" w:eastAsia="Calibri" w:hAnsi="Arial" w:cs="Arial"/>
          <w:sz w:val="20"/>
          <w:szCs w:val="20"/>
        </w:rPr>
        <w:lastRenderedPageBreak/>
        <w:t xml:space="preserve">However, the study had a limited sample size consisting of only collapsed companies. </w:t>
      </w:r>
      <w:r w:rsidR="007369CD" w:rsidRPr="00514D5A">
        <w:rPr>
          <w:rFonts w:ascii="Arial" w:eastAsia="Calibri" w:hAnsi="Arial" w:cs="Arial"/>
          <w:sz w:val="20"/>
          <w:szCs w:val="20"/>
        </w:rPr>
        <w:t xml:space="preserve">Future investigations could include more research with a larger sample size. Additionally, the data </w:t>
      </w:r>
      <w:proofErr w:type="gramStart"/>
      <w:r w:rsidR="007369CD" w:rsidRPr="00514D5A">
        <w:rPr>
          <w:rFonts w:ascii="Arial" w:eastAsia="Calibri" w:hAnsi="Arial" w:cs="Arial"/>
          <w:sz w:val="20"/>
          <w:szCs w:val="20"/>
        </w:rPr>
        <w:t>were collected</w:t>
      </w:r>
      <w:proofErr w:type="gramEnd"/>
      <w:r w:rsidR="007369CD" w:rsidRPr="00514D5A">
        <w:rPr>
          <w:rFonts w:ascii="Arial" w:eastAsia="Calibri" w:hAnsi="Arial" w:cs="Arial"/>
          <w:sz w:val="20"/>
          <w:szCs w:val="20"/>
        </w:rPr>
        <w:t xml:space="preserve"> through a </w:t>
      </w:r>
      <w:r w:rsidRPr="00514D5A">
        <w:rPr>
          <w:rFonts w:ascii="Arial" w:eastAsia="Calibri" w:hAnsi="Arial" w:cs="Arial"/>
          <w:sz w:val="20"/>
          <w:szCs w:val="20"/>
        </w:rPr>
        <w:t>desk study using secondary sources of information.</w:t>
      </w:r>
    </w:p>
    <w:p w14:paraId="45128A46" w14:textId="43215E1F" w:rsidR="00665368" w:rsidRPr="00514D5A" w:rsidRDefault="00665368" w:rsidP="00B1407A">
      <w:pPr>
        <w:spacing w:line="480" w:lineRule="auto"/>
        <w:jc w:val="both"/>
        <w:rPr>
          <w:rFonts w:ascii="Arial" w:eastAsia="Calibri" w:hAnsi="Arial" w:cs="Arial"/>
          <w:sz w:val="20"/>
          <w:szCs w:val="20"/>
        </w:rPr>
      </w:pPr>
      <w:r w:rsidRPr="00514D5A">
        <w:rPr>
          <w:rFonts w:ascii="Arial" w:eastAsia="Calibri" w:hAnsi="Arial" w:cs="Arial"/>
          <w:sz w:val="20"/>
          <w:szCs w:val="20"/>
        </w:rPr>
        <w:t>Hence, alternative research approaches like conducting a survey using questionnaires or interviewing board representatives could provide a deeper insight into an organization's risk management frameworks. The effectiveness of the risk management subcommittee in the successful implementation of internal and external sensing tools for measuring and addressing current and emerging risks has not been extensively studied, making it an interesting area for future research.</w:t>
      </w:r>
    </w:p>
    <w:p w14:paraId="734F69AE" w14:textId="77777777" w:rsidR="00665368" w:rsidRDefault="00665368" w:rsidP="00B1407A">
      <w:pPr>
        <w:spacing w:line="480" w:lineRule="auto"/>
        <w:jc w:val="both"/>
        <w:rPr>
          <w:rFonts w:ascii="Arial" w:eastAsia="Calibri" w:hAnsi="Arial" w:cs="Arial"/>
          <w:sz w:val="20"/>
          <w:szCs w:val="20"/>
        </w:rPr>
      </w:pPr>
      <w:r w:rsidRPr="00514D5A">
        <w:rPr>
          <w:rFonts w:ascii="Arial" w:eastAsia="Calibri" w:hAnsi="Arial" w:cs="Arial"/>
          <w:sz w:val="20"/>
          <w:szCs w:val="20"/>
        </w:rPr>
        <w:t>In conclusion, as the demands on risk management continue to grow, it is essential to conduct more studies on governance support mechanisms. The findings suggest that companies should not view the creation of a Risk Management Committee just as a compliance measure but as a strategic tool to enhance governance and ensure sustainable business practices.</w:t>
      </w:r>
    </w:p>
    <w:p w14:paraId="4116F7AE" w14:textId="77777777" w:rsidR="0090769D" w:rsidRDefault="0090769D" w:rsidP="00B1407A">
      <w:pPr>
        <w:spacing w:line="480" w:lineRule="auto"/>
        <w:jc w:val="both"/>
        <w:rPr>
          <w:rFonts w:ascii="Arial" w:eastAsia="Calibri" w:hAnsi="Arial" w:cs="Arial"/>
          <w:sz w:val="20"/>
          <w:szCs w:val="20"/>
        </w:rPr>
      </w:pPr>
    </w:p>
    <w:p w14:paraId="363CF176" w14:textId="77777777" w:rsidR="0090769D" w:rsidRPr="0090769D" w:rsidRDefault="0090769D" w:rsidP="0090769D">
      <w:pPr>
        <w:spacing w:after="200" w:line="276" w:lineRule="auto"/>
        <w:jc w:val="both"/>
        <w:outlineLvl w:val="0"/>
        <w:rPr>
          <w:rFonts w:ascii="Arial" w:eastAsia="Times New Roman" w:hAnsi="Arial" w:cs="Arial"/>
          <w:lang w:val="en-GB" w:eastAsia="en-GB"/>
        </w:rPr>
      </w:pPr>
      <w:r w:rsidRPr="0090769D">
        <w:rPr>
          <w:rFonts w:ascii="Arial" w:eastAsia="Times New Roman" w:hAnsi="Arial" w:cs="Arial"/>
          <w:b/>
          <w:bCs/>
          <w:lang w:val="en-GB" w:eastAsia="en-GB"/>
        </w:rPr>
        <w:t>COMPETING INTERESTS DISCLAIMER:</w:t>
      </w:r>
    </w:p>
    <w:p w14:paraId="5B081927" w14:textId="77777777" w:rsidR="0090769D" w:rsidRPr="0090769D" w:rsidRDefault="0090769D" w:rsidP="0090769D">
      <w:pPr>
        <w:spacing w:after="200" w:line="276" w:lineRule="auto"/>
        <w:rPr>
          <w:rFonts w:ascii="Calibri" w:eastAsia="Times New Roman" w:hAnsi="Calibri" w:cs="Times New Roman"/>
          <w:lang w:val="en-GB" w:eastAsia="en-GB"/>
        </w:rPr>
      </w:pPr>
      <w:r w:rsidRPr="0090769D">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0B9CC7A" w14:textId="77777777" w:rsidR="0090769D" w:rsidRPr="0090769D" w:rsidRDefault="0090769D" w:rsidP="0090769D">
      <w:pPr>
        <w:spacing w:after="200" w:line="276" w:lineRule="auto"/>
        <w:rPr>
          <w:rFonts w:ascii="Calibri" w:eastAsia="Times New Roman" w:hAnsi="Calibri" w:cs="Times New Roman"/>
          <w:lang w:val="en-GB" w:eastAsia="en-GB"/>
        </w:rPr>
      </w:pPr>
    </w:p>
    <w:p w14:paraId="52E63FF5" w14:textId="77777777" w:rsidR="0090769D" w:rsidRPr="0090769D" w:rsidRDefault="0090769D" w:rsidP="0090769D">
      <w:pPr>
        <w:spacing w:after="200" w:line="276" w:lineRule="auto"/>
        <w:rPr>
          <w:rFonts w:ascii="Calibri" w:eastAsia="Times New Roman" w:hAnsi="Calibri" w:cs="Times New Roman"/>
          <w:lang w:val="en-GB" w:eastAsia="en-GB"/>
        </w:rPr>
      </w:pPr>
    </w:p>
    <w:p w14:paraId="167EFB03" w14:textId="77777777" w:rsidR="0090769D" w:rsidRPr="00514D5A" w:rsidRDefault="0090769D" w:rsidP="00B1407A">
      <w:pPr>
        <w:spacing w:line="480" w:lineRule="auto"/>
        <w:jc w:val="both"/>
        <w:rPr>
          <w:rFonts w:ascii="Arial" w:eastAsia="Calibri" w:hAnsi="Arial" w:cs="Arial"/>
          <w:sz w:val="20"/>
          <w:szCs w:val="20"/>
        </w:rPr>
      </w:pPr>
    </w:p>
    <w:p w14:paraId="489638A3" w14:textId="77777777" w:rsidR="00665368" w:rsidRPr="00B1407A" w:rsidRDefault="00665368" w:rsidP="00B1407A">
      <w:pPr>
        <w:spacing w:line="480" w:lineRule="auto"/>
        <w:jc w:val="both"/>
        <w:rPr>
          <w:rFonts w:ascii="Times New Roman" w:eastAsia="Calibri" w:hAnsi="Times New Roman" w:cs="Times New Roman"/>
          <w:sz w:val="24"/>
          <w:szCs w:val="24"/>
        </w:rPr>
      </w:pPr>
    </w:p>
    <w:p w14:paraId="4607ABF1" w14:textId="77777777" w:rsidR="00665368" w:rsidRPr="00B1407A" w:rsidRDefault="00665368" w:rsidP="00B1407A">
      <w:pPr>
        <w:spacing w:line="480" w:lineRule="auto"/>
        <w:jc w:val="both"/>
        <w:rPr>
          <w:rFonts w:ascii="Times New Roman" w:eastAsia="Calibri" w:hAnsi="Times New Roman" w:cs="Times New Roman"/>
          <w:sz w:val="24"/>
          <w:szCs w:val="24"/>
        </w:rPr>
      </w:pPr>
    </w:p>
    <w:p w14:paraId="2F5C1784" w14:textId="77777777" w:rsidR="00665368" w:rsidRPr="00B1407A" w:rsidRDefault="00665368" w:rsidP="00B1407A">
      <w:pPr>
        <w:spacing w:line="480" w:lineRule="auto"/>
        <w:jc w:val="both"/>
        <w:rPr>
          <w:rFonts w:ascii="Times New Roman" w:eastAsia="Calibri" w:hAnsi="Times New Roman" w:cs="Times New Roman"/>
          <w:sz w:val="24"/>
          <w:szCs w:val="24"/>
        </w:rPr>
      </w:pPr>
    </w:p>
    <w:p w14:paraId="69540B8B" w14:textId="77777777" w:rsidR="00B1407A" w:rsidRDefault="00B1407A" w:rsidP="00B1407A">
      <w:pPr>
        <w:spacing w:line="480" w:lineRule="auto"/>
        <w:rPr>
          <w:rFonts w:ascii="Times New Roman" w:hAnsi="Times New Roman" w:cs="Times New Roman"/>
          <w:b/>
          <w:sz w:val="24"/>
          <w:szCs w:val="24"/>
        </w:rPr>
      </w:pPr>
    </w:p>
    <w:p w14:paraId="170728A7" w14:textId="77777777" w:rsidR="00444521" w:rsidRDefault="00444521">
      <w:pPr>
        <w:rPr>
          <w:rFonts w:ascii="Times New Roman" w:hAnsi="Times New Roman" w:cs="Times New Roman"/>
          <w:b/>
          <w:sz w:val="24"/>
          <w:szCs w:val="24"/>
        </w:rPr>
      </w:pPr>
      <w:r>
        <w:rPr>
          <w:rFonts w:ascii="Times New Roman" w:hAnsi="Times New Roman" w:cs="Times New Roman"/>
          <w:b/>
          <w:sz w:val="24"/>
          <w:szCs w:val="24"/>
        </w:rPr>
        <w:br w:type="page"/>
      </w:r>
    </w:p>
    <w:p w14:paraId="71FD7021" w14:textId="7F811B74" w:rsidR="00132AC1" w:rsidRPr="00514D5A" w:rsidRDefault="00132AC1" w:rsidP="00B1407A">
      <w:pPr>
        <w:spacing w:line="480" w:lineRule="auto"/>
        <w:rPr>
          <w:rFonts w:ascii="Arial" w:hAnsi="Arial" w:cs="Arial"/>
          <w:b/>
          <w:sz w:val="20"/>
          <w:szCs w:val="20"/>
        </w:rPr>
      </w:pPr>
      <w:commentRangeStart w:id="38"/>
      <w:r w:rsidRPr="00514D5A">
        <w:rPr>
          <w:rFonts w:ascii="Arial" w:hAnsi="Arial" w:cs="Arial"/>
          <w:b/>
          <w:sz w:val="20"/>
          <w:szCs w:val="20"/>
        </w:rPr>
        <w:lastRenderedPageBreak/>
        <w:t>References:</w:t>
      </w:r>
      <w:commentRangeEnd w:id="38"/>
      <w:r w:rsidR="00B344EC">
        <w:rPr>
          <w:rStyle w:val="CommentReference"/>
        </w:rPr>
        <w:commentReference w:id="38"/>
      </w:r>
    </w:p>
    <w:p w14:paraId="22C39827" w14:textId="09A9CEBB" w:rsidR="00132AC1" w:rsidRPr="00514D5A" w:rsidRDefault="00132AC1" w:rsidP="007F5536">
      <w:pPr>
        <w:spacing w:line="480" w:lineRule="auto"/>
        <w:ind w:left="630" w:hanging="630"/>
        <w:jc w:val="both"/>
        <w:rPr>
          <w:rFonts w:ascii="Arial" w:hAnsi="Arial" w:cs="Arial"/>
          <w:sz w:val="20"/>
          <w:szCs w:val="20"/>
        </w:rPr>
      </w:pPr>
      <w:bookmarkStart w:id="39" w:name="_Hlk149116485"/>
      <w:r w:rsidRPr="00514D5A">
        <w:rPr>
          <w:rFonts w:ascii="Arial" w:hAnsi="Arial" w:cs="Arial"/>
          <w:sz w:val="20"/>
          <w:szCs w:val="20"/>
        </w:rPr>
        <w:t xml:space="preserve">Abdullah, M., &amp; </w:t>
      </w:r>
      <w:proofErr w:type="spellStart"/>
      <w:r w:rsidRPr="00514D5A">
        <w:rPr>
          <w:rFonts w:ascii="Arial" w:hAnsi="Arial" w:cs="Arial"/>
          <w:sz w:val="20"/>
          <w:szCs w:val="20"/>
        </w:rPr>
        <w:t>Shukor</w:t>
      </w:r>
      <w:proofErr w:type="spellEnd"/>
      <w:r w:rsidRPr="00514D5A">
        <w:rPr>
          <w:rFonts w:ascii="Arial" w:hAnsi="Arial" w:cs="Arial"/>
          <w:sz w:val="20"/>
          <w:szCs w:val="20"/>
        </w:rPr>
        <w:t>, Z. A. (2017). The comparative moderating effect of the risk management committee and audit committee on the association between voluntary risk management disclosure and firm performance. </w:t>
      </w:r>
      <w:r w:rsidRPr="00514D5A">
        <w:rPr>
          <w:rFonts w:ascii="Arial" w:hAnsi="Arial" w:cs="Arial"/>
          <w:i/>
          <w:iCs/>
          <w:sz w:val="20"/>
          <w:szCs w:val="20"/>
        </w:rPr>
        <w:t xml:space="preserve">Journal </w:t>
      </w:r>
      <w:proofErr w:type="spellStart"/>
      <w:r w:rsidRPr="00514D5A">
        <w:rPr>
          <w:rFonts w:ascii="Arial" w:hAnsi="Arial" w:cs="Arial"/>
          <w:i/>
          <w:iCs/>
          <w:sz w:val="20"/>
          <w:szCs w:val="20"/>
        </w:rPr>
        <w:t>Pengurusan</w:t>
      </w:r>
      <w:proofErr w:type="spellEnd"/>
      <w:r w:rsidRPr="00514D5A">
        <w:rPr>
          <w:rFonts w:ascii="Arial" w:hAnsi="Arial" w:cs="Arial"/>
          <w:sz w:val="20"/>
          <w:szCs w:val="20"/>
        </w:rPr>
        <w:t>, </w:t>
      </w:r>
      <w:r w:rsidRPr="00514D5A">
        <w:rPr>
          <w:rFonts w:ascii="Arial" w:hAnsi="Arial" w:cs="Arial"/>
          <w:i/>
          <w:iCs/>
          <w:sz w:val="20"/>
          <w:szCs w:val="20"/>
        </w:rPr>
        <w:t>51</w:t>
      </w:r>
      <w:r w:rsidRPr="00514D5A">
        <w:rPr>
          <w:rFonts w:ascii="Arial" w:hAnsi="Arial" w:cs="Arial"/>
          <w:sz w:val="20"/>
          <w:szCs w:val="20"/>
        </w:rPr>
        <w:t>(2017), 159-172.</w:t>
      </w:r>
      <w:r w:rsidR="000148F1" w:rsidRPr="00514D5A">
        <w:rPr>
          <w:rFonts w:ascii="Arial" w:hAnsi="Arial" w:cs="Arial"/>
          <w:sz w:val="20"/>
          <w:szCs w:val="20"/>
        </w:rPr>
        <w:t xml:space="preserve"> </w:t>
      </w:r>
      <w:r w:rsidRPr="00514D5A">
        <w:rPr>
          <w:rFonts w:ascii="Arial" w:hAnsi="Arial" w:cs="Arial"/>
          <w:sz w:val="20"/>
          <w:szCs w:val="20"/>
        </w:rPr>
        <w:t>https://doi.org/10.17576/pengurusan-2018-51-14.</w:t>
      </w:r>
    </w:p>
    <w:p w14:paraId="44B0D4E1" w14:textId="4C0B4F0C" w:rsidR="00132AC1" w:rsidRPr="00514D5A" w:rsidRDefault="00132AC1" w:rsidP="00B1407A">
      <w:pPr>
        <w:spacing w:line="480" w:lineRule="auto"/>
        <w:ind w:left="630" w:hanging="630"/>
        <w:jc w:val="both"/>
        <w:rPr>
          <w:rFonts w:ascii="Arial" w:hAnsi="Arial" w:cs="Arial"/>
          <w:sz w:val="20"/>
          <w:szCs w:val="20"/>
        </w:rPr>
      </w:pPr>
      <w:r w:rsidRPr="00514D5A">
        <w:rPr>
          <w:rFonts w:ascii="Arial" w:hAnsi="Arial" w:cs="Arial"/>
          <w:sz w:val="20"/>
          <w:szCs w:val="20"/>
        </w:rPr>
        <w:t xml:space="preserve">Abdullah, W. N., Said, R., &amp; </w:t>
      </w:r>
      <w:proofErr w:type="spellStart"/>
      <w:r w:rsidRPr="00514D5A">
        <w:rPr>
          <w:rFonts w:ascii="Arial" w:hAnsi="Arial" w:cs="Arial"/>
          <w:sz w:val="20"/>
          <w:szCs w:val="20"/>
        </w:rPr>
        <w:t>Caliyurt</w:t>
      </w:r>
      <w:proofErr w:type="spellEnd"/>
      <w:r w:rsidRPr="00514D5A">
        <w:rPr>
          <w:rFonts w:ascii="Arial" w:hAnsi="Arial" w:cs="Arial"/>
          <w:sz w:val="20"/>
          <w:szCs w:val="20"/>
        </w:rPr>
        <w:t xml:space="preserve">, K. (2019). The Effect of Internal Governance on Corporate </w:t>
      </w:r>
      <w:r w:rsidRPr="00514D5A">
        <w:rPr>
          <w:rFonts w:ascii="Arial" w:hAnsi="Arial" w:cs="Arial"/>
          <w:sz w:val="20"/>
          <w:szCs w:val="20"/>
        </w:rPr>
        <w:tab/>
        <w:t>Financial Crime of Companies in Malaysia. </w:t>
      </w:r>
      <w:r w:rsidRPr="00514D5A">
        <w:rPr>
          <w:rFonts w:ascii="Arial" w:hAnsi="Arial" w:cs="Arial"/>
          <w:i/>
          <w:iCs/>
          <w:sz w:val="20"/>
          <w:szCs w:val="20"/>
        </w:rPr>
        <w:t>Journal of Governance and Integrity</w:t>
      </w:r>
      <w:r w:rsidRPr="00514D5A">
        <w:rPr>
          <w:rFonts w:ascii="Arial" w:hAnsi="Arial" w:cs="Arial"/>
          <w:sz w:val="20"/>
          <w:szCs w:val="20"/>
        </w:rPr>
        <w:t>, </w:t>
      </w:r>
      <w:r w:rsidRPr="00514D5A">
        <w:rPr>
          <w:rFonts w:ascii="Arial" w:hAnsi="Arial" w:cs="Arial"/>
          <w:i/>
          <w:iCs/>
          <w:sz w:val="20"/>
          <w:szCs w:val="20"/>
        </w:rPr>
        <w:t>2</w:t>
      </w:r>
      <w:r w:rsidRPr="00514D5A">
        <w:rPr>
          <w:rFonts w:ascii="Arial" w:hAnsi="Arial" w:cs="Arial"/>
          <w:sz w:val="20"/>
          <w:szCs w:val="20"/>
        </w:rPr>
        <w:t>(2), 53-</w:t>
      </w:r>
      <w:r w:rsidRPr="00514D5A">
        <w:rPr>
          <w:rFonts w:ascii="Arial" w:hAnsi="Arial" w:cs="Arial"/>
          <w:sz w:val="20"/>
          <w:szCs w:val="20"/>
        </w:rPr>
        <w:tab/>
        <w:t>64</w:t>
      </w:r>
      <w:r w:rsidR="000148F1" w:rsidRPr="00514D5A">
        <w:rPr>
          <w:rFonts w:ascii="Arial" w:hAnsi="Arial" w:cs="Arial"/>
          <w:sz w:val="20"/>
          <w:szCs w:val="20"/>
        </w:rPr>
        <w:t xml:space="preserve"> </w:t>
      </w:r>
      <w:r w:rsidRPr="00514D5A">
        <w:rPr>
          <w:rFonts w:ascii="Arial" w:hAnsi="Arial" w:cs="Arial"/>
          <w:sz w:val="20"/>
          <w:szCs w:val="20"/>
        </w:rPr>
        <w:t>https://doi.org/10.15282/jgi.2.2.2019.5468</w:t>
      </w:r>
    </w:p>
    <w:p w14:paraId="4EE384DE" w14:textId="739BC1BB" w:rsidR="00132AC1" w:rsidRPr="00514D5A" w:rsidRDefault="00963445" w:rsidP="00B1407A">
      <w:pPr>
        <w:spacing w:line="480" w:lineRule="auto"/>
        <w:ind w:left="360" w:hanging="360"/>
        <w:jc w:val="both"/>
        <w:rPr>
          <w:rFonts w:ascii="Arial" w:hAnsi="Arial" w:cs="Arial"/>
          <w:sz w:val="20"/>
          <w:szCs w:val="20"/>
        </w:rPr>
      </w:pPr>
      <w:r w:rsidRPr="00514D5A">
        <w:rPr>
          <w:rFonts w:ascii="Arial" w:hAnsi="Arial" w:cs="Arial"/>
          <w:sz w:val="20"/>
          <w:szCs w:val="20"/>
        </w:rPr>
        <w:t>Abebi</w:t>
      </w:r>
      <w:r w:rsidR="00132AC1" w:rsidRPr="00514D5A">
        <w:rPr>
          <w:rFonts w:ascii="Arial" w:hAnsi="Arial" w:cs="Arial"/>
          <w:sz w:val="20"/>
          <w:szCs w:val="20"/>
        </w:rPr>
        <w:t xml:space="preserve">, V., </w:t>
      </w:r>
      <w:proofErr w:type="spellStart"/>
      <w:r w:rsidR="00132AC1" w:rsidRPr="00514D5A">
        <w:rPr>
          <w:rFonts w:ascii="Arial" w:hAnsi="Arial" w:cs="Arial"/>
          <w:sz w:val="20"/>
          <w:szCs w:val="20"/>
        </w:rPr>
        <w:t>Sabato</w:t>
      </w:r>
      <w:proofErr w:type="spellEnd"/>
      <w:r w:rsidR="00132AC1" w:rsidRPr="00514D5A">
        <w:rPr>
          <w:rFonts w:ascii="Arial" w:hAnsi="Arial" w:cs="Arial"/>
          <w:sz w:val="20"/>
          <w:szCs w:val="20"/>
        </w:rPr>
        <w:t xml:space="preserve">, G. and </w:t>
      </w:r>
      <w:proofErr w:type="spellStart"/>
      <w:r w:rsidR="00132AC1" w:rsidRPr="00514D5A">
        <w:rPr>
          <w:rFonts w:ascii="Arial" w:hAnsi="Arial" w:cs="Arial"/>
          <w:sz w:val="20"/>
          <w:szCs w:val="20"/>
        </w:rPr>
        <w:t>Schmid</w:t>
      </w:r>
      <w:proofErr w:type="spellEnd"/>
      <w:r w:rsidR="00132AC1" w:rsidRPr="00514D5A">
        <w:rPr>
          <w:rFonts w:ascii="Arial" w:hAnsi="Arial" w:cs="Arial"/>
          <w:sz w:val="20"/>
          <w:szCs w:val="20"/>
        </w:rPr>
        <w:t xml:space="preserve">, M. (2012), “Risk management, corporate governance, and https://doi.org/10.1016/j.jbankfin.2011.10.020 performance in the financial crisis”, </w:t>
      </w:r>
      <w:r w:rsidR="00132AC1" w:rsidRPr="00514D5A">
        <w:rPr>
          <w:rFonts w:ascii="Arial" w:hAnsi="Arial" w:cs="Arial"/>
          <w:i/>
          <w:sz w:val="20"/>
          <w:szCs w:val="20"/>
        </w:rPr>
        <w:t>Journal of Banking and Finance</w:t>
      </w:r>
      <w:r w:rsidR="00132AC1" w:rsidRPr="00514D5A">
        <w:rPr>
          <w:rFonts w:ascii="Arial" w:hAnsi="Arial" w:cs="Arial"/>
          <w:sz w:val="20"/>
          <w:szCs w:val="20"/>
        </w:rPr>
        <w:t>, Vol. 36 No. 12, 3213-3226.https://doi.org/10.1016/j.jbankfin.2011.10.020</w:t>
      </w:r>
    </w:p>
    <w:p w14:paraId="3A090476" w14:textId="5373AB31" w:rsidR="00132AC1" w:rsidRPr="00514D5A" w:rsidRDefault="00132AC1" w:rsidP="00B1407A">
      <w:pPr>
        <w:spacing w:line="480" w:lineRule="auto"/>
        <w:ind w:left="360" w:hanging="360"/>
        <w:jc w:val="both"/>
        <w:rPr>
          <w:rFonts w:ascii="Arial" w:hAnsi="Arial" w:cs="Arial"/>
          <w:sz w:val="20"/>
          <w:szCs w:val="20"/>
        </w:rPr>
      </w:pPr>
      <w:proofErr w:type="spellStart"/>
      <w:r w:rsidRPr="00514D5A">
        <w:rPr>
          <w:rFonts w:ascii="Arial" w:hAnsi="Arial" w:cs="Arial"/>
          <w:sz w:val="20"/>
          <w:szCs w:val="20"/>
        </w:rPr>
        <w:t>Alkelani</w:t>
      </w:r>
      <w:proofErr w:type="spellEnd"/>
      <w:r w:rsidRPr="00514D5A">
        <w:rPr>
          <w:rFonts w:ascii="Arial" w:hAnsi="Arial" w:cs="Arial"/>
          <w:sz w:val="20"/>
          <w:szCs w:val="20"/>
        </w:rPr>
        <w:t xml:space="preserve">, S. N. Z., </w:t>
      </w:r>
      <w:r w:rsidR="00963445" w:rsidRPr="00514D5A">
        <w:rPr>
          <w:rFonts w:ascii="Arial" w:hAnsi="Arial" w:cs="Arial"/>
          <w:sz w:val="20"/>
          <w:szCs w:val="20"/>
        </w:rPr>
        <w:t>Hussain</w:t>
      </w:r>
      <w:r w:rsidRPr="00514D5A">
        <w:rPr>
          <w:rFonts w:ascii="Arial" w:hAnsi="Arial" w:cs="Arial"/>
          <w:sz w:val="20"/>
          <w:szCs w:val="20"/>
        </w:rPr>
        <w:t>, W. N. W., &amp; Salim, B. (2020). The relationship between the characteristics of a risk management committee and the issuance of a modified audit opinion in the Jordanian context. </w:t>
      </w:r>
      <w:r w:rsidRPr="00514D5A">
        <w:rPr>
          <w:rFonts w:ascii="Arial" w:hAnsi="Arial" w:cs="Arial"/>
          <w:i/>
          <w:iCs/>
          <w:sz w:val="20"/>
          <w:szCs w:val="20"/>
        </w:rPr>
        <w:t>Asian Journal of Accounting and Finance</w:t>
      </w:r>
      <w:r w:rsidRPr="00514D5A">
        <w:rPr>
          <w:rFonts w:ascii="Arial" w:hAnsi="Arial" w:cs="Arial"/>
          <w:sz w:val="20"/>
          <w:szCs w:val="20"/>
        </w:rPr>
        <w:t>, </w:t>
      </w:r>
      <w:r w:rsidRPr="00514D5A">
        <w:rPr>
          <w:rFonts w:ascii="Arial" w:hAnsi="Arial" w:cs="Arial"/>
          <w:i/>
          <w:iCs/>
          <w:sz w:val="20"/>
          <w:szCs w:val="20"/>
        </w:rPr>
        <w:t>2</w:t>
      </w:r>
      <w:r w:rsidRPr="00514D5A">
        <w:rPr>
          <w:rFonts w:ascii="Arial" w:hAnsi="Arial" w:cs="Arial"/>
          <w:sz w:val="20"/>
          <w:szCs w:val="20"/>
        </w:rPr>
        <w:t>(2)</w:t>
      </w:r>
      <w:proofErr w:type="gramStart"/>
      <w:r w:rsidRPr="00514D5A">
        <w:rPr>
          <w:rFonts w:ascii="Arial" w:hAnsi="Arial" w:cs="Arial"/>
          <w:sz w:val="20"/>
          <w:szCs w:val="20"/>
        </w:rPr>
        <w:t>,52</w:t>
      </w:r>
      <w:proofErr w:type="gramEnd"/>
      <w:r w:rsidRPr="00514D5A">
        <w:rPr>
          <w:rFonts w:ascii="Arial" w:hAnsi="Arial" w:cs="Arial"/>
          <w:sz w:val="20"/>
          <w:szCs w:val="20"/>
        </w:rPr>
        <w:t>-</w:t>
      </w:r>
      <w:r w:rsidR="00963445" w:rsidRPr="00514D5A">
        <w:rPr>
          <w:rFonts w:ascii="Arial" w:hAnsi="Arial" w:cs="Arial"/>
          <w:sz w:val="20"/>
          <w:szCs w:val="20"/>
        </w:rPr>
        <w:t>73. https://doi.org/10.1016/j.jbankfin.2011.10.020</w:t>
      </w:r>
      <w:r w:rsidRPr="00514D5A">
        <w:rPr>
          <w:rFonts w:ascii="Arial" w:hAnsi="Arial" w:cs="Arial"/>
          <w:sz w:val="20"/>
          <w:szCs w:val="20"/>
        </w:rPr>
        <w:t>.</w:t>
      </w:r>
    </w:p>
    <w:p w14:paraId="06FCEA47" w14:textId="77777777" w:rsidR="00132AC1" w:rsidRPr="00514D5A" w:rsidRDefault="00132AC1" w:rsidP="00B1407A">
      <w:pPr>
        <w:spacing w:line="480" w:lineRule="auto"/>
        <w:ind w:left="360" w:hanging="360"/>
        <w:jc w:val="both"/>
        <w:rPr>
          <w:rFonts w:ascii="Arial" w:hAnsi="Arial" w:cs="Arial"/>
          <w:sz w:val="20"/>
          <w:szCs w:val="20"/>
        </w:rPr>
      </w:pPr>
      <w:proofErr w:type="spellStart"/>
      <w:r w:rsidRPr="00514D5A">
        <w:rPr>
          <w:rFonts w:ascii="Arial" w:hAnsi="Arial" w:cs="Arial"/>
          <w:sz w:val="20"/>
          <w:szCs w:val="20"/>
        </w:rPr>
        <w:t>Alles</w:t>
      </w:r>
      <w:proofErr w:type="spellEnd"/>
      <w:r w:rsidRPr="00514D5A">
        <w:rPr>
          <w:rFonts w:ascii="Arial" w:hAnsi="Arial" w:cs="Arial"/>
          <w:sz w:val="20"/>
          <w:szCs w:val="20"/>
        </w:rPr>
        <w:t xml:space="preserve">, M.G., </w:t>
      </w:r>
      <w:proofErr w:type="spellStart"/>
      <w:r w:rsidRPr="00514D5A">
        <w:rPr>
          <w:rFonts w:ascii="Arial" w:hAnsi="Arial" w:cs="Arial"/>
          <w:sz w:val="20"/>
          <w:szCs w:val="20"/>
        </w:rPr>
        <w:t>Datar</w:t>
      </w:r>
      <w:proofErr w:type="spellEnd"/>
      <w:r w:rsidRPr="00514D5A">
        <w:rPr>
          <w:rFonts w:ascii="Arial" w:hAnsi="Arial" w:cs="Arial"/>
          <w:sz w:val="20"/>
          <w:szCs w:val="20"/>
        </w:rPr>
        <w:t xml:space="preserve">, S.M. and </w:t>
      </w:r>
      <w:proofErr w:type="spellStart"/>
      <w:r w:rsidRPr="00514D5A">
        <w:rPr>
          <w:rFonts w:ascii="Arial" w:hAnsi="Arial" w:cs="Arial"/>
          <w:sz w:val="20"/>
          <w:szCs w:val="20"/>
        </w:rPr>
        <w:t>Friedland</w:t>
      </w:r>
      <w:proofErr w:type="spellEnd"/>
      <w:r w:rsidRPr="00514D5A">
        <w:rPr>
          <w:rFonts w:ascii="Arial" w:hAnsi="Arial" w:cs="Arial"/>
          <w:sz w:val="20"/>
          <w:szCs w:val="20"/>
        </w:rPr>
        <w:t>, J.H. (2005), “Governance-linked D&amp;O coverage: leveraging the audit committee to manage governance risk”, International Journal of Disclose and Governance, Vol. 2 No. 2, 114-29. https://doi.org/10.1057/palgrave.jdg.2040046</w:t>
      </w:r>
    </w:p>
    <w:p w14:paraId="2FB45D3E" w14:textId="77777777" w:rsidR="00132AC1" w:rsidRPr="00514D5A" w:rsidRDefault="00132AC1" w:rsidP="00B1407A">
      <w:pPr>
        <w:spacing w:line="480" w:lineRule="auto"/>
        <w:ind w:left="450" w:hanging="540"/>
        <w:jc w:val="both"/>
        <w:rPr>
          <w:rFonts w:ascii="Arial" w:eastAsia="Calibri" w:hAnsi="Arial" w:cs="Arial"/>
          <w:sz w:val="20"/>
          <w:szCs w:val="20"/>
        </w:rPr>
      </w:pPr>
      <w:proofErr w:type="spellStart"/>
      <w:r w:rsidRPr="00514D5A">
        <w:rPr>
          <w:rFonts w:ascii="Arial" w:eastAsia="Calibri" w:hAnsi="Arial" w:cs="Arial"/>
          <w:sz w:val="20"/>
          <w:szCs w:val="20"/>
        </w:rPr>
        <w:t>Altanashat</w:t>
      </w:r>
      <w:proofErr w:type="spellEnd"/>
      <w:r w:rsidRPr="00514D5A">
        <w:rPr>
          <w:rFonts w:ascii="Arial" w:eastAsia="Calibri" w:hAnsi="Arial" w:cs="Arial"/>
          <w:sz w:val="20"/>
          <w:szCs w:val="20"/>
        </w:rPr>
        <w:t xml:space="preserve">, M., Al Dubai, M., &amp; </w:t>
      </w:r>
      <w:proofErr w:type="spellStart"/>
      <w:r w:rsidRPr="00514D5A">
        <w:rPr>
          <w:rFonts w:ascii="Arial" w:eastAsia="Calibri" w:hAnsi="Arial" w:cs="Arial"/>
          <w:sz w:val="20"/>
          <w:szCs w:val="20"/>
        </w:rPr>
        <w:t>Alhety</w:t>
      </w:r>
      <w:proofErr w:type="spellEnd"/>
      <w:r w:rsidRPr="00514D5A">
        <w:rPr>
          <w:rFonts w:ascii="Arial" w:eastAsia="Calibri" w:hAnsi="Arial" w:cs="Arial"/>
          <w:sz w:val="20"/>
          <w:szCs w:val="20"/>
        </w:rPr>
        <w:t xml:space="preserve">, S. (2019). The impact of enterprise risk management on institutional performance in Jordanian public shareholding companies. </w:t>
      </w:r>
      <w:r w:rsidRPr="00514D5A">
        <w:rPr>
          <w:rFonts w:ascii="Arial" w:eastAsia="Calibri" w:hAnsi="Arial" w:cs="Arial"/>
          <w:i/>
          <w:iCs/>
          <w:sz w:val="20"/>
          <w:szCs w:val="20"/>
        </w:rPr>
        <w:t>Journal of Business and Retail Management Research</w:t>
      </w:r>
      <w:r w:rsidRPr="00514D5A">
        <w:rPr>
          <w:rFonts w:ascii="Arial" w:eastAsia="Calibri" w:hAnsi="Arial" w:cs="Arial"/>
          <w:sz w:val="20"/>
          <w:szCs w:val="20"/>
        </w:rPr>
        <w:t xml:space="preserve">, </w:t>
      </w:r>
      <w:r w:rsidRPr="00514D5A">
        <w:rPr>
          <w:rFonts w:ascii="Arial" w:eastAsia="Calibri" w:hAnsi="Arial" w:cs="Arial"/>
          <w:i/>
          <w:iCs/>
          <w:sz w:val="20"/>
          <w:szCs w:val="20"/>
        </w:rPr>
        <w:t>13</w:t>
      </w:r>
      <w:r w:rsidRPr="00514D5A">
        <w:rPr>
          <w:rFonts w:ascii="Arial" w:eastAsia="Calibri" w:hAnsi="Arial" w:cs="Arial"/>
          <w:sz w:val="20"/>
          <w:szCs w:val="20"/>
        </w:rPr>
        <w:t>(3).</w:t>
      </w:r>
    </w:p>
    <w:bookmarkEnd w:id="39"/>
    <w:p w14:paraId="351C982C" w14:textId="2DF7CBD1" w:rsidR="00132AC1" w:rsidRPr="00514D5A" w:rsidRDefault="00132AC1" w:rsidP="00B1407A">
      <w:pPr>
        <w:spacing w:line="480" w:lineRule="auto"/>
        <w:ind w:left="360" w:hanging="360"/>
        <w:jc w:val="both"/>
        <w:rPr>
          <w:rFonts w:ascii="Arial" w:hAnsi="Arial" w:cs="Arial"/>
          <w:iCs/>
          <w:sz w:val="20"/>
          <w:szCs w:val="20"/>
        </w:rPr>
      </w:pPr>
      <w:r w:rsidRPr="00514D5A">
        <w:rPr>
          <w:rFonts w:ascii="Arial" w:hAnsi="Arial" w:cs="Arial"/>
          <w:bCs/>
          <w:iCs/>
          <w:sz w:val="20"/>
          <w:szCs w:val="20"/>
        </w:rPr>
        <w:t>Bangladesh Bank, Banking Regulation &amp; Policy Department</w:t>
      </w:r>
      <w:proofErr w:type="gramStart"/>
      <w:r w:rsidRPr="00514D5A">
        <w:rPr>
          <w:rFonts w:ascii="Arial" w:hAnsi="Arial" w:cs="Arial"/>
          <w:bCs/>
          <w:iCs/>
          <w:sz w:val="20"/>
          <w:szCs w:val="20"/>
        </w:rPr>
        <w:t>.</w:t>
      </w:r>
      <w:r w:rsidRPr="00514D5A">
        <w:rPr>
          <w:rFonts w:ascii="Arial" w:hAnsi="Arial" w:cs="Arial"/>
          <w:iCs/>
          <w:sz w:val="20"/>
          <w:szCs w:val="20"/>
        </w:rPr>
        <w:t>(</w:t>
      </w:r>
      <w:proofErr w:type="gramEnd"/>
      <w:r w:rsidRPr="00514D5A">
        <w:rPr>
          <w:rFonts w:ascii="Arial" w:hAnsi="Arial" w:cs="Arial"/>
          <w:iCs/>
          <w:sz w:val="20"/>
          <w:szCs w:val="20"/>
        </w:rPr>
        <w:t>2014, August 13). BRPD Circular No. </w:t>
      </w:r>
      <w:r w:rsidR="00963445" w:rsidRPr="00514D5A">
        <w:rPr>
          <w:rFonts w:ascii="Arial" w:hAnsi="Arial" w:cs="Arial"/>
          <w:iCs/>
          <w:sz w:val="20"/>
          <w:szCs w:val="20"/>
        </w:rPr>
        <w:t>12.BangladeshBank</w:t>
      </w:r>
      <w:r w:rsidRPr="00514D5A">
        <w:rPr>
          <w:rFonts w:ascii="Arial" w:hAnsi="Arial" w:cs="Arial"/>
          <w:iCs/>
          <w:sz w:val="20"/>
          <w:szCs w:val="20"/>
        </w:rPr>
        <w:t>.</w:t>
      </w:r>
      <w:hyperlink r:id="rId10" w:history="1">
        <w:r w:rsidRPr="00514D5A">
          <w:rPr>
            <w:rStyle w:val="Hyperlink"/>
            <w:rFonts w:ascii="Arial" w:hAnsi="Arial" w:cs="Arial"/>
            <w:iCs/>
            <w:sz w:val="20"/>
            <w:szCs w:val="20"/>
          </w:rPr>
          <w:t>https://www.bb.org.bd/mediaroom/circulars/brpd/aug132014brpd12e.pdf</w:t>
        </w:r>
      </w:hyperlink>
      <w:bookmarkStart w:id="40" w:name="_Hlk174881395"/>
    </w:p>
    <w:p w14:paraId="21673891" w14:textId="77777777" w:rsidR="00132AC1" w:rsidRPr="00514D5A" w:rsidRDefault="00132AC1" w:rsidP="00B1407A">
      <w:pPr>
        <w:spacing w:line="480" w:lineRule="auto"/>
        <w:ind w:left="360" w:hanging="360"/>
        <w:jc w:val="both"/>
        <w:rPr>
          <w:rFonts w:ascii="Arial" w:hAnsi="Arial" w:cs="Arial"/>
          <w:iCs/>
          <w:sz w:val="20"/>
          <w:szCs w:val="20"/>
        </w:rPr>
      </w:pPr>
      <w:bookmarkStart w:id="41" w:name="_Hlk203536528"/>
      <w:bookmarkEnd w:id="40"/>
      <w:r w:rsidRPr="00514D5A">
        <w:rPr>
          <w:rFonts w:ascii="Arial" w:hAnsi="Arial" w:cs="Arial"/>
          <w:bCs/>
          <w:iCs/>
          <w:sz w:val="20"/>
          <w:szCs w:val="20"/>
        </w:rPr>
        <w:t xml:space="preserve">Board, F.S., 2013. </w:t>
      </w:r>
      <w:bookmarkEnd w:id="41"/>
      <w:r w:rsidRPr="00514D5A">
        <w:rPr>
          <w:rFonts w:ascii="Arial" w:hAnsi="Arial" w:cs="Arial"/>
          <w:bCs/>
          <w:iCs/>
          <w:sz w:val="20"/>
          <w:szCs w:val="20"/>
        </w:rPr>
        <w:t xml:space="preserve">Thematic Review on Risk Governance-Peer Review Report. FSB, Basel. </w:t>
      </w:r>
      <w:proofErr w:type="gramStart"/>
      <w:r w:rsidRPr="00514D5A">
        <w:rPr>
          <w:rFonts w:ascii="Arial" w:hAnsi="Arial" w:cs="Arial"/>
          <w:bCs/>
          <w:iCs/>
          <w:sz w:val="20"/>
          <w:szCs w:val="20"/>
        </w:rPr>
        <w:t>available</w:t>
      </w:r>
      <w:proofErr w:type="gramEnd"/>
      <w:r w:rsidRPr="00514D5A">
        <w:rPr>
          <w:rFonts w:ascii="Arial" w:hAnsi="Arial" w:cs="Arial"/>
          <w:bCs/>
          <w:iCs/>
          <w:sz w:val="20"/>
          <w:szCs w:val="20"/>
        </w:rPr>
        <w:t xml:space="preserve"> at: </w:t>
      </w:r>
      <w:hyperlink r:id="rId11" w:history="1">
        <w:r w:rsidRPr="00514D5A">
          <w:rPr>
            <w:rStyle w:val="Hyperlink"/>
            <w:rFonts w:ascii="Arial" w:hAnsi="Arial" w:cs="Arial"/>
            <w:bCs/>
            <w:i/>
            <w:iCs/>
            <w:sz w:val="20"/>
            <w:szCs w:val="20"/>
          </w:rPr>
          <w:t>www.financialstability</w:t>
        </w:r>
      </w:hyperlink>
      <w:r w:rsidRPr="00514D5A">
        <w:rPr>
          <w:rFonts w:ascii="Arial" w:hAnsi="Arial" w:cs="Arial"/>
          <w:bCs/>
          <w:i/>
          <w:iCs/>
          <w:sz w:val="20"/>
          <w:szCs w:val="20"/>
        </w:rPr>
        <w:t xml:space="preserve"> board.org/publications/r_130212.pdf</w:t>
      </w:r>
      <w:r w:rsidRPr="00514D5A">
        <w:rPr>
          <w:rFonts w:ascii="Arial" w:hAnsi="Arial" w:cs="Arial"/>
          <w:bCs/>
          <w:iCs/>
          <w:sz w:val="20"/>
          <w:szCs w:val="20"/>
        </w:rPr>
        <w:t>.</w:t>
      </w:r>
    </w:p>
    <w:p w14:paraId="0FF1D477" w14:textId="77777777" w:rsidR="00132AC1" w:rsidRPr="00514D5A" w:rsidRDefault="00132AC1" w:rsidP="00B1407A">
      <w:pPr>
        <w:spacing w:line="480" w:lineRule="auto"/>
        <w:ind w:left="360" w:hanging="360"/>
        <w:jc w:val="both"/>
        <w:rPr>
          <w:rFonts w:ascii="Arial" w:hAnsi="Arial" w:cs="Arial"/>
          <w:iCs/>
          <w:sz w:val="20"/>
          <w:szCs w:val="20"/>
        </w:rPr>
      </w:pPr>
      <w:r w:rsidRPr="00514D5A">
        <w:rPr>
          <w:rFonts w:ascii="Arial" w:hAnsi="Arial" w:cs="Arial"/>
          <w:sz w:val="20"/>
          <w:szCs w:val="20"/>
        </w:rPr>
        <w:lastRenderedPageBreak/>
        <w:t xml:space="preserve">Brown, I., Steen, A. and Foreman, J. (2009) Risk management in corporate governance: a review and proposal. </w:t>
      </w:r>
      <w:r w:rsidRPr="00514D5A">
        <w:rPr>
          <w:rFonts w:ascii="Arial" w:hAnsi="Arial" w:cs="Arial"/>
          <w:i/>
          <w:sz w:val="20"/>
          <w:szCs w:val="20"/>
        </w:rPr>
        <w:t xml:space="preserve">Corporate Governance: An International Review. </w:t>
      </w:r>
      <w:r w:rsidRPr="00514D5A">
        <w:rPr>
          <w:rFonts w:ascii="Arial" w:hAnsi="Arial" w:cs="Arial"/>
          <w:sz w:val="20"/>
          <w:szCs w:val="20"/>
        </w:rPr>
        <w:t>17(5), 546–558.https://doi.org/10.1111/j.1467-8683.2009.00763.</w:t>
      </w:r>
      <w:bookmarkStart w:id="42" w:name="_Hlk174875045"/>
    </w:p>
    <w:p w14:paraId="4B709F23" w14:textId="0FC1E382" w:rsidR="00132AC1" w:rsidRPr="00514D5A" w:rsidRDefault="00132AC1" w:rsidP="00B1407A">
      <w:pPr>
        <w:spacing w:line="480" w:lineRule="auto"/>
        <w:ind w:left="360" w:hanging="360"/>
        <w:jc w:val="both"/>
        <w:rPr>
          <w:rStyle w:val="Hyperlink"/>
          <w:rFonts w:ascii="Arial" w:hAnsi="Arial" w:cs="Arial"/>
          <w:bCs/>
          <w:iCs/>
          <w:sz w:val="20"/>
          <w:szCs w:val="20"/>
        </w:rPr>
      </w:pPr>
      <w:r w:rsidRPr="00514D5A">
        <w:rPr>
          <w:rFonts w:ascii="Arial" w:hAnsi="Arial" w:cs="Arial"/>
          <w:bCs/>
          <w:iCs/>
          <w:sz w:val="20"/>
          <w:szCs w:val="20"/>
        </w:rPr>
        <w:t>Business Inspection BD. (2021, August 9)</w:t>
      </w:r>
      <w:bookmarkEnd w:id="42"/>
      <w:r w:rsidRPr="00514D5A">
        <w:rPr>
          <w:rFonts w:ascii="Arial" w:hAnsi="Arial" w:cs="Arial"/>
          <w:bCs/>
          <w:iCs/>
          <w:sz w:val="20"/>
          <w:szCs w:val="20"/>
        </w:rPr>
        <w:t xml:space="preserve">. The Bangladesh Bank cyber heist: One of the largest bank robberies in history. </w:t>
      </w:r>
      <w:r w:rsidRPr="00514D5A">
        <w:rPr>
          <w:rFonts w:ascii="Arial" w:hAnsi="Arial" w:cs="Arial"/>
          <w:bCs/>
          <w:i/>
          <w:iCs/>
          <w:sz w:val="20"/>
          <w:szCs w:val="20"/>
        </w:rPr>
        <w:t>Business Inspection BD</w:t>
      </w:r>
      <w:r w:rsidRPr="00514D5A">
        <w:rPr>
          <w:rFonts w:ascii="Arial" w:hAnsi="Arial" w:cs="Arial"/>
          <w:bCs/>
          <w:iCs/>
          <w:sz w:val="20"/>
          <w:szCs w:val="20"/>
        </w:rPr>
        <w:t xml:space="preserve">. </w:t>
      </w:r>
      <w:hyperlink r:id="rId12" w:tgtFrame="_new" w:history="1">
        <w:r w:rsidRPr="00514D5A">
          <w:rPr>
            <w:rStyle w:val="Hyperlink"/>
            <w:rFonts w:ascii="Arial" w:hAnsi="Arial" w:cs="Arial"/>
            <w:bCs/>
            <w:iCs/>
            <w:sz w:val="20"/>
            <w:szCs w:val="20"/>
          </w:rPr>
          <w:t>https://businessinspection.com.bd/the-bangladesh-bank-cyber-heist/</w:t>
        </w:r>
      </w:hyperlink>
    </w:p>
    <w:p w14:paraId="1C41A9E7" w14:textId="52FB6A59" w:rsidR="00B97A2E" w:rsidRPr="00514D5A" w:rsidRDefault="00B97A2E" w:rsidP="00B1407A">
      <w:pPr>
        <w:spacing w:line="480" w:lineRule="auto"/>
        <w:ind w:left="360" w:hanging="360"/>
        <w:jc w:val="both"/>
        <w:rPr>
          <w:rFonts w:ascii="Arial" w:hAnsi="Arial" w:cs="Arial"/>
          <w:iCs/>
          <w:sz w:val="20"/>
          <w:szCs w:val="20"/>
        </w:rPr>
      </w:pPr>
      <w:proofErr w:type="spellStart"/>
      <w:r w:rsidRPr="00514D5A">
        <w:rPr>
          <w:rFonts w:ascii="Arial" w:hAnsi="Arial" w:cs="Arial"/>
          <w:iCs/>
          <w:sz w:val="20"/>
          <w:szCs w:val="20"/>
        </w:rPr>
        <w:t>Bhalla</w:t>
      </w:r>
      <w:proofErr w:type="spellEnd"/>
      <w:r w:rsidRPr="00514D5A">
        <w:rPr>
          <w:rFonts w:ascii="Arial" w:hAnsi="Arial" w:cs="Arial"/>
          <w:iCs/>
          <w:sz w:val="20"/>
          <w:szCs w:val="20"/>
        </w:rPr>
        <w:t>, A. S. (1995). Collapse of Barings Bank: Case of market failure. </w:t>
      </w:r>
      <w:r w:rsidRPr="00514D5A">
        <w:rPr>
          <w:rFonts w:ascii="Arial" w:hAnsi="Arial" w:cs="Arial"/>
          <w:i/>
          <w:iCs/>
          <w:sz w:val="20"/>
          <w:szCs w:val="20"/>
        </w:rPr>
        <w:t>Economic and Political Weekly</w:t>
      </w:r>
      <w:r w:rsidRPr="00514D5A">
        <w:rPr>
          <w:rFonts w:ascii="Arial" w:hAnsi="Arial" w:cs="Arial"/>
          <w:iCs/>
          <w:sz w:val="20"/>
          <w:szCs w:val="20"/>
        </w:rPr>
        <w:t>, 658-662.</w:t>
      </w:r>
    </w:p>
    <w:p w14:paraId="3A95ED9D" w14:textId="77777777" w:rsidR="00132AC1" w:rsidRPr="00514D5A" w:rsidRDefault="00132AC1" w:rsidP="00B1407A">
      <w:pPr>
        <w:spacing w:line="480" w:lineRule="auto"/>
        <w:ind w:left="360" w:hanging="360"/>
        <w:jc w:val="both"/>
        <w:rPr>
          <w:rFonts w:ascii="Arial" w:hAnsi="Arial" w:cs="Arial"/>
          <w:iCs/>
          <w:sz w:val="20"/>
          <w:szCs w:val="20"/>
        </w:rPr>
      </w:pPr>
      <w:r w:rsidRPr="00514D5A">
        <w:rPr>
          <w:rFonts w:ascii="Arial" w:hAnsi="Arial" w:cs="Arial"/>
          <w:sz w:val="20"/>
          <w:szCs w:val="20"/>
        </w:rPr>
        <w:t>Chapman, R. J. (2011). </w:t>
      </w:r>
      <w:r w:rsidRPr="00514D5A">
        <w:rPr>
          <w:rFonts w:ascii="Arial" w:hAnsi="Arial" w:cs="Arial"/>
          <w:i/>
          <w:iCs/>
          <w:sz w:val="20"/>
          <w:szCs w:val="20"/>
        </w:rPr>
        <w:t>Simple tools and techniques for enterprise risk management</w:t>
      </w:r>
      <w:r w:rsidRPr="00514D5A">
        <w:rPr>
          <w:rFonts w:ascii="Arial" w:hAnsi="Arial" w:cs="Arial"/>
          <w:sz w:val="20"/>
          <w:szCs w:val="20"/>
        </w:rPr>
        <w:t>. John Wiley &amp; Sons.</w:t>
      </w:r>
    </w:p>
    <w:p w14:paraId="5DD17504" w14:textId="739746D2" w:rsidR="00132AC1" w:rsidRPr="00514D5A" w:rsidRDefault="00132AC1" w:rsidP="00B1407A">
      <w:pPr>
        <w:spacing w:line="480" w:lineRule="auto"/>
        <w:ind w:left="360" w:hanging="360"/>
        <w:jc w:val="both"/>
        <w:rPr>
          <w:rFonts w:ascii="Arial" w:eastAsia="Calibri" w:hAnsi="Arial" w:cs="Arial"/>
          <w:sz w:val="20"/>
          <w:szCs w:val="20"/>
        </w:rPr>
      </w:pPr>
      <w:r w:rsidRPr="00514D5A">
        <w:rPr>
          <w:rFonts w:ascii="Arial" w:eastAsia="Calibri" w:hAnsi="Arial" w:cs="Arial"/>
          <w:sz w:val="20"/>
          <w:szCs w:val="20"/>
        </w:rPr>
        <w:t xml:space="preserve">Choi, I. (2013). When do companies need a board-level risk management committee? </w:t>
      </w:r>
      <w:hyperlink r:id="rId13" w:history="1">
        <w:r w:rsidRPr="00514D5A">
          <w:rPr>
            <w:rStyle w:val="Hyperlink"/>
            <w:rFonts w:ascii="Arial" w:eastAsia="Calibri" w:hAnsi="Arial" w:cs="Arial"/>
            <w:sz w:val="20"/>
            <w:szCs w:val="20"/>
          </w:rPr>
          <w:t>http://documents.worldbank.org/curated/en/2013/01/17629963/companies-need-board-level-risk-management-committee</w:t>
        </w:r>
      </w:hyperlink>
      <w:r w:rsidRPr="00514D5A">
        <w:rPr>
          <w:rFonts w:ascii="Arial" w:eastAsia="Calibri" w:hAnsi="Arial" w:cs="Arial"/>
          <w:sz w:val="20"/>
          <w:szCs w:val="20"/>
        </w:rPr>
        <w:t>.</w:t>
      </w:r>
      <w:bookmarkStart w:id="43" w:name="_Hlk174750143"/>
    </w:p>
    <w:p w14:paraId="6532449C" w14:textId="77777777" w:rsidR="003055F9" w:rsidRPr="00514D5A" w:rsidRDefault="003055F9" w:rsidP="003055F9">
      <w:pPr>
        <w:spacing w:line="480" w:lineRule="auto"/>
        <w:ind w:left="360" w:hanging="360"/>
        <w:jc w:val="both"/>
        <w:rPr>
          <w:rFonts w:ascii="Arial" w:hAnsi="Arial" w:cs="Arial"/>
          <w:iCs/>
          <w:sz w:val="20"/>
          <w:szCs w:val="20"/>
        </w:rPr>
      </w:pPr>
      <w:r w:rsidRPr="00514D5A">
        <w:rPr>
          <w:rFonts w:ascii="Arial" w:hAnsi="Arial" w:cs="Arial"/>
          <w:iCs/>
          <w:sz w:val="20"/>
          <w:szCs w:val="20"/>
        </w:rPr>
        <w:t xml:space="preserve">Chin, K. (2024, February 20). Biggest Data Breaches in US History </w:t>
      </w:r>
      <w:r w:rsidRPr="00514D5A">
        <w:rPr>
          <w:rFonts w:ascii="Arial" w:hAnsi="Arial" w:cs="Arial"/>
          <w:iCs/>
          <w:sz w:val="20"/>
          <w:szCs w:val="20"/>
        </w:rPr>
        <w:fldChar w:fldCharType="begin"/>
      </w:r>
      <w:r w:rsidRPr="00514D5A">
        <w:rPr>
          <w:rFonts w:ascii="Arial" w:hAnsi="Arial" w:cs="Arial"/>
          <w:iCs/>
          <w:sz w:val="20"/>
          <w:szCs w:val="20"/>
        </w:rPr>
        <w:instrText xml:space="preserve"> HYPERLINK "https://www.upguard.com/blog/biggest-data-breaches-us</w:instrText>
      </w:r>
    </w:p>
    <w:p w14:paraId="547EF7F3" w14:textId="77777777" w:rsidR="003055F9" w:rsidRPr="00514D5A" w:rsidRDefault="003055F9" w:rsidP="003055F9">
      <w:pPr>
        <w:spacing w:line="480" w:lineRule="auto"/>
        <w:ind w:left="360" w:hanging="360"/>
        <w:jc w:val="both"/>
        <w:rPr>
          <w:rStyle w:val="Hyperlink"/>
          <w:rFonts w:ascii="Arial" w:hAnsi="Arial" w:cs="Arial"/>
          <w:iCs/>
          <w:sz w:val="20"/>
          <w:szCs w:val="20"/>
        </w:rPr>
      </w:pPr>
      <w:r w:rsidRPr="00514D5A">
        <w:rPr>
          <w:rFonts w:ascii="Arial" w:hAnsi="Arial" w:cs="Arial"/>
          <w:iCs/>
          <w:sz w:val="20"/>
          <w:szCs w:val="20"/>
        </w:rPr>
        <w:instrText xml:space="preserve">" </w:instrText>
      </w:r>
      <w:r w:rsidRPr="00514D5A">
        <w:rPr>
          <w:rFonts w:ascii="Arial" w:hAnsi="Arial" w:cs="Arial"/>
          <w:iCs/>
          <w:sz w:val="20"/>
          <w:szCs w:val="20"/>
        </w:rPr>
        <w:fldChar w:fldCharType="separate"/>
      </w:r>
      <w:r w:rsidRPr="00514D5A">
        <w:rPr>
          <w:rStyle w:val="Hyperlink"/>
          <w:rFonts w:ascii="Arial" w:hAnsi="Arial" w:cs="Arial"/>
          <w:iCs/>
          <w:sz w:val="20"/>
          <w:szCs w:val="20"/>
        </w:rPr>
        <w:t>https://www.upguard.com/blog/biggest-data-breaches-us</w:t>
      </w:r>
    </w:p>
    <w:p w14:paraId="0D84ED63" w14:textId="25FB18F8" w:rsidR="003055F9" w:rsidRPr="00514D5A" w:rsidRDefault="003055F9" w:rsidP="003055F9">
      <w:pPr>
        <w:spacing w:line="480" w:lineRule="auto"/>
        <w:ind w:left="360" w:hanging="360"/>
        <w:jc w:val="both"/>
        <w:rPr>
          <w:rFonts w:ascii="Arial" w:hAnsi="Arial" w:cs="Arial"/>
          <w:iCs/>
          <w:sz w:val="20"/>
          <w:szCs w:val="20"/>
        </w:rPr>
      </w:pPr>
      <w:r w:rsidRPr="00514D5A">
        <w:rPr>
          <w:rFonts w:ascii="Arial" w:hAnsi="Arial" w:cs="Arial"/>
          <w:iCs/>
          <w:sz w:val="20"/>
          <w:szCs w:val="20"/>
        </w:rPr>
        <w:fldChar w:fldCharType="end"/>
      </w:r>
    </w:p>
    <w:bookmarkEnd w:id="43"/>
    <w:p w14:paraId="181D7BEC" w14:textId="7C31BFAD" w:rsidR="00132AC1" w:rsidRPr="00514D5A" w:rsidRDefault="00132AC1" w:rsidP="00B1407A">
      <w:pPr>
        <w:spacing w:line="480" w:lineRule="auto"/>
        <w:ind w:left="360" w:hanging="360"/>
        <w:jc w:val="both"/>
        <w:rPr>
          <w:rFonts w:ascii="Arial" w:hAnsi="Arial" w:cs="Arial"/>
          <w:sz w:val="20"/>
          <w:szCs w:val="20"/>
        </w:rPr>
      </w:pPr>
      <w:r w:rsidRPr="00514D5A">
        <w:rPr>
          <w:rFonts w:ascii="Arial" w:hAnsi="Arial" w:cs="Arial"/>
          <w:sz w:val="20"/>
          <w:szCs w:val="20"/>
        </w:rPr>
        <w:t xml:space="preserve">Collier, P.A. (1993), “Audit committees in major UK companies”, </w:t>
      </w:r>
      <w:r w:rsidRPr="00514D5A">
        <w:rPr>
          <w:rFonts w:ascii="Arial" w:hAnsi="Arial" w:cs="Arial"/>
          <w:i/>
          <w:sz w:val="20"/>
          <w:szCs w:val="20"/>
        </w:rPr>
        <w:t>Managerial Auditing Journal,</w:t>
      </w:r>
      <w:r w:rsidRPr="00514D5A">
        <w:rPr>
          <w:rFonts w:ascii="Arial" w:hAnsi="Arial" w:cs="Arial"/>
          <w:sz w:val="20"/>
          <w:szCs w:val="20"/>
        </w:rPr>
        <w:t xml:space="preserve"> Vol. 8 No. 3, pp. 25-30.</w:t>
      </w:r>
    </w:p>
    <w:p w14:paraId="2D5BFE02" w14:textId="77777777" w:rsidR="00132AC1" w:rsidRPr="00514D5A" w:rsidRDefault="00132AC1" w:rsidP="00B1407A">
      <w:pPr>
        <w:spacing w:line="480" w:lineRule="auto"/>
        <w:ind w:left="360" w:hanging="360"/>
        <w:jc w:val="both"/>
        <w:rPr>
          <w:rFonts w:ascii="Arial" w:hAnsi="Arial" w:cs="Arial"/>
          <w:b/>
          <w:bCs/>
          <w:iCs/>
          <w:sz w:val="20"/>
          <w:szCs w:val="20"/>
        </w:rPr>
      </w:pPr>
      <w:proofErr w:type="spellStart"/>
      <w:r w:rsidRPr="00514D5A">
        <w:rPr>
          <w:rFonts w:ascii="Arial" w:eastAsia="Calibri" w:hAnsi="Arial" w:cs="Arial"/>
          <w:sz w:val="20"/>
          <w:szCs w:val="20"/>
        </w:rPr>
        <w:t>Dayour</w:t>
      </w:r>
      <w:proofErr w:type="spellEnd"/>
      <w:r w:rsidRPr="00514D5A">
        <w:rPr>
          <w:rFonts w:ascii="Arial" w:eastAsia="Calibri" w:hAnsi="Arial" w:cs="Arial"/>
          <w:sz w:val="20"/>
          <w:szCs w:val="20"/>
        </w:rPr>
        <w:t xml:space="preserve">, F., </w:t>
      </w:r>
      <w:proofErr w:type="spellStart"/>
      <w:r w:rsidRPr="00514D5A">
        <w:rPr>
          <w:rFonts w:ascii="Arial" w:eastAsia="Calibri" w:hAnsi="Arial" w:cs="Arial"/>
          <w:sz w:val="20"/>
          <w:szCs w:val="20"/>
        </w:rPr>
        <w:t>Adongo</w:t>
      </w:r>
      <w:proofErr w:type="spellEnd"/>
      <w:r w:rsidRPr="00514D5A">
        <w:rPr>
          <w:rFonts w:ascii="Arial" w:eastAsia="Calibri" w:hAnsi="Arial" w:cs="Arial"/>
          <w:sz w:val="20"/>
          <w:szCs w:val="20"/>
        </w:rPr>
        <w:t xml:space="preserve">, C. A., &amp; </w:t>
      </w:r>
      <w:proofErr w:type="spellStart"/>
      <w:r w:rsidRPr="00514D5A">
        <w:rPr>
          <w:rFonts w:ascii="Arial" w:eastAsia="Calibri" w:hAnsi="Arial" w:cs="Arial"/>
          <w:sz w:val="20"/>
          <w:szCs w:val="20"/>
        </w:rPr>
        <w:t>Agyeiwaah</w:t>
      </w:r>
      <w:proofErr w:type="spellEnd"/>
      <w:r w:rsidRPr="00514D5A">
        <w:rPr>
          <w:rFonts w:ascii="Arial" w:eastAsia="Calibri" w:hAnsi="Arial" w:cs="Arial"/>
          <w:sz w:val="20"/>
          <w:szCs w:val="20"/>
        </w:rPr>
        <w:t xml:space="preserve">, E. (2020). Continuous intention to use mobile money (MM) services: Driving factors among small and medium-sized tourism and hospitality enterprises (SMTHEs). </w:t>
      </w:r>
      <w:r w:rsidRPr="00514D5A">
        <w:rPr>
          <w:rFonts w:ascii="Arial" w:eastAsia="Calibri" w:hAnsi="Arial" w:cs="Arial"/>
          <w:i/>
          <w:sz w:val="20"/>
          <w:szCs w:val="20"/>
        </w:rPr>
        <w:t>Africa Journal of Management,</w:t>
      </w:r>
      <w:r w:rsidRPr="00514D5A">
        <w:rPr>
          <w:rFonts w:ascii="Arial" w:eastAsia="Calibri" w:hAnsi="Arial" w:cs="Arial"/>
          <w:sz w:val="20"/>
          <w:szCs w:val="20"/>
        </w:rPr>
        <w:t xml:space="preserve"> 6(2), 85-114.</w:t>
      </w:r>
      <w:hyperlink r:id="rId14" w:history="1">
        <w:r w:rsidRPr="00514D5A">
          <w:rPr>
            <w:rStyle w:val="Hyperlink"/>
            <w:rFonts w:ascii="Arial" w:eastAsia="Calibri" w:hAnsi="Arial" w:cs="Arial"/>
            <w:sz w:val="20"/>
            <w:szCs w:val="20"/>
          </w:rPr>
          <w:t>https://doi.org/10.1080/23322373.2020.1753495</w:t>
        </w:r>
      </w:hyperlink>
      <w:bookmarkStart w:id="44" w:name="_Hlk174834346"/>
    </w:p>
    <w:p w14:paraId="6928EC8F" w14:textId="4AB2DC35" w:rsidR="00132AC1" w:rsidRPr="00514D5A" w:rsidRDefault="00132AC1" w:rsidP="00B1407A">
      <w:pPr>
        <w:spacing w:line="480" w:lineRule="auto"/>
        <w:ind w:left="360" w:hanging="360"/>
        <w:jc w:val="both"/>
        <w:rPr>
          <w:rFonts w:ascii="Arial" w:hAnsi="Arial" w:cs="Arial"/>
          <w:b/>
          <w:bCs/>
          <w:iCs/>
          <w:sz w:val="20"/>
          <w:szCs w:val="20"/>
        </w:rPr>
      </w:pPr>
      <w:bookmarkStart w:id="45" w:name="_Hlk174873912"/>
      <w:bookmarkEnd w:id="44"/>
      <w:r w:rsidRPr="00514D5A">
        <w:rPr>
          <w:rFonts w:ascii="Arial" w:hAnsi="Arial" w:cs="Arial"/>
          <w:b/>
          <w:bCs/>
          <w:iCs/>
          <w:sz w:val="20"/>
          <w:szCs w:val="20"/>
        </w:rPr>
        <w:t>DIGIALERT.</w:t>
      </w:r>
      <w:r w:rsidRPr="00514D5A">
        <w:rPr>
          <w:rFonts w:ascii="Arial" w:hAnsi="Arial" w:cs="Arial"/>
          <w:bCs/>
          <w:iCs/>
          <w:sz w:val="20"/>
          <w:szCs w:val="20"/>
        </w:rPr>
        <w:t xml:space="preserve"> (2023, March 23). </w:t>
      </w:r>
      <w:bookmarkEnd w:id="45"/>
      <w:r w:rsidRPr="00514D5A">
        <w:rPr>
          <w:rFonts w:ascii="Arial" w:hAnsi="Arial" w:cs="Arial"/>
          <w:bCs/>
          <w:iCs/>
          <w:sz w:val="20"/>
          <w:szCs w:val="20"/>
        </w:rPr>
        <w:t xml:space="preserve">Case study on Bangladesh banking heist. </w:t>
      </w:r>
      <w:r w:rsidRPr="00514D5A">
        <w:rPr>
          <w:rFonts w:ascii="Arial" w:hAnsi="Arial" w:cs="Arial"/>
          <w:bCs/>
          <w:i/>
          <w:iCs/>
          <w:sz w:val="20"/>
          <w:szCs w:val="20"/>
        </w:rPr>
        <w:t>LinkedIn</w:t>
      </w:r>
      <w:r w:rsidRPr="00514D5A">
        <w:rPr>
          <w:rFonts w:ascii="Arial" w:hAnsi="Arial" w:cs="Arial"/>
          <w:bCs/>
          <w:iCs/>
          <w:sz w:val="20"/>
          <w:szCs w:val="20"/>
        </w:rPr>
        <w:t xml:space="preserve">. </w:t>
      </w:r>
      <w:proofErr w:type="gramStart"/>
      <w:r w:rsidRPr="00514D5A">
        <w:rPr>
          <w:rFonts w:ascii="Arial" w:hAnsi="Arial" w:cs="Arial"/>
          <w:bCs/>
          <w:iCs/>
          <w:sz w:val="20"/>
          <w:szCs w:val="20"/>
        </w:rPr>
        <w:t>available</w:t>
      </w:r>
      <w:proofErr w:type="gramEnd"/>
      <w:r w:rsidRPr="00514D5A">
        <w:rPr>
          <w:rFonts w:ascii="Arial" w:hAnsi="Arial" w:cs="Arial"/>
          <w:bCs/>
          <w:iCs/>
          <w:sz w:val="20"/>
          <w:szCs w:val="20"/>
        </w:rPr>
        <w:t xml:space="preserve"> at: </w:t>
      </w:r>
      <w:hyperlink r:id="rId15" w:history="1">
        <w:r w:rsidRPr="00514D5A">
          <w:rPr>
            <w:rStyle w:val="Hyperlink"/>
            <w:rFonts w:ascii="Arial" w:hAnsi="Arial" w:cs="Arial"/>
            <w:bCs/>
            <w:iCs/>
            <w:sz w:val="20"/>
            <w:szCs w:val="20"/>
          </w:rPr>
          <w:t>https://www.linkedin.com/pulse/case-study-bangladesh-banking-heist-digialert</w:t>
        </w:r>
      </w:hyperlink>
      <w:r w:rsidRPr="00514D5A">
        <w:rPr>
          <w:rStyle w:val="Hyperlink"/>
          <w:rFonts w:ascii="Arial" w:hAnsi="Arial" w:cs="Arial"/>
          <w:bCs/>
          <w:iCs/>
          <w:sz w:val="20"/>
          <w:szCs w:val="20"/>
        </w:rPr>
        <w:t>.</w:t>
      </w:r>
      <w:r w:rsidRPr="00514D5A">
        <w:rPr>
          <w:rFonts w:ascii="Arial" w:hAnsi="Arial" w:cs="Arial"/>
          <w:bCs/>
          <w:iCs/>
          <w:color w:val="0563C1" w:themeColor="hyperlink"/>
          <w:sz w:val="20"/>
          <w:szCs w:val="20"/>
          <w:u w:val="single"/>
        </w:rPr>
        <w:t>(accessed 24.04.24)</w:t>
      </w:r>
    </w:p>
    <w:p w14:paraId="68E7E9A8" w14:textId="50A89B4D" w:rsidR="00132AC1" w:rsidRDefault="00132AC1" w:rsidP="00B1407A">
      <w:pPr>
        <w:spacing w:line="480" w:lineRule="auto"/>
        <w:ind w:left="360" w:hanging="360"/>
        <w:jc w:val="both"/>
        <w:rPr>
          <w:rStyle w:val="Hyperlink"/>
          <w:rFonts w:ascii="Arial" w:eastAsia="Calibri" w:hAnsi="Arial" w:cs="Arial"/>
          <w:sz w:val="20"/>
          <w:szCs w:val="20"/>
        </w:rPr>
      </w:pPr>
      <w:r w:rsidRPr="00514D5A">
        <w:rPr>
          <w:rFonts w:ascii="Arial" w:eastAsia="Calibri" w:hAnsi="Arial" w:cs="Arial"/>
          <w:sz w:val="20"/>
          <w:szCs w:val="20"/>
        </w:rPr>
        <w:t>Dionne, G. (2013). Risk management: History, definition, and critique. </w:t>
      </w:r>
      <w:r w:rsidRPr="00514D5A">
        <w:rPr>
          <w:rFonts w:ascii="Arial" w:eastAsia="Calibri" w:hAnsi="Arial" w:cs="Arial"/>
          <w:i/>
          <w:iCs/>
          <w:sz w:val="20"/>
          <w:szCs w:val="20"/>
        </w:rPr>
        <w:t>Risk management and insurance review</w:t>
      </w:r>
      <w:r w:rsidRPr="00514D5A">
        <w:rPr>
          <w:rFonts w:ascii="Arial" w:eastAsia="Calibri" w:hAnsi="Arial" w:cs="Arial"/>
          <w:sz w:val="20"/>
          <w:szCs w:val="20"/>
        </w:rPr>
        <w:t>, </w:t>
      </w:r>
      <w:r w:rsidRPr="00514D5A">
        <w:rPr>
          <w:rFonts w:ascii="Arial" w:eastAsia="Calibri" w:hAnsi="Arial" w:cs="Arial"/>
          <w:i/>
          <w:iCs/>
          <w:sz w:val="20"/>
          <w:szCs w:val="20"/>
        </w:rPr>
        <w:t>16</w:t>
      </w:r>
      <w:r w:rsidRPr="00514D5A">
        <w:rPr>
          <w:rFonts w:ascii="Arial" w:eastAsia="Calibri" w:hAnsi="Arial" w:cs="Arial"/>
          <w:sz w:val="20"/>
          <w:szCs w:val="20"/>
        </w:rPr>
        <w:t>(2), 147-</w:t>
      </w:r>
      <w:r w:rsidR="00963445" w:rsidRPr="00514D5A">
        <w:rPr>
          <w:rFonts w:ascii="Arial" w:eastAsia="Calibri" w:hAnsi="Arial" w:cs="Arial"/>
          <w:sz w:val="20"/>
          <w:szCs w:val="20"/>
        </w:rPr>
        <w:t>166.</w:t>
      </w:r>
      <w:r w:rsidRPr="00514D5A">
        <w:rPr>
          <w:rFonts w:ascii="Arial" w:eastAsia="Calibri" w:hAnsi="Arial" w:cs="Arial"/>
          <w:sz w:val="20"/>
          <w:szCs w:val="20"/>
        </w:rPr>
        <w:t xml:space="preserve"> </w:t>
      </w:r>
      <w:hyperlink r:id="rId16" w:history="1">
        <w:r w:rsidRPr="00514D5A">
          <w:rPr>
            <w:rStyle w:val="Hyperlink"/>
            <w:rFonts w:ascii="Arial" w:eastAsia="Calibri" w:hAnsi="Arial" w:cs="Arial"/>
            <w:sz w:val="20"/>
            <w:szCs w:val="20"/>
          </w:rPr>
          <w:t>https://doi.org/10.1111/rmir.12016</w:t>
        </w:r>
      </w:hyperlink>
    </w:p>
    <w:p w14:paraId="518EBCA2" w14:textId="77777777" w:rsidR="001975D1" w:rsidRPr="001975D1" w:rsidRDefault="001975D1" w:rsidP="001975D1">
      <w:pPr>
        <w:spacing w:line="480" w:lineRule="auto"/>
        <w:ind w:left="360" w:hanging="360"/>
        <w:jc w:val="both"/>
        <w:rPr>
          <w:rFonts w:ascii="Arial" w:hAnsi="Arial" w:cs="Arial"/>
          <w:bCs/>
          <w:iCs/>
          <w:sz w:val="20"/>
          <w:szCs w:val="20"/>
        </w:rPr>
      </w:pPr>
      <w:r w:rsidRPr="001975D1">
        <w:rPr>
          <w:rFonts w:ascii="Arial" w:hAnsi="Arial" w:cs="Arial"/>
          <w:bCs/>
          <w:iCs/>
          <w:sz w:val="20"/>
          <w:szCs w:val="20"/>
        </w:rPr>
        <w:lastRenderedPageBreak/>
        <w:t xml:space="preserve">Dhaka Tribune. (2014, January 7). </w:t>
      </w:r>
      <w:proofErr w:type="gramStart"/>
      <w:r w:rsidRPr="001975D1">
        <w:rPr>
          <w:rFonts w:ascii="Arial" w:hAnsi="Arial" w:cs="Arial"/>
          <w:bCs/>
          <w:iCs/>
          <w:sz w:val="20"/>
          <w:szCs w:val="20"/>
        </w:rPr>
        <w:t>17.5</w:t>
      </w:r>
      <w:proofErr w:type="gramEnd"/>
      <w:r w:rsidRPr="001975D1">
        <w:rPr>
          <w:rFonts w:ascii="Arial" w:hAnsi="Arial" w:cs="Arial"/>
          <w:bCs/>
          <w:iCs/>
          <w:sz w:val="20"/>
          <w:szCs w:val="20"/>
        </w:rPr>
        <w:t xml:space="preserve"> lakh investors cheated by Destiny Tree Plantation. Dhaka Tribune. Available at:  </w:t>
      </w:r>
      <w:hyperlink r:id="rId17" w:tgtFrame="_new" w:history="1">
        <w:r w:rsidRPr="001975D1">
          <w:rPr>
            <w:rStyle w:val="Hyperlink"/>
            <w:rFonts w:ascii="Arial" w:hAnsi="Arial" w:cs="Arial"/>
            <w:bCs/>
            <w:iCs/>
            <w:sz w:val="20"/>
            <w:szCs w:val="20"/>
          </w:rPr>
          <w:t>https://www.dhakatribune.com/bangladesh/crime/49500/17.5-lakh-investors-cheated-by-destiny-tree</w:t>
        </w:r>
      </w:hyperlink>
      <w:r w:rsidRPr="001975D1">
        <w:rPr>
          <w:rFonts w:ascii="Arial" w:hAnsi="Arial" w:cs="Arial"/>
          <w:bCs/>
          <w:iCs/>
          <w:sz w:val="20"/>
          <w:szCs w:val="20"/>
          <w:u w:val="single"/>
        </w:rPr>
        <w:t>(accessed 12.01.2024)</w:t>
      </w:r>
    </w:p>
    <w:p w14:paraId="6F5ABF8C" w14:textId="77777777" w:rsidR="001975D1" w:rsidRPr="00514D5A" w:rsidRDefault="001975D1" w:rsidP="00B1407A">
      <w:pPr>
        <w:spacing w:line="480" w:lineRule="auto"/>
        <w:ind w:left="360" w:hanging="360"/>
        <w:jc w:val="both"/>
        <w:rPr>
          <w:rFonts w:ascii="Arial" w:hAnsi="Arial" w:cs="Arial"/>
          <w:b/>
          <w:bCs/>
          <w:iCs/>
          <w:sz w:val="20"/>
          <w:szCs w:val="20"/>
        </w:rPr>
      </w:pPr>
    </w:p>
    <w:p w14:paraId="12024729" w14:textId="77777777" w:rsidR="00132AC1" w:rsidRPr="00514D5A" w:rsidRDefault="00132AC1" w:rsidP="00B1407A">
      <w:pPr>
        <w:spacing w:line="480" w:lineRule="auto"/>
        <w:ind w:left="360" w:hanging="360"/>
        <w:jc w:val="both"/>
        <w:rPr>
          <w:rFonts w:ascii="Arial" w:hAnsi="Arial" w:cs="Arial"/>
          <w:b/>
          <w:bCs/>
          <w:iCs/>
          <w:sz w:val="20"/>
          <w:szCs w:val="20"/>
        </w:rPr>
      </w:pPr>
      <w:bookmarkStart w:id="46" w:name="_Hlk172724781"/>
      <w:r w:rsidRPr="00514D5A">
        <w:rPr>
          <w:rFonts w:ascii="Arial" w:hAnsi="Arial" w:cs="Arial"/>
          <w:bCs/>
          <w:sz w:val="20"/>
          <w:szCs w:val="20"/>
        </w:rPr>
        <w:t xml:space="preserve">Elliot, A. L. and R. J. </w:t>
      </w:r>
      <w:proofErr w:type="spellStart"/>
      <w:r w:rsidRPr="00514D5A">
        <w:rPr>
          <w:rFonts w:ascii="Arial" w:hAnsi="Arial" w:cs="Arial"/>
          <w:bCs/>
          <w:sz w:val="20"/>
          <w:szCs w:val="20"/>
        </w:rPr>
        <w:t>Schroth</w:t>
      </w:r>
      <w:proofErr w:type="spellEnd"/>
      <w:r w:rsidRPr="00514D5A">
        <w:rPr>
          <w:rFonts w:ascii="Arial" w:hAnsi="Arial" w:cs="Arial"/>
          <w:bCs/>
          <w:sz w:val="20"/>
          <w:szCs w:val="20"/>
        </w:rPr>
        <w:t xml:space="preserve"> (2002), How Companies Lie: Why Enron is Just the Tip of the Iceberg (Nicholas </w:t>
      </w:r>
      <w:proofErr w:type="spellStart"/>
      <w:r w:rsidRPr="00514D5A">
        <w:rPr>
          <w:rFonts w:ascii="Arial" w:hAnsi="Arial" w:cs="Arial"/>
          <w:bCs/>
          <w:sz w:val="20"/>
          <w:szCs w:val="20"/>
        </w:rPr>
        <w:t>Brealey</w:t>
      </w:r>
      <w:proofErr w:type="spellEnd"/>
      <w:r w:rsidRPr="00514D5A">
        <w:rPr>
          <w:rFonts w:ascii="Arial" w:hAnsi="Arial" w:cs="Arial"/>
          <w:bCs/>
          <w:sz w:val="20"/>
          <w:szCs w:val="20"/>
        </w:rPr>
        <w:t xml:space="preserve"> Publishing, London).</w:t>
      </w:r>
    </w:p>
    <w:p w14:paraId="7C70B1D4" w14:textId="76905222" w:rsidR="00132AC1" w:rsidRPr="00514D5A" w:rsidRDefault="00132AC1" w:rsidP="00B1407A">
      <w:pPr>
        <w:spacing w:line="480" w:lineRule="auto"/>
        <w:ind w:left="360" w:hanging="360"/>
        <w:jc w:val="both"/>
        <w:rPr>
          <w:rFonts w:ascii="Arial" w:hAnsi="Arial" w:cs="Arial"/>
          <w:b/>
          <w:bCs/>
          <w:iCs/>
          <w:sz w:val="20"/>
          <w:szCs w:val="20"/>
        </w:rPr>
      </w:pPr>
      <w:r w:rsidRPr="00514D5A">
        <w:rPr>
          <w:rFonts w:ascii="Arial" w:hAnsi="Arial" w:cs="Arial"/>
          <w:iCs/>
          <w:sz w:val="20"/>
          <w:szCs w:val="20"/>
        </w:rPr>
        <w:t xml:space="preserve">Environmental Protection Agency. (2016) United States Files Complaint </w:t>
      </w:r>
      <w:proofErr w:type="gramStart"/>
      <w:r w:rsidRPr="00514D5A">
        <w:rPr>
          <w:rFonts w:ascii="Arial" w:hAnsi="Arial" w:cs="Arial"/>
          <w:iCs/>
          <w:sz w:val="20"/>
          <w:szCs w:val="20"/>
        </w:rPr>
        <w:t>Against</w:t>
      </w:r>
      <w:proofErr w:type="gramEnd"/>
      <w:r w:rsidRPr="00514D5A">
        <w:rPr>
          <w:rFonts w:ascii="Arial" w:hAnsi="Arial" w:cs="Arial"/>
          <w:iCs/>
          <w:sz w:val="20"/>
          <w:szCs w:val="20"/>
        </w:rPr>
        <w:t xml:space="preserve"> Volkswagen, Audi, and Porsche for Alleged Clean Air Act Violations, available </w:t>
      </w:r>
      <w:r w:rsidR="00963445" w:rsidRPr="00514D5A">
        <w:rPr>
          <w:rFonts w:ascii="Arial" w:hAnsi="Arial" w:cs="Arial"/>
          <w:iCs/>
          <w:sz w:val="20"/>
          <w:szCs w:val="20"/>
        </w:rPr>
        <w:t>at: http</w:t>
      </w:r>
      <w:r w:rsidRPr="00514D5A">
        <w:rPr>
          <w:rFonts w:ascii="Arial" w:hAnsi="Arial" w:cs="Arial"/>
          <w:iCs/>
          <w:sz w:val="20"/>
          <w:szCs w:val="20"/>
        </w:rPr>
        <w:t>://epa.gov/opa/admpresss.nsf (accessed 2.04.2024)</w:t>
      </w:r>
    </w:p>
    <w:p w14:paraId="14D8CA71" w14:textId="77777777" w:rsidR="00132AC1" w:rsidRPr="00514D5A" w:rsidRDefault="00132AC1" w:rsidP="00B1407A">
      <w:pPr>
        <w:spacing w:line="480" w:lineRule="auto"/>
        <w:ind w:left="360" w:hanging="360"/>
        <w:jc w:val="both"/>
        <w:rPr>
          <w:rFonts w:ascii="Arial" w:hAnsi="Arial" w:cs="Arial"/>
          <w:b/>
          <w:bCs/>
          <w:iCs/>
          <w:sz w:val="20"/>
          <w:szCs w:val="20"/>
        </w:rPr>
      </w:pPr>
      <w:r w:rsidRPr="00514D5A">
        <w:rPr>
          <w:rFonts w:ascii="Arial" w:hAnsi="Arial" w:cs="Arial"/>
          <w:iCs/>
          <w:sz w:val="20"/>
          <w:szCs w:val="20"/>
        </w:rPr>
        <w:t>Financial Stability Board (2013), Thematic Review on Risk governance Peer Review Report, FSB, Basel.</w:t>
      </w:r>
      <w:r w:rsidRPr="00514D5A">
        <w:rPr>
          <w:rFonts w:ascii="Arial" w:hAnsi="Arial" w:cs="Arial"/>
          <w:sz w:val="20"/>
          <w:szCs w:val="20"/>
        </w:rPr>
        <w:t xml:space="preserve"> </w:t>
      </w:r>
      <w:proofErr w:type="gramStart"/>
      <w:r w:rsidRPr="00514D5A">
        <w:rPr>
          <w:rFonts w:ascii="Arial" w:hAnsi="Arial" w:cs="Arial"/>
          <w:iCs/>
          <w:sz w:val="20"/>
          <w:szCs w:val="20"/>
        </w:rPr>
        <w:t>available</w:t>
      </w:r>
      <w:proofErr w:type="gramEnd"/>
      <w:r w:rsidRPr="00514D5A">
        <w:rPr>
          <w:rFonts w:ascii="Arial" w:hAnsi="Arial" w:cs="Arial"/>
          <w:iCs/>
          <w:sz w:val="20"/>
          <w:szCs w:val="20"/>
        </w:rPr>
        <w:t xml:space="preserve"> at: </w:t>
      </w:r>
      <w:hyperlink r:id="rId18" w:history="1">
        <w:r w:rsidRPr="00514D5A">
          <w:rPr>
            <w:rStyle w:val="Hyperlink"/>
            <w:rFonts w:ascii="Arial" w:hAnsi="Arial" w:cs="Arial"/>
            <w:i/>
            <w:iCs/>
            <w:sz w:val="20"/>
            <w:szCs w:val="20"/>
          </w:rPr>
          <w:t>www.financialstability</w:t>
        </w:r>
      </w:hyperlink>
      <w:r w:rsidRPr="00514D5A">
        <w:rPr>
          <w:rFonts w:ascii="Arial" w:hAnsi="Arial" w:cs="Arial"/>
          <w:i/>
          <w:iCs/>
          <w:sz w:val="20"/>
          <w:szCs w:val="20"/>
        </w:rPr>
        <w:t xml:space="preserve"> board.org/publications/r_130212.pdf</w:t>
      </w:r>
      <w:r w:rsidRPr="00514D5A">
        <w:rPr>
          <w:rFonts w:ascii="Arial" w:hAnsi="Arial" w:cs="Arial"/>
          <w:iCs/>
          <w:sz w:val="20"/>
          <w:szCs w:val="20"/>
        </w:rPr>
        <w:t>.</w:t>
      </w:r>
      <w:bookmarkStart w:id="47" w:name="_Hlk154388408"/>
    </w:p>
    <w:p w14:paraId="5BDAFB75" w14:textId="6F7BB1A6" w:rsidR="00132AC1" w:rsidRPr="00514D5A" w:rsidRDefault="00132AC1" w:rsidP="00B1407A">
      <w:pPr>
        <w:spacing w:line="480" w:lineRule="auto"/>
        <w:ind w:left="360" w:hanging="360"/>
        <w:jc w:val="both"/>
        <w:rPr>
          <w:rFonts w:ascii="Arial" w:hAnsi="Arial" w:cs="Arial"/>
          <w:b/>
          <w:bCs/>
          <w:iCs/>
          <w:sz w:val="20"/>
          <w:szCs w:val="20"/>
        </w:rPr>
      </w:pPr>
      <w:r w:rsidRPr="00514D5A">
        <w:rPr>
          <w:rFonts w:ascii="Arial" w:hAnsi="Arial" w:cs="Arial"/>
          <w:color w:val="222222"/>
          <w:sz w:val="20"/>
          <w:szCs w:val="20"/>
          <w:shd w:val="clear" w:color="auto" w:fill="FFFFFF"/>
        </w:rPr>
        <w:t>Fox, C. (2018)</w:t>
      </w:r>
      <w:bookmarkEnd w:id="47"/>
      <w:r w:rsidRPr="00514D5A">
        <w:rPr>
          <w:rFonts w:ascii="Arial" w:hAnsi="Arial" w:cs="Arial"/>
          <w:color w:val="222222"/>
          <w:sz w:val="20"/>
          <w:szCs w:val="20"/>
          <w:shd w:val="clear" w:color="auto" w:fill="FFFFFF"/>
        </w:rPr>
        <w:t xml:space="preserve">. Risk Management Lessons </w:t>
      </w:r>
      <w:r w:rsidR="00963445" w:rsidRPr="00514D5A">
        <w:rPr>
          <w:rFonts w:ascii="Arial" w:hAnsi="Arial" w:cs="Arial"/>
          <w:color w:val="222222"/>
          <w:sz w:val="20"/>
          <w:szCs w:val="20"/>
          <w:shd w:val="clear" w:color="auto" w:fill="FFFFFF"/>
        </w:rPr>
        <w:t>from</w:t>
      </w:r>
      <w:r w:rsidRPr="00514D5A">
        <w:rPr>
          <w:rFonts w:ascii="Arial" w:hAnsi="Arial" w:cs="Arial"/>
          <w:color w:val="222222"/>
          <w:sz w:val="20"/>
          <w:szCs w:val="20"/>
          <w:shd w:val="clear" w:color="auto" w:fill="FFFFFF"/>
        </w:rPr>
        <w:t xml:space="preserve"> </w:t>
      </w:r>
      <w:proofErr w:type="gramStart"/>
      <w:r w:rsidRPr="00514D5A">
        <w:rPr>
          <w:rFonts w:ascii="Arial" w:hAnsi="Arial" w:cs="Arial"/>
          <w:color w:val="222222"/>
          <w:sz w:val="20"/>
          <w:szCs w:val="20"/>
          <w:shd w:val="clear" w:color="auto" w:fill="FFFFFF"/>
        </w:rPr>
        <w:t>The</w:t>
      </w:r>
      <w:proofErr w:type="gramEnd"/>
      <w:r w:rsidRPr="00514D5A">
        <w:rPr>
          <w:rFonts w:ascii="Arial" w:hAnsi="Arial" w:cs="Arial"/>
          <w:color w:val="222222"/>
          <w:sz w:val="20"/>
          <w:szCs w:val="20"/>
          <w:shd w:val="clear" w:color="auto" w:fill="FFFFFF"/>
        </w:rPr>
        <w:t xml:space="preserve"> Financial Crisis: A Textual Analysis of The Financial Crisis Inquiry Commission's Report. </w:t>
      </w:r>
      <w:r w:rsidRPr="00514D5A">
        <w:rPr>
          <w:rFonts w:ascii="Arial" w:hAnsi="Arial" w:cs="Arial"/>
          <w:i/>
          <w:iCs/>
          <w:color w:val="222222"/>
          <w:sz w:val="20"/>
          <w:szCs w:val="20"/>
          <w:shd w:val="clear" w:color="auto" w:fill="FFFFFF"/>
        </w:rPr>
        <w:t>Journal of Business Strategies</w:t>
      </w:r>
      <w:r w:rsidRPr="00514D5A">
        <w:rPr>
          <w:rFonts w:ascii="Arial" w:hAnsi="Arial" w:cs="Arial"/>
          <w:color w:val="222222"/>
          <w:sz w:val="20"/>
          <w:szCs w:val="20"/>
          <w:shd w:val="clear" w:color="auto" w:fill="FFFFFF"/>
        </w:rPr>
        <w:t>, </w:t>
      </w:r>
      <w:r w:rsidRPr="00514D5A">
        <w:rPr>
          <w:rFonts w:ascii="Arial" w:hAnsi="Arial" w:cs="Arial"/>
          <w:i/>
          <w:iCs/>
          <w:color w:val="222222"/>
          <w:sz w:val="20"/>
          <w:szCs w:val="20"/>
          <w:shd w:val="clear" w:color="auto" w:fill="FFFFFF"/>
        </w:rPr>
        <w:t>35</w:t>
      </w:r>
      <w:r w:rsidRPr="00514D5A">
        <w:rPr>
          <w:rFonts w:ascii="Arial" w:hAnsi="Arial" w:cs="Arial"/>
          <w:color w:val="222222"/>
          <w:sz w:val="20"/>
          <w:szCs w:val="20"/>
          <w:shd w:val="clear" w:color="auto" w:fill="FFFFFF"/>
        </w:rPr>
        <w:t>(1), 71-97.</w:t>
      </w:r>
    </w:p>
    <w:p w14:paraId="7AEDB05C" w14:textId="77777777" w:rsidR="00132AC1" w:rsidRPr="00514D5A" w:rsidRDefault="00132AC1" w:rsidP="00B1407A">
      <w:pPr>
        <w:spacing w:line="480" w:lineRule="auto"/>
        <w:ind w:left="360" w:hanging="360"/>
        <w:jc w:val="both"/>
        <w:rPr>
          <w:rFonts w:ascii="Arial" w:hAnsi="Arial" w:cs="Arial"/>
          <w:b/>
          <w:bCs/>
          <w:iCs/>
          <w:sz w:val="20"/>
          <w:szCs w:val="20"/>
        </w:rPr>
      </w:pPr>
      <w:r w:rsidRPr="00514D5A">
        <w:rPr>
          <w:rFonts w:ascii="Arial" w:hAnsi="Arial" w:cs="Arial"/>
          <w:sz w:val="20"/>
          <w:szCs w:val="20"/>
        </w:rPr>
        <w:t>Fraser, I., &amp; Henry, W. (2007). Embedding risk management: structures and approaches. </w:t>
      </w:r>
      <w:r w:rsidRPr="00514D5A">
        <w:rPr>
          <w:rFonts w:ascii="Arial" w:hAnsi="Arial" w:cs="Arial"/>
          <w:i/>
          <w:iCs/>
          <w:sz w:val="20"/>
          <w:szCs w:val="20"/>
        </w:rPr>
        <w:t>Managerial Auditing Journal</w:t>
      </w:r>
      <w:r w:rsidRPr="00514D5A">
        <w:rPr>
          <w:rFonts w:ascii="Arial" w:hAnsi="Arial" w:cs="Arial"/>
          <w:sz w:val="20"/>
          <w:szCs w:val="20"/>
        </w:rPr>
        <w:t>, </w:t>
      </w:r>
      <w:r w:rsidRPr="00514D5A">
        <w:rPr>
          <w:rFonts w:ascii="Arial" w:hAnsi="Arial" w:cs="Arial"/>
          <w:i/>
          <w:iCs/>
          <w:sz w:val="20"/>
          <w:szCs w:val="20"/>
        </w:rPr>
        <w:t>22</w:t>
      </w:r>
      <w:r w:rsidRPr="00514D5A">
        <w:rPr>
          <w:rFonts w:ascii="Arial" w:hAnsi="Arial" w:cs="Arial"/>
          <w:sz w:val="20"/>
          <w:szCs w:val="20"/>
        </w:rPr>
        <w:t>(4), 392-409.</w:t>
      </w:r>
      <w:hyperlink r:id="rId19" w:history="1">
        <w:r w:rsidRPr="00514D5A">
          <w:rPr>
            <w:rStyle w:val="Hyperlink"/>
            <w:rFonts w:ascii="Arial" w:hAnsi="Arial" w:cs="Arial"/>
            <w:sz w:val="20"/>
            <w:szCs w:val="20"/>
          </w:rPr>
          <w:t>https://doi.org/10.1108/02686900710741955</w:t>
        </w:r>
      </w:hyperlink>
    </w:p>
    <w:p w14:paraId="0B93B91A" w14:textId="7B83F8DF" w:rsidR="00132AC1" w:rsidRPr="00514D5A" w:rsidRDefault="00963445" w:rsidP="00B1407A">
      <w:pPr>
        <w:spacing w:line="480" w:lineRule="auto"/>
        <w:ind w:left="360" w:hanging="360"/>
        <w:jc w:val="both"/>
        <w:rPr>
          <w:rFonts w:ascii="Arial" w:hAnsi="Arial" w:cs="Arial"/>
          <w:b/>
          <w:bCs/>
          <w:iCs/>
          <w:sz w:val="20"/>
          <w:szCs w:val="20"/>
        </w:rPr>
      </w:pPr>
      <w:r w:rsidRPr="00514D5A">
        <w:rPr>
          <w:rFonts w:ascii="Arial" w:hAnsi="Arial" w:cs="Arial"/>
          <w:sz w:val="20"/>
          <w:szCs w:val="20"/>
        </w:rPr>
        <w:t>Ghazel</w:t>
      </w:r>
      <w:r w:rsidR="00132AC1" w:rsidRPr="00514D5A">
        <w:rPr>
          <w:rFonts w:ascii="Arial" w:hAnsi="Arial" w:cs="Arial"/>
          <w:sz w:val="20"/>
          <w:szCs w:val="20"/>
        </w:rPr>
        <w:t xml:space="preserve">, L., &amp; </w:t>
      </w:r>
      <w:proofErr w:type="spellStart"/>
      <w:r w:rsidR="00132AC1" w:rsidRPr="00514D5A">
        <w:rPr>
          <w:rFonts w:ascii="Arial" w:hAnsi="Arial" w:cs="Arial"/>
          <w:sz w:val="20"/>
          <w:szCs w:val="20"/>
        </w:rPr>
        <w:t>Chebana</w:t>
      </w:r>
      <w:proofErr w:type="spellEnd"/>
      <w:r w:rsidR="00132AC1" w:rsidRPr="00514D5A">
        <w:rPr>
          <w:rFonts w:ascii="Arial" w:hAnsi="Arial" w:cs="Arial"/>
          <w:sz w:val="20"/>
          <w:szCs w:val="20"/>
        </w:rPr>
        <w:t>, N. (2021). The effectiveness of risk management system and firm performance in the European context. </w:t>
      </w:r>
      <w:r w:rsidR="00132AC1" w:rsidRPr="00514D5A">
        <w:rPr>
          <w:rFonts w:ascii="Arial" w:hAnsi="Arial" w:cs="Arial"/>
          <w:i/>
          <w:iCs/>
          <w:sz w:val="20"/>
          <w:szCs w:val="20"/>
        </w:rPr>
        <w:t>Journal of Economics, Finance and Administrative Science</w:t>
      </w:r>
      <w:r w:rsidR="00132AC1" w:rsidRPr="00514D5A">
        <w:rPr>
          <w:rFonts w:ascii="Arial" w:hAnsi="Arial" w:cs="Arial"/>
          <w:sz w:val="20"/>
          <w:szCs w:val="20"/>
        </w:rPr>
        <w:t>, </w:t>
      </w:r>
      <w:r w:rsidR="00132AC1" w:rsidRPr="00514D5A">
        <w:rPr>
          <w:rFonts w:ascii="Arial" w:hAnsi="Arial" w:cs="Arial"/>
          <w:i/>
          <w:iCs/>
          <w:sz w:val="20"/>
          <w:szCs w:val="20"/>
        </w:rPr>
        <w:t>26</w:t>
      </w:r>
      <w:r w:rsidR="00132AC1" w:rsidRPr="00514D5A">
        <w:rPr>
          <w:rFonts w:ascii="Arial" w:hAnsi="Arial" w:cs="Arial"/>
          <w:sz w:val="20"/>
          <w:szCs w:val="20"/>
        </w:rPr>
        <w:t>(52), 182-196.https://doi.org/10.1108/JEFAS-07-2019-0118.</w:t>
      </w:r>
    </w:p>
    <w:p w14:paraId="174F8644" w14:textId="4D11432E" w:rsidR="00132AC1" w:rsidRPr="00514D5A" w:rsidRDefault="00132AC1" w:rsidP="00B1407A">
      <w:pPr>
        <w:spacing w:line="480" w:lineRule="auto"/>
        <w:ind w:left="360" w:hanging="360"/>
        <w:jc w:val="both"/>
        <w:rPr>
          <w:rFonts w:ascii="Arial" w:hAnsi="Arial" w:cs="Arial"/>
          <w:b/>
          <w:bCs/>
          <w:iCs/>
          <w:sz w:val="20"/>
          <w:szCs w:val="20"/>
        </w:rPr>
      </w:pPr>
      <w:proofErr w:type="spellStart"/>
      <w:r w:rsidRPr="00514D5A">
        <w:rPr>
          <w:rFonts w:ascii="Arial" w:hAnsi="Arial" w:cs="Arial"/>
          <w:sz w:val="20"/>
          <w:szCs w:val="20"/>
        </w:rPr>
        <w:t>Harymawan</w:t>
      </w:r>
      <w:proofErr w:type="spellEnd"/>
      <w:r w:rsidRPr="00514D5A">
        <w:rPr>
          <w:rFonts w:ascii="Arial" w:hAnsi="Arial" w:cs="Arial"/>
          <w:sz w:val="20"/>
          <w:szCs w:val="20"/>
        </w:rPr>
        <w:t xml:space="preserve">, I., </w:t>
      </w:r>
      <w:proofErr w:type="spellStart"/>
      <w:r w:rsidRPr="00514D5A">
        <w:rPr>
          <w:rFonts w:ascii="Arial" w:hAnsi="Arial" w:cs="Arial"/>
          <w:sz w:val="20"/>
          <w:szCs w:val="20"/>
        </w:rPr>
        <w:t>Prabhawa</w:t>
      </w:r>
      <w:proofErr w:type="spellEnd"/>
      <w:r w:rsidRPr="00514D5A">
        <w:rPr>
          <w:rFonts w:ascii="Arial" w:hAnsi="Arial" w:cs="Arial"/>
          <w:sz w:val="20"/>
          <w:szCs w:val="20"/>
        </w:rPr>
        <w:t xml:space="preserve">, A. A., </w:t>
      </w:r>
      <w:proofErr w:type="spellStart"/>
      <w:r w:rsidRPr="00514D5A">
        <w:rPr>
          <w:rFonts w:ascii="Arial" w:hAnsi="Arial" w:cs="Arial"/>
          <w:sz w:val="20"/>
          <w:szCs w:val="20"/>
        </w:rPr>
        <w:t>Nasih</w:t>
      </w:r>
      <w:proofErr w:type="spellEnd"/>
      <w:r w:rsidRPr="00514D5A">
        <w:rPr>
          <w:rFonts w:ascii="Arial" w:hAnsi="Arial" w:cs="Arial"/>
          <w:sz w:val="20"/>
          <w:szCs w:val="20"/>
        </w:rPr>
        <w:t>, M., &amp; Putra, F. K. G. (2021). Risk management committee, auditor choice and audit fees. </w:t>
      </w:r>
      <w:r w:rsidRPr="00514D5A">
        <w:rPr>
          <w:rFonts w:ascii="Arial" w:hAnsi="Arial" w:cs="Arial"/>
          <w:i/>
          <w:iCs/>
          <w:sz w:val="20"/>
          <w:szCs w:val="20"/>
        </w:rPr>
        <w:t>Risks</w:t>
      </w:r>
      <w:r w:rsidRPr="00514D5A">
        <w:rPr>
          <w:rFonts w:ascii="Arial" w:hAnsi="Arial" w:cs="Arial"/>
          <w:sz w:val="20"/>
          <w:szCs w:val="20"/>
        </w:rPr>
        <w:t>, </w:t>
      </w:r>
      <w:r w:rsidRPr="00514D5A">
        <w:rPr>
          <w:rFonts w:ascii="Arial" w:hAnsi="Arial" w:cs="Arial"/>
          <w:i/>
          <w:iCs/>
          <w:sz w:val="20"/>
          <w:szCs w:val="20"/>
        </w:rPr>
        <w:t>9</w:t>
      </w:r>
      <w:r w:rsidRPr="00514D5A">
        <w:rPr>
          <w:rFonts w:ascii="Arial" w:hAnsi="Arial" w:cs="Arial"/>
          <w:sz w:val="20"/>
          <w:szCs w:val="20"/>
        </w:rPr>
        <w:t xml:space="preserve">(9), </w:t>
      </w:r>
      <w:r w:rsidR="00963445" w:rsidRPr="00514D5A">
        <w:rPr>
          <w:rFonts w:ascii="Arial" w:hAnsi="Arial" w:cs="Arial"/>
          <w:sz w:val="20"/>
          <w:szCs w:val="20"/>
        </w:rPr>
        <w:t>156.</w:t>
      </w:r>
      <w:r w:rsidRPr="00514D5A">
        <w:rPr>
          <w:rFonts w:ascii="Arial" w:hAnsi="Arial" w:cs="Arial"/>
          <w:sz w:val="20"/>
          <w:szCs w:val="20"/>
        </w:rPr>
        <w:t xml:space="preserve"> </w:t>
      </w:r>
      <w:hyperlink r:id="rId20" w:history="1">
        <w:r w:rsidRPr="00514D5A">
          <w:rPr>
            <w:rStyle w:val="Hyperlink"/>
            <w:rFonts w:ascii="Arial" w:hAnsi="Arial" w:cs="Arial"/>
            <w:sz w:val="20"/>
            <w:szCs w:val="20"/>
          </w:rPr>
          <w:t>https://doi.org/10.3390/risks9090156</w:t>
        </w:r>
      </w:hyperlink>
      <w:r w:rsidRPr="00514D5A">
        <w:rPr>
          <w:rFonts w:ascii="Arial" w:hAnsi="Arial" w:cs="Arial"/>
          <w:sz w:val="20"/>
          <w:szCs w:val="20"/>
        </w:rPr>
        <w:t>.</w:t>
      </w:r>
    </w:p>
    <w:p w14:paraId="60DEAA4E" w14:textId="64962ADF" w:rsidR="00132AC1" w:rsidRPr="00514D5A" w:rsidRDefault="00132AC1" w:rsidP="00B1407A">
      <w:pPr>
        <w:spacing w:line="480" w:lineRule="auto"/>
        <w:ind w:left="360" w:hanging="360"/>
        <w:jc w:val="both"/>
        <w:rPr>
          <w:rFonts w:ascii="Arial" w:hAnsi="Arial" w:cs="Arial"/>
          <w:b/>
          <w:bCs/>
          <w:iCs/>
          <w:sz w:val="20"/>
          <w:szCs w:val="20"/>
        </w:rPr>
      </w:pPr>
      <w:r w:rsidRPr="00514D5A">
        <w:rPr>
          <w:rFonts w:ascii="Arial" w:hAnsi="Arial" w:cs="Arial"/>
          <w:sz w:val="20"/>
          <w:szCs w:val="20"/>
        </w:rPr>
        <w:t xml:space="preserve">Hines, Chris S., and Gary F. Peters. 2015. Voluntary </w:t>
      </w:r>
      <w:proofErr w:type="gramStart"/>
      <w:r w:rsidRPr="00514D5A">
        <w:rPr>
          <w:rFonts w:ascii="Arial" w:hAnsi="Arial" w:cs="Arial"/>
          <w:sz w:val="20"/>
          <w:szCs w:val="20"/>
        </w:rPr>
        <w:t>risk management committee formation</w:t>
      </w:r>
      <w:proofErr w:type="gramEnd"/>
      <w:r w:rsidRPr="00514D5A">
        <w:rPr>
          <w:rFonts w:ascii="Arial" w:hAnsi="Arial" w:cs="Arial"/>
          <w:sz w:val="20"/>
          <w:szCs w:val="20"/>
        </w:rPr>
        <w:t xml:space="preserve">: Determinants and short-term </w:t>
      </w:r>
      <w:r w:rsidR="00963445" w:rsidRPr="00514D5A">
        <w:rPr>
          <w:rFonts w:ascii="Arial" w:hAnsi="Arial" w:cs="Arial"/>
          <w:sz w:val="20"/>
          <w:szCs w:val="20"/>
        </w:rPr>
        <w:t>outcomes.</w:t>
      </w:r>
      <w:r w:rsidR="00963445" w:rsidRPr="00514D5A">
        <w:rPr>
          <w:rFonts w:ascii="Arial" w:hAnsi="Arial" w:cs="Arial"/>
          <w:i/>
          <w:sz w:val="20"/>
          <w:szCs w:val="20"/>
        </w:rPr>
        <w:t xml:space="preserve"> Journal</w:t>
      </w:r>
      <w:r w:rsidRPr="00514D5A">
        <w:rPr>
          <w:rFonts w:ascii="Arial" w:hAnsi="Arial" w:cs="Arial"/>
          <w:i/>
          <w:sz w:val="20"/>
          <w:szCs w:val="20"/>
        </w:rPr>
        <w:t xml:space="preserve"> of Accounting and Public Policy</w:t>
      </w:r>
      <w:r w:rsidRPr="00514D5A">
        <w:rPr>
          <w:rFonts w:ascii="Arial" w:hAnsi="Arial" w:cs="Arial"/>
          <w:sz w:val="20"/>
          <w:szCs w:val="20"/>
        </w:rPr>
        <w:t xml:space="preserve"> 34: 267–90. </w:t>
      </w:r>
      <w:hyperlink r:id="rId21" w:history="1">
        <w:r w:rsidRPr="00514D5A">
          <w:rPr>
            <w:rStyle w:val="Hyperlink"/>
            <w:rFonts w:ascii="Arial" w:hAnsi="Arial" w:cs="Arial"/>
            <w:sz w:val="20"/>
            <w:szCs w:val="20"/>
          </w:rPr>
          <w:t>https://doi.org/10.1016/j.jaccpubpol.2015.02.001</w:t>
        </w:r>
      </w:hyperlink>
      <w:r w:rsidRPr="00514D5A">
        <w:rPr>
          <w:rFonts w:ascii="Arial" w:hAnsi="Arial" w:cs="Arial"/>
          <w:sz w:val="20"/>
          <w:szCs w:val="20"/>
        </w:rPr>
        <w:t>.</w:t>
      </w:r>
      <w:bookmarkStart w:id="48" w:name="_Hlk149691978"/>
      <w:bookmarkEnd w:id="46"/>
    </w:p>
    <w:p w14:paraId="616479C8" w14:textId="55E62414" w:rsidR="00132AC1" w:rsidRPr="00514D5A" w:rsidRDefault="00132AC1" w:rsidP="007F5536">
      <w:pPr>
        <w:spacing w:line="480" w:lineRule="auto"/>
        <w:ind w:left="360" w:hanging="360"/>
        <w:jc w:val="both"/>
        <w:rPr>
          <w:rFonts w:ascii="Arial" w:hAnsi="Arial" w:cs="Arial"/>
          <w:b/>
          <w:bCs/>
          <w:iCs/>
          <w:sz w:val="20"/>
          <w:szCs w:val="20"/>
        </w:rPr>
      </w:pPr>
      <w:bookmarkStart w:id="49" w:name="_Hlk176865355"/>
      <w:r w:rsidRPr="00514D5A">
        <w:rPr>
          <w:rFonts w:ascii="Arial" w:hAnsi="Arial" w:cs="Arial"/>
          <w:sz w:val="20"/>
          <w:szCs w:val="20"/>
        </w:rPr>
        <w:lastRenderedPageBreak/>
        <w:t>Islam, N. (2024, February 4)</w:t>
      </w:r>
      <w:bookmarkEnd w:id="49"/>
      <w:r w:rsidRPr="00514D5A">
        <w:rPr>
          <w:rFonts w:ascii="Arial" w:hAnsi="Arial" w:cs="Arial"/>
          <w:sz w:val="20"/>
          <w:szCs w:val="20"/>
        </w:rPr>
        <w:t xml:space="preserve">. </w:t>
      </w:r>
      <w:r w:rsidRPr="00514D5A">
        <w:rPr>
          <w:rFonts w:ascii="Arial" w:hAnsi="Arial" w:cs="Arial"/>
          <w:iCs/>
          <w:sz w:val="20"/>
          <w:szCs w:val="20"/>
        </w:rPr>
        <w:t>BB reserve heist: Liability of 12 central bank officials identified</w:t>
      </w:r>
      <w:r w:rsidRPr="00514D5A">
        <w:rPr>
          <w:rFonts w:ascii="Arial" w:hAnsi="Arial" w:cs="Arial"/>
          <w:sz w:val="20"/>
          <w:szCs w:val="20"/>
        </w:rPr>
        <w:t>.</w:t>
      </w:r>
      <w:r w:rsidR="007F5536" w:rsidRPr="00514D5A">
        <w:rPr>
          <w:rFonts w:ascii="Arial" w:hAnsi="Arial" w:cs="Arial"/>
          <w:sz w:val="20"/>
          <w:szCs w:val="20"/>
        </w:rPr>
        <w:t xml:space="preserve"> </w:t>
      </w:r>
      <w:r w:rsidRPr="00514D5A">
        <w:rPr>
          <w:rFonts w:ascii="Arial" w:hAnsi="Arial" w:cs="Arial"/>
          <w:i/>
          <w:iCs/>
          <w:sz w:val="20"/>
          <w:szCs w:val="20"/>
        </w:rPr>
        <w:t>ProthomAlo</w:t>
      </w:r>
      <w:proofErr w:type="gramStart"/>
      <w:r w:rsidRPr="00514D5A">
        <w:rPr>
          <w:rFonts w:ascii="Arial" w:hAnsi="Arial" w:cs="Arial"/>
          <w:sz w:val="20"/>
          <w:szCs w:val="20"/>
        </w:rPr>
        <w:t>,4</w:t>
      </w:r>
      <w:proofErr w:type="gramEnd"/>
      <w:r w:rsidRPr="00514D5A">
        <w:rPr>
          <w:rFonts w:ascii="Arial" w:hAnsi="Arial" w:cs="Arial"/>
          <w:sz w:val="20"/>
          <w:szCs w:val="20"/>
        </w:rPr>
        <w:t xml:space="preserve"> February, available at: </w:t>
      </w:r>
      <w:hyperlink r:id="rId22" w:tgtFrame="_new" w:history="1">
        <w:r w:rsidRPr="00514D5A">
          <w:rPr>
            <w:rStyle w:val="Hyperlink"/>
            <w:rFonts w:ascii="Arial" w:hAnsi="Arial" w:cs="Arial"/>
            <w:sz w:val="20"/>
            <w:szCs w:val="20"/>
          </w:rPr>
          <w:t>https://en.prothomalo.com/amp/story/bangladesh/crime-and-law/jsv5k1ia4m</w:t>
        </w:r>
      </w:hyperlink>
      <w:r w:rsidR="007F5536" w:rsidRPr="00514D5A">
        <w:rPr>
          <w:rFonts w:ascii="Arial" w:hAnsi="Arial" w:cs="Arial"/>
          <w:sz w:val="20"/>
          <w:szCs w:val="20"/>
        </w:rPr>
        <w:t xml:space="preserve"> </w:t>
      </w:r>
      <w:r w:rsidRPr="00514D5A">
        <w:rPr>
          <w:rFonts w:ascii="Arial" w:hAnsi="Arial" w:cs="Arial"/>
          <w:sz w:val="20"/>
          <w:szCs w:val="20"/>
        </w:rPr>
        <w:t>(accessed 10.09.2024).</w:t>
      </w:r>
    </w:p>
    <w:p w14:paraId="66A0E7CA" w14:textId="77777777" w:rsidR="00132AC1" w:rsidRPr="00514D5A" w:rsidRDefault="00132AC1" w:rsidP="00B1407A">
      <w:pPr>
        <w:spacing w:line="480" w:lineRule="auto"/>
        <w:ind w:left="360" w:hanging="360"/>
        <w:jc w:val="both"/>
        <w:rPr>
          <w:rFonts w:ascii="Arial" w:hAnsi="Arial" w:cs="Arial"/>
          <w:b/>
          <w:bCs/>
          <w:iCs/>
          <w:sz w:val="20"/>
          <w:szCs w:val="20"/>
        </w:rPr>
      </w:pPr>
      <w:proofErr w:type="spellStart"/>
      <w:r w:rsidRPr="00514D5A">
        <w:rPr>
          <w:rFonts w:ascii="Arial" w:hAnsi="Arial" w:cs="Arial"/>
          <w:iCs/>
          <w:sz w:val="20"/>
          <w:szCs w:val="20"/>
        </w:rPr>
        <w:t>Jia</w:t>
      </w:r>
      <w:proofErr w:type="spellEnd"/>
      <w:r w:rsidRPr="00514D5A">
        <w:rPr>
          <w:rFonts w:ascii="Arial" w:hAnsi="Arial" w:cs="Arial"/>
          <w:iCs/>
          <w:sz w:val="20"/>
          <w:szCs w:val="20"/>
        </w:rPr>
        <w:t xml:space="preserve">, J., Li, Z. and Munro, L. (2019), “Risk management committee and risk management disclosure: evidence from Australia”, </w:t>
      </w:r>
      <w:r w:rsidRPr="00514D5A">
        <w:rPr>
          <w:rFonts w:ascii="Arial" w:hAnsi="Arial" w:cs="Arial"/>
          <w:i/>
          <w:iCs/>
          <w:sz w:val="20"/>
          <w:szCs w:val="20"/>
        </w:rPr>
        <w:t>Pacific Accounting Review,</w:t>
      </w:r>
      <w:r w:rsidRPr="00514D5A">
        <w:rPr>
          <w:rFonts w:ascii="Arial" w:hAnsi="Arial" w:cs="Arial"/>
          <w:iCs/>
          <w:sz w:val="20"/>
          <w:szCs w:val="20"/>
        </w:rPr>
        <w:t xml:space="preserve"> Vol. 31, pp. 438-461.https://doi.org/10.1108/PAR-11-2018-0097</w:t>
      </w:r>
      <w:bookmarkEnd w:id="48"/>
      <w:r w:rsidRPr="00514D5A">
        <w:rPr>
          <w:rFonts w:ascii="Arial" w:hAnsi="Arial" w:cs="Arial"/>
          <w:iCs/>
          <w:sz w:val="20"/>
          <w:szCs w:val="20"/>
        </w:rPr>
        <w:t>.</w:t>
      </w:r>
    </w:p>
    <w:p w14:paraId="18A73978" w14:textId="5D8F916B" w:rsidR="00132AC1" w:rsidRPr="00514D5A" w:rsidRDefault="00132AC1" w:rsidP="00B1407A">
      <w:pPr>
        <w:spacing w:line="480" w:lineRule="auto"/>
        <w:ind w:left="360" w:hanging="360"/>
        <w:jc w:val="both"/>
        <w:rPr>
          <w:rFonts w:ascii="Arial" w:hAnsi="Arial" w:cs="Arial"/>
          <w:sz w:val="20"/>
          <w:szCs w:val="20"/>
        </w:rPr>
      </w:pPr>
      <w:proofErr w:type="spellStart"/>
      <w:r w:rsidRPr="00514D5A">
        <w:rPr>
          <w:rFonts w:ascii="Arial" w:hAnsi="Arial" w:cs="Arial"/>
          <w:sz w:val="20"/>
          <w:szCs w:val="20"/>
        </w:rPr>
        <w:t>Kamiya</w:t>
      </w:r>
      <w:proofErr w:type="spellEnd"/>
      <w:r w:rsidRPr="00514D5A">
        <w:rPr>
          <w:rFonts w:ascii="Arial" w:hAnsi="Arial" w:cs="Arial"/>
          <w:sz w:val="20"/>
          <w:szCs w:val="20"/>
        </w:rPr>
        <w:t xml:space="preserve">, S., Kang, J.K., Kim, J., </w:t>
      </w:r>
      <w:proofErr w:type="spellStart"/>
      <w:r w:rsidRPr="00514D5A">
        <w:rPr>
          <w:rFonts w:ascii="Arial" w:hAnsi="Arial" w:cs="Arial"/>
          <w:sz w:val="20"/>
          <w:szCs w:val="20"/>
        </w:rPr>
        <w:t>Milidonis</w:t>
      </w:r>
      <w:proofErr w:type="spellEnd"/>
      <w:r w:rsidRPr="00514D5A">
        <w:rPr>
          <w:rFonts w:ascii="Arial" w:hAnsi="Arial" w:cs="Arial"/>
          <w:sz w:val="20"/>
          <w:szCs w:val="20"/>
        </w:rPr>
        <w:t xml:space="preserve">, A. and </w:t>
      </w:r>
      <w:proofErr w:type="spellStart"/>
      <w:r w:rsidRPr="00514D5A">
        <w:rPr>
          <w:rFonts w:ascii="Arial" w:hAnsi="Arial" w:cs="Arial"/>
          <w:sz w:val="20"/>
          <w:szCs w:val="20"/>
        </w:rPr>
        <w:t>Stulz</w:t>
      </w:r>
      <w:proofErr w:type="spellEnd"/>
      <w:r w:rsidRPr="00514D5A">
        <w:rPr>
          <w:rFonts w:ascii="Arial" w:hAnsi="Arial" w:cs="Arial"/>
          <w:sz w:val="20"/>
          <w:szCs w:val="20"/>
        </w:rPr>
        <w:t xml:space="preserve">, R.M. (2021): “Risk management, firm reputation, and the impact of successful cyberattacks on target firms”, Journal of Financial Economics, </w:t>
      </w:r>
      <w:proofErr w:type="spellStart"/>
      <w:r w:rsidRPr="00514D5A">
        <w:rPr>
          <w:rFonts w:ascii="Arial" w:hAnsi="Arial" w:cs="Arial"/>
          <w:sz w:val="20"/>
          <w:szCs w:val="20"/>
        </w:rPr>
        <w:t>vol</w:t>
      </w:r>
      <w:proofErr w:type="spellEnd"/>
      <w:r w:rsidRPr="00514D5A">
        <w:rPr>
          <w:rFonts w:ascii="Arial" w:hAnsi="Arial" w:cs="Arial"/>
          <w:sz w:val="20"/>
          <w:szCs w:val="20"/>
        </w:rPr>
        <w:t xml:space="preserve"> 139, pp. 719-749.</w:t>
      </w:r>
      <w:hyperlink r:id="rId23" w:history="1">
        <w:r w:rsidRPr="00514D5A">
          <w:rPr>
            <w:rStyle w:val="Hyperlink"/>
            <w:rFonts w:ascii="Arial" w:hAnsi="Arial" w:cs="Arial"/>
            <w:sz w:val="20"/>
            <w:szCs w:val="20"/>
          </w:rPr>
          <w:t>https://doi.org/10.1016/j.jfineco.2019.05.019</w:t>
        </w:r>
      </w:hyperlink>
      <w:r w:rsidRPr="00514D5A">
        <w:rPr>
          <w:rFonts w:ascii="Arial" w:hAnsi="Arial" w:cs="Arial"/>
          <w:sz w:val="20"/>
          <w:szCs w:val="20"/>
        </w:rPr>
        <w:t>.</w:t>
      </w:r>
    </w:p>
    <w:p w14:paraId="4B08AF65" w14:textId="77777777" w:rsidR="00FC2C4B" w:rsidRPr="00514D5A" w:rsidRDefault="00FC2C4B" w:rsidP="00FC2C4B">
      <w:pPr>
        <w:spacing w:line="480" w:lineRule="auto"/>
        <w:ind w:left="360" w:hanging="360"/>
        <w:jc w:val="both"/>
        <w:rPr>
          <w:rFonts w:ascii="Arial" w:hAnsi="Arial" w:cs="Arial"/>
          <w:bCs/>
          <w:iCs/>
          <w:sz w:val="20"/>
          <w:szCs w:val="20"/>
        </w:rPr>
      </w:pPr>
      <w:r w:rsidRPr="00514D5A">
        <w:rPr>
          <w:rFonts w:ascii="Arial" w:hAnsi="Arial" w:cs="Arial"/>
          <w:bCs/>
          <w:iCs/>
          <w:sz w:val="20"/>
          <w:szCs w:val="20"/>
        </w:rPr>
        <w:t>KPMG (2005), Strategic Risk Management Survey: A Survey of Contemporary Strategic Risk Management Practices in Australia and New Zealand, KPMG.</w:t>
      </w:r>
    </w:p>
    <w:p w14:paraId="2E328E42" w14:textId="77777777" w:rsidR="00132AC1" w:rsidRPr="00514D5A" w:rsidRDefault="00132AC1" w:rsidP="00B1407A">
      <w:pPr>
        <w:spacing w:line="480" w:lineRule="auto"/>
        <w:ind w:left="360" w:hanging="360"/>
        <w:jc w:val="both"/>
        <w:rPr>
          <w:rFonts w:ascii="Arial" w:hAnsi="Arial" w:cs="Arial"/>
          <w:b/>
          <w:bCs/>
          <w:iCs/>
          <w:sz w:val="20"/>
          <w:szCs w:val="20"/>
        </w:rPr>
      </w:pPr>
      <w:proofErr w:type="spellStart"/>
      <w:r w:rsidRPr="00514D5A">
        <w:rPr>
          <w:rFonts w:ascii="Arial" w:hAnsi="Arial" w:cs="Arial"/>
          <w:sz w:val="20"/>
          <w:szCs w:val="20"/>
        </w:rPr>
        <w:t>Krolikowski</w:t>
      </w:r>
      <w:proofErr w:type="spellEnd"/>
      <w:r w:rsidRPr="00514D5A">
        <w:rPr>
          <w:rFonts w:ascii="Arial" w:hAnsi="Arial" w:cs="Arial"/>
          <w:sz w:val="20"/>
          <w:szCs w:val="20"/>
        </w:rPr>
        <w:t xml:space="preserve">, M.W. (2016), “Incentive pay and acquirer returns-The impact of Sarbanes Oxley”, </w:t>
      </w:r>
      <w:r w:rsidRPr="00514D5A">
        <w:rPr>
          <w:rFonts w:ascii="Arial" w:hAnsi="Arial" w:cs="Arial"/>
          <w:i/>
          <w:sz w:val="20"/>
          <w:szCs w:val="20"/>
        </w:rPr>
        <w:t>The Quarterly Review of Economics and Finance,</w:t>
      </w:r>
      <w:r w:rsidRPr="00514D5A">
        <w:rPr>
          <w:rFonts w:ascii="Arial" w:hAnsi="Arial" w:cs="Arial"/>
          <w:sz w:val="20"/>
          <w:szCs w:val="20"/>
        </w:rPr>
        <w:t xml:space="preserve"> Vol. 59, Issue C, pp. 99-111.</w:t>
      </w:r>
      <w:r w:rsidRPr="00514D5A">
        <w:rPr>
          <w:rFonts w:ascii="Arial" w:hAnsi="Arial" w:cs="Arial"/>
          <w:iCs/>
          <w:sz w:val="20"/>
          <w:szCs w:val="20"/>
        </w:rPr>
        <w:t>https://doi.org/10.1016/j.qref.2015.06.007</w:t>
      </w:r>
    </w:p>
    <w:p w14:paraId="64883638" w14:textId="77777777" w:rsidR="00132AC1" w:rsidRPr="00514D5A" w:rsidRDefault="00132AC1" w:rsidP="00B1407A">
      <w:pPr>
        <w:spacing w:line="480" w:lineRule="auto"/>
        <w:ind w:left="360" w:hanging="360"/>
        <w:jc w:val="both"/>
        <w:rPr>
          <w:rFonts w:ascii="Arial" w:hAnsi="Arial" w:cs="Arial"/>
          <w:sz w:val="20"/>
          <w:szCs w:val="20"/>
        </w:rPr>
      </w:pPr>
      <w:r w:rsidRPr="00514D5A">
        <w:rPr>
          <w:rFonts w:ascii="Arial" w:eastAsia="Calibri" w:hAnsi="Arial" w:cs="Arial"/>
          <w:sz w:val="20"/>
          <w:szCs w:val="20"/>
        </w:rPr>
        <w:t xml:space="preserve">Kumar, V., Dixit, A., </w:t>
      </w:r>
      <w:proofErr w:type="spellStart"/>
      <w:r w:rsidRPr="00514D5A">
        <w:rPr>
          <w:rFonts w:ascii="Arial" w:eastAsia="Calibri" w:hAnsi="Arial" w:cs="Arial"/>
          <w:sz w:val="20"/>
          <w:szCs w:val="20"/>
        </w:rPr>
        <w:t>Javalgi</w:t>
      </w:r>
      <w:proofErr w:type="spellEnd"/>
      <w:r w:rsidRPr="00514D5A">
        <w:rPr>
          <w:rFonts w:ascii="Arial" w:eastAsia="Calibri" w:hAnsi="Arial" w:cs="Arial"/>
          <w:sz w:val="20"/>
          <w:szCs w:val="20"/>
        </w:rPr>
        <w:t xml:space="preserve">, R. R. G., &amp; </w:t>
      </w:r>
      <w:proofErr w:type="spellStart"/>
      <w:r w:rsidRPr="00514D5A">
        <w:rPr>
          <w:rFonts w:ascii="Arial" w:eastAsia="Calibri" w:hAnsi="Arial" w:cs="Arial"/>
          <w:sz w:val="20"/>
          <w:szCs w:val="20"/>
        </w:rPr>
        <w:t>Dass</w:t>
      </w:r>
      <w:proofErr w:type="spellEnd"/>
      <w:r w:rsidRPr="00514D5A">
        <w:rPr>
          <w:rFonts w:ascii="Arial" w:eastAsia="Calibri" w:hAnsi="Arial" w:cs="Arial"/>
          <w:sz w:val="20"/>
          <w:szCs w:val="20"/>
        </w:rPr>
        <w:t xml:space="preserve">, M. (2017). Research framework, strategies, and applications of intelligent agent technologies (IATs) in marketing. </w:t>
      </w:r>
      <w:r w:rsidRPr="00514D5A">
        <w:rPr>
          <w:rFonts w:ascii="Arial" w:eastAsia="Calibri" w:hAnsi="Arial" w:cs="Arial"/>
          <w:i/>
          <w:sz w:val="20"/>
          <w:szCs w:val="20"/>
        </w:rPr>
        <w:t>Journal of the Academy of Marketing Science, 44(1), 24-45.</w:t>
      </w:r>
      <w:hyperlink r:id="rId24" w:history="1">
        <w:r w:rsidRPr="00514D5A">
          <w:rPr>
            <w:rStyle w:val="Hyperlink"/>
            <w:rFonts w:ascii="Arial" w:hAnsi="Arial" w:cs="Arial"/>
            <w:color w:val="auto"/>
            <w:sz w:val="20"/>
            <w:szCs w:val="20"/>
          </w:rPr>
          <w:t>https://doi.org/10.1007/s11747-015-0426-9</w:t>
        </w:r>
      </w:hyperlink>
      <w:r w:rsidRPr="00514D5A">
        <w:rPr>
          <w:rFonts w:ascii="Arial" w:hAnsi="Arial" w:cs="Arial"/>
          <w:sz w:val="20"/>
          <w:szCs w:val="20"/>
        </w:rPr>
        <w:t>.</w:t>
      </w:r>
    </w:p>
    <w:p w14:paraId="62094628" w14:textId="77777777" w:rsidR="00132AC1" w:rsidRPr="00514D5A" w:rsidRDefault="00132AC1" w:rsidP="00B1407A">
      <w:pPr>
        <w:spacing w:line="480" w:lineRule="auto"/>
        <w:ind w:left="360" w:hanging="360"/>
        <w:jc w:val="both"/>
        <w:rPr>
          <w:rFonts w:ascii="Arial" w:hAnsi="Arial" w:cs="Arial"/>
          <w:sz w:val="20"/>
          <w:szCs w:val="20"/>
        </w:rPr>
      </w:pPr>
      <w:bookmarkStart w:id="50" w:name="_Hlk174721739"/>
      <w:r w:rsidRPr="00514D5A">
        <w:rPr>
          <w:rFonts w:ascii="Arial" w:hAnsi="Arial" w:cs="Arial"/>
          <w:sz w:val="20"/>
          <w:szCs w:val="20"/>
        </w:rPr>
        <w:t xml:space="preserve">Lam, J. C. (2023, April 28). </w:t>
      </w:r>
      <w:bookmarkEnd w:id="50"/>
      <w:r w:rsidRPr="00514D5A">
        <w:rPr>
          <w:rFonts w:ascii="Arial" w:hAnsi="Arial" w:cs="Arial"/>
          <w:iCs/>
          <w:sz w:val="20"/>
          <w:szCs w:val="20"/>
        </w:rPr>
        <w:t>How banks can finally get risk management right</w:t>
      </w:r>
      <w:r w:rsidRPr="00514D5A">
        <w:rPr>
          <w:rFonts w:ascii="Arial" w:hAnsi="Arial" w:cs="Arial"/>
          <w:sz w:val="20"/>
          <w:szCs w:val="20"/>
        </w:rPr>
        <w:t xml:space="preserve">. </w:t>
      </w:r>
      <w:r w:rsidRPr="00514D5A">
        <w:rPr>
          <w:rFonts w:ascii="Arial" w:hAnsi="Arial" w:cs="Arial"/>
          <w:i/>
          <w:sz w:val="20"/>
          <w:szCs w:val="20"/>
        </w:rPr>
        <w:t>Harvard Business Review</w:t>
      </w:r>
      <w:r w:rsidRPr="00514D5A">
        <w:rPr>
          <w:rFonts w:ascii="Arial" w:hAnsi="Arial" w:cs="Arial"/>
          <w:sz w:val="20"/>
          <w:szCs w:val="20"/>
        </w:rPr>
        <w:t xml:space="preserve">. </w:t>
      </w:r>
      <w:hyperlink r:id="rId25" w:tgtFrame="_new" w:history="1">
        <w:r w:rsidRPr="00514D5A">
          <w:rPr>
            <w:rStyle w:val="Hyperlink"/>
            <w:rFonts w:ascii="Arial" w:hAnsi="Arial" w:cs="Arial"/>
            <w:sz w:val="20"/>
            <w:szCs w:val="20"/>
          </w:rPr>
          <w:t>https://hbr.org/2023/04/how-banks-can-finally-get-risk-management-right</w:t>
        </w:r>
      </w:hyperlink>
      <w:bookmarkStart w:id="51" w:name="_Hlk174752542"/>
    </w:p>
    <w:bookmarkEnd w:id="51"/>
    <w:p w14:paraId="6063CD72" w14:textId="77777777" w:rsidR="00132AC1" w:rsidRPr="00514D5A" w:rsidRDefault="00132AC1" w:rsidP="00B1407A">
      <w:pPr>
        <w:spacing w:line="480" w:lineRule="auto"/>
        <w:ind w:left="360" w:hanging="360"/>
        <w:jc w:val="both"/>
        <w:rPr>
          <w:rFonts w:ascii="Arial" w:hAnsi="Arial" w:cs="Arial"/>
          <w:sz w:val="20"/>
          <w:szCs w:val="20"/>
        </w:rPr>
      </w:pPr>
      <w:r w:rsidRPr="00514D5A">
        <w:rPr>
          <w:rFonts w:ascii="Arial" w:hAnsi="Arial" w:cs="Arial"/>
          <w:iCs/>
          <w:sz w:val="20"/>
          <w:szCs w:val="20"/>
        </w:rPr>
        <w:t>Magee, S., Schilling, C. and Sheedy, E. (2019), “Risk governance in the insurance sector-determinants and consequences in an international sample”, Journal of Risk and Insurance, Vol. 86, pp. 381-413.</w:t>
      </w:r>
    </w:p>
    <w:p w14:paraId="6FCD8AA4" w14:textId="77777777" w:rsidR="00132AC1" w:rsidRPr="00514D5A" w:rsidRDefault="00132AC1" w:rsidP="00B1407A">
      <w:pPr>
        <w:spacing w:line="480" w:lineRule="auto"/>
        <w:ind w:left="360" w:hanging="360"/>
        <w:jc w:val="both"/>
        <w:rPr>
          <w:rFonts w:ascii="Arial" w:hAnsi="Arial" w:cs="Arial"/>
          <w:sz w:val="20"/>
          <w:szCs w:val="20"/>
        </w:rPr>
      </w:pPr>
      <w:r w:rsidRPr="00514D5A">
        <w:rPr>
          <w:rFonts w:ascii="Arial" w:hAnsi="Arial" w:cs="Arial"/>
          <w:sz w:val="20"/>
          <w:szCs w:val="20"/>
        </w:rPr>
        <w:t xml:space="preserve">Malik, M. F., Zaman, M., &amp; </w:t>
      </w:r>
      <w:proofErr w:type="spellStart"/>
      <w:r w:rsidRPr="00514D5A">
        <w:rPr>
          <w:rFonts w:ascii="Arial" w:hAnsi="Arial" w:cs="Arial"/>
          <w:sz w:val="20"/>
          <w:szCs w:val="20"/>
        </w:rPr>
        <w:t>Buckby</w:t>
      </w:r>
      <w:proofErr w:type="spellEnd"/>
      <w:r w:rsidRPr="00514D5A">
        <w:rPr>
          <w:rFonts w:ascii="Arial" w:hAnsi="Arial" w:cs="Arial"/>
          <w:sz w:val="20"/>
          <w:szCs w:val="20"/>
        </w:rPr>
        <w:t>, S. (2020). Enterprise risk management and firm performance: Role of the risk committee. </w:t>
      </w:r>
      <w:r w:rsidRPr="00514D5A">
        <w:rPr>
          <w:rFonts w:ascii="Arial" w:hAnsi="Arial" w:cs="Arial"/>
          <w:i/>
          <w:iCs/>
          <w:sz w:val="20"/>
          <w:szCs w:val="20"/>
        </w:rPr>
        <w:t>Journal of Contemporary Accounting &amp; Economics</w:t>
      </w:r>
      <w:r w:rsidRPr="00514D5A">
        <w:rPr>
          <w:rFonts w:ascii="Arial" w:hAnsi="Arial" w:cs="Arial"/>
          <w:sz w:val="20"/>
          <w:szCs w:val="20"/>
        </w:rPr>
        <w:t>, </w:t>
      </w:r>
      <w:r w:rsidRPr="00514D5A">
        <w:rPr>
          <w:rFonts w:ascii="Arial" w:hAnsi="Arial" w:cs="Arial"/>
          <w:i/>
          <w:iCs/>
          <w:sz w:val="20"/>
          <w:szCs w:val="20"/>
        </w:rPr>
        <w:t>16</w:t>
      </w:r>
      <w:r w:rsidRPr="00514D5A">
        <w:rPr>
          <w:rFonts w:ascii="Arial" w:hAnsi="Arial" w:cs="Arial"/>
          <w:sz w:val="20"/>
          <w:szCs w:val="20"/>
        </w:rPr>
        <w:t>(1), 100178.https://doi.org/10.1016/j.jcae.2019.100178.</w:t>
      </w:r>
    </w:p>
    <w:p w14:paraId="3B4CBBED" w14:textId="4CFF7D4E" w:rsidR="00132AC1" w:rsidRPr="00514D5A" w:rsidRDefault="00132AC1" w:rsidP="00B1407A">
      <w:pPr>
        <w:spacing w:line="480" w:lineRule="auto"/>
        <w:ind w:left="360" w:hanging="360"/>
        <w:jc w:val="both"/>
        <w:rPr>
          <w:rFonts w:ascii="Arial" w:hAnsi="Arial" w:cs="Arial"/>
          <w:sz w:val="20"/>
          <w:szCs w:val="20"/>
        </w:rPr>
      </w:pPr>
      <w:proofErr w:type="spellStart"/>
      <w:r w:rsidRPr="00514D5A">
        <w:rPr>
          <w:rFonts w:ascii="Arial" w:hAnsi="Arial" w:cs="Arial"/>
          <w:iCs/>
          <w:sz w:val="20"/>
          <w:szCs w:val="20"/>
        </w:rPr>
        <w:t>Mallin</w:t>
      </w:r>
      <w:proofErr w:type="spellEnd"/>
      <w:r w:rsidRPr="00514D5A">
        <w:rPr>
          <w:rFonts w:ascii="Arial" w:hAnsi="Arial" w:cs="Arial"/>
          <w:iCs/>
          <w:sz w:val="20"/>
          <w:szCs w:val="20"/>
        </w:rPr>
        <w:t xml:space="preserve">, </w:t>
      </w:r>
      <w:r w:rsidR="00963445" w:rsidRPr="00514D5A">
        <w:rPr>
          <w:rFonts w:ascii="Arial" w:hAnsi="Arial" w:cs="Arial"/>
          <w:iCs/>
          <w:sz w:val="20"/>
          <w:szCs w:val="20"/>
        </w:rPr>
        <w:t>C.A. (</w:t>
      </w:r>
      <w:r w:rsidRPr="00514D5A">
        <w:rPr>
          <w:rFonts w:ascii="Arial" w:hAnsi="Arial" w:cs="Arial"/>
          <w:iCs/>
          <w:sz w:val="20"/>
          <w:szCs w:val="20"/>
        </w:rPr>
        <w:t>2007</w:t>
      </w:r>
      <w:r w:rsidR="00963445" w:rsidRPr="00514D5A">
        <w:rPr>
          <w:rFonts w:ascii="Arial" w:hAnsi="Arial" w:cs="Arial"/>
          <w:iCs/>
          <w:sz w:val="20"/>
          <w:szCs w:val="20"/>
        </w:rPr>
        <w:t>),</w:t>
      </w:r>
      <w:r w:rsidRPr="00514D5A">
        <w:rPr>
          <w:rFonts w:ascii="Arial" w:hAnsi="Arial" w:cs="Arial"/>
          <w:iCs/>
          <w:sz w:val="20"/>
          <w:szCs w:val="20"/>
        </w:rPr>
        <w:t xml:space="preserve"> </w:t>
      </w:r>
      <w:r w:rsidR="00963445" w:rsidRPr="00514D5A">
        <w:rPr>
          <w:rFonts w:ascii="Arial" w:hAnsi="Arial" w:cs="Arial"/>
          <w:i/>
          <w:iCs/>
          <w:sz w:val="20"/>
          <w:szCs w:val="20"/>
        </w:rPr>
        <w:t>“Corporate</w:t>
      </w:r>
      <w:r w:rsidRPr="00514D5A">
        <w:rPr>
          <w:rFonts w:ascii="Arial" w:hAnsi="Arial" w:cs="Arial"/>
          <w:i/>
          <w:iCs/>
          <w:sz w:val="20"/>
          <w:szCs w:val="20"/>
        </w:rPr>
        <w:t xml:space="preserve"> Governance</w:t>
      </w:r>
      <w:r w:rsidR="00963445" w:rsidRPr="00514D5A">
        <w:rPr>
          <w:rFonts w:ascii="Arial" w:hAnsi="Arial" w:cs="Arial"/>
          <w:i/>
          <w:iCs/>
          <w:sz w:val="20"/>
          <w:szCs w:val="20"/>
        </w:rPr>
        <w:t>”,</w:t>
      </w:r>
      <w:r w:rsidRPr="00514D5A">
        <w:rPr>
          <w:rFonts w:ascii="Arial" w:hAnsi="Arial" w:cs="Arial"/>
          <w:i/>
          <w:iCs/>
          <w:sz w:val="20"/>
          <w:szCs w:val="20"/>
        </w:rPr>
        <w:t xml:space="preserve"> 2nd</w:t>
      </w:r>
      <w:r w:rsidRPr="00514D5A">
        <w:rPr>
          <w:rFonts w:ascii="Arial" w:hAnsi="Arial" w:cs="Arial"/>
          <w:iCs/>
          <w:sz w:val="20"/>
          <w:szCs w:val="20"/>
        </w:rPr>
        <w:t xml:space="preserve"> Edition, Oxford University Press, Oxford, UK.</w:t>
      </w:r>
    </w:p>
    <w:p w14:paraId="1D412307" w14:textId="4C056F00" w:rsidR="00132AC1" w:rsidRPr="00514D5A" w:rsidRDefault="00132AC1" w:rsidP="00B1407A">
      <w:pPr>
        <w:spacing w:line="480" w:lineRule="auto"/>
        <w:ind w:left="360" w:hanging="360"/>
        <w:jc w:val="both"/>
        <w:rPr>
          <w:rFonts w:ascii="Arial" w:hAnsi="Arial" w:cs="Arial"/>
          <w:sz w:val="20"/>
          <w:szCs w:val="20"/>
        </w:rPr>
      </w:pPr>
      <w:r w:rsidRPr="00514D5A">
        <w:rPr>
          <w:rFonts w:ascii="Arial" w:hAnsi="Arial" w:cs="Arial"/>
          <w:sz w:val="20"/>
          <w:szCs w:val="20"/>
        </w:rPr>
        <w:lastRenderedPageBreak/>
        <w:t xml:space="preserve">OECD (2014), </w:t>
      </w:r>
      <w:r w:rsidRPr="00514D5A">
        <w:rPr>
          <w:rFonts w:ascii="Arial" w:hAnsi="Arial" w:cs="Arial"/>
          <w:i/>
          <w:iCs/>
          <w:sz w:val="20"/>
          <w:szCs w:val="20"/>
        </w:rPr>
        <w:t>Risk Management and Corporate Governance</w:t>
      </w:r>
      <w:r w:rsidRPr="00514D5A">
        <w:rPr>
          <w:rFonts w:ascii="Arial" w:hAnsi="Arial" w:cs="Arial"/>
          <w:sz w:val="20"/>
          <w:szCs w:val="20"/>
        </w:rPr>
        <w:t xml:space="preserve">, Corporate Governance, OECD </w:t>
      </w:r>
      <w:r w:rsidR="00963445" w:rsidRPr="00514D5A">
        <w:rPr>
          <w:rFonts w:ascii="Arial" w:hAnsi="Arial" w:cs="Arial"/>
          <w:sz w:val="20"/>
          <w:szCs w:val="20"/>
        </w:rPr>
        <w:t>Publishing.</w:t>
      </w:r>
      <w:r w:rsidR="00963445" w:rsidRPr="00514D5A">
        <w:rPr>
          <w:rFonts w:ascii="Arial" w:hAnsi="Arial" w:cs="Arial"/>
          <w:i/>
          <w:iCs/>
          <w:sz w:val="20"/>
          <w:szCs w:val="20"/>
        </w:rPr>
        <w:t xml:space="preserve"> Http</w:t>
      </w:r>
      <w:r w:rsidRPr="00514D5A">
        <w:rPr>
          <w:rFonts w:ascii="Arial" w:hAnsi="Arial" w:cs="Arial"/>
          <w:i/>
          <w:iCs/>
          <w:sz w:val="20"/>
          <w:szCs w:val="20"/>
        </w:rPr>
        <w:t>://dx.doi.org/10.1787/9789264208636-en</w:t>
      </w:r>
      <w:bookmarkStart w:id="52" w:name="_Hlk149207724"/>
      <w:r w:rsidRPr="00514D5A">
        <w:rPr>
          <w:rFonts w:ascii="Arial" w:hAnsi="Arial" w:cs="Arial"/>
          <w:sz w:val="20"/>
          <w:szCs w:val="20"/>
        </w:rPr>
        <w:t>.</w:t>
      </w:r>
    </w:p>
    <w:p w14:paraId="263164DC" w14:textId="128E4DF8" w:rsidR="00132AC1" w:rsidRPr="00514D5A" w:rsidRDefault="00132AC1" w:rsidP="00B1407A">
      <w:pPr>
        <w:spacing w:line="480" w:lineRule="auto"/>
        <w:ind w:left="360" w:hanging="360"/>
        <w:jc w:val="both"/>
        <w:rPr>
          <w:rFonts w:ascii="Arial" w:hAnsi="Arial" w:cs="Arial"/>
          <w:sz w:val="20"/>
          <w:szCs w:val="20"/>
        </w:rPr>
      </w:pPr>
      <w:bookmarkStart w:id="53" w:name="_Hlk149173086"/>
      <w:bookmarkEnd w:id="52"/>
      <w:r w:rsidRPr="00514D5A">
        <w:rPr>
          <w:rFonts w:ascii="Arial" w:hAnsi="Arial" w:cs="Arial"/>
          <w:sz w:val="20"/>
          <w:szCs w:val="20"/>
        </w:rPr>
        <w:t xml:space="preserve">Petra, S., &amp; </w:t>
      </w:r>
      <w:proofErr w:type="spellStart"/>
      <w:r w:rsidRPr="00514D5A">
        <w:rPr>
          <w:rFonts w:ascii="Arial" w:hAnsi="Arial" w:cs="Arial"/>
          <w:sz w:val="20"/>
          <w:szCs w:val="20"/>
        </w:rPr>
        <w:t>Spieler</w:t>
      </w:r>
      <w:proofErr w:type="spellEnd"/>
      <w:r w:rsidRPr="00514D5A">
        <w:rPr>
          <w:rFonts w:ascii="Arial" w:hAnsi="Arial" w:cs="Arial"/>
          <w:sz w:val="20"/>
          <w:szCs w:val="20"/>
        </w:rPr>
        <w:t>, A. C. (2020)</w:t>
      </w:r>
      <w:bookmarkEnd w:id="53"/>
      <w:r w:rsidRPr="00514D5A">
        <w:rPr>
          <w:rFonts w:ascii="Arial" w:hAnsi="Arial" w:cs="Arial"/>
          <w:sz w:val="20"/>
          <w:szCs w:val="20"/>
        </w:rPr>
        <w:t xml:space="preserve">. Accounting scandals: Enron, </w:t>
      </w:r>
      <w:r w:rsidR="00963445" w:rsidRPr="00514D5A">
        <w:rPr>
          <w:rFonts w:ascii="Arial" w:hAnsi="Arial" w:cs="Arial"/>
          <w:sz w:val="20"/>
          <w:szCs w:val="20"/>
        </w:rPr>
        <w:t>WorldCom</w:t>
      </w:r>
      <w:r w:rsidRPr="00514D5A">
        <w:rPr>
          <w:rFonts w:ascii="Arial" w:hAnsi="Arial" w:cs="Arial"/>
          <w:sz w:val="20"/>
          <w:szCs w:val="20"/>
        </w:rPr>
        <w:t>, and global crossing. In </w:t>
      </w:r>
      <w:proofErr w:type="gramStart"/>
      <w:r w:rsidRPr="00514D5A">
        <w:rPr>
          <w:rFonts w:ascii="Arial" w:hAnsi="Arial" w:cs="Arial"/>
          <w:i/>
          <w:iCs/>
          <w:sz w:val="20"/>
          <w:szCs w:val="20"/>
        </w:rPr>
        <w:t>Corporate</w:t>
      </w:r>
      <w:proofErr w:type="gramEnd"/>
      <w:r w:rsidRPr="00514D5A">
        <w:rPr>
          <w:rFonts w:ascii="Arial" w:hAnsi="Arial" w:cs="Arial"/>
          <w:i/>
          <w:iCs/>
          <w:sz w:val="20"/>
          <w:szCs w:val="20"/>
        </w:rPr>
        <w:t xml:space="preserve"> fraud exposed</w:t>
      </w:r>
      <w:r w:rsidRPr="00514D5A">
        <w:rPr>
          <w:rFonts w:ascii="Arial" w:hAnsi="Arial" w:cs="Arial"/>
          <w:sz w:val="20"/>
          <w:szCs w:val="20"/>
        </w:rPr>
        <w:t xml:space="preserve"> (pp. 343-360). Emerald Publishing </w:t>
      </w:r>
      <w:r w:rsidR="00963445" w:rsidRPr="00514D5A">
        <w:rPr>
          <w:rFonts w:ascii="Arial" w:hAnsi="Arial" w:cs="Arial"/>
          <w:sz w:val="20"/>
          <w:szCs w:val="20"/>
        </w:rPr>
        <w:t>Limited.</w:t>
      </w:r>
      <w:r w:rsidR="00963445" w:rsidRPr="00514D5A">
        <w:rPr>
          <w:rFonts w:ascii="Arial" w:hAnsi="Arial" w:cs="Arial"/>
          <w:iCs/>
          <w:sz w:val="20"/>
          <w:szCs w:val="20"/>
        </w:rPr>
        <w:t xml:space="preserve"> HTTPs</w:t>
      </w:r>
      <w:r w:rsidRPr="00514D5A">
        <w:rPr>
          <w:rFonts w:ascii="Arial" w:hAnsi="Arial" w:cs="Arial"/>
          <w:iCs/>
          <w:sz w:val="20"/>
          <w:szCs w:val="20"/>
        </w:rPr>
        <w:t>://doi.org/10.1108/978-1-78973-417-120201022.</w:t>
      </w:r>
    </w:p>
    <w:p w14:paraId="556DF2A9" w14:textId="5109DC10" w:rsidR="00132AC1" w:rsidRPr="00514D5A" w:rsidRDefault="00132AC1" w:rsidP="00B1407A">
      <w:pPr>
        <w:spacing w:line="480" w:lineRule="auto"/>
        <w:ind w:left="360" w:hanging="360"/>
        <w:jc w:val="both"/>
        <w:rPr>
          <w:rFonts w:ascii="Arial" w:hAnsi="Arial" w:cs="Arial"/>
          <w:sz w:val="20"/>
          <w:szCs w:val="20"/>
        </w:rPr>
      </w:pPr>
      <w:r w:rsidRPr="00514D5A">
        <w:rPr>
          <w:rFonts w:ascii="Arial" w:hAnsi="Arial" w:cs="Arial"/>
          <w:bCs/>
          <w:sz w:val="20"/>
          <w:szCs w:val="20"/>
        </w:rPr>
        <w:t xml:space="preserve">Pirani Risk, (2022) </w:t>
      </w:r>
      <w:r w:rsidRPr="00514D5A">
        <w:rPr>
          <w:rFonts w:ascii="Arial" w:hAnsi="Arial" w:cs="Arial"/>
          <w:bCs/>
          <w:iCs/>
          <w:sz w:val="20"/>
          <w:szCs w:val="20"/>
        </w:rPr>
        <w:t>Case Study: Barings Bank Fraud</w:t>
      </w:r>
      <w:r w:rsidRPr="00514D5A">
        <w:rPr>
          <w:rFonts w:ascii="Arial" w:hAnsi="Arial" w:cs="Arial"/>
          <w:bCs/>
          <w:sz w:val="20"/>
          <w:szCs w:val="20"/>
        </w:rPr>
        <w:t xml:space="preserve">, available at: </w:t>
      </w:r>
      <w:hyperlink r:id="rId26" w:tgtFrame="_new" w:history="1">
        <w:r w:rsidRPr="00514D5A">
          <w:rPr>
            <w:rStyle w:val="Hyperlink"/>
            <w:rFonts w:ascii="Arial" w:hAnsi="Arial" w:cs="Arial"/>
            <w:bCs/>
            <w:sz w:val="20"/>
            <w:szCs w:val="20"/>
          </w:rPr>
          <w:t>https://www.piranirisk.com/blog/case-study-barings-bank-fraud</w:t>
        </w:r>
      </w:hyperlink>
      <w:r w:rsidRPr="00514D5A">
        <w:rPr>
          <w:rFonts w:ascii="Arial" w:hAnsi="Arial" w:cs="Arial"/>
          <w:bCs/>
          <w:sz w:val="20"/>
          <w:szCs w:val="20"/>
        </w:rPr>
        <w:t xml:space="preserve"> (accessed 14. 02. 2024).</w:t>
      </w:r>
    </w:p>
    <w:p w14:paraId="76031F8C" w14:textId="1F8F8B10" w:rsidR="00132AC1" w:rsidRPr="00514D5A" w:rsidRDefault="00132AC1" w:rsidP="00B1407A">
      <w:pPr>
        <w:spacing w:line="480" w:lineRule="auto"/>
        <w:ind w:left="360" w:hanging="360"/>
        <w:jc w:val="both"/>
        <w:rPr>
          <w:rFonts w:ascii="Arial" w:hAnsi="Arial" w:cs="Arial"/>
          <w:sz w:val="20"/>
          <w:szCs w:val="20"/>
        </w:rPr>
      </w:pPr>
      <w:r w:rsidRPr="00514D5A">
        <w:rPr>
          <w:rFonts w:ascii="Arial" w:hAnsi="Arial" w:cs="Arial"/>
          <w:iCs/>
          <w:sz w:val="20"/>
          <w:szCs w:val="20"/>
        </w:rPr>
        <w:t>Prentice, R.</w:t>
      </w:r>
      <w:r w:rsidR="00711355" w:rsidRPr="00514D5A">
        <w:rPr>
          <w:rFonts w:ascii="Arial" w:hAnsi="Arial" w:cs="Arial"/>
          <w:iCs/>
          <w:sz w:val="20"/>
          <w:szCs w:val="20"/>
        </w:rPr>
        <w:t>A</w:t>
      </w:r>
      <w:r w:rsidRPr="00514D5A">
        <w:rPr>
          <w:rFonts w:ascii="Arial" w:hAnsi="Arial" w:cs="Arial"/>
          <w:iCs/>
          <w:sz w:val="20"/>
          <w:szCs w:val="20"/>
        </w:rPr>
        <w:t>, (2022). The Collapse of Barings Bank. [</w:t>
      </w:r>
      <w:proofErr w:type="gramStart"/>
      <w:r w:rsidRPr="00514D5A">
        <w:rPr>
          <w:rFonts w:ascii="Arial" w:hAnsi="Arial" w:cs="Arial"/>
          <w:iCs/>
          <w:sz w:val="20"/>
          <w:szCs w:val="20"/>
        </w:rPr>
        <w:t>pdf</w:t>
      </w:r>
      <w:proofErr w:type="gramEnd"/>
      <w:r w:rsidRPr="00514D5A">
        <w:rPr>
          <w:rFonts w:ascii="Arial" w:hAnsi="Arial" w:cs="Arial"/>
          <w:iCs/>
          <w:sz w:val="20"/>
          <w:szCs w:val="20"/>
        </w:rPr>
        <w:t xml:space="preserve">] Ethics Unwrapped, University of Texas at Austin, available at: </w:t>
      </w:r>
      <w:hyperlink r:id="rId27" w:tgtFrame="_new" w:history="1">
        <w:r w:rsidRPr="00514D5A">
          <w:rPr>
            <w:rStyle w:val="Hyperlink"/>
            <w:rFonts w:ascii="Arial" w:hAnsi="Arial" w:cs="Arial"/>
            <w:iCs/>
            <w:sz w:val="20"/>
            <w:szCs w:val="20"/>
          </w:rPr>
          <w:t>https://ethicsunwrapped.utexas.edu/wp-content/uploads/2022/10/22-The-Collapse-of-Barings-Bank.pdf</w:t>
        </w:r>
      </w:hyperlink>
      <w:r w:rsidRPr="00514D5A">
        <w:rPr>
          <w:rFonts w:ascii="Arial" w:hAnsi="Arial" w:cs="Arial"/>
          <w:iCs/>
          <w:sz w:val="20"/>
          <w:szCs w:val="20"/>
        </w:rPr>
        <w:t xml:space="preserve"> (accessed 10.02.2024).</w:t>
      </w:r>
      <w:bookmarkStart w:id="54" w:name="_Hlk149167127"/>
    </w:p>
    <w:p w14:paraId="18B500ED" w14:textId="77777777" w:rsidR="00132AC1" w:rsidRPr="00514D5A" w:rsidRDefault="00132AC1" w:rsidP="00B1407A">
      <w:pPr>
        <w:spacing w:line="480" w:lineRule="auto"/>
        <w:ind w:left="360" w:hanging="360"/>
        <w:jc w:val="both"/>
        <w:rPr>
          <w:rFonts w:ascii="Arial" w:hAnsi="Arial" w:cs="Arial"/>
          <w:sz w:val="20"/>
          <w:szCs w:val="20"/>
        </w:rPr>
      </w:pPr>
      <w:bookmarkStart w:id="55" w:name="_Hlk176610350"/>
      <w:bookmarkEnd w:id="54"/>
      <w:proofErr w:type="spellStart"/>
      <w:r w:rsidRPr="00514D5A">
        <w:rPr>
          <w:rFonts w:ascii="Arial" w:hAnsi="Arial" w:cs="Arial"/>
          <w:sz w:val="20"/>
          <w:szCs w:val="20"/>
        </w:rPr>
        <w:t>Rafique</w:t>
      </w:r>
      <w:proofErr w:type="spellEnd"/>
      <w:r w:rsidRPr="00514D5A">
        <w:rPr>
          <w:rFonts w:ascii="Arial" w:hAnsi="Arial" w:cs="Arial"/>
          <w:sz w:val="20"/>
          <w:szCs w:val="20"/>
        </w:rPr>
        <w:t xml:space="preserve">, R. B., &amp; </w:t>
      </w:r>
      <w:proofErr w:type="spellStart"/>
      <w:r w:rsidRPr="00514D5A">
        <w:rPr>
          <w:rFonts w:ascii="Arial" w:hAnsi="Arial" w:cs="Arial"/>
          <w:sz w:val="20"/>
          <w:szCs w:val="20"/>
        </w:rPr>
        <w:t>Duraisingam</w:t>
      </w:r>
      <w:proofErr w:type="spellEnd"/>
      <w:r w:rsidRPr="00514D5A">
        <w:rPr>
          <w:rFonts w:ascii="Arial" w:hAnsi="Arial" w:cs="Arial"/>
          <w:sz w:val="20"/>
          <w:szCs w:val="20"/>
        </w:rPr>
        <w:t xml:space="preserve">, T. J. (2023). </w:t>
      </w:r>
      <w:bookmarkEnd w:id="55"/>
      <w:r w:rsidRPr="00514D5A">
        <w:rPr>
          <w:rFonts w:ascii="Arial" w:hAnsi="Arial" w:cs="Arial"/>
          <w:sz w:val="20"/>
          <w:szCs w:val="20"/>
        </w:rPr>
        <w:t xml:space="preserve">The risk of fraudulent letter of credit transactions in Bangladesh: a growing threat to Bangladesh’s economy. </w:t>
      </w:r>
      <w:r w:rsidRPr="00514D5A">
        <w:rPr>
          <w:rFonts w:ascii="Arial" w:hAnsi="Arial" w:cs="Arial"/>
          <w:i/>
          <w:sz w:val="20"/>
          <w:szCs w:val="20"/>
        </w:rPr>
        <w:t>Journal of Financial Crime, (ahead-of</w:t>
      </w:r>
      <w:r w:rsidRPr="00514D5A">
        <w:rPr>
          <w:rFonts w:ascii="Arial" w:hAnsi="Arial" w:cs="Arial"/>
          <w:sz w:val="20"/>
          <w:szCs w:val="20"/>
        </w:rPr>
        <w:t>-</w:t>
      </w:r>
      <w:r w:rsidRPr="00514D5A">
        <w:rPr>
          <w:rFonts w:ascii="Arial" w:hAnsi="Arial" w:cs="Arial"/>
          <w:i/>
          <w:sz w:val="20"/>
          <w:szCs w:val="20"/>
        </w:rPr>
        <w:t>print).</w:t>
      </w:r>
    </w:p>
    <w:p w14:paraId="72F13639" w14:textId="77777777" w:rsidR="00132AC1" w:rsidRPr="00514D5A" w:rsidRDefault="00132AC1" w:rsidP="00B1407A">
      <w:pPr>
        <w:spacing w:line="480" w:lineRule="auto"/>
        <w:ind w:left="360" w:hanging="360"/>
        <w:jc w:val="both"/>
        <w:rPr>
          <w:rFonts w:ascii="Arial" w:hAnsi="Arial" w:cs="Arial"/>
          <w:sz w:val="20"/>
          <w:szCs w:val="20"/>
        </w:rPr>
      </w:pPr>
      <w:proofErr w:type="spellStart"/>
      <w:r w:rsidRPr="00514D5A">
        <w:rPr>
          <w:rFonts w:ascii="Arial" w:hAnsi="Arial" w:cs="Arial"/>
          <w:sz w:val="20"/>
          <w:szCs w:val="20"/>
        </w:rPr>
        <w:t>Ruigrok</w:t>
      </w:r>
      <w:proofErr w:type="spellEnd"/>
      <w:r w:rsidRPr="00514D5A">
        <w:rPr>
          <w:rFonts w:ascii="Arial" w:hAnsi="Arial" w:cs="Arial"/>
          <w:sz w:val="20"/>
          <w:szCs w:val="20"/>
        </w:rPr>
        <w:t xml:space="preserve">, W., Peck, S., </w:t>
      </w:r>
      <w:proofErr w:type="spellStart"/>
      <w:r w:rsidRPr="00514D5A">
        <w:rPr>
          <w:rFonts w:ascii="Arial" w:hAnsi="Arial" w:cs="Arial"/>
          <w:sz w:val="20"/>
          <w:szCs w:val="20"/>
        </w:rPr>
        <w:t>Tacheva</w:t>
      </w:r>
      <w:proofErr w:type="spellEnd"/>
      <w:r w:rsidRPr="00514D5A">
        <w:rPr>
          <w:rFonts w:ascii="Arial" w:hAnsi="Arial" w:cs="Arial"/>
          <w:sz w:val="20"/>
          <w:szCs w:val="20"/>
        </w:rPr>
        <w:t xml:space="preserve">, S., </w:t>
      </w:r>
      <w:proofErr w:type="spellStart"/>
      <w:r w:rsidRPr="00514D5A">
        <w:rPr>
          <w:rFonts w:ascii="Arial" w:hAnsi="Arial" w:cs="Arial"/>
          <w:sz w:val="20"/>
          <w:szCs w:val="20"/>
        </w:rPr>
        <w:t>Greve</w:t>
      </w:r>
      <w:proofErr w:type="spellEnd"/>
      <w:r w:rsidRPr="00514D5A">
        <w:rPr>
          <w:rFonts w:ascii="Arial" w:hAnsi="Arial" w:cs="Arial"/>
          <w:sz w:val="20"/>
          <w:szCs w:val="20"/>
        </w:rPr>
        <w:t xml:space="preserve">, P. and Hu, Y. (2006), “The determinants and effects of board nomination committees”, </w:t>
      </w:r>
      <w:r w:rsidRPr="00514D5A">
        <w:rPr>
          <w:rFonts w:ascii="Arial" w:hAnsi="Arial" w:cs="Arial"/>
          <w:i/>
          <w:sz w:val="20"/>
          <w:szCs w:val="20"/>
        </w:rPr>
        <w:t>Journal of Management Governance, Vol. 10, pp. 119-48</w:t>
      </w:r>
      <w:r w:rsidRPr="00514D5A">
        <w:rPr>
          <w:rFonts w:ascii="Arial" w:hAnsi="Arial" w:cs="Arial"/>
          <w:sz w:val="20"/>
          <w:szCs w:val="20"/>
        </w:rPr>
        <w:t>.DOI 10.1007/s10997-006-0001-3.</w:t>
      </w:r>
    </w:p>
    <w:p w14:paraId="2ABA1667" w14:textId="6888733E" w:rsidR="00132AC1" w:rsidRPr="00514D5A" w:rsidRDefault="00132AC1" w:rsidP="00B1407A">
      <w:pPr>
        <w:spacing w:line="480" w:lineRule="auto"/>
        <w:ind w:left="360" w:hanging="360"/>
        <w:jc w:val="both"/>
        <w:rPr>
          <w:rStyle w:val="Hyperlink"/>
          <w:rFonts w:ascii="Arial" w:hAnsi="Arial" w:cs="Arial"/>
          <w:sz w:val="20"/>
          <w:szCs w:val="20"/>
        </w:rPr>
      </w:pPr>
      <w:proofErr w:type="spellStart"/>
      <w:r w:rsidRPr="00514D5A">
        <w:rPr>
          <w:rFonts w:ascii="Arial" w:hAnsi="Arial" w:cs="Arial"/>
          <w:sz w:val="20"/>
          <w:szCs w:val="20"/>
        </w:rPr>
        <w:t>Scharff</w:t>
      </w:r>
      <w:proofErr w:type="spellEnd"/>
      <w:r w:rsidRPr="00514D5A">
        <w:rPr>
          <w:rFonts w:ascii="Arial" w:hAnsi="Arial" w:cs="Arial"/>
          <w:sz w:val="20"/>
          <w:szCs w:val="20"/>
        </w:rPr>
        <w:t xml:space="preserve">, M.M., (2005). “Understanding WorldCom’s Accounting Fraud in the Accounting Environment.” </w:t>
      </w:r>
      <w:r w:rsidRPr="00514D5A">
        <w:rPr>
          <w:rFonts w:ascii="Arial" w:hAnsi="Arial" w:cs="Arial"/>
          <w:i/>
          <w:sz w:val="20"/>
          <w:szCs w:val="20"/>
        </w:rPr>
        <w:t>Managerial Finance 26:11, 33</w:t>
      </w:r>
      <w:r w:rsidRPr="00514D5A">
        <w:rPr>
          <w:rFonts w:ascii="Arial" w:hAnsi="Arial" w:cs="Arial"/>
          <w:sz w:val="20"/>
          <w:szCs w:val="20"/>
        </w:rPr>
        <w:t xml:space="preserve">–41. </w:t>
      </w:r>
      <w:hyperlink r:id="rId28" w:history="1">
        <w:r w:rsidRPr="00514D5A">
          <w:rPr>
            <w:rStyle w:val="Hyperlink"/>
            <w:rFonts w:ascii="Arial" w:hAnsi="Arial" w:cs="Arial"/>
            <w:sz w:val="20"/>
            <w:szCs w:val="20"/>
          </w:rPr>
          <w:t>https://doi.org/10.1177/107179190501100309</w:t>
        </w:r>
      </w:hyperlink>
    </w:p>
    <w:p w14:paraId="60F512F8" w14:textId="77777777" w:rsidR="00614C5E" w:rsidRPr="00514D5A" w:rsidRDefault="00614C5E" w:rsidP="00614C5E">
      <w:pPr>
        <w:spacing w:line="480" w:lineRule="auto"/>
        <w:ind w:left="360" w:hanging="360"/>
        <w:jc w:val="both"/>
        <w:rPr>
          <w:rFonts w:ascii="Arial" w:hAnsi="Arial" w:cs="Arial"/>
          <w:sz w:val="20"/>
          <w:szCs w:val="20"/>
        </w:rPr>
      </w:pPr>
      <w:proofErr w:type="spellStart"/>
      <w:r w:rsidRPr="00514D5A">
        <w:rPr>
          <w:rFonts w:ascii="Arial" w:hAnsi="Arial" w:cs="Arial"/>
          <w:iCs/>
          <w:sz w:val="20"/>
          <w:szCs w:val="20"/>
        </w:rPr>
        <w:t>Shakatreh</w:t>
      </w:r>
      <w:proofErr w:type="spellEnd"/>
      <w:r w:rsidRPr="00514D5A">
        <w:rPr>
          <w:rFonts w:ascii="Arial" w:hAnsi="Arial" w:cs="Arial"/>
          <w:iCs/>
          <w:sz w:val="20"/>
          <w:szCs w:val="20"/>
        </w:rPr>
        <w:t xml:space="preserve">, M., </w:t>
      </w:r>
      <w:proofErr w:type="spellStart"/>
      <w:r w:rsidRPr="00514D5A">
        <w:rPr>
          <w:rFonts w:ascii="Arial" w:hAnsi="Arial" w:cs="Arial"/>
          <w:iCs/>
          <w:sz w:val="20"/>
          <w:szCs w:val="20"/>
        </w:rPr>
        <w:t>Rumman</w:t>
      </w:r>
      <w:proofErr w:type="spellEnd"/>
      <w:r w:rsidRPr="00514D5A">
        <w:rPr>
          <w:rFonts w:ascii="Arial" w:hAnsi="Arial" w:cs="Arial"/>
          <w:iCs/>
          <w:sz w:val="20"/>
          <w:szCs w:val="20"/>
        </w:rPr>
        <w:t xml:space="preserve">, M. A. A., &amp; </w:t>
      </w:r>
      <w:proofErr w:type="spellStart"/>
      <w:r w:rsidRPr="00514D5A">
        <w:rPr>
          <w:rFonts w:ascii="Arial" w:hAnsi="Arial" w:cs="Arial"/>
          <w:iCs/>
          <w:sz w:val="20"/>
          <w:szCs w:val="20"/>
        </w:rPr>
        <w:t>Mugableh</w:t>
      </w:r>
      <w:proofErr w:type="spellEnd"/>
      <w:r w:rsidRPr="00514D5A">
        <w:rPr>
          <w:rFonts w:ascii="Arial" w:hAnsi="Arial" w:cs="Arial"/>
          <w:iCs/>
          <w:sz w:val="20"/>
          <w:szCs w:val="20"/>
        </w:rPr>
        <w:t>, M. I. (2023). Reviewing the framework of risk management: policy and hedging. </w:t>
      </w:r>
      <w:r w:rsidRPr="00514D5A">
        <w:rPr>
          <w:rFonts w:ascii="Arial" w:hAnsi="Arial" w:cs="Arial"/>
          <w:i/>
          <w:iCs/>
          <w:sz w:val="20"/>
          <w:szCs w:val="20"/>
        </w:rPr>
        <w:t>International Journal of Professional Business Review: Int. J. Prof. Bus. Rev.</w:t>
      </w:r>
      <w:r w:rsidRPr="00514D5A">
        <w:rPr>
          <w:rFonts w:ascii="Arial" w:hAnsi="Arial" w:cs="Arial"/>
          <w:iCs/>
          <w:sz w:val="20"/>
          <w:szCs w:val="20"/>
        </w:rPr>
        <w:t>, </w:t>
      </w:r>
      <w:r w:rsidRPr="00514D5A">
        <w:rPr>
          <w:rFonts w:ascii="Arial" w:hAnsi="Arial" w:cs="Arial"/>
          <w:i/>
          <w:iCs/>
          <w:sz w:val="20"/>
          <w:szCs w:val="20"/>
        </w:rPr>
        <w:t>8</w:t>
      </w:r>
      <w:r w:rsidRPr="00514D5A">
        <w:rPr>
          <w:rFonts w:ascii="Arial" w:hAnsi="Arial" w:cs="Arial"/>
          <w:iCs/>
          <w:sz w:val="20"/>
          <w:szCs w:val="20"/>
        </w:rPr>
        <w:t xml:space="preserve">(1), 7. </w:t>
      </w:r>
      <w:hyperlink r:id="rId29" w:history="1">
        <w:r w:rsidRPr="00514D5A">
          <w:rPr>
            <w:rStyle w:val="Hyperlink"/>
            <w:rFonts w:ascii="Arial" w:hAnsi="Arial" w:cs="Arial"/>
            <w:iCs/>
            <w:sz w:val="20"/>
            <w:szCs w:val="20"/>
          </w:rPr>
          <w:t>https://doi.org/10.26668/businessreview/2023.v8i1.928</w:t>
        </w:r>
      </w:hyperlink>
    </w:p>
    <w:p w14:paraId="55BA0BF5" w14:textId="77777777" w:rsidR="00614C5E" w:rsidRPr="00514D5A" w:rsidRDefault="00614C5E" w:rsidP="00B1407A">
      <w:pPr>
        <w:spacing w:line="480" w:lineRule="auto"/>
        <w:ind w:left="360" w:hanging="360"/>
        <w:jc w:val="both"/>
        <w:rPr>
          <w:rFonts w:ascii="Arial" w:hAnsi="Arial" w:cs="Arial"/>
          <w:sz w:val="20"/>
          <w:szCs w:val="20"/>
        </w:rPr>
      </w:pPr>
    </w:p>
    <w:p w14:paraId="54A33644" w14:textId="77777777" w:rsidR="00132AC1" w:rsidRPr="00514D5A" w:rsidRDefault="00132AC1" w:rsidP="00B1407A">
      <w:pPr>
        <w:spacing w:line="480" w:lineRule="auto"/>
        <w:ind w:left="360" w:hanging="360"/>
        <w:jc w:val="both"/>
        <w:rPr>
          <w:rFonts w:ascii="Arial" w:hAnsi="Arial" w:cs="Arial"/>
          <w:sz w:val="20"/>
          <w:szCs w:val="20"/>
        </w:rPr>
      </w:pPr>
      <w:bookmarkStart w:id="56" w:name="_Hlk174868600"/>
      <w:r w:rsidRPr="00514D5A">
        <w:rPr>
          <w:rFonts w:ascii="Arial" w:hAnsi="Arial" w:cs="Arial"/>
          <w:bCs/>
          <w:iCs/>
          <w:sz w:val="20"/>
          <w:szCs w:val="20"/>
        </w:rPr>
        <w:t>Staff Correspondent.</w:t>
      </w:r>
      <w:r w:rsidRPr="00514D5A">
        <w:rPr>
          <w:rFonts w:ascii="Arial" w:hAnsi="Arial" w:cs="Arial"/>
          <w:iCs/>
          <w:sz w:val="20"/>
          <w:szCs w:val="20"/>
        </w:rPr>
        <w:t xml:space="preserve"> (2012, August 14). </w:t>
      </w:r>
      <w:bookmarkEnd w:id="56"/>
      <w:r w:rsidRPr="00514D5A">
        <w:rPr>
          <w:rFonts w:ascii="Arial" w:hAnsi="Arial" w:cs="Arial"/>
          <w:iCs/>
          <w:sz w:val="20"/>
          <w:szCs w:val="20"/>
        </w:rPr>
        <w:t xml:space="preserve">Hallmark loan </w:t>
      </w:r>
      <w:proofErr w:type="gramStart"/>
      <w:r w:rsidRPr="00514D5A">
        <w:rPr>
          <w:rFonts w:ascii="Arial" w:hAnsi="Arial" w:cs="Arial"/>
          <w:iCs/>
          <w:sz w:val="20"/>
          <w:szCs w:val="20"/>
        </w:rPr>
        <w:t>scam</w:t>
      </w:r>
      <w:proofErr w:type="gramEnd"/>
      <w:r w:rsidRPr="00514D5A">
        <w:rPr>
          <w:rFonts w:ascii="Arial" w:hAnsi="Arial" w:cs="Arial"/>
          <w:iCs/>
          <w:sz w:val="20"/>
          <w:szCs w:val="20"/>
        </w:rPr>
        <w:t xml:space="preserve"> under ACC probe. </w:t>
      </w:r>
      <w:r w:rsidRPr="00514D5A">
        <w:rPr>
          <w:rFonts w:ascii="Arial" w:hAnsi="Arial" w:cs="Arial"/>
          <w:i/>
          <w:iCs/>
          <w:sz w:val="20"/>
          <w:szCs w:val="20"/>
        </w:rPr>
        <w:t>The Daily Star</w:t>
      </w:r>
      <w:r w:rsidRPr="00514D5A">
        <w:rPr>
          <w:rFonts w:ascii="Arial" w:hAnsi="Arial" w:cs="Arial"/>
          <w:iCs/>
          <w:sz w:val="20"/>
          <w:szCs w:val="20"/>
        </w:rPr>
        <w:t xml:space="preserve">. </w:t>
      </w:r>
      <w:proofErr w:type="gramStart"/>
      <w:r w:rsidRPr="00514D5A">
        <w:rPr>
          <w:rFonts w:ascii="Arial" w:hAnsi="Arial" w:cs="Arial"/>
          <w:iCs/>
          <w:sz w:val="20"/>
          <w:szCs w:val="20"/>
        </w:rPr>
        <w:t>available</w:t>
      </w:r>
      <w:proofErr w:type="gramEnd"/>
      <w:r w:rsidRPr="00514D5A">
        <w:rPr>
          <w:rFonts w:ascii="Arial" w:hAnsi="Arial" w:cs="Arial"/>
          <w:iCs/>
          <w:sz w:val="20"/>
          <w:szCs w:val="20"/>
        </w:rPr>
        <w:t xml:space="preserve"> at: </w:t>
      </w:r>
      <w:hyperlink r:id="rId30" w:history="1">
        <w:r w:rsidRPr="00514D5A">
          <w:rPr>
            <w:rStyle w:val="Hyperlink"/>
            <w:rFonts w:ascii="Arial" w:hAnsi="Arial" w:cs="Arial"/>
            <w:iCs/>
            <w:sz w:val="20"/>
            <w:szCs w:val="20"/>
          </w:rPr>
          <w:t>https://www.thedailystar.net/news-detail-246119</w:t>
        </w:r>
      </w:hyperlink>
      <w:r w:rsidRPr="00514D5A">
        <w:rPr>
          <w:rFonts w:ascii="Arial" w:hAnsi="Arial" w:cs="Arial"/>
          <w:iCs/>
          <w:sz w:val="20"/>
          <w:szCs w:val="20"/>
          <w:u w:val="single"/>
        </w:rPr>
        <w:t xml:space="preserve"> (accessed 14.03.2024)</w:t>
      </w:r>
      <w:bookmarkStart w:id="57" w:name="_Hlk174880442"/>
    </w:p>
    <w:bookmarkEnd w:id="57"/>
    <w:p w14:paraId="19B51D0B" w14:textId="246205AF" w:rsidR="00132AC1" w:rsidRDefault="00132AC1" w:rsidP="00B1407A">
      <w:pPr>
        <w:spacing w:line="480" w:lineRule="auto"/>
        <w:ind w:left="270" w:hanging="360"/>
        <w:jc w:val="both"/>
        <w:rPr>
          <w:rFonts w:ascii="Arial" w:hAnsi="Arial" w:cs="Arial"/>
          <w:bCs/>
          <w:iCs/>
          <w:sz w:val="20"/>
          <w:szCs w:val="20"/>
          <w:u w:val="single"/>
        </w:rPr>
      </w:pPr>
      <w:r w:rsidRPr="00514D5A">
        <w:rPr>
          <w:rFonts w:ascii="Arial" w:hAnsi="Arial" w:cs="Arial"/>
          <w:bCs/>
          <w:iCs/>
          <w:sz w:val="20"/>
          <w:szCs w:val="20"/>
        </w:rPr>
        <w:lastRenderedPageBreak/>
        <w:t xml:space="preserve">Staff </w:t>
      </w:r>
      <w:proofErr w:type="gramStart"/>
      <w:r w:rsidRPr="00514D5A">
        <w:rPr>
          <w:rFonts w:ascii="Arial" w:hAnsi="Arial" w:cs="Arial"/>
          <w:bCs/>
          <w:iCs/>
          <w:sz w:val="20"/>
          <w:szCs w:val="20"/>
        </w:rPr>
        <w:t>correspondent.,</w:t>
      </w:r>
      <w:proofErr w:type="gramEnd"/>
      <w:r w:rsidRPr="00514D5A">
        <w:rPr>
          <w:rFonts w:ascii="Arial" w:hAnsi="Arial" w:cs="Arial"/>
          <w:bCs/>
          <w:iCs/>
          <w:sz w:val="20"/>
          <w:szCs w:val="20"/>
        </w:rPr>
        <w:t xml:space="preserve"> 2018. Janata Bank Loan Scam: Whole bank was in it, </w:t>
      </w:r>
      <w:r w:rsidRPr="00514D5A">
        <w:rPr>
          <w:rFonts w:ascii="Arial" w:hAnsi="Arial" w:cs="Arial"/>
          <w:bCs/>
          <w:i/>
          <w:iCs/>
          <w:sz w:val="20"/>
          <w:szCs w:val="20"/>
        </w:rPr>
        <w:t xml:space="preserve">The Daily Star, </w:t>
      </w:r>
      <w:r w:rsidRPr="00514D5A">
        <w:rPr>
          <w:rFonts w:ascii="Arial" w:hAnsi="Arial" w:cs="Arial"/>
          <w:bCs/>
          <w:iCs/>
          <w:sz w:val="20"/>
          <w:szCs w:val="20"/>
          <w:u w:val="single"/>
        </w:rPr>
        <w:t xml:space="preserve">available at: </w:t>
      </w:r>
      <w:hyperlink r:id="rId31" w:history="1">
        <w:r w:rsidRPr="00514D5A">
          <w:rPr>
            <w:rStyle w:val="Hyperlink"/>
            <w:rFonts w:ascii="Arial" w:hAnsi="Arial" w:cs="Arial"/>
            <w:bCs/>
            <w:iCs/>
            <w:sz w:val="20"/>
            <w:szCs w:val="20"/>
          </w:rPr>
          <w:t>https://www.thedailystar.net/frontpage/janata-bank-loan-scam-whole-bank-was-it-1531045</w:t>
        </w:r>
      </w:hyperlink>
      <w:r w:rsidRPr="00514D5A">
        <w:rPr>
          <w:rFonts w:ascii="Arial" w:hAnsi="Arial" w:cs="Arial"/>
          <w:bCs/>
          <w:iCs/>
          <w:sz w:val="20"/>
          <w:szCs w:val="20"/>
          <w:u w:val="single"/>
        </w:rPr>
        <w:t xml:space="preserve"> (accessed 25.06.2024)</w:t>
      </w:r>
      <w:bookmarkStart w:id="58" w:name="_Hlk174719916"/>
    </w:p>
    <w:p w14:paraId="5F80C71D" w14:textId="091F4A16" w:rsidR="007E3E7C" w:rsidRPr="00514D5A" w:rsidRDefault="007E3E7C" w:rsidP="00B1407A">
      <w:pPr>
        <w:spacing w:line="480" w:lineRule="auto"/>
        <w:ind w:left="270" w:hanging="360"/>
        <w:jc w:val="both"/>
        <w:rPr>
          <w:rFonts w:ascii="Arial" w:hAnsi="Arial" w:cs="Arial"/>
          <w:sz w:val="20"/>
          <w:szCs w:val="20"/>
        </w:rPr>
      </w:pPr>
      <w:r w:rsidRPr="007E3E7C">
        <w:rPr>
          <w:rFonts w:ascii="Arial" w:hAnsi="Arial" w:cs="Arial"/>
          <w:bCs/>
          <w:iCs/>
          <w:sz w:val="20"/>
          <w:szCs w:val="20"/>
        </w:rPr>
        <w:t>Star Digital Report.</w:t>
      </w:r>
      <w:r w:rsidRPr="007E3E7C">
        <w:rPr>
          <w:rFonts w:ascii="Arial" w:hAnsi="Arial" w:cs="Arial"/>
          <w:iCs/>
          <w:sz w:val="20"/>
          <w:szCs w:val="20"/>
        </w:rPr>
        <w:t xml:space="preserve"> (2021, February 11). Case filed against Delta Life Insurance for evading VAT of </w:t>
      </w:r>
      <w:proofErr w:type="spellStart"/>
      <w:r w:rsidRPr="007E3E7C">
        <w:rPr>
          <w:rFonts w:ascii="Arial" w:hAnsi="Arial" w:cs="Arial"/>
          <w:iCs/>
          <w:sz w:val="20"/>
          <w:szCs w:val="20"/>
        </w:rPr>
        <w:t>Tk</w:t>
      </w:r>
      <w:proofErr w:type="spellEnd"/>
      <w:r w:rsidRPr="007E3E7C">
        <w:rPr>
          <w:rFonts w:ascii="Arial" w:hAnsi="Arial" w:cs="Arial"/>
          <w:iCs/>
          <w:sz w:val="20"/>
          <w:szCs w:val="20"/>
        </w:rPr>
        <w:t xml:space="preserve"> 35.17 </w:t>
      </w:r>
      <w:proofErr w:type="gramStart"/>
      <w:r w:rsidRPr="007E3E7C">
        <w:rPr>
          <w:rFonts w:ascii="Arial" w:hAnsi="Arial" w:cs="Arial"/>
          <w:iCs/>
          <w:sz w:val="20"/>
          <w:szCs w:val="20"/>
        </w:rPr>
        <w:t>crore</w:t>
      </w:r>
      <w:proofErr w:type="gramEnd"/>
      <w:r w:rsidRPr="007E3E7C">
        <w:rPr>
          <w:rFonts w:ascii="Arial" w:hAnsi="Arial" w:cs="Arial"/>
          <w:iCs/>
          <w:sz w:val="20"/>
          <w:szCs w:val="20"/>
        </w:rPr>
        <w:t xml:space="preserve">. </w:t>
      </w:r>
      <w:r w:rsidRPr="007E3E7C">
        <w:rPr>
          <w:rFonts w:ascii="Arial" w:hAnsi="Arial" w:cs="Arial"/>
          <w:i/>
          <w:iCs/>
          <w:sz w:val="20"/>
          <w:szCs w:val="20"/>
        </w:rPr>
        <w:t>The Daily Star</w:t>
      </w:r>
      <w:r w:rsidRPr="007E3E7C">
        <w:rPr>
          <w:rFonts w:ascii="Arial" w:hAnsi="Arial" w:cs="Arial"/>
          <w:iCs/>
          <w:sz w:val="20"/>
          <w:szCs w:val="20"/>
        </w:rPr>
        <w:t xml:space="preserve">. </w:t>
      </w:r>
      <w:hyperlink r:id="rId32" w:history="1">
        <w:r w:rsidRPr="007E3E7C">
          <w:rPr>
            <w:rStyle w:val="Hyperlink"/>
            <w:rFonts w:ascii="Arial" w:hAnsi="Arial" w:cs="Arial"/>
            <w:iCs/>
            <w:sz w:val="20"/>
            <w:szCs w:val="20"/>
          </w:rPr>
          <w:t>https://www.thedailystar.net/business/news/case-filed-against-delta-life-insurance-evading-vat-tk-3517-crore-2043201(accessed28,.06.24)</w:t>
        </w:r>
      </w:hyperlink>
    </w:p>
    <w:bookmarkEnd w:id="58"/>
    <w:p w14:paraId="1B1F1700" w14:textId="77777777" w:rsidR="00132AC1" w:rsidRPr="00514D5A" w:rsidRDefault="00132AC1" w:rsidP="00B1407A">
      <w:pPr>
        <w:spacing w:line="480" w:lineRule="auto"/>
        <w:ind w:left="270" w:hanging="360"/>
        <w:jc w:val="both"/>
        <w:rPr>
          <w:rFonts w:ascii="Arial" w:hAnsi="Arial" w:cs="Arial"/>
          <w:sz w:val="20"/>
          <w:szCs w:val="20"/>
        </w:rPr>
      </w:pPr>
      <w:proofErr w:type="spellStart"/>
      <w:r w:rsidRPr="00514D5A">
        <w:rPr>
          <w:rFonts w:ascii="Arial" w:eastAsia="Calibri" w:hAnsi="Arial" w:cs="Arial"/>
          <w:sz w:val="20"/>
          <w:szCs w:val="20"/>
        </w:rPr>
        <w:t>Subramaniam</w:t>
      </w:r>
      <w:proofErr w:type="spellEnd"/>
      <w:r w:rsidRPr="00514D5A">
        <w:rPr>
          <w:rFonts w:ascii="Arial" w:eastAsia="Calibri" w:hAnsi="Arial" w:cs="Arial"/>
          <w:sz w:val="20"/>
          <w:szCs w:val="20"/>
        </w:rPr>
        <w:t>, N., McManus, L., &amp; Zhang, J. (2009). Corporate governance, firm characteristics and risk management committee formation in Australian companies. </w:t>
      </w:r>
      <w:r w:rsidRPr="00514D5A">
        <w:rPr>
          <w:rFonts w:ascii="Arial" w:eastAsia="Calibri" w:hAnsi="Arial" w:cs="Arial"/>
          <w:i/>
          <w:iCs/>
          <w:sz w:val="20"/>
          <w:szCs w:val="20"/>
        </w:rPr>
        <w:t>Managerial auditing journal</w:t>
      </w:r>
      <w:r w:rsidRPr="00514D5A">
        <w:rPr>
          <w:rFonts w:ascii="Arial" w:eastAsia="Calibri" w:hAnsi="Arial" w:cs="Arial"/>
          <w:sz w:val="20"/>
          <w:szCs w:val="20"/>
        </w:rPr>
        <w:t>, </w:t>
      </w:r>
      <w:r w:rsidRPr="00514D5A">
        <w:rPr>
          <w:rFonts w:ascii="Arial" w:eastAsia="Calibri" w:hAnsi="Arial" w:cs="Arial"/>
          <w:i/>
          <w:iCs/>
          <w:sz w:val="20"/>
          <w:szCs w:val="20"/>
        </w:rPr>
        <w:t>24</w:t>
      </w:r>
      <w:r w:rsidRPr="00514D5A">
        <w:rPr>
          <w:rFonts w:ascii="Arial" w:eastAsia="Calibri" w:hAnsi="Arial" w:cs="Arial"/>
          <w:sz w:val="20"/>
          <w:szCs w:val="20"/>
        </w:rPr>
        <w:t>(4), 316-339.</w:t>
      </w:r>
      <w:hyperlink r:id="rId33" w:tooltip="DOI: https://doi.org/10.1108/02686900910948170" w:history="1">
        <w:r w:rsidRPr="00514D5A">
          <w:rPr>
            <w:rStyle w:val="Hyperlink"/>
            <w:rFonts w:ascii="Arial" w:eastAsia="Calibri" w:hAnsi="Arial" w:cs="Arial"/>
            <w:sz w:val="20"/>
            <w:szCs w:val="20"/>
          </w:rPr>
          <w:t>https://doi.org/10.1108/02686900910948170</w:t>
        </w:r>
      </w:hyperlink>
    </w:p>
    <w:p w14:paraId="12C215BF" w14:textId="2FCCB87C" w:rsidR="00132AC1" w:rsidRPr="00514D5A" w:rsidRDefault="00132AC1" w:rsidP="00B1407A">
      <w:pPr>
        <w:spacing w:line="480" w:lineRule="auto"/>
        <w:ind w:left="270" w:hanging="360"/>
        <w:jc w:val="both"/>
        <w:rPr>
          <w:rFonts w:ascii="Arial" w:hAnsi="Arial" w:cs="Arial"/>
          <w:sz w:val="20"/>
          <w:szCs w:val="20"/>
        </w:rPr>
      </w:pPr>
      <w:r w:rsidRPr="00514D5A">
        <w:rPr>
          <w:rFonts w:ascii="Arial" w:hAnsi="Arial" w:cs="Arial"/>
          <w:sz w:val="20"/>
          <w:szCs w:val="20"/>
        </w:rPr>
        <w:t>Tao, N.B. and Hutchinson, M. (2013), “Corporate governance and risk management: the role of risk management and compensation committees”, Journal of Contemporary Accounting and Economics, Vol. 9, pp. 83-</w:t>
      </w:r>
      <w:bookmarkStart w:id="59" w:name="_Hlk174010344"/>
      <w:r w:rsidR="00963445" w:rsidRPr="00514D5A">
        <w:rPr>
          <w:rFonts w:ascii="Arial" w:hAnsi="Arial" w:cs="Arial"/>
          <w:sz w:val="20"/>
          <w:szCs w:val="20"/>
        </w:rPr>
        <w:t>99. https://doi.org/10.1016/j.jcae.2013.03.003</w:t>
      </w:r>
    </w:p>
    <w:p w14:paraId="3AC90373" w14:textId="77777777" w:rsidR="00132AC1" w:rsidRPr="00514D5A" w:rsidRDefault="00132AC1" w:rsidP="00B1407A">
      <w:pPr>
        <w:spacing w:line="480" w:lineRule="auto"/>
        <w:ind w:left="270" w:hanging="360"/>
        <w:jc w:val="both"/>
        <w:rPr>
          <w:rFonts w:ascii="Arial" w:hAnsi="Arial" w:cs="Arial"/>
          <w:sz w:val="20"/>
          <w:szCs w:val="20"/>
        </w:rPr>
      </w:pPr>
      <w:proofErr w:type="spellStart"/>
      <w:r w:rsidRPr="00514D5A">
        <w:rPr>
          <w:rFonts w:ascii="Arial" w:hAnsi="Arial" w:cs="Arial"/>
          <w:sz w:val="20"/>
          <w:szCs w:val="20"/>
        </w:rPr>
        <w:t>Tarraf</w:t>
      </w:r>
      <w:proofErr w:type="spellEnd"/>
      <w:r w:rsidRPr="00514D5A">
        <w:rPr>
          <w:rFonts w:ascii="Arial" w:hAnsi="Arial" w:cs="Arial"/>
          <w:sz w:val="20"/>
          <w:szCs w:val="20"/>
        </w:rPr>
        <w:t xml:space="preserve">, H. (2010). </w:t>
      </w:r>
      <w:bookmarkEnd w:id="59"/>
      <w:r w:rsidRPr="00514D5A">
        <w:rPr>
          <w:rFonts w:ascii="Arial" w:hAnsi="Arial" w:cs="Arial"/>
          <w:sz w:val="20"/>
          <w:szCs w:val="20"/>
        </w:rPr>
        <w:t>Literature review on corporate governance and the recent financial crisis. </w:t>
      </w:r>
      <w:r w:rsidRPr="00514D5A">
        <w:rPr>
          <w:rFonts w:ascii="Arial" w:hAnsi="Arial" w:cs="Arial"/>
          <w:i/>
          <w:iCs/>
          <w:sz w:val="20"/>
          <w:szCs w:val="20"/>
        </w:rPr>
        <w:t>Available at SSRN 1731044</w:t>
      </w:r>
      <w:r w:rsidRPr="00514D5A">
        <w:rPr>
          <w:rFonts w:ascii="Arial" w:hAnsi="Arial" w:cs="Arial"/>
          <w:sz w:val="20"/>
          <w:szCs w:val="20"/>
        </w:rPr>
        <w:t>.</w:t>
      </w:r>
      <w:hyperlink r:id="rId34" w:tgtFrame="_blank" w:history="1">
        <w:r w:rsidRPr="00514D5A">
          <w:rPr>
            <w:rStyle w:val="Hyperlink"/>
            <w:rFonts w:ascii="Arial" w:hAnsi="Arial" w:cs="Arial"/>
            <w:sz w:val="20"/>
            <w:szCs w:val="20"/>
          </w:rPr>
          <w:t>http://dx.doi.org/10.2139/ssrn.1731044</w:t>
        </w:r>
      </w:hyperlink>
    </w:p>
    <w:p w14:paraId="35BF37A7" w14:textId="5F43587D" w:rsidR="00132AC1" w:rsidRPr="00514D5A" w:rsidRDefault="00132AC1" w:rsidP="00B1407A">
      <w:pPr>
        <w:spacing w:line="480" w:lineRule="auto"/>
        <w:ind w:left="270" w:hanging="360"/>
        <w:jc w:val="both"/>
        <w:rPr>
          <w:rFonts w:ascii="Arial" w:hAnsi="Arial" w:cs="Arial"/>
          <w:sz w:val="20"/>
          <w:szCs w:val="20"/>
        </w:rPr>
      </w:pPr>
      <w:r w:rsidRPr="00514D5A">
        <w:rPr>
          <w:rFonts w:ascii="Arial" w:hAnsi="Arial" w:cs="Arial"/>
          <w:bCs/>
          <w:iCs/>
          <w:sz w:val="20"/>
          <w:szCs w:val="20"/>
        </w:rPr>
        <w:t xml:space="preserve">The Daily Star (2021), “HSBC executes the country’s first cross-border </w:t>
      </w:r>
      <w:proofErr w:type="spellStart"/>
      <w:r w:rsidRPr="00514D5A">
        <w:rPr>
          <w:rFonts w:ascii="Arial" w:hAnsi="Arial" w:cs="Arial"/>
          <w:bCs/>
          <w:iCs/>
          <w:sz w:val="20"/>
          <w:szCs w:val="20"/>
        </w:rPr>
        <w:t>blockchain</w:t>
      </w:r>
      <w:proofErr w:type="spellEnd"/>
      <w:r w:rsidRPr="00514D5A">
        <w:rPr>
          <w:rFonts w:ascii="Arial" w:hAnsi="Arial" w:cs="Arial"/>
          <w:bCs/>
          <w:iCs/>
          <w:sz w:val="20"/>
          <w:szCs w:val="20"/>
        </w:rPr>
        <w:t xml:space="preserve"> LC transaction”, The Daily Star Online, 1 November, available at: </w:t>
      </w:r>
      <w:hyperlink r:id="rId35" w:history="1">
        <w:r w:rsidR="000148F1" w:rsidRPr="00514D5A">
          <w:rPr>
            <w:rStyle w:val="Hyperlink"/>
            <w:rFonts w:ascii="Arial" w:hAnsi="Arial" w:cs="Arial"/>
            <w:bCs/>
            <w:iCs/>
            <w:sz w:val="20"/>
            <w:szCs w:val="20"/>
          </w:rPr>
          <w:t>www.thedailystar.net/business/news/hsbcexecutes-country ''s-first-cross-border-blockchain-lc-transaction-1987393</w:t>
        </w:r>
      </w:hyperlink>
    </w:p>
    <w:p w14:paraId="03C6D119" w14:textId="0C8EB0D1" w:rsidR="00132AC1" w:rsidRDefault="00132AC1" w:rsidP="00B1407A">
      <w:pPr>
        <w:spacing w:line="480" w:lineRule="auto"/>
        <w:ind w:left="270" w:hanging="360"/>
        <w:jc w:val="both"/>
        <w:rPr>
          <w:rFonts w:ascii="Arial" w:hAnsi="Arial" w:cs="Arial"/>
          <w:iCs/>
          <w:sz w:val="20"/>
          <w:szCs w:val="20"/>
        </w:rPr>
      </w:pPr>
      <w:r w:rsidRPr="00514D5A">
        <w:rPr>
          <w:rFonts w:ascii="Arial" w:hAnsi="Arial" w:cs="Arial"/>
          <w:iCs/>
          <w:sz w:val="20"/>
          <w:szCs w:val="20"/>
        </w:rPr>
        <w:t xml:space="preserve">The Guardian, (2015) The Volkswagen emissions scandal explained </w:t>
      </w:r>
      <w:hyperlink r:id="rId36" w:history="1">
        <w:r w:rsidRPr="00514D5A">
          <w:rPr>
            <w:rStyle w:val="Hyperlink"/>
            <w:rFonts w:ascii="Arial" w:hAnsi="Arial" w:cs="Arial"/>
            <w:iCs/>
            <w:sz w:val="20"/>
            <w:szCs w:val="20"/>
          </w:rPr>
          <w:t>https://www.theguardian.com/business/ng-interactive/2015/sep/23/volkswagen-emissions-scandal-explained-diesel-cars</w:t>
        </w:r>
      </w:hyperlink>
      <w:r w:rsidRPr="00514D5A">
        <w:rPr>
          <w:rFonts w:ascii="Arial" w:hAnsi="Arial" w:cs="Arial"/>
          <w:iCs/>
          <w:sz w:val="20"/>
          <w:szCs w:val="20"/>
        </w:rPr>
        <w:t>.</w:t>
      </w:r>
    </w:p>
    <w:p w14:paraId="59220955" w14:textId="139B5924" w:rsidR="0033661F" w:rsidRPr="00514D5A" w:rsidRDefault="0033661F" w:rsidP="00B1407A">
      <w:pPr>
        <w:spacing w:line="480" w:lineRule="auto"/>
        <w:ind w:left="270" w:hanging="360"/>
        <w:jc w:val="both"/>
        <w:rPr>
          <w:rFonts w:ascii="Arial" w:hAnsi="Arial" w:cs="Arial"/>
          <w:sz w:val="20"/>
          <w:szCs w:val="20"/>
        </w:rPr>
      </w:pPr>
      <w:r w:rsidRPr="0033661F">
        <w:rPr>
          <w:rFonts w:ascii="Arial" w:hAnsi="Arial" w:cs="Arial"/>
          <w:sz w:val="20"/>
          <w:szCs w:val="20"/>
        </w:rPr>
        <w:t xml:space="preserve">United News of Bangladesh. (2021, December 4). </w:t>
      </w:r>
      <w:r w:rsidRPr="0033661F">
        <w:rPr>
          <w:rFonts w:ascii="Arial" w:hAnsi="Arial" w:cs="Arial"/>
          <w:i/>
          <w:iCs/>
          <w:sz w:val="20"/>
          <w:szCs w:val="20"/>
        </w:rPr>
        <w:t>IDRA finds Delta Life Insurance Board’s involvement in embezzling Tk3</w:t>
      </w:r>
      <w:proofErr w:type="gramStart"/>
      <w:r w:rsidRPr="0033661F">
        <w:rPr>
          <w:rFonts w:ascii="Arial" w:hAnsi="Arial" w:cs="Arial"/>
          <w:i/>
          <w:iCs/>
          <w:sz w:val="20"/>
          <w:szCs w:val="20"/>
        </w:rPr>
        <w:t>,687cr</w:t>
      </w:r>
      <w:proofErr w:type="gramEnd"/>
      <w:r w:rsidRPr="0033661F">
        <w:rPr>
          <w:rFonts w:ascii="Arial" w:hAnsi="Arial" w:cs="Arial"/>
          <w:sz w:val="20"/>
          <w:szCs w:val="20"/>
        </w:rPr>
        <w:t xml:space="preserve">. The Business Standard. </w:t>
      </w:r>
      <w:hyperlink r:id="rId37" w:tgtFrame="_new" w:history="1">
        <w:r w:rsidRPr="0033661F">
          <w:rPr>
            <w:rStyle w:val="Hyperlink"/>
            <w:rFonts w:ascii="Arial" w:hAnsi="Arial" w:cs="Arial"/>
            <w:sz w:val="20"/>
            <w:szCs w:val="20"/>
          </w:rPr>
          <w:t>https://www.tbsnews.net/bangladesh/corruption/idra-finds-delta-life-insurance-boards-involvement-embezzling-tk3687cr-338698</w:t>
        </w:r>
      </w:hyperlink>
    </w:p>
    <w:p w14:paraId="717C22B1" w14:textId="77777777" w:rsidR="00132AC1" w:rsidRPr="00514D5A" w:rsidRDefault="00132AC1" w:rsidP="00B1407A">
      <w:pPr>
        <w:spacing w:line="480" w:lineRule="auto"/>
        <w:ind w:left="270" w:hanging="360"/>
        <w:jc w:val="both"/>
        <w:rPr>
          <w:rFonts w:ascii="Arial" w:hAnsi="Arial" w:cs="Arial"/>
          <w:sz w:val="20"/>
          <w:szCs w:val="20"/>
        </w:rPr>
      </w:pPr>
      <w:bookmarkStart w:id="60" w:name="_Hlk176877963"/>
      <w:bookmarkStart w:id="61" w:name="_Hlk172724723"/>
      <w:r w:rsidRPr="00514D5A">
        <w:rPr>
          <w:rFonts w:ascii="Arial" w:hAnsi="Arial" w:cs="Arial"/>
          <w:sz w:val="20"/>
          <w:szCs w:val="20"/>
        </w:rPr>
        <w:t>Wikipedia contributors. (</w:t>
      </w:r>
      <w:proofErr w:type="spellStart"/>
      <w:r w:rsidRPr="00514D5A">
        <w:rPr>
          <w:rFonts w:ascii="Arial" w:hAnsi="Arial" w:cs="Arial"/>
          <w:sz w:val="20"/>
          <w:szCs w:val="20"/>
        </w:rPr>
        <w:t>n.d.</w:t>
      </w:r>
      <w:proofErr w:type="spellEnd"/>
      <w:r w:rsidRPr="00514D5A">
        <w:rPr>
          <w:rFonts w:ascii="Arial" w:hAnsi="Arial" w:cs="Arial"/>
          <w:sz w:val="20"/>
          <w:szCs w:val="20"/>
        </w:rPr>
        <w:t>)</w:t>
      </w:r>
      <w:bookmarkEnd w:id="60"/>
      <w:r w:rsidRPr="00514D5A">
        <w:rPr>
          <w:rFonts w:ascii="Arial" w:hAnsi="Arial" w:cs="Arial"/>
          <w:sz w:val="20"/>
          <w:szCs w:val="20"/>
        </w:rPr>
        <w:t xml:space="preserve">. </w:t>
      </w:r>
      <w:r w:rsidRPr="00514D5A">
        <w:rPr>
          <w:rFonts w:ascii="Arial" w:hAnsi="Arial" w:cs="Arial"/>
          <w:i/>
          <w:iCs/>
          <w:sz w:val="20"/>
          <w:szCs w:val="20"/>
        </w:rPr>
        <w:t>Hallmark-</w:t>
      </w:r>
      <w:proofErr w:type="spellStart"/>
      <w:r w:rsidRPr="00514D5A">
        <w:rPr>
          <w:rFonts w:ascii="Arial" w:hAnsi="Arial" w:cs="Arial"/>
          <w:i/>
          <w:iCs/>
          <w:sz w:val="20"/>
          <w:szCs w:val="20"/>
        </w:rPr>
        <w:t>Sonali</w:t>
      </w:r>
      <w:proofErr w:type="spellEnd"/>
      <w:r w:rsidRPr="00514D5A">
        <w:rPr>
          <w:rFonts w:ascii="Arial" w:hAnsi="Arial" w:cs="Arial"/>
          <w:i/>
          <w:iCs/>
          <w:sz w:val="20"/>
          <w:szCs w:val="20"/>
        </w:rPr>
        <w:t xml:space="preserve"> Bank loan </w:t>
      </w:r>
      <w:proofErr w:type="gramStart"/>
      <w:r w:rsidRPr="00514D5A">
        <w:rPr>
          <w:rFonts w:ascii="Arial" w:hAnsi="Arial" w:cs="Arial"/>
          <w:i/>
          <w:iCs/>
          <w:sz w:val="20"/>
          <w:szCs w:val="20"/>
        </w:rPr>
        <w:t>scam</w:t>
      </w:r>
      <w:proofErr w:type="gramEnd"/>
      <w:r w:rsidRPr="00514D5A">
        <w:rPr>
          <w:rFonts w:ascii="Arial" w:hAnsi="Arial" w:cs="Arial"/>
          <w:sz w:val="20"/>
          <w:szCs w:val="20"/>
        </w:rPr>
        <w:t xml:space="preserve">. In Wikipedia, </w:t>
      </w:r>
      <w:proofErr w:type="gramStart"/>
      <w:r w:rsidRPr="00514D5A">
        <w:rPr>
          <w:rFonts w:ascii="Arial" w:hAnsi="Arial" w:cs="Arial"/>
          <w:sz w:val="20"/>
          <w:szCs w:val="20"/>
        </w:rPr>
        <w:t>The</w:t>
      </w:r>
      <w:proofErr w:type="gramEnd"/>
      <w:r w:rsidRPr="00514D5A">
        <w:rPr>
          <w:rFonts w:ascii="Arial" w:hAnsi="Arial" w:cs="Arial"/>
          <w:sz w:val="20"/>
          <w:szCs w:val="20"/>
        </w:rPr>
        <w:t xml:space="preserve"> Free Encyclopedia. </w:t>
      </w:r>
      <w:proofErr w:type="gramStart"/>
      <w:r w:rsidRPr="00514D5A">
        <w:rPr>
          <w:rFonts w:ascii="Arial" w:hAnsi="Arial" w:cs="Arial"/>
          <w:color w:val="0563C1" w:themeColor="hyperlink"/>
          <w:sz w:val="20"/>
          <w:szCs w:val="20"/>
          <w:u w:val="single"/>
        </w:rPr>
        <w:t>available</w:t>
      </w:r>
      <w:proofErr w:type="gramEnd"/>
      <w:r w:rsidRPr="00514D5A">
        <w:rPr>
          <w:rFonts w:ascii="Arial" w:hAnsi="Arial" w:cs="Arial"/>
          <w:color w:val="0563C1" w:themeColor="hyperlink"/>
          <w:sz w:val="20"/>
          <w:szCs w:val="20"/>
          <w:u w:val="single"/>
        </w:rPr>
        <w:t xml:space="preserve"> at: </w:t>
      </w:r>
      <w:hyperlink r:id="rId38" w:tgtFrame="_new" w:history="1">
        <w:r w:rsidRPr="00514D5A">
          <w:rPr>
            <w:rStyle w:val="Hyperlink"/>
            <w:rFonts w:ascii="Arial" w:hAnsi="Arial" w:cs="Arial"/>
            <w:sz w:val="20"/>
            <w:szCs w:val="20"/>
          </w:rPr>
          <w:t>https://en.wikipedia.org/wiki?curid=53003287</w:t>
        </w:r>
      </w:hyperlink>
      <w:r w:rsidRPr="00514D5A">
        <w:rPr>
          <w:rFonts w:ascii="Arial" w:hAnsi="Arial" w:cs="Arial"/>
          <w:color w:val="0563C1" w:themeColor="hyperlink"/>
          <w:sz w:val="20"/>
          <w:szCs w:val="20"/>
          <w:u w:val="single"/>
        </w:rPr>
        <w:t xml:space="preserve"> (accessed 10.09 2024).</w:t>
      </w:r>
    </w:p>
    <w:p w14:paraId="424BCB26" w14:textId="77777777" w:rsidR="00132AC1" w:rsidRPr="00514D5A" w:rsidRDefault="00132AC1" w:rsidP="00B1407A">
      <w:pPr>
        <w:spacing w:line="480" w:lineRule="auto"/>
        <w:ind w:left="270" w:hanging="360"/>
        <w:jc w:val="both"/>
        <w:rPr>
          <w:rFonts w:ascii="Arial" w:hAnsi="Arial" w:cs="Arial"/>
          <w:sz w:val="20"/>
          <w:szCs w:val="20"/>
        </w:rPr>
      </w:pPr>
      <w:proofErr w:type="spellStart"/>
      <w:r w:rsidRPr="00514D5A">
        <w:rPr>
          <w:rFonts w:ascii="Arial" w:hAnsi="Arial" w:cs="Arial"/>
          <w:sz w:val="20"/>
          <w:szCs w:val="20"/>
        </w:rPr>
        <w:lastRenderedPageBreak/>
        <w:t>Yatim</w:t>
      </w:r>
      <w:proofErr w:type="spellEnd"/>
      <w:r w:rsidRPr="00514D5A">
        <w:rPr>
          <w:rFonts w:ascii="Arial" w:hAnsi="Arial" w:cs="Arial"/>
          <w:sz w:val="20"/>
          <w:szCs w:val="20"/>
        </w:rPr>
        <w:t xml:space="preserve">, P. (2010), “Board structures and the establishment of a risk management committee by Malaysian listed firms”, </w:t>
      </w:r>
      <w:r w:rsidRPr="00514D5A">
        <w:rPr>
          <w:rFonts w:ascii="Arial" w:hAnsi="Arial" w:cs="Arial"/>
          <w:i/>
          <w:sz w:val="20"/>
          <w:szCs w:val="20"/>
        </w:rPr>
        <w:t>Journal of Management and Governance,</w:t>
      </w:r>
      <w:r w:rsidRPr="00514D5A">
        <w:rPr>
          <w:rFonts w:ascii="Arial" w:hAnsi="Arial" w:cs="Arial"/>
          <w:sz w:val="20"/>
          <w:szCs w:val="20"/>
        </w:rPr>
        <w:t xml:space="preserve"> Vol. 14 No. 1, pp. 17-36.DOI 10.1007/s10997-009-9089-6.</w:t>
      </w:r>
    </w:p>
    <w:p w14:paraId="70BD4B8A" w14:textId="2ED9F8A7" w:rsidR="00132AC1" w:rsidRPr="00514D5A" w:rsidRDefault="00132AC1" w:rsidP="00B1407A">
      <w:pPr>
        <w:spacing w:line="480" w:lineRule="auto"/>
        <w:ind w:left="270" w:hanging="360"/>
        <w:jc w:val="both"/>
        <w:rPr>
          <w:rFonts w:ascii="Arial" w:hAnsi="Arial" w:cs="Arial"/>
          <w:sz w:val="20"/>
          <w:szCs w:val="20"/>
        </w:rPr>
      </w:pPr>
      <w:r w:rsidRPr="00514D5A">
        <w:rPr>
          <w:rFonts w:ascii="Arial" w:eastAsia="Calibri" w:hAnsi="Arial" w:cs="Arial"/>
          <w:sz w:val="20"/>
          <w:szCs w:val="20"/>
        </w:rPr>
        <w:t xml:space="preserve">Zhang, N. S. L. M. J. (2009). To cite this document: Nava </w:t>
      </w:r>
      <w:proofErr w:type="spellStart"/>
      <w:r w:rsidRPr="00514D5A">
        <w:rPr>
          <w:rFonts w:ascii="Arial" w:eastAsia="Calibri" w:hAnsi="Arial" w:cs="Arial"/>
          <w:sz w:val="20"/>
          <w:szCs w:val="20"/>
        </w:rPr>
        <w:t>Subramaniam</w:t>
      </w:r>
      <w:proofErr w:type="spellEnd"/>
      <w:r w:rsidR="000148F1" w:rsidRPr="00514D5A">
        <w:rPr>
          <w:rFonts w:ascii="Arial" w:eastAsia="Calibri" w:hAnsi="Arial" w:cs="Arial"/>
          <w:sz w:val="20"/>
          <w:szCs w:val="20"/>
        </w:rPr>
        <w:t>,</w:t>
      </w:r>
      <w:r w:rsidRPr="00514D5A">
        <w:rPr>
          <w:rFonts w:ascii="Arial" w:eastAsia="Calibri" w:hAnsi="Arial" w:cs="Arial"/>
          <w:sz w:val="20"/>
          <w:szCs w:val="20"/>
        </w:rPr>
        <w:t xml:space="preserve"> Lisa McManus</w:t>
      </w:r>
      <w:r w:rsidR="000148F1" w:rsidRPr="00514D5A">
        <w:rPr>
          <w:rFonts w:ascii="Arial" w:eastAsia="Calibri" w:hAnsi="Arial" w:cs="Arial"/>
          <w:sz w:val="20"/>
          <w:szCs w:val="20"/>
        </w:rPr>
        <w:t>,</w:t>
      </w:r>
      <w:r w:rsidRPr="00514D5A">
        <w:rPr>
          <w:rFonts w:ascii="Arial" w:eastAsia="Calibri" w:hAnsi="Arial" w:cs="Arial"/>
          <w:sz w:val="20"/>
          <w:szCs w:val="20"/>
        </w:rPr>
        <w:t xml:space="preserve"> </w:t>
      </w:r>
      <w:proofErr w:type="spellStart"/>
      <w:r w:rsidRPr="00514D5A">
        <w:rPr>
          <w:rFonts w:ascii="Arial" w:eastAsia="Calibri" w:hAnsi="Arial" w:cs="Arial"/>
          <w:sz w:val="20"/>
          <w:szCs w:val="20"/>
        </w:rPr>
        <w:t>Jiani</w:t>
      </w:r>
      <w:proofErr w:type="spellEnd"/>
      <w:r w:rsidRPr="00514D5A">
        <w:rPr>
          <w:rFonts w:ascii="Arial" w:eastAsia="Calibri" w:hAnsi="Arial" w:cs="Arial"/>
          <w:sz w:val="20"/>
          <w:szCs w:val="20"/>
        </w:rPr>
        <w:t xml:space="preserve"> </w:t>
      </w:r>
      <w:r w:rsidR="00963445" w:rsidRPr="00514D5A">
        <w:rPr>
          <w:rFonts w:ascii="Arial" w:eastAsia="Calibri" w:hAnsi="Arial" w:cs="Arial"/>
          <w:sz w:val="20"/>
          <w:szCs w:val="20"/>
        </w:rPr>
        <w:t>Zhang, (</w:t>
      </w:r>
      <w:r w:rsidRPr="00514D5A">
        <w:rPr>
          <w:rFonts w:ascii="Arial" w:eastAsia="Calibri" w:hAnsi="Arial" w:cs="Arial"/>
          <w:sz w:val="20"/>
          <w:szCs w:val="20"/>
        </w:rPr>
        <w:t xml:space="preserve">2009)," Corporate governance, firm characteristics and risk management committee formation in Australian companies", </w:t>
      </w:r>
      <w:r w:rsidRPr="00514D5A">
        <w:rPr>
          <w:rFonts w:ascii="Arial" w:eastAsia="Calibri" w:hAnsi="Arial" w:cs="Arial"/>
          <w:i/>
          <w:iCs/>
          <w:sz w:val="20"/>
          <w:szCs w:val="20"/>
        </w:rPr>
        <w:t>Managerial Auditing Journal</w:t>
      </w:r>
      <w:r w:rsidRPr="00514D5A">
        <w:rPr>
          <w:rFonts w:ascii="Arial" w:eastAsia="Calibri" w:hAnsi="Arial" w:cs="Arial"/>
          <w:sz w:val="20"/>
          <w:szCs w:val="20"/>
        </w:rPr>
        <w:t>, </w:t>
      </w:r>
      <w:r w:rsidRPr="00514D5A">
        <w:rPr>
          <w:rFonts w:ascii="Arial" w:eastAsia="Calibri" w:hAnsi="Arial" w:cs="Arial"/>
          <w:i/>
          <w:iCs/>
          <w:sz w:val="20"/>
          <w:szCs w:val="20"/>
        </w:rPr>
        <w:t>24</w:t>
      </w:r>
      <w:r w:rsidRPr="00514D5A">
        <w:rPr>
          <w:rFonts w:ascii="Arial" w:eastAsia="Calibri" w:hAnsi="Arial" w:cs="Arial"/>
          <w:sz w:val="20"/>
          <w:szCs w:val="20"/>
        </w:rPr>
        <w:t>(4), 316-339.</w:t>
      </w:r>
      <w:bookmarkEnd w:id="61"/>
    </w:p>
    <w:p w14:paraId="2FF7F044" w14:textId="77777777" w:rsidR="00132AC1" w:rsidRPr="00514D5A" w:rsidRDefault="00132AC1" w:rsidP="00B1407A">
      <w:pPr>
        <w:spacing w:line="480" w:lineRule="auto"/>
        <w:jc w:val="both"/>
        <w:rPr>
          <w:rStyle w:val="Hyperlink"/>
          <w:rFonts w:ascii="Arial" w:hAnsi="Arial" w:cs="Arial"/>
          <w:color w:val="auto"/>
          <w:sz w:val="20"/>
          <w:szCs w:val="20"/>
          <w:u w:val="none"/>
        </w:rPr>
      </w:pPr>
    </w:p>
    <w:p w14:paraId="7AFEEA0F" w14:textId="77777777" w:rsidR="00665368" w:rsidRPr="00514D5A" w:rsidRDefault="00665368" w:rsidP="00B1407A">
      <w:pPr>
        <w:spacing w:line="480" w:lineRule="auto"/>
        <w:jc w:val="both"/>
        <w:rPr>
          <w:rFonts w:ascii="Arial" w:eastAsia="Calibri" w:hAnsi="Arial" w:cs="Arial"/>
          <w:sz w:val="20"/>
          <w:szCs w:val="20"/>
        </w:rPr>
      </w:pPr>
    </w:p>
    <w:p w14:paraId="206629C0" w14:textId="77777777" w:rsidR="00665368" w:rsidRPr="00514D5A" w:rsidRDefault="00665368" w:rsidP="00B1407A">
      <w:pPr>
        <w:spacing w:line="480" w:lineRule="auto"/>
        <w:jc w:val="both"/>
        <w:rPr>
          <w:rFonts w:ascii="Arial" w:eastAsia="Calibri" w:hAnsi="Arial" w:cs="Arial"/>
          <w:sz w:val="20"/>
          <w:szCs w:val="20"/>
        </w:rPr>
      </w:pPr>
    </w:p>
    <w:p w14:paraId="0A5C7E99" w14:textId="77777777" w:rsidR="00665368" w:rsidRPr="00514D5A" w:rsidRDefault="00665368" w:rsidP="00B1407A">
      <w:pPr>
        <w:spacing w:line="480" w:lineRule="auto"/>
        <w:jc w:val="both"/>
        <w:rPr>
          <w:rFonts w:ascii="Arial" w:eastAsia="Calibri" w:hAnsi="Arial" w:cs="Arial"/>
          <w:sz w:val="20"/>
          <w:szCs w:val="20"/>
        </w:rPr>
      </w:pPr>
    </w:p>
    <w:p w14:paraId="197170E0" w14:textId="77777777" w:rsidR="00665368" w:rsidRPr="00514D5A" w:rsidRDefault="00665368" w:rsidP="00B1407A">
      <w:pPr>
        <w:spacing w:line="480" w:lineRule="auto"/>
        <w:jc w:val="both"/>
        <w:rPr>
          <w:rFonts w:ascii="Arial" w:eastAsia="Calibri" w:hAnsi="Arial" w:cs="Arial"/>
          <w:sz w:val="20"/>
          <w:szCs w:val="20"/>
        </w:rPr>
      </w:pPr>
    </w:p>
    <w:p w14:paraId="30040B2E" w14:textId="77777777" w:rsidR="00665368" w:rsidRPr="00514D5A" w:rsidRDefault="00665368" w:rsidP="00B1407A">
      <w:pPr>
        <w:spacing w:line="480" w:lineRule="auto"/>
        <w:jc w:val="both"/>
        <w:rPr>
          <w:rFonts w:ascii="Arial" w:eastAsia="Calibri" w:hAnsi="Arial" w:cs="Arial"/>
          <w:sz w:val="20"/>
          <w:szCs w:val="20"/>
        </w:rPr>
      </w:pPr>
    </w:p>
    <w:bookmarkEnd w:id="37"/>
    <w:p w14:paraId="262DBA54" w14:textId="77777777" w:rsidR="00665368" w:rsidRPr="00514D5A" w:rsidRDefault="00665368" w:rsidP="00B1407A">
      <w:pPr>
        <w:spacing w:line="480" w:lineRule="auto"/>
        <w:jc w:val="both"/>
        <w:rPr>
          <w:rFonts w:ascii="Arial" w:eastAsia="Calibri" w:hAnsi="Arial" w:cs="Arial"/>
          <w:sz w:val="20"/>
          <w:szCs w:val="20"/>
        </w:rPr>
      </w:pPr>
    </w:p>
    <w:sectPr w:rsidR="00665368" w:rsidRPr="00514D5A" w:rsidSect="00C030F2">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24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Ogunlalu Adewale Emmanuel" w:date="2025-10-15T16:46:00Z" w:initials="OAE">
    <w:p w14:paraId="1E34B0F2" w14:textId="58C3BEBC" w:rsidR="00DF7690" w:rsidRDefault="00DF7690">
      <w:pPr>
        <w:pStyle w:val="CommentText"/>
      </w:pPr>
      <w:r>
        <w:rPr>
          <w:rStyle w:val="CommentReference"/>
        </w:rPr>
        <w:annotationRef/>
      </w:r>
      <w:r>
        <w:t>Change to “</w:t>
      </w:r>
      <w:proofErr w:type="gramStart"/>
      <w:r>
        <w:t>Risk  M</w:t>
      </w:r>
      <w:r w:rsidR="00A70A08">
        <w:t>anagement</w:t>
      </w:r>
      <w:proofErr w:type="gramEnd"/>
      <w:r w:rsidR="00A70A08">
        <w:t>,</w:t>
      </w:r>
      <w:bookmarkStart w:id="1" w:name="_GoBack"/>
      <w:bookmarkEnd w:id="1"/>
      <w:r>
        <w:t xml:space="preserve"> Corporate Scan</w:t>
      </w:r>
      <w:r w:rsidR="00117415">
        <w:t>dals and Reforms: Case Study Approach”</w:t>
      </w:r>
    </w:p>
  </w:comment>
  <w:comment w:id="2" w:author="Ogunlalu Adewale Emmanuel" w:date="2025-10-15T16:18:00Z" w:initials="OAE">
    <w:p w14:paraId="200D2F2A" w14:textId="009C938D" w:rsidR="00B344EC" w:rsidRDefault="00B344EC" w:rsidP="00B344EC">
      <w:pPr>
        <w:pStyle w:val="CommentText"/>
        <w:numPr>
          <w:ilvl w:val="0"/>
          <w:numId w:val="4"/>
        </w:numPr>
      </w:pPr>
      <w:r>
        <w:rPr>
          <w:rStyle w:val="CommentReference"/>
        </w:rPr>
        <w:annotationRef/>
      </w:r>
      <w:r>
        <w:t>The abstract should include a short sentence that captures the research problem</w:t>
      </w:r>
    </w:p>
    <w:p w14:paraId="11D52D8A" w14:textId="62161241" w:rsidR="00B344EC" w:rsidRDefault="00B344EC" w:rsidP="00B344EC">
      <w:pPr>
        <w:pStyle w:val="CommentText"/>
        <w:numPr>
          <w:ilvl w:val="0"/>
          <w:numId w:val="4"/>
        </w:numPr>
      </w:pPr>
      <w:r>
        <w:t xml:space="preserve"> The purposive sampling technique adopted in section of companies used for case study should be mentioned here</w:t>
      </w:r>
    </w:p>
  </w:comment>
  <w:comment w:id="4" w:author="Ogunlalu Adewale Emmanuel" w:date="2025-10-15T16:28:00Z" w:initials="OAE">
    <w:p w14:paraId="1A3A6DBC" w14:textId="30A0D715" w:rsidR="00A309E9" w:rsidRDefault="00A309E9" w:rsidP="00A309E9">
      <w:pPr>
        <w:pStyle w:val="CommentText"/>
        <w:numPr>
          <w:ilvl w:val="0"/>
          <w:numId w:val="5"/>
        </w:numPr>
      </w:pPr>
      <w:r>
        <w:rPr>
          <w:rStyle w:val="CommentReference"/>
        </w:rPr>
        <w:annotationRef/>
      </w:r>
      <w:r>
        <w:t>Italicized and apply to all others</w:t>
      </w:r>
    </w:p>
    <w:p w14:paraId="256809B0" w14:textId="2D484D3C" w:rsidR="00A309E9" w:rsidRDefault="00A309E9" w:rsidP="00A309E9">
      <w:pPr>
        <w:pStyle w:val="CommentText"/>
        <w:numPr>
          <w:ilvl w:val="0"/>
          <w:numId w:val="5"/>
        </w:numPr>
      </w:pPr>
      <w:r>
        <w:t>The first mention of multiple authors shou</w:t>
      </w:r>
      <w:r w:rsidR="00F43B08">
        <w:t>l</w:t>
      </w:r>
      <w:r>
        <w:t>d indicate all the name</w:t>
      </w:r>
      <w:r w:rsidR="00F43B08">
        <w:t>s; apply to all also.</w:t>
      </w:r>
    </w:p>
  </w:comment>
  <w:comment w:id="9" w:author="Ogunlalu Adewale Emmanuel" w:date="2025-10-15T12:24:00Z" w:initials="OAE">
    <w:p w14:paraId="0E7B5B42" w14:textId="1505B208" w:rsidR="009661E5" w:rsidRDefault="009661E5">
      <w:pPr>
        <w:pStyle w:val="CommentText"/>
      </w:pPr>
      <w:r>
        <w:rPr>
          <w:rStyle w:val="CommentReference"/>
        </w:rPr>
        <w:annotationRef/>
      </w:r>
      <w:r>
        <w:t>Rephrase</w:t>
      </w:r>
    </w:p>
  </w:comment>
  <w:comment w:id="10" w:author="Ogunlalu Adewale Emmanuel" w:date="2025-10-15T12:25:00Z" w:initials="OAE">
    <w:p w14:paraId="3D0C1E53" w14:textId="6B1EF191" w:rsidR="009661E5" w:rsidRDefault="009661E5">
      <w:pPr>
        <w:pStyle w:val="CommentText"/>
      </w:pPr>
      <w:r>
        <w:rPr>
          <w:rStyle w:val="CommentReference"/>
        </w:rPr>
        <w:annotationRef/>
      </w:r>
      <w:r>
        <w:t>Replace with companies’</w:t>
      </w:r>
    </w:p>
  </w:comment>
  <w:comment w:id="23" w:author="Ogunlalu Adewale Emmanuel" w:date="2025-10-15T14:49:00Z" w:initials="OAE">
    <w:p w14:paraId="5D93AA06" w14:textId="61B2A747" w:rsidR="00E06CDF" w:rsidRDefault="00E06CDF">
      <w:pPr>
        <w:pStyle w:val="CommentText"/>
      </w:pPr>
      <w:r>
        <w:rPr>
          <w:rStyle w:val="CommentReference"/>
        </w:rPr>
        <w:annotationRef/>
      </w:r>
      <w:r>
        <w:t>Insert a full stop</w:t>
      </w:r>
    </w:p>
  </w:comment>
  <w:comment w:id="30" w:author="Ogunlalu Adewale Emmanuel" w:date="2025-10-15T15:50:00Z" w:initials="OAE">
    <w:p w14:paraId="339CFB83" w14:textId="60F48994" w:rsidR="00D70181" w:rsidRDefault="00D70181">
      <w:pPr>
        <w:pStyle w:val="CommentText"/>
      </w:pPr>
      <w:r>
        <w:rPr>
          <w:rStyle w:val="CommentReference"/>
        </w:rPr>
        <w:annotationRef/>
      </w:r>
      <w:r>
        <w:t>Change to ‘was’</w:t>
      </w:r>
    </w:p>
  </w:comment>
  <w:comment w:id="38" w:author="Ogunlalu Adewale Emmanuel" w:date="2025-10-15T16:16:00Z" w:initials="OAE">
    <w:p w14:paraId="6A5D4DBE" w14:textId="700A10FC" w:rsidR="00B344EC" w:rsidRDefault="00B344EC">
      <w:pPr>
        <w:pStyle w:val="CommentText"/>
      </w:pPr>
      <w:r>
        <w:rPr>
          <w:rStyle w:val="CommentReference"/>
        </w:rPr>
        <w:annotationRef/>
      </w:r>
      <w:r>
        <w:t>In line with APA referencing style, the line spacing in this section should be adjusted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34B0F2" w15:done="0"/>
  <w15:commentEx w15:paraId="11D52D8A" w15:done="0"/>
  <w15:commentEx w15:paraId="256809B0" w15:done="0"/>
  <w15:commentEx w15:paraId="0E7B5B42" w15:done="0"/>
  <w15:commentEx w15:paraId="3D0C1E53" w15:done="0"/>
  <w15:commentEx w15:paraId="5D93AA06" w15:done="0"/>
  <w15:commentEx w15:paraId="339CFB83" w15:done="0"/>
  <w15:commentEx w15:paraId="6A5D4DB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6A487" w14:textId="77777777" w:rsidR="00201E53" w:rsidRDefault="00201E53" w:rsidP="007E05AF">
      <w:pPr>
        <w:spacing w:after="0" w:line="240" w:lineRule="auto"/>
      </w:pPr>
      <w:r>
        <w:separator/>
      </w:r>
    </w:p>
  </w:endnote>
  <w:endnote w:type="continuationSeparator" w:id="0">
    <w:p w14:paraId="74016D2A" w14:textId="77777777" w:rsidR="00201E53" w:rsidRDefault="00201E53" w:rsidP="007E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C9B0" w14:textId="77777777" w:rsidR="008A65AE" w:rsidRDefault="008A6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098811"/>
      <w:docPartObj>
        <w:docPartGallery w:val="Page Numbers (Bottom of Page)"/>
        <w:docPartUnique/>
      </w:docPartObj>
    </w:sdtPr>
    <w:sdtEndPr>
      <w:rPr>
        <w:color w:val="7F7F7F"/>
        <w:spacing w:val="60"/>
      </w:rPr>
    </w:sdtEndPr>
    <w:sdtContent>
      <w:p w14:paraId="4FD93D90" w14:textId="6D11D20B" w:rsidR="007C78FA" w:rsidRDefault="007C78FA" w:rsidP="00395D2B">
        <w:pPr>
          <w:pStyle w:val="Footer"/>
          <w:pBdr>
            <w:top w:val="single" w:sz="4" w:space="1" w:color="D9D9D9"/>
          </w:pBdr>
          <w:jc w:val="right"/>
        </w:pPr>
        <w:r>
          <w:fldChar w:fldCharType="begin"/>
        </w:r>
        <w:r>
          <w:instrText xml:space="preserve"> PAGE   \* MERGEFORMAT </w:instrText>
        </w:r>
        <w:r>
          <w:fldChar w:fldCharType="separate"/>
        </w:r>
        <w:r w:rsidR="00A70A08">
          <w:rPr>
            <w:noProof/>
          </w:rPr>
          <w:t>1</w:t>
        </w:r>
        <w:r>
          <w:rPr>
            <w:noProof/>
          </w:rPr>
          <w:fldChar w:fldCharType="end"/>
        </w:r>
        <w:r>
          <w:t xml:space="preserve"> | </w:t>
        </w:r>
        <w:r w:rsidRPr="00395D2B">
          <w:rPr>
            <w:color w:val="7F7F7F"/>
            <w:spacing w:val="60"/>
          </w:rPr>
          <w:t>Page</w:t>
        </w:r>
      </w:p>
    </w:sdtContent>
  </w:sdt>
  <w:p w14:paraId="306D6939" w14:textId="77777777" w:rsidR="007C78FA" w:rsidRDefault="007C7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01A14" w14:textId="77777777" w:rsidR="008A65AE" w:rsidRDefault="008A6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78A2B" w14:textId="77777777" w:rsidR="00201E53" w:rsidRDefault="00201E53" w:rsidP="007E05AF">
      <w:pPr>
        <w:spacing w:after="0" w:line="240" w:lineRule="auto"/>
      </w:pPr>
      <w:r>
        <w:separator/>
      </w:r>
    </w:p>
  </w:footnote>
  <w:footnote w:type="continuationSeparator" w:id="0">
    <w:p w14:paraId="053B1866" w14:textId="77777777" w:rsidR="00201E53" w:rsidRDefault="00201E53" w:rsidP="007E0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4B420" w14:textId="45B92983" w:rsidR="008A65AE" w:rsidRDefault="00201E53">
    <w:pPr>
      <w:pStyle w:val="Header"/>
    </w:pPr>
    <w:r>
      <w:rPr>
        <w:noProof/>
      </w:rPr>
      <w:pict w14:anchorId="35EC4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53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70F07" w14:textId="58AA9357" w:rsidR="008A65AE" w:rsidRDefault="00201E53">
    <w:pPr>
      <w:pStyle w:val="Header"/>
    </w:pPr>
    <w:r>
      <w:rPr>
        <w:noProof/>
      </w:rPr>
      <w:pict w14:anchorId="21D08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53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B77BA" w14:textId="34D044D9" w:rsidR="008A65AE" w:rsidRDefault="00201E53">
    <w:pPr>
      <w:pStyle w:val="Header"/>
    </w:pPr>
    <w:r>
      <w:rPr>
        <w:noProof/>
      </w:rPr>
      <w:pict w14:anchorId="7900F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53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525CF"/>
    <w:multiLevelType w:val="hybridMultilevel"/>
    <w:tmpl w:val="9D287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3311E"/>
    <w:multiLevelType w:val="hybridMultilevel"/>
    <w:tmpl w:val="CBA03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1046E"/>
    <w:multiLevelType w:val="multilevel"/>
    <w:tmpl w:val="5EF8A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8A5E4A"/>
    <w:multiLevelType w:val="multilevel"/>
    <w:tmpl w:val="34786A4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 w15:restartNumberingAfterBreak="0">
    <w:nsid w:val="3C007F2D"/>
    <w:multiLevelType w:val="multilevel"/>
    <w:tmpl w:val="65586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gunlalu Adewale Emmanuel">
    <w15:presenceInfo w15:providerId="None" w15:userId="Ogunlalu Adewale Emmanu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EwMTcwtzA1MrcwtDRV0lEKTi0uzszPAykwqQUAdh6afywAAAA="/>
  </w:docVars>
  <w:rsids>
    <w:rsidRoot w:val="00EC7492"/>
    <w:rsid w:val="000012F9"/>
    <w:rsid w:val="00001823"/>
    <w:rsid w:val="00003405"/>
    <w:rsid w:val="000053CF"/>
    <w:rsid w:val="00005A7B"/>
    <w:rsid w:val="000061F6"/>
    <w:rsid w:val="00007911"/>
    <w:rsid w:val="00007D8C"/>
    <w:rsid w:val="00010F27"/>
    <w:rsid w:val="000111F3"/>
    <w:rsid w:val="00011F9A"/>
    <w:rsid w:val="000142F2"/>
    <w:rsid w:val="000148F1"/>
    <w:rsid w:val="00020CD5"/>
    <w:rsid w:val="0002384C"/>
    <w:rsid w:val="00024506"/>
    <w:rsid w:val="000252A0"/>
    <w:rsid w:val="00027205"/>
    <w:rsid w:val="00031123"/>
    <w:rsid w:val="0003195E"/>
    <w:rsid w:val="00032554"/>
    <w:rsid w:val="00032B93"/>
    <w:rsid w:val="00033353"/>
    <w:rsid w:val="000365D5"/>
    <w:rsid w:val="00046873"/>
    <w:rsid w:val="00051137"/>
    <w:rsid w:val="000534E8"/>
    <w:rsid w:val="00055128"/>
    <w:rsid w:val="000556B6"/>
    <w:rsid w:val="00057079"/>
    <w:rsid w:val="00062167"/>
    <w:rsid w:val="00062BE7"/>
    <w:rsid w:val="00064A10"/>
    <w:rsid w:val="000661EB"/>
    <w:rsid w:val="0006679E"/>
    <w:rsid w:val="00067467"/>
    <w:rsid w:val="00067553"/>
    <w:rsid w:val="00067DB9"/>
    <w:rsid w:val="00073F3C"/>
    <w:rsid w:val="00075E7A"/>
    <w:rsid w:val="00077AD9"/>
    <w:rsid w:val="00077F4E"/>
    <w:rsid w:val="000847F9"/>
    <w:rsid w:val="00084801"/>
    <w:rsid w:val="00091DB3"/>
    <w:rsid w:val="00093467"/>
    <w:rsid w:val="00093CA6"/>
    <w:rsid w:val="0009607B"/>
    <w:rsid w:val="00096BFD"/>
    <w:rsid w:val="000A041A"/>
    <w:rsid w:val="000A131B"/>
    <w:rsid w:val="000A7275"/>
    <w:rsid w:val="000B0DB3"/>
    <w:rsid w:val="000C0A61"/>
    <w:rsid w:val="000C0CF5"/>
    <w:rsid w:val="000C3E57"/>
    <w:rsid w:val="000D2E3E"/>
    <w:rsid w:val="000D7BB8"/>
    <w:rsid w:val="000E1ABA"/>
    <w:rsid w:val="000E3AFA"/>
    <w:rsid w:val="000E528B"/>
    <w:rsid w:val="000F0AE7"/>
    <w:rsid w:val="000F218B"/>
    <w:rsid w:val="0010019F"/>
    <w:rsid w:val="001026C7"/>
    <w:rsid w:val="00105023"/>
    <w:rsid w:val="00106413"/>
    <w:rsid w:val="00110C2C"/>
    <w:rsid w:val="0011127B"/>
    <w:rsid w:val="00117415"/>
    <w:rsid w:val="00120C3A"/>
    <w:rsid w:val="00123137"/>
    <w:rsid w:val="00123550"/>
    <w:rsid w:val="00125511"/>
    <w:rsid w:val="00125A2F"/>
    <w:rsid w:val="00132AC1"/>
    <w:rsid w:val="00134D00"/>
    <w:rsid w:val="00136622"/>
    <w:rsid w:val="00137BFA"/>
    <w:rsid w:val="00140E9C"/>
    <w:rsid w:val="0014138D"/>
    <w:rsid w:val="001423A3"/>
    <w:rsid w:val="00142DA2"/>
    <w:rsid w:val="00143C6C"/>
    <w:rsid w:val="001440C4"/>
    <w:rsid w:val="00150E40"/>
    <w:rsid w:val="00152196"/>
    <w:rsid w:val="001559F0"/>
    <w:rsid w:val="00156D20"/>
    <w:rsid w:val="00160E3A"/>
    <w:rsid w:val="00160EBA"/>
    <w:rsid w:val="0016191C"/>
    <w:rsid w:val="0016652E"/>
    <w:rsid w:val="001677EA"/>
    <w:rsid w:val="00170096"/>
    <w:rsid w:val="0017404D"/>
    <w:rsid w:val="00177642"/>
    <w:rsid w:val="00181859"/>
    <w:rsid w:val="00181F0F"/>
    <w:rsid w:val="001821D8"/>
    <w:rsid w:val="001821DE"/>
    <w:rsid w:val="001846E1"/>
    <w:rsid w:val="00185F6A"/>
    <w:rsid w:val="001874AB"/>
    <w:rsid w:val="001942D1"/>
    <w:rsid w:val="00195E4B"/>
    <w:rsid w:val="001975D1"/>
    <w:rsid w:val="00197761"/>
    <w:rsid w:val="001B2BCD"/>
    <w:rsid w:val="001B3E62"/>
    <w:rsid w:val="001B7E6D"/>
    <w:rsid w:val="001C00CF"/>
    <w:rsid w:val="001C0DE5"/>
    <w:rsid w:val="001C5937"/>
    <w:rsid w:val="001C766F"/>
    <w:rsid w:val="001D0E9D"/>
    <w:rsid w:val="001D20BF"/>
    <w:rsid w:val="001D4CCE"/>
    <w:rsid w:val="001E1884"/>
    <w:rsid w:val="001E2250"/>
    <w:rsid w:val="001E50DB"/>
    <w:rsid w:val="001E569D"/>
    <w:rsid w:val="001F00AB"/>
    <w:rsid w:val="001F179F"/>
    <w:rsid w:val="001F1937"/>
    <w:rsid w:val="001F3A0F"/>
    <w:rsid w:val="001F535A"/>
    <w:rsid w:val="001F5D0A"/>
    <w:rsid w:val="001F7309"/>
    <w:rsid w:val="00201E53"/>
    <w:rsid w:val="00204358"/>
    <w:rsid w:val="00204A3A"/>
    <w:rsid w:val="00205C07"/>
    <w:rsid w:val="00206D3B"/>
    <w:rsid w:val="00207D4D"/>
    <w:rsid w:val="002133B2"/>
    <w:rsid w:val="00213F4F"/>
    <w:rsid w:val="002154C6"/>
    <w:rsid w:val="002155B7"/>
    <w:rsid w:val="002158B9"/>
    <w:rsid w:val="00215AEF"/>
    <w:rsid w:val="002176B4"/>
    <w:rsid w:val="00222DA7"/>
    <w:rsid w:val="002245D8"/>
    <w:rsid w:val="00224D85"/>
    <w:rsid w:val="0023141C"/>
    <w:rsid w:val="00237FE5"/>
    <w:rsid w:val="00255D25"/>
    <w:rsid w:val="002612AC"/>
    <w:rsid w:val="00263401"/>
    <w:rsid w:val="00266227"/>
    <w:rsid w:val="00266EB7"/>
    <w:rsid w:val="002822A1"/>
    <w:rsid w:val="002836A3"/>
    <w:rsid w:val="00283C73"/>
    <w:rsid w:val="002843DA"/>
    <w:rsid w:val="00284433"/>
    <w:rsid w:val="00285697"/>
    <w:rsid w:val="00290D33"/>
    <w:rsid w:val="00294ED6"/>
    <w:rsid w:val="002971C3"/>
    <w:rsid w:val="002A5377"/>
    <w:rsid w:val="002A7E08"/>
    <w:rsid w:val="002B0455"/>
    <w:rsid w:val="002B27AC"/>
    <w:rsid w:val="002D2CA0"/>
    <w:rsid w:val="002D564B"/>
    <w:rsid w:val="002E3FD7"/>
    <w:rsid w:val="002E58B4"/>
    <w:rsid w:val="002E7CB4"/>
    <w:rsid w:val="002F0D31"/>
    <w:rsid w:val="002F65AF"/>
    <w:rsid w:val="00300583"/>
    <w:rsid w:val="00300BFE"/>
    <w:rsid w:val="00301ED4"/>
    <w:rsid w:val="003055F9"/>
    <w:rsid w:val="00305932"/>
    <w:rsid w:val="00305B86"/>
    <w:rsid w:val="00310158"/>
    <w:rsid w:val="003124EC"/>
    <w:rsid w:val="00313A61"/>
    <w:rsid w:val="00315CCB"/>
    <w:rsid w:val="003163CC"/>
    <w:rsid w:val="00316CE7"/>
    <w:rsid w:val="00320090"/>
    <w:rsid w:val="00323877"/>
    <w:rsid w:val="00324D93"/>
    <w:rsid w:val="0033661F"/>
    <w:rsid w:val="003366D8"/>
    <w:rsid w:val="00336D8B"/>
    <w:rsid w:val="003453E4"/>
    <w:rsid w:val="0034595E"/>
    <w:rsid w:val="00346E84"/>
    <w:rsid w:val="00352610"/>
    <w:rsid w:val="00353D85"/>
    <w:rsid w:val="003659B2"/>
    <w:rsid w:val="0036723C"/>
    <w:rsid w:val="00371980"/>
    <w:rsid w:val="003745F0"/>
    <w:rsid w:val="00377FE5"/>
    <w:rsid w:val="00381A24"/>
    <w:rsid w:val="003835F1"/>
    <w:rsid w:val="00386EB8"/>
    <w:rsid w:val="0039056F"/>
    <w:rsid w:val="00391104"/>
    <w:rsid w:val="00393B0B"/>
    <w:rsid w:val="00393FE8"/>
    <w:rsid w:val="00394F19"/>
    <w:rsid w:val="00395D2B"/>
    <w:rsid w:val="003A073D"/>
    <w:rsid w:val="003A51DC"/>
    <w:rsid w:val="003A5CCB"/>
    <w:rsid w:val="003B0E7F"/>
    <w:rsid w:val="003B1A31"/>
    <w:rsid w:val="003B598E"/>
    <w:rsid w:val="003B68FB"/>
    <w:rsid w:val="003B7C3B"/>
    <w:rsid w:val="003C1CF2"/>
    <w:rsid w:val="003C6ED5"/>
    <w:rsid w:val="003D0211"/>
    <w:rsid w:val="003D198A"/>
    <w:rsid w:val="003D4B61"/>
    <w:rsid w:val="003E0810"/>
    <w:rsid w:val="003E1C12"/>
    <w:rsid w:val="003E25C1"/>
    <w:rsid w:val="003E2DFB"/>
    <w:rsid w:val="003E4EDB"/>
    <w:rsid w:val="003F6F47"/>
    <w:rsid w:val="003F70D5"/>
    <w:rsid w:val="0040137D"/>
    <w:rsid w:val="00401FF8"/>
    <w:rsid w:val="00406CD4"/>
    <w:rsid w:val="004079A7"/>
    <w:rsid w:val="00411092"/>
    <w:rsid w:val="004125A5"/>
    <w:rsid w:val="00413755"/>
    <w:rsid w:val="00414727"/>
    <w:rsid w:val="00416DEA"/>
    <w:rsid w:val="00417897"/>
    <w:rsid w:val="00420165"/>
    <w:rsid w:val="00420AE6"/>
    <w:rsid w:val="0042110B"/>
    <w:rsid w:val="00421910"/>
    <w:rsid w:val="00421956"/>
    <w:rsid w:val="004254ED"/>
    <w:rsid w:val="0042563D"/>
    <w:rsid w:val="00430E35"/>
    <w:rsid w:val="004311FF"/>
    <w:rsid w:val="004356B9"/>
    <w:rsid w:val="00440825"/>
    <w:rsid w:val="00443707"/>
    <w:rsid w:val="00444181"/>
    <w:rsid w:val="00444521"/>
    <w:rsid w:val="00446139"/>
    <w:rsid w:val="0044657B"/>
    <w:rsid w:val="00446BDF"/>
    <w:rsid w:val="00446CAA"/>
    <w:rsid w:val="00450202"/>
    <w:rsid w:val="00451EE1"/>
    <w:rsid w:val="0046747A"/>
    <w:rsid w:val="00472ACE"/>
    <w:rsid w:val="00475C8F"/>
    <w:rsid w:val="00475DB6"/>
    <w:rsid w:val="00476266"/>
    <w:rsid w:val="004764F8"/>
    <w:rsid w:val="00477E56"/>
    <w:rsid w:val="004806ED"/>
    <w:rsid w:val="00480F26"/>
    <w:rsid w:val="00483902"/>
    <w:rsid w:val="00484275"/>
    <w:rsid w:val="00485608"/>
    <w:rsid w:val="00486CFF"/>
    <w:rsid w:val="00487454"/>
    <w:rsid w:val="00487BC3"/>
    <w:rsid w:val="00495059"/>
    <w:rsid w:val="00495ADC"/>
    <w:rsid w:val="00496456"/>
    <w:rsid w:val="00496E52"/>
    <w:rsid w:val="0049753F"/>
    <w:rsid w:val="00497F69"/>
    <w:rsid w:val="00497FE5"/>
    <w:rsid w:val="004A7012"/>
    <w:rsid w:val="004B125F"/>
    <w:rsid w:val="004B1A52"/>
    <w:rsid w:val="004B3033"/>
    <w:rsid w:val="004B3819"/>
    <w:rsid w:val="004B45C6"/>
    <w:rsid w:val="004B5746"/>
    <w:rsid w:val="004B63ED"/>
    <w:rsid w:val="004B6446"/>
    <w:rsid w:val="004B6FC7"/>
    <w:rsid w:val="004C42DD"/>
    <w:rsid w:val="004C6C6B"/>
    <w:rsid w:val="004C725A"/>
    <w:rsid w:val="004D06B2"/>
    <w:rsid w:val="004D35DB"/>
    <w:rsid w:val="004D3E8A"/>
    <w:rsid w:val="004D6DF8"/>
    <w:rsid w:val="004E4916"/>
    <w:rsid w:val="004E4C60"/>
    <w:rsid w:val="004E60F0"/>
    <w:rsid w:val="004F0977"/>
    <w:rsid w:val="004F4EA2"/>
    <w:rsid w:val="004F53A6"/>
    <w:rsid w:val="0050024B"/>
    <w:rsid w:val="00501D10"/>
    <w:rsid w:val="00502872"/>
    <w:rsid w:val="005060EB"/>
    <w:rsid w:val="00513531"/>
    <w:rsid w:val="005141D1"/>
    <w:rsid w:val="0051427E"/>
    <w:rsid w:val="00514D5A"/>
    <w:rsid w:val="00515565"/>
    <w:rsid w:val="00515992"/>
    <w:rsid w:val="005169E6"/>
    <w:rsid w:val="0052144C"/>
    <w:rsid w:val="005227EA"/>
    <w:rsid w:val="00532938"/>
    <w:rsid w:val="00532AF9"/>
    <w:rsid w:val="00534902"/>
    <w:rsid w:val="00534C84"/>
    <w:rsid w:val="0053525B"/>
    <w:rsid w:val="00542352"/>
    <w:rsid w:val="0054690D"/>
    <w:rsid w:val="00550887"/>
    <w:rsid w:val="005529F6"/>
    <w:rsid w:val="0055317D"/>
    <w:rsid w:val="00553656"/>
    <w:rsid w:val="005540FE"/>
    <w:rsid w:val="00560FE4"/>
    <w:rsid w:val="00567CCB"/>
    <w:rsid w:val="00570337"/>
    <w:rsid w:val="00570381"/>
    <w:rsid w:val="00572318"/>
    <w:rsid w:val="005767C7"/>
    <w:rsid w:val="00577C0D"/>
    <w:rsid w:val="0058199E"/>
    <w:rsid w:val="0058431C"/>
    <w:rsid w:val="00586C13"/>
    <w:rsid w:val="0059180A"/>
    <w:rsid w:val="005942AB"/>
    <w:rsid w:val="00595233"/>
    <w:rsid w:val="00595BFA"/>
    <w:rsid w:val="00597B0D"/>
    <w:rsid w:val="005A355F"/>
    <w:rsid w:val="005A7863"/>
    <w:rsid w:val="005A7C2C"/>
    <w:rsid w:val="005B3602"/>
    <w:rsid w:val="005B3848"/>
    <w:rsid w:val="005B60D1"/>
    <w:rsid w:val="005B628E"/>
    <w:rsid w:val="005B65D8"/>
    <w:rsid w:val="005C1680"/>
    <w:rsid w:val="005C4FE1"/>
    <w:rsid w:val="005D0F06"/>
    <w:rsid w:val="005D15C5"/>
    <w:rsid w:val="005D2467"/>
    <w:rsid w:val="005D444B"/>
    <w:rsid w:val="005E0229"/>
    <w:rsid w:val="005E2018"/>
    <w:rsid w:val="005E282B"/>
    <w:rsid w:val="005E5E8C"/>
    <w:rsid w:val="005F03C3"/>
    <w:rsid w:val="005F34D8"/>
    <w:rsid w:val="005F6D55"/>
    <w:rsid w:val="00600A9B"/>
    <w:rsid w:val="00603694"/>
    <w:rsid w:val="00603E4F"/>
    <w:rsid w:val="006076A2"/>
    <w:rsid w:val="00610E07"/>
    <w:rsid w:val="00614C5E"/>
    <w:rsid w:val="0061566E"/>
    <w:rsid w:val="00622053"/>
    <w:rsid w:val="00627802"/>
    <w:rsid w:val="00632A91"/>
    <w:rsid w:val="0064029D"/>
    <w:rsid w:val="006414A2"/>
    <w:rsid w:val="0064466F"/>
    <w:rsid w:val="0064797B"/>
    <w:rsid w:val="006519F3"/>
    <w:rsid w:val="00657874"/>
    <w:rsid w:val="006606C4"/>
    <w:rsid w:val="00660A6F"/>
    <w:rsid w:val="00660F40"/>
    <w:rsid w:val="00661EF6"/>
    <w:rsid w:val="0066225D"/>
    <w:rsid w:val="006630E7"/>
    <w:rsid w:val="006643AE"/>
    <w:rsid w:val="00665368"/>
    <w:rsid w:val="00667A64"/>
    <w:rsid w:val="00667C28"/>
    <w:rsid w:val="006727B0"/>
    <w:rsid w:val="006729C2"/>
    <w:rsid w:val="00674360"/>
    <w:rsid w:val="006749C5"/>
    <w:rsid w:val="00674D20"/>
    <w:rsid w:val="00681C96"/>
    <w:rsid w:val="0068497E"/>
    <w:rsid w:val="00687F67"/>
    <w:rsid w:val="0069125F"/>
    <w:rsid w:val="0069311B"/>
    <w:rsid w:val="006A7395"/>
    <w:rsid w:val="006B7DFA"/>
    <w:rsid w:val="006B7EF4"/>
    <w:rsid w:val="006C268B"/>
    <w:rsid w:val="006C50A3"/>
    <w:rsid w:val="006C7A3F"/>
    <w:rsid w:val="006D0D95"/>
    <w:rsid w:val="006D5CC3"/>
    <w:rsid w:val="006D5D54"/>
    <w:rsid w:val="006D6C8C"/>
    <w:rsid w:val="006E2CAD"/>
    <w:rsid w:val="006E494A"/>
    <w:rsid w:val="006E7597"/>
    <w:rsid w:val="006F289D"/>
    <w:rsid w:val="006F298F"/>
    <w:rsid w:val="006F4141"/>
    <w:rsid w:val="006F64F0"/>
    <w:rsid w:val="006F7CC4"/>
    <w:rsid w:val="00701248"/>
    <w:rsid w:val="0070680B"/>
    <w:rsid w:val="00710D28"/>
    <w:rsid w:val="00711355"/>
    <w:rsid w:val="0071784E"/>
    <w:rsid w:val="00722209"/>
    <w:rsid w:val="0072244D"/>
    <w:rsid w:val="00724EAC"/>
    <w:rsid w:val="00725566"/>
    <w:rsid w:val="0072613F"/>
    <w:rsid w:val="007278DD"/>
    <w:rsid w:val="00731B30"/>
    <w:rsid w:val="007336DA"/>
    <w:rsid w:val="007338CE"/>
    <w:rsid w:val="00734723"/>
    <w:rsid w:val="007368E8"/>
    <w:rsid w:val="007369CD"/>
    <w:rsid w:val="0073750B"/>
    <w:rsid w:val="00740013"/>
    <w:rsid w:val="00745EB1"/>
    <w:rsid w:val="00747993"/>
    <w:rsid w:val="00751F2D"/>
    <w:rsid w:val="007535A3"/>
    <w:rsid w:val="007662D2"/>
    <w:rsid w:val="007676AE"/>
    <w:rsid w:val="0076771B"/>
    <w:rsid w:val="00771055"/>
    <w:rsid w:val="00771C08"/>
    <w:rsid w:val="00772967"/>
    <w:rsid w:val="00772A34"/>
    <w:rsid w:val="007735A1"/>
    <w:rsid w:val="00776AB5"/>
    <w:rsid w:val="00787BE6"/>
    <w:rsid w:val="00790725"/>
    <w:rsid w:val="00791778"/>
    <w:rsid w:val="0079319C"/>
    <w:rsid w:val="007932EE"/>
    <w:rsid w:val="00796BF9"/>
    <w:rsid w:val="00796F70"/>
    <w:rsid w:val="00797202"/>
    <w:rsid w:val="007A017F"/>
    <w:rsid w:val="007A0D29"/>
    <w:rsid w:val="007A3424"/>
    <w:rsid w:val="007A5195"/>
    <w:rsid w:val="007A69A3"/>
    <w:rsid w:val="007B3E6F"/>
    <w:rsid w:val="007B56E0"/>
    <w:rsid w:val="007B6278"/>
    <w:rsid w:val="007C2BDD"/>
    <w:rsid w:val="007C70F1"/>
    <w:rsid w:val="007C78FA"/>
    <w:rsid w:val="007D1AEC"/>
    <w:rsid w:val="007D214B"/>
    <w:rsid w:val="007E0553"/>
    <w:rsid w:val="007E05AF"/>
    <w:rsid w:val="007E3944"/>
    <w:rsid w:val="007E3E7C"/>
    <w:rsid w:val="007E747E"/>
    <w:rsid w:val="007F04C6"/>
    <w:rsid w:val="007F27FB"/>
    <w:rsid w:val="007F3D35"/>
    <w:rsid w:val="007F42D8"/>
    <w:rsid w:val="007F46BE"/>
    <w:rsid w:val="007F5536"/>
    <w:rsid w:val="007F6D7C"/>
    <w:rsid w:val="008003DE"/>
    <w:rsid w:val="00805EC3"/>
    <w:rsid w:val="00806851"/>
    <w:rsid w:val="00806FD1"/>
    <w:rsid w:val="0080736B"/>
    <w:rsid w:val="00807937"/>
    <w:rsid w:val="00810CF3"/>
    <w:rsid w:val="0081229B"/>
    <w:rsid w:val="00812CEF"/>
    <w:rsid w:val="008132AB"/>
    <w:rsid w:val="0082722F"/>
    <w:rsid w:val="00827710"/>
    <w:rsid w:val="00827BC6"/>
    <w:rsid w:val="00832117"/>
    <w:rsid w:val="00834C19"/>
    <w:rsid w:val="00835A31"/>
    <w:rsid w:val="008408B4"/>
    <w:rsid w:val="00853C57"/>
    <w:rsid w:val="00854616"/>
    <w:rsid w:val="008547D5"/>
    <w:rsid w:val="0085606D"/>
    <w:rsid w:val="008564C4"/>
    <w:rsid w:val="00857108"/>
    <w:rsid w:val="00857D8B"/>
    <w:rsid w:val="0086098A"/>
    <w:rsid w:val="00864C6F"/>
    <w:rsid w:val="0087032D"/>
    <w:rsid w:val="00873651"/>
    <w:rsid w:val="00873CBD"/>
    <w:rsid w:val="00875EAF"/>
    <w:rsid w:val="00880777"/>
    <w:rsid w:val="00886B26"/>
    <w:rsid w:val="0089370B"/>
    <w:rsid w:val="00896E50"/>
    <w:rsid w:val="008A5913"/>
    <w:rsid w:val="008A65AE"/>
    <w:rsid w:val="008A6BD5"/>
    <w:rsid w:val="008B05AB"/>
    <w:rsid w:val="008B5845"/>
    <w:rsid w:val="008B68B2"/>
    <w:rsid w:val="008C1433"/>
    <w:rsid w:val="008C3363"/>
    <w:rsid w:val="008D0444"/>
    <w:rsid w:val="008D271A"/>
    <w:rsid w:val="008D300F"/>
    <w:rsid w:val="008E140D"/>
    <w:rsid w:val="008E2D22"/>
    <w:rsid w:val="008E3ADF"/>
    <w:rsid w:val="008E4639"/>
    <w:rsid w:val="008E642F"/>
    <w:rsid w:val="009022AC"/>
    <w:rsid w:val="009066A6"/>
    <w:rsid w:val="00906813"/>
    <w:rsid w:val="0090769D"/>
    <w:rsid w:val="009102B7"/>
    <w:rsid w:val="0091124E"/>
    <w:rsid w:val="009112AE"/>
    <w:rsid w:val="00920DF2"/>
    <w:rsid w:val="009268A2"/>
    <w:rsid w:val="009276E4"/>
    <w:rsid w:val="00931DB5"/>
    <w:rsid w:val="00932191"/>
    <w:rsid w:val="009337D4"/>
    <w:rsid w:val="00933B16"/>
    <w:rsid w:val="00933FBC"/>
    <w:rsid w:val="00934EF8"/>
    <w:rsid w:val="00937415"/>
    <w:rsid w:val="009378A2"/>
    <w:rsid w:val="0094042C"/>
    <w:rsid w:val="00941AF9"/>
    <w:rsid w:val="009455E0"/>
    <w:rsid w:val="00946AC6"/>
    <w:rsid w:val="009521E3"/>
    <w:rsid w:val="009545B0"/>
    <w:rsid w:val="00955168"/>
    <w:rsid w:val="009551B7"/>
    <w:rsid w:val="00960B89"/>
    <w:rsid w:val="0096181E"/>
    <w:rsid w:val="00963445"/>
    <w:rsid w:val="00963693"/>
    <w:rsid w:val="009647B9"/>
    <w:rsid w:val="00965524"/>
    <w:rsid w:val="009661E5"/>
    <w:rsid w:val="00967EE9"/>
    <w:rsid w:val="00971EAD"/>
    <w:rsid w:val="00973D02"/>
    <w:rsid w:val="00974CE0"/>
    <w:rsid w:val="009819F3"/>
    <w:rsid w:val="00991EAB"/>
    <w:rsid w:val="00992520"/>
    <w:rsid w:val="009929C4"/>
    <w:rsid w:val="00992B82"/>
    <w:rsid w:val="009940FA"/>
    <w:rsid w:val="00995B92"/>
    <w:rsid w:val="00997E04"/>
    <w:rsid w:val="009A2B6F"/>
    <w:rsid w:val="009A2C7C"/>
    <w:rsid w:val="009A42EA"/>
    <w:rsid w:val="009B0CA0"/>
    <w:rsid w:val="009B12FB"/>
    <w:rsid w:val="009B22A4"/>
    <w:rsid w:val="009B7F77"/>
    <w:rsid w:val="009C01A4"/>
    <w:rsid w:val="009C06E6"/>
    <w:rsid w:val="009C2E6F"/>
    <w:rsid w:val="009D01B6"/>
    <w:rsid w:val="009D1758"/>
    <w:rsid w:val="009D7967"/>
    <w:rsid w:val="009E4520"/>
    <w:rsid w:val="009E564A"/>
    <w:rsid w:val="009E628C"/>
    <w:rsid w:val="009E719C"/>
    <w:rsid w:val="009E7A00"/>
    <w:rsid w:val="009F411C"/>
    <w:rsid w:val="009F73E7"/>
    <w:rsid w:val="009F7C31"/>
    <w:rsid w:val="00A01B1A"/>
    <w:rsid w:val="00A01E26"/>
    <w:rsid w:val="00A02787"/>
    <w:rsid w:val="00A054CA"/>
    <w:rsid w:val="00A0703E"/>
    <w:rsid w:val="00A10542"/>
    <w:rsid w:val="00A11506"/>
    <w:rsid w:val="00A11C69"/>
    <w:rsid w:val="00A125F8"/>
    <w:rsid w:val="00A12D96"/>
    <w:rsid w:val="00A14163"/>
    <w:rsid w:val="00A14D1E"/>
    <w:rsid w:val="00A152CD"/>
    <w:rsid w:val="00A15A9D"/>
    <w:rsid w:val="00A21860"/>
    <w:rsid w:val="00A2386D"/>
    <w:rsid w:val="00A26C8E"/>
    <w:rsid w:val="00A309E9"/>
    <w:rsid w:val="00A30C3D"/>
    <w:rsid w:val="00A40243"/>
    <w:rsid w:val="00A600E2"/>
    <w:rsid w:val="00A61462"/>
    <w:rsid w:val="00A62E2D"/>
    <w:rsid w:val="00A63221"/>
    <w:rsid w:val="00A64740"/>
    <w:rsid w:val="00A701B2"/>
    <w:rsid w:val="00A70A08"/>
    <w:rsid w:val="00A72591"/>
    <w:rsid w:val="00A728C7"/>
    <w:rsid w:val="00A73DBC"/>
    <w:rsid w:val="00A825D5"/>
    <w:rsid w:val="00A8287D"/>
    <w:rsid w:val="00A83162"/>
    <w:rsid w:val="00A907DF"/>
    <w:rsid w:val="00AA147E"/>
    <w:rsid w:val="00AA4FA3"/>
    <w:rsid w:val="00AA533A"/>
    <w:rsid w:val="00AB31FB"/>
    <w:rsid w:val="00AC4A12"/>
    <w:rsid w:val="00AC4F5B"/>
    <w:rsid w:val="00AC57D4"/>
    <w:rsid w:val="00AD00A2"/>
    <w:rsid w:val="00AD3FB9"/>
    <w:rsid w:val="00AD43FF"/>
    <w:rsid w:val="00AD4643"/>
    <w:rsid w:val="00AD4F98"/>
    <w:rsid w:val="00AD5C86"/>
    <w:rsid w:val="00AE11A5"/>
    <w:rsid w:val="00AE54B8"/>
    <w:rsid w:val="00AF23F4"/>
    <w:rsid w:val="00AF5043"/>
    <w:rsid w:val="00AF5703"/>
    <w:rsid w:val="00AF571A"/>
    <w:rsid w:val="00AF5BAE"/>
    <w:rsid w:val="00AF7A2F"/>
    <w:rsid w:val="00B03E31"/>
    <w:rsid w:val="00B0546B"/>
    <w:rsid w:val="00B1407A"/>
    <w:rsid w:val="00B161C6"/>
    <w:rsid w:val="00B1667A"/>
    <w:rsid w:val="00B212FF"/>
    <w:rsid w:val="00B22920"/>
    <w:rsid w:val="00B24BDC"/>
    <w:rsid w:val="00B344EC"/>
    <w:rsid w:val="00B36207"/>
    <w:rsid w:val="00B414EF"/>
    <w:rsid w:val="00B44304"/>
    <w:rsid w:val="00B47002"/>
    <w:rsid w:val="00B55E5E"/>
    <w:rsid w:val="00B609C5"/>
    <w:rsid w:val="00B6130F"/>
    <w:rsid w:val="00B6211F"/>
    <w:rsid w:val="00B62668"/>
    <w:rsid w:val="00B66A6B"/>
    <w:rsid w:val="00B74DB0"/>
    <w:rsid w:val="00B75887"/>
    <w:rsid w:val="00B76FDE"/>
    <w:rsid w:val="00B8553C"/>
    <w:rsid w:val="00B87DC7"/>
    <w:rsid w:val="00B91355"/>
    <w:rsid w:val="00B921ED"/>
    <w:rsid w:val="00B965FD"/>
    <w:rsid w:val="00B96F29"/>
    <w:rsid w:val="00B97A2E"/>
    <w:rsid w:val="00BA0BAF"/>
    <w:rsid w:val="00BA5A2E"/>
    <w:rsid w:val="00BA78C3"/>
    <w:rsid w:val="00BB215D"/>
    <w:rsid w:val="00BB2C65"/>
    <w:rsid w:val="00BB5769"/>
    <w:rsid w:val="00BB7787"/>
    <w:rsid w:val="00BC118B"/>
    <w:rsid w:val="00BC20FC"/>
    <w:rsid w:val="00BC24CA"/>
    <w:rsid w:val="00BC34DB"/>
    <w:rsid w:val="00BC44E1"/>
    <w:rsid w:val="00BC7193"/>
    <w:rsid w:val="00BD27F4"/>
    <w:rsid w:val="00BE38A1"/>
    <w:rsid w:val="00BE4F4E"/>
    <w:rsid w:val="00BE613B"/>
    <w:rsid w:val="00BE6556"/>
    <w:rsid w:val="00BE6EDC"/>
    <w:rsid w:val="00BE764D"/>
    <w:rsid w:val="00BE7A41"/>
    <w:rsid w:val="00BF057E"/>
    <w:rsid w:val="00BF3350"/>
    <w:rsid w:val="00BF4159"/>
    <w:rsid w:val="00BF5502"/>
    <w:rsid w:val="00C014BC"/>
    <w:rsid w:val="00C030F2"/>
    <w:rsid w:val="00C04557"/>
    <w:rsid w:val="00C054D8"/>
    <w:rsid w:val="00C065E5"/>
    <w:rsid w:val="00C074E7"/>
    <w:rsid w:val="00C12162"/>
    <w:rsid w:val="00C13279"/>
    <w:rsid w:val="00C15133"/>
    <w:rsid w:val="00C161FD"/>
    <w:rsid w:val="00C17760"/>
    <w:rsid w:val="00C17E6B"/>
    <w:rsid w:val="00C22347"/>
    <w:rsid w:val="00C23019"/>
    <w:rsid w:val="00C235AE"/>
    <w:rsid w:val="00C24D2E"/>
    <w:rsid w:val="00C30CE6"/>
    <w:rsid w:val="00C323C2"/>
    <w:rsid w:val="00C36FC0"/>
    <w:rsid w:val="00C43D72"/>
    <w:rsid w:val="00C46EC1"/>
    <w:rsid w:val="00C52ECC"/>
    <w:rsid w:val="00C56B51"/>
    <w:rsid w:val="00C57138"/>
    <w:rsid w:val="00C61083"/>
    <w:rsid w:val="00C61A0C"/>
    <w:rsid w:val="00C61F48"/>
    <w:rsid w:val="00C6300F"/>
    <w:rsid w:val="00C66A1C"/>
    <w:rsid w:val="00C66B2F"/>
    <w:rsid w:val="00C679FC"/>
    <w:rsid w:val="00C73F48"/>
    <w:rsid w:val="00C76BDE"/>
    <w:rsid w:val="00C772C9"/>
    <w:rsid w:val="00C7748C"/>
    <w:rsid w:val="00C80A92"/>
    <w:rsid w:val="00C82265"/>
    <w:rsid w:val="00C84CCB"/>
    <w:rsid w:val="00C869C9"/>
    <w:rsid w:val="00C9344E"/>
    <w:rsid w:val="00C9529E"/>
    <w:rsid w:val="00CA154F"/>
    <w:rsid w:val="00CA28E2"/>
    <w:rsid w:val="00CA3364"/>
    <w:rsid w:val="00CA5D98"/>
    <w:rsid w:val="00CB49F8"/>
    <w:rsid w:val="00CC1FC0"/>
    <w:rsid w:val="00CC2A72"/>
    <w:rsid w:val="00CC3A51"/>
    <w:rsid w:val="00CC4774"/>
    <w:rsid w:val="00CC4A7A"/>
    <w:rsid w:val="00CC62F0"/>
    <w:rsid w:val="00CD2644"/>
    <w:rsid w:val="00CD4A9F"/>
    <w:rsid w:val="00CD7B43"/>
    <w:rsid w:val="00CE4534"/>
    <w:rsid w:val="00CE5AA6"/>
    <w:rsid w:val="00CE6B74"/>
    <w:rsid w:val="00CF2366"/>
    <w:rsid w:val="00CF32B5"/>
    <w:rsid w:val="00CF5810"/>
    <w:rsid w:val="00D02847"/>
    <w:rsid w:val="00D0543E"/>
    <w:rsid w:val="00D05586"/>
    <w:rsid w:val="00D05C33"/>
    <w:rsid w:val="00D06188"/>
    <w:rsid w:val="00D06E5A"/>
    <w:rsid w:val="00D11E62"/>
    <w:rsid w:val="00D12188"/>
    <w:rsid w:val="00D14DD4"/>
    <w:rsid w:val="00D17358"/>
    <w:rsid w:val="00D17DC4"/>
    <w:rsid w:val="00D20506"/>
    <w:rsid w:val="00D22721"/>
    <w:rsid w:val="00D22ACC"/>
    <w:rsid w:val="00D2476A"/>
    <w:rsid w:val="00D247AC"/>
    <w:rsid w:val="00D24969"/>
    <w:rsid w:val="00D2538B"/>
    <w:rsid w:val="00D2755C"/>
    <w:rsid w:val="00D3308B"/>
    <w:rsid w:val="00D343A8"/>
    <w:rsid w:val="00D35C8F"/>
    <w:rsid w:val="00D413AB"/>
    <w:rsid w:val="00D43A81"/>
    <w:rsid w:val="00D44A95"/>
    <w:rsid w:val="00D44B1A"/>
    <w:rsid w:val="00D45ACE"/>
    <w:rsid w:val="00D462BD"/>
    <w:rsid w:val="00D4738C"/>
    <w:rsid w:val="00D50E50"/>
    <w:rsid w:val="00D55A54"/>
    <w:rsid w:val="00D6057B"/>
    <w:rsid w:val="00D60BAD"/>
    <w:rsid w:val="00D60C0C"/>
    <w:rsid w:val="00D61719"/>
    <w:rsid w:val="00D65C5E"/>
    <w:rsid w:val="00D70181"/>
    <w:rsid w:val="00D70D1F"/>
    <w:rsid w:val="00D71CD1"/>
    <w:rsid w:val="00D7203F"/>
    <w:rsid w:val="00D7449F"/>
    <w:rsid w:val="00D76DDF"/>
    <w:rsid w:val="00D7797A"/>
    <w:rsid w:val="00D77A38"/>
    <w:rsid w:val="00D81EC0"/>
    <w:rsid w:val="00D8388B"/>
    <w:rsid w:val="00D84B8A"/>
    <w:rsid w:val="00D867F0"/>
    <w:rsid w:val="00DA15E5"/>
    <w:rsid w:val="00DA35DA"/>
    <w:rsid w:val="00DA6918"/>
    <w:rsid w:val="00DB0412"/>
    <w:rsid w:val="00DB27C1"/>
    <w:rsid w:val="00DB3128"/>
    <w:rsid w:val="00DB3B3F"/>
    <w:rsid w:val="00DB4EB6"/>
    <w:rsid w:val="00DB72AD"/>
    <w:rsid w:val="00DC0B3A"/>
    <w:rsid w:val="00DC1CB2"/>
    <w:rsid w:val="00DC332F"/>
    <w:rsid w:val="00DC7F71"/>
    <w:rsid w:val="00DD0B65"/>
    <w:rsid w:val="00DD2208"/>
    <w:rsid w:val="00DD370F"/>
    <w:rsid w:val="00DD3BBA"/>
    <w:rsid w:val="00DD4691"/>
    <w:rsid w:val="00DE1066"/>
    <w:rsid w:val="00DE1DC9"/>
    <w:rsid w:val="00DE4DE0"/>
    <w:rsid w:val="00DE4E58"/>
    <w:rsid w:val="00DE5ABD"/>
    <w:rsid w:val="00DE73C2"/>
    <w:rsid w:val="00DF1A06"/>
    <w:rsid w:val="00DF46F9"/>
    <w:rsid w:val="00DF531D"/>
    <w:rsid w:val="00DF54E8"/>
    <w:rsid w:val="00DF6D52"/>
    <w:rsid w:val="00DF7690"/>
    <w:rsid w:val="00DF7995"/>
    <w:rsid w:val="00DF7B6E"/>
    <w:rsid w:val="00E00D5D"/>
    <w:rsid w:val="00E01BCD"/>
    <w:rsid w:val="00E02359"/>
    <w:rsid w:val="00E02C18"/>
    <w:rsid w:val="00E03F97"/>
    <w:rsid w:val="00E06CDF"/>
    <w:rsid w:val="00E0779B"/>
    <w:rsid w:val="00E07A0D"/>
    <w:rsid w:val="00E10039"/>
    <w:rsid w:val="00E12B2C"/>
    <w:rsid w:val="00E1488B"/>
    <w:rsid w:val="00E16635"/>
    <w:rsid w:val="00E167BA"/>
    <w:rsid w:val="00E21BA8"/>
    <w:rsid w:val="00E2417A"/>
    <w:rsid w:val="00E25F5B"/>
    <w:rsid w:val="00E277DC"/>
    <w:rsid w:val="00E300C0"/>
    <w:rsid w:val="00E30A54"/>
    <w:rsid w:val="00E36AC7"/>
    <w:rsid w:val="00E36B57"/>
    <w:rsid w:val="00E36F66"/>
    <w:rsid w:val="00E40C57"/>
    <w:rsid w:val="00E51E89"/>
    <w:rsid w:val="00E52597"/>
    <w:rsid w:val="00E52E53"/>
    <w:rsid w:val="00E627A2"/>
    <w:rsid w:val="00E634E4"/>
    <w:rsid w:val="00E665B3"/>
    <w:rsid w:val="00E66737"/>
    <w:rsid w:val="00E67C06"/>
    <w:rsid w:val="00E711B1"/>
    <w:rsid w:val="00E72155"/>
    <w:rsid w:val="00E72EC4"/>
    <w:rsid w:val="00E730C5"/>
    <w:rsid w:val="00E75992"/>
    <w:rsid w:val="00E76F26"/>
    <w:rsid w:val="00E801CE"/>
    <w:rsid w:val="00E85264"/>
    <w:rsid w:val="00E9025E"/>
    <w:rsid w:val="00E91E05"/>
    <w:rsid w:val="00E940B5"/>
    <w:rsid w:val="00E94172"/>
    <w:rsid w:val="00E9680A"/>
    <w:rsid w:val="00E9710C"/>
    <w:rsid w:val="00E97CC5"/>
    <w:rsid w:val="00EA09B6"/>
    <w:rsid w:val="00EA1489"/>
    <w:rsid w:val="00EA29DF"/>
    <w:rsid w:val="00EB3A78"/>
    <w:rsid w:val="00EB45D4"/>
    <w:rsid w:val="00EB5860"/>
    <w:rsid w:val="00EC3D86"/>
    <w:rsid w:val="00EC7492"/>
    <w:rsid w:val="00ED4CA1"/>
    <w:rsid w:val="00ED5273"/>
    <w:rsid w:val="00EE0D54"/>
    <w:rsid w:val="00EE11E8"/>
    <w:rsid w:val="00EE28DA"/>
    <w:rsid w:val="00EE4069"/>
    <w:rsid w:val="00F05499"/>
    <w:rsid w:val="00F05E6F"/>
    <w:rsid w:val="00F05FAB"/>
    <w:rsid w:val="00F06C10"/>
    <w:rsid w:val="00F0741A"/>
    <w:rsid w:val="00F11F93"/>
    <w:rsid w:val="00F15DF3"/>
    <w:rsid w:val="00F20C47"/>
    <w:rsid w:val="00F32AA4"/>
    <w:rsid w:val="00F37800"/>
    <w:rsid w:val="00F37B1A"/>
    <w:rsid w:val="00F421E8"/>
    <w:rsid w:val="00F42EA4"/>
    <w:rsid w:val="00F435BB"/>
    <w:rsid w:val="00F43B08"/>
    <w:rsid w:val="00F43DEC"/>
    <w:rsid w:val="00F446C4"/>
    <w:rsid w:val="00F45AF9"/>
    <w:rsid w:val="00F45C58"/>
    <w:rsid w:val="00F45EBB"/>
    <w:rsid w:val="00F472E6"/>
    <w:rsid w:val="00F51B58"/>
    <w:rsid w:val="00F57B2D"/>
    <w:rsid w:val="00F66641"/>
    <w:rsid w:val="00F67027"/>
    <w:rsid w:val="00F72308"/>
    <w:rsid w:val="00F75089"/>
    <w:rsid w:val="00F757E8"/>
    <w:rsid w:val="00F8055F"/>
    <w:rsid w:val="00F81F92"/>
    <w:rsid w:val="00F85765"/>
    <w:rsid w:val="00F86558"/>
    <w:rsid w:val="00F92944"/>
    <w:rsid w:val="00F93FC8"/>
    <w:rsid w:val="00F951ED"/>
    <w:rsid w:val="00FA0E82"/>
    <w:rsid w:val="00FA1D69"/>
    <w:rsid w:val="00FA29EC"/>
    <w:rsid w:val="00FA50DC"/>
    <w:rsid w:val="00FB3DBC"/>
    <w:rsid w:val="00FB630A"/>
    <w:rsid w:val="00FB6778"/>
    <w:rsid w:val="00FC138D"/>
    <w:rsid w:val="00FC2A02"/>
    <w:rsid w:val="00FC2C4B"/>
    <w:rsid w:val="00FC4A8E"/>
    <w:rsid w:val="00FC51B4"/>
    <w:rsid w:val="00FC60C1"/>
    <w:rsid w:val="00FC7403"/>
    <w:rsid w:val="00FD1EB6"/>
    <w:rsid w:val="00FD4176"/>
    <w:rsid w:val="00FE22C0"/>
    <w:rsid w:val="00FE3A29"/>
    <w:rsid w:val="00FE6F75"/>
    <w:rsid w:val="00FE7F1C"/>
    <w:rsid w:val="00FF1556"/>
    <w:rsid w:val="00FF1F06"/>
    <w:rsid w:val="00FF40AD"/>
    <w:rsid w:val="00FF45E8"/>
    <w:rsid w:val="00FF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130DC0"/>
  <w15:docId w15:val="{22D3B0FD-404D-4BA5-A1EE-E3446833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05AF"/>
    <w:rPr>
      <w:color w:val="0563C1" w:themeColor="hyperlink"/>
      <w:u w:val="single"/>
    </w:rPr>
  </w:style>
  <w:style w:type="character" w:customStyle="1" w:styleId="UnresolvedMention1">
    <w:name w:val="Unresolved Mention1"/>
    <w:basedOn w:val="DefaultParagraphFont"/>
    <w:uiPriority w:val="99"/>
    <w:semiHidden/>
    <w:unhideWhenUsed/>
    <w:rsid w:val="007E05AF"/>
    <w:rPr>
      <w:color w:val="605E5C"/>
      <w:shd w:val="clear" w:color="auto" w:fill="E1DFDD"/>
    </w:rPr>
  </w:style>
  <w:style w:type="paragraph" w:styleId="Header">
    <w:name w:val="header"/>
    <w:basedOn w:val="Normal"/>
    <w:link w:val="HeaderChar"/>
    <w:uiPriority w:val="99"/>
    <w:unhideWhenUsed/>
    <w:rsid w:val="007E0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5AF"/>
  </w:style>
  <w:style w:type="paragraph" w:styleId="Footer">
    <w:name w:val="footer"/>
    <w:basedOn w:val="Normal"/>
    <w:link w:val="FooterChar"/>
    <w:uiPriority w:val="99"/>
    <w:unhideWhenUsed/>
    <w:rsid w:val="007E0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5AF"/>
  </w:style>
  <w:style w:type="paragraph" w:styleId="NormalWeb">
    <w:name w:val="Normal (Web)"/>
    <w:basedOn w:val="Normal"/>
    <w:uiPriority w:val="99"/>
    <w:semiHidden/>
    <w:unhideWhenUsed/>
    <w:rsid w:val="00A21860"/>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BF5502"/>
    <w:rPr>
      <w:color w:val="605E5C"/>
      <w:shd w:val="clear" w:color="auto" w:fill="E1DFDD"/>
    </w:rPr>
  </w:style>
  <w:style w:type="paragraph" w:styleId="NoSpacing">
    <w:name w:val="No Spacing"/>
    <w:uiPriority w:val="1"/>
    <w:qFormat/>
    <w:rsid w:val="004125A5"/>
    <w:pPr>
      <w:spacing w:after="0" w:line="240" w:lineRule="auto"/>
    </w:pPr>
    <w:rPr>
      <w:rFonts w:ascii="Calibri" w:eastAsia="Calibri" w:hAnsi="Calibri" w:cs="Times New Roman"/>
    </w:rPr>
  </w:style>
  <w:style w:type="paragraph" w:styleId="ListParagraph">
    <w:name w:val="List Paragraph"/>
    <w:basedOn w:val="Normal"/>
    <w:uiPriority w:val="34"/>
    <w:qFormat/>
    <w:rsid w:val="00CA5D98"/>
    <w:pPr>
      <w:ind w:left="720"/>
      <w:contextualSpacing/>
    </w:pPr>
  </w:style>
  <w:style w:type="character" w:styleId="CommentReference">
    <w:name w:val="annotation reference"/>
    <w:basedOn w:val="DefaultParagraphFont"/>
    <w:uiPriority w:val="99"/>
    <w:semiHidden/>
    <w:unhideWhenUsed/>
    <w:rsid w:val="009661E5"/>
    <w:rPr>
      <w:sz w:val="16"/>
      <w:szCs w:val="16"/>
    </w:rPr>
  </w:style>
  <w:style w:type="paragraph" w:styleId="CommentText">
    <w:name w:val="annotation text"/>
    <w:basedOn w:val="Normal"/>
    <w:link w:val="CommentTextChar"/>
    <w:uiPriority w:val="99"/>
    <w:semiHidden/>
    <w:unhideWhenUsed/>
    <w:rsid w:val="009661E5"/>
    <w:pPr>
      <w:spacing w:line="240" w:lineRule="auto"/>
    </w:pPr>
    <w:rPr>
      <w:sz w:val="20"/>
      <w:szCs w:val="20"/>
    </w:rPr>
  </w:style>
  <w:style w:type="character" w:customStyle="1" w:styleId="CommentTextChar">
    <w:name w:val="Comment Text Char"/>
    <w:basedOn w:val="DefaultParagraphFont"/>
    <w:link w:val="CommentText"/>
    <w:uiPriority w:val="99"/>
    <w:semiHidden/>
    <w:rsid w:val="009661E5"/>
    <w:rPr>
      <w:sz w:val="20"/>
      <w:szCs w:val="20"/>
    </w:rPr>
  </w:style>
  <w:style w:type="paragraph" w:styleId="CommentSubject">
    <w:name w:val="annotation subject"/>
    <w:basedOn w:val="CommentText"/>
    <w:next w:val="CommentText"/>
    <w:link w:val="CommentSubjectChar"/>
    <w:uiPriority w:val="99"/>
    <w:semiHidden/>
    <w:unhideWhenUsed/>
    <w:rsid w:val="009661E5"/>
    <w:rPr>
      <w:b/>
      <w:bCs/>
    </w:rPr>
  </w:style>
  <w:style w:type="character" w:customStyle="1" w:styleId="CommentSubjectChar">
    <w:name w:val="Comment Subject Char"/>
    <w:basedOn w:val="CommentTextChar"/>
    <w:link w:val="CommentSubject"/>
    <w:uiPriority w:val="99"/>
    <w:semiHidden/>
    <w:rsid w:val="009661E5"/>
    <w:rPr>
      <w:b/>
      <w:bCs/>
      <w:sz w:val="20"/>
      <w:szCs w:val="20"/>
    </w:rPr>
  </w:style>
  <w:style w:type="paragraph" w:styleId="BalloonText">
    <w:name w:val="Balloon Text"/>
    <w:basedOn w:val="Normal"/>
    <w:link w:val="BalloonTextChar"/>
    <w:uiPriority w:val="99"/>
    <w:semiHidden/>
    <w:unhideWhenUsed/>
    <w:rsid w:val="009661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1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3039">
      <w:bodyDiv w:val="1"/>
      <w:marLeft w:val="0"/>
      <w:marRight w:val="0"/>
      <w:marTop w:val="0"/>
      <w:marBottom w:val="0"/>
      <w:divBdr>
        <w:top w:val="none" w:sz="0" w:space="0" w:color="auto"/>
        <w:left w:val="none" w:sz="0" w:space="0" w:color="auto"/>
        <w:bottom w:val="none" w:sz="0" w:space="0" w:color="auto"/>
        <w:right w:val="none" w:sz="0" w:space="0" w:color="auto"/>
      </w:divBdr>
    </w:div>
    <w:div w:id="49110108">
      <w:bodyDiv w:val="1"/>
      <w:marLeft w:val="0"/>
      <w:marRight w:val="0"/>
      <w:marTop w:val="0"/>
      <w:marBottom w:val="0"/>
      <w:divBdr>
        <w:top w:val="none" w:sz="0" w:space="0" w:color="auto"/>
        <w:left w:val="none" w:sz="0" w:space="0" w:color="auto"/>
        <w:bottom w:val="none" w:sz="0" w:space="0" w:color="auto"/>
        <w:right w:val="none" w:sz="0" w:space="0" w:color="auto"/>
      </w:divBdr>
    </w:div>
    <w:div w:id="110980413">
      <w:bodyDiv w:val="1"/>
      <w:marLeft w:val="0"/>
      <w:marRight w:val="0"/>
      <w:marTop w:val="0"/>
      <w:marBottom w:val="0"/>
      <w:divBdr>
        <w:top w:val="none" w:sz="0" w:space="0" w:color="auto"/>
        <w:left w:val="none" w:sz="0" w:space="0" w:color="auto"/>
        <w:bottom w:val="none" w:sz="0" w:space="0" w:color="auto"/>
        <w:right w:val="none" w:sz="0" w:space="0" w:color="auto"/>
      </w:divBdr>
    </w:div>
    <w:div w:id="138421803">
      <w:bodyDiv w:val="1"/>
      <w:marLeft w:val="0"/>
      <w:marRight w:val="0"/>
      <w:marTop w:val="0"/>
      <w:marBottom w:val="0"/>
      <w:divBdr>
        <w:top w:val="none" w:sz="0" w:space="0" w:color="auto"/>
        <w:left w:val="none" w:sz="0" w:space="0" w:color="auto"/>
        <w:bottom w:val="none" w:sz="0" w:space="0" w:color="auto"/>
        <w:right w:val="none" w:sz="0" w:space="0" w:color="auto"/>
      </w:divBdr>
    </w:div>
    <w:div w:id="260188379">
      <w:bodyDiv w:val="1"/>
      <w:marLeft w:val="0"/>
      <w:marRight w:val="0"/>
      <w:marTop w:val="0"/>
      <w:marBottom w:val="0"/>
      <w:divBdr>
        <w:top w:val="none" w:sz="0" w:space="0" w:color="auto"/>
        <w:left w:val="none" w:sz="0" w:space="0" w:color="auto"/>
        <w:bottom w:val="none" w:sz="0" w:space="0" w:color="auto"/>
        <w:right w:val="none" w:sz="0" w:space="0" w:color="auto"/>
      </w:divBdr>
    </w:div>
    <w:div w:id="278689103">
      <w:bodyDiv w:val="1"/>
      <w:marLeft w:val="0"/>
      <w:marRight w:val="0"/>
      <w:marTop w:val="0"/>
      <w:marBottom w:val="0"/>
      <w:divBdr>
        <w:top w:val="none" w:sz="0" w:space="0" w:color="auto"/>
        <w:left w:val="none" w:sz="0" w:space="0" w:color="auto"/>
        <w:bottom w:val="none" w:sz="0" w:space="0" w:color="auto"/>
        <w:right w:val="none" w:sz="0" w:space="0" w:color="auto"/>
      </w:divBdr>
    </w:div>
    <w:div w:id="314182655">
      <w:bodyDiv w:val="1"/>
      <w:marLeft w:val="0"/>
      <w:marRight w:val="0"/>
      <w:marTop w:val="0"/>
      <w:marBottom w:val="0"/>
      <w:divBdr>
        <w:top w:val="none" w:sz="0" w:space="0" w:color="auto"/>
        <w:left w:val="none" w:sz="0" w:space="0" w:color="auto"/>
        <w:bottom w:val="none" w:sz="0" w:space="0" w:color="auto"/>
        <w:right w:val="none" w:sz="0" w:space="0" w:color="auto"/>
      </w:divBdr>
    </w:div>
    <w:div w:id="358704925">
      <w:bodyDiv w:val="1"/>
      <w:marLeft w:val="0"/>
      <w:marRight w:val="0"/>
      <w:marTop w:val="0"/>
      <w:marBottom w:val="0"/>
      <w:divBdr>
        <w:top w:val="none" w:sz="0" w:space="0" w:color="auto"/>
        <w:left w:val="none" w:sz="0" w:space="0" w:color="auto"/>
        <w:bottom w:val="none" w:sz="0" w:space="0" w:color="auto"/>
        <w:right w:val="none" w:sz="0" w:space="0" w:color="auto"/>
      </w:divBdr>
    </w:div>
    <w:div w:id="359087760">
      <w:bodyDiv w:val="1"/>
      <w:marLeft w:val="0"/>
      <w:marRight w:val="0"/>
      <w:marTop w:val="0"/>
      <w:marBottom w:val="0"/>
      <w:divBdr>
        <w:top w:val="none" w:sz="0" w:space="0" w:color="auto"/>
        <w:left w:val="none" w:sz="0" w:space="0" w:color="auto"/>
        <w:bottom w:val="none" w:sz="0" w:space="0" w:color="auto"/>
        <w:right w:val="none" w:sz="0" w:space="0" w:color="auto"/>
      </w:divBdr>
    </w:div>
    <w:div w:id="362051429">
      <w:bodyDiv w:val="1"/>
      <w:marLeft w:val="0"/>
      <w:marRight w:val="0"/>
      <w:marTop w:val="0"/>
      <w:marBottom w:val="0"/>
      <w:divBdr>
        <w:top w:val="none" w:sz="0" w:space="0" w:color="auto"/>
        <w:left w:val="none" w:sz="0" w:space="0" w:color="auto"/>
        <w:bottom w:val="none" w:sz="0" w:space="0" w:color="auto"/>
        <w:right w:val="none" w:sz="0" w:space="0" w:color="auto"/>
      </w:divBdr>
    </w:div>
    <w:div w:id="441658126">
      <w:bodyDiv w:val="1"/>
      <w:marLeft w:val="0"/>
      <w:marRight w:val="0"/>
      <w:marTop w:val="0"/>
      <w:marBottom w:val="0"/>
      <w:divBdr>
        <w:top w:val="none" w:sz="0" w:space="0" w:color="auto"/>
        <w:left w:val="none" w:sz="0" w:space="0" w:color="auto"/>
        <w:bottom w:val="none" w:sz="0" w:space="0" w:color="auto"/>
        <w:right w:val="none" w:sz="0" w:space="0" w:color="auto"/>
      </w:divBdr>
    </w:div>
    <w:div w:id="458961908">
      <w:bodyDiv w:val="1"/>
      <w:marLeft w:val="0"/>
      <w:marRight w:val="0"/>
      <w:marTop w:val="0"/>
      <w:marBottom w:val="0"/>
      <w:divBdr>
        <w:top w:val="none" w:sz="0" w:space="0" w:color="auto"/>
        <w:left w:val="none" w:sz="0" w:space="0" w:color="auto"/>
        <w:bottom w:val="none" w:sz="0" w:space="0" w:color="auto"/>
        <w:right w:val="none" w:sz="0" w:space="0" w:color="auto"/>
      </w:divBdr>
      <w:divsChild>
        <w:div w:id="1474180285">
          <w:marLeft w:val="0"/>
          <w:marRight w:val="0"/>
          <w:marTop w:val="0"/>
          <w:marBottom w:val="0"/>
          <w:divBdr>
            <w:top w:val="none" w:sz="0" w:space="0" w:color="auto"/>
            <w:left w:val="none" w:sz="0" w:space="0" w:color="auto"/>
            <w:bottom w:val="none" w:sz="0" w:space="0" w:color="auto"/>
            <w:right w:val="none" w:sz="0" w:space="0" w:color="auto"/>
          </w:divBdr>
          <w:divsChild>
            <w:div w:id="210117833">
              <w:marLeft w:val="0"/>
              <w:marRight w:val="0"/>
              <w:marTop w:val="0"/>
              <w:marBottom w:val="0"/>
              <w:divBdr>
                <w:top w:val="none" w:sz="0" w:space="0" w:color="auto"/>
                <w:left w:val="none" w:sz="0" w:space="0" w:color="auto"/>
                <w:bottom w:val="none" w:sz="0" w:space="0" w:color="auto"/>
                <w:right w:val="none" w:sz="0" w:space="0" w:color="auto"/>
              </w:divBdr>
              <w:divsChild>
                <w:div w:id="80957305">
                  <w:marLeft w:val="0"/>
                  <w:marRight w:val="0"/>
                  <w:marTop w:val="0"/>
                  <w:marBottom w:val="0"/>
                  <w:divBdr>
                    <w:top w:val="none" w:sz="0" w:space="0" w:color="auto"/>
                    <w:left w:val="none" w:sz="0" w:space="0" w:color="auto"/>
                    <w:bottom w:val="none" w:sz="0" w:space="0" w:color="auto"/>
                    <w:right w:val="none" w:sz="0" w:space="0" w:color="auto"/>
                  </w:divBdr>
                </w:div>
                <w:div w:id="1909531177">
                  <w:marLeft w:val="0"/>
                  <w:marRight w:val="0"/>
                  <w:marTop w:val="0"/>
                  <w:marBottom w:val="0"/>
                  <w:divBdr>
                    <w:top w:val="none" w:sz="0" w:space="0" w:color="auto"/>
                    <w:left w:val="none" w:sz="0" w:space="0" w:color="auto"/>
                    <w:bottom w:val="none" w:sz="0" w:space="0" w:color="auto"/>
                    <w:right w:val="none" w:sz="0" w:space="0" w:color="auto"/>
                  </w:divBdr>
                  <w:divsChild>
                    <w:div w:id="624235497">
                      <w:marLeft w:val="0"/>
                      <w:marRight w:val="0"/>
                      <w:marTop w:val="0"/>
                      <w:marBottom w:val="0"/>
                      <w:divBdr>
                        <w:top w:val="none" w:sz="0" w:space="0" w:color="auto"/>
                        <w:left w:val="none" w:sz="0" w:space="0" w:color="auto"/>
                        <w:bottom w:val="none" w:sz="0" w:space="0" w:color="auto"/>
                        <w:right w:val="none" w:sz="0" w:space="0" w:color="auto"/>
                      </w:divBdr>
                      <w:divsChild>
                        <w:div w:id="2113042084">
                          <w:marLeft w:val="0"/>
                          <w:marRight w:val="0"/>
                          <w:marTop w:val="0"/>
                          <w:marBottom w:val="0"/>
                          <w:divBdr>
                            <w:top w:val="none" w:sz="0" w:space="0" w:color="auto"/>
                            <w:left w:val="none" w:sz="0" w:space="0" w:color="auto"/>
                            <w:bottom w:val="none" w:sz="0" w:space="0" w:color="auto"/>
                            <w:right w:val="none" w:sz="0" w:space="0" w:color="auto"/>
                          </w:divBdr>
                          <w:divsChild>
                            <w:div w:id="949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927516">
          <w:marLeft w:val="0"/>
          <w:marRight w:val="0"/>
          <w:marTop w:val="0"/>
          <w:marBottom w:val="0"/>
          <w:divBdr>
            <w:top w:val="none" w:sz="0" w:space="0" w:color="auto"/>
            <w:left w:val="none" w:sz="0" w:space="0" w:color="auto"/>
            <w:bottom w:val="none" w:sz="0" w:space="0" w:color="auto"/>
            <w:right w:val="none" w:sz="0" w:space="0" w:color="auto"/>
          </w:divBdr>
          <w:divsChild>
            <w:div w:id="1306205088">
              <w:marLeft w:val="0"/>
              <w:marRight w:val="0"/>
              <w:marTop w:val="0"/>
              <w:marBottom w:val="0"/>
              <w:divBdr>
                <w:top w:val="none" w:sz="0" w:space="0" w:color="auto"/>
                <w:left w:val="none" w:sz="0" w:space="0" w:color="auto"/>
                <w:bottom w:val="none" w:sz="0" w:space="0" w:color="auto"/>
                <w:right w:val="none" w:sz="0" w:space="0" w:color="auto"/>
              </w:divBdr>
              <w:divsChild>
                <w:div w:id="1503007394">
                  <w:marLeft w:val="0"/>
                  <w:marRight w:val="0"/>
                  <w:marTop w:val="0"/>
                  <w:marBottom w:val="0"/>
                  <w:divBdr>
                    <w:top w:val="none" w:sz="0" w:space="0" w:color="auto"/>
                    <w:left w:val="none" w:sz="0" w:space="0" w:color="auto"/>
                    <w:bottom w:val="none" w:sz="0" w:space="0" w:color="auto"/>
                    <w:right w:val="none" w:sz="0" w:space="0" w:color="auto"/>
                  </w:divBdr>
                </w:div>
                <w:div w:id="1779789807">
                  <w:marLeft w:val="0"/>
                  <w:marRight w:val="0"/>
                  <w:marTop w:val="0"/>
                  <w:marBottom w:val="0"/>
                  <w:divBdr>
                    <w:top w:val="none" w:sz="0" w:space="0" w:color="auto"/>
                    <w:left w:val="none" w:sz="0" w:space="0" w:color="auto"/>
                    <w:bottom w:val="none" w:sz="0" w:space="0" w:color="auto"/>
                    <w:right w:val="none" w:sz="0" w:space="0" w:color="auto"/>
                  </w:divBdr>
                </w:div>
              </w:divsChild>
            </w:div>
            <w:div w:id="1485050368">
              <w:marLeft w:val="0"/>
              <w:marRight w:val="0"/>
              <w:marTop w:val="0"/>
              <w:marBottom w:val="0"/>
              <w:divBdr>
                <w:top w:val="none" w:sz="0" w:space="0" w:color="auto"/>
                <w:left w:val="none" w:sz="0" w:space="0" w:color="auto"/>
                <w:bottom w:val="none" w:sz="0" w:space="0" w:color="auto"/>
                <w:right w:val="none" w:sz="0" w:space="0" w:color="auto"/>
              </w:divBdr>
              <w:divsChild>
                <w:div w:id="11921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44203">
          <w:marLeft w:val="0"/>
          <w:marRight w:val="0"/>
          <w:marTop w:val="0"/>
          <w:marBottom w:val="0"/>
          <w:divBdr>
            <w:top w:val="none" w:sz="0" w:space="0" w:color="auto"/>
            <w:left w:val="none" w:sz="0" w:space="0" w:color="auto"/>
            <w:bottom w:val="none" w:sz="0" w:space="0" w:color="auto"/>
            <w:right w:val="none" w:sz="0" w:space="0" w:color="auto"/>
          </w:divBdr>
          <w:divsChild>
            <w:div w:id="998729802">
              <w:marLeft w:val="0"/>
              <w:marRight w:val="0"/>
              <w:marTop w:val="0"/>
              <w:marBottom w:val="0"/>
              <w:divBdr>
                <w:top w:val="none" w:sz="0" w:space="0" w:color="auto"/>
                <w:left w:val="none" w:sz="0" w:space="0" w:color="auto"/>
                <w:bottom w:val="none" w:sz="0" w:space="0" w:color="auto"/>
                <w:right w:val="none" w:sz="0" w:space="0" w:color="auto"/>
              </w:divBdr>
              <w:divsChild>
                <w:div w:id="1009062044">
                  <w:marLeft w:val="0"/>
                  <w:marRight w:val="0"/>
                  <w:marTop w:val="0"/>
                  <w:marBottom w:val="0"/>
                  <w:divBdr>
                    <w:top w:val="none" w:sz="0" w:space="0" w:color="auto"/>
                    <w:left w:val="none" w:sz="0" w:space="0" w:color="auto"/>
                    <w:bottom w:val="none" w:sz="0" w:space="0" w:color="auto"/>
                    <w:right w:val="none" w:sz="0" w:space="0" w:color="auto"/>
                  </w:divBdr>
                  <w:divsChild>
                    <w:div w:id="1242568380">
                      <w:marLeft w:val="0"/>
                      <w:marRight w:val="0"/>
                      <w:marTop w:val="0"/>
                      <w:marBottom w:val="0"/>
                      <w:divBdr>
                        <w:top w:val="none" w:sz="0" w:space="0" w:color="auto"/>
                        <w:left w:val="none" w:sz="0" w:space="0" w:color="auto"/>
                        <w:bottom w:val="none" w:sz="0" w:space="0" w:color="auto"/>
                        <w:right w:val="none" w:sz="0" w:space="0" w:color="auto"/>
                      </w:divBdr>
                      <w:divsChild>
                        <w:div w:id="382874202">
                          <w:marLeft w:val="0"/>
                          <w:marRight w:val="0"/>
                          <w:marTop w:val="0"/>
                          <w:marBottom w:val="0"/>
                          <w:divBdr>
                            <w:top w:val="none" w:sz="0" w:space="0" w:color="auto"/>
                            <w:left w:val="none" w:sz="0" w:space="0" w:color="auto"/>
                            <w:bottom w:val="none" w:sz="0" w:space="0" w:color="auto"/>
                            <w:right w:val="none" w:sz="0" w:space="0" w:color="auto"/>
                          </w:divBdr>
                          <w:divsChild>
                            <w:div w:id="15395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200">
      <w:bodyDiv w:val="1"/>
      <w:marLeft w:val="0"/>
      <w:marRight w:val="0"/>
      <w:marTop w:val="0"/>
      <w:marBottom w:val="0"/>
      <w:divBdr>
        <w:top w:val="none" w:sz="0" w:space="0" w:color="auto"/>
        <w:left w:val="none" w:sz="0" w:space="0" w:color="auto"/>
        <w:bottom w:val="none" w:sz="0" w:space="0" w:color="auto"/>
        <w:right w:val="none" w:sz="0" w:space="0" w:color="auto"/>
      </w:divBdr>
    </w:div>
    <w:div w:id="500313414">
      <w:bodyDiv w:val="1"/>
      <w:marLeft w:val="0"/>
      <w:marRight w:val="0"/>
      <w:marTop w:val="0"/>
      <w:marBottom w:val="0"/>
      <w:divBdr>
        <w:top w:val="none" w:sz="0" w:space="0" w:color="auto"/>
        <w:left w:val="none" w:sz="0" w:space="0" w:color="auto"/>
        <w:bottom w:val="none" w:sz="0" w:space="0" w:color="auto"/>
        <w:right w:val="none" w:sz="0" w:space="0" w:color="auto"/>
      </w:divBdr>
    </w:div>
    <w:div w:id="502548038">
      <w:bodyDiv w:val="1"/>
      <w:marLeft w:val="0"/>
      <w:marRight w:val="0"/>
      <w:marTop w:val="0"/>
      <w:marBottom w:val="0"/>
      <w:divBdr>
        <w:top w:val="none" w:sz="0" w:space="0" w:color="auto"/>
        <w:left w:val="none" w:sz="0" w:space="0" w:color="auto"/>
        <w:bottom w:val="none" w:sz="0" w:space="0" w:color="auto"/>
        <w:right w:val="none" w:sz="0" w:space="0" w:color="auto"/>
      </w:divBdr>
    </w:div>
    <w:div w:id="512458461">
      <w:bodyDiv w:val="1"/>
      <w:marLeft w:val="0"/>
      <w:marRight w:val="0"/>
      <w:marTop w:val="0"/>
      <w:marBottom w:val="0"/>
      <w:divBdr>
        <w:top w:val="none" w:sz="0" w:space="0" w:color="auto"/>
        <w:left w:val="none" w:sz="0" w:space="0" w:color="auto"/>
        <w:bottom w:val="none" w:sz="0" w:space="0" w:color="auto"/>
        <w:right w:val="none" w:sz="0" w:space="0" w:color="auto"/>
      </w:divBdr>
    </w:div>
    <w:div w:id="563754903">
      <w:bodyDiv w:val="1"/>
      <w:marLeft w:val="0"/>
      <w:marRight w:val="0"/>
      <w:marTop w:val="0"/>
      <w:marBottom w:val="0"/>
      <w:divBdr>
        <w:top w:val="none" w:sz="0" w:space="0" w:color="auto"/>
        <w:left w:val="none" w:sz="0" w:space="0" w:color="auto"/>
        <w:bottom w:val="none" w:sz="0" w:space="0" w:color="auto"/>
        <w:right w:val="none" w:sz="0" w:space="0" w:color="auto"/>
      </w:divBdr>
    </w:div>
    <w:div w:id="570241184">
      <w:bodyDiv w:val="1"/>
      <w:marLeft w:val="0"/>
      <w:marRight w:val="0"/>
      <w:marTop w:val="0"/>
      <w:marBottom w:val="0"/>
      <w:divBdr>
        <w:top w:val="none" w:sz="0" w:space="0" w:color="auto"/>
        <w:left w:val="none" w:sz="0" w:space="0" w:color="auto"/>
        <w:bottom w:val="none" w:sz="0" w:space="0" w:color="auto"/>
        <w:right w:val="none" w:sz="0" w:space="0" w:color="auto"/>
      </w:divBdr>
    </w:div>
    <w:div w:id="610237162">
      <w:bodyDiv w:val="1"/>
      <w:marLeft w:val="0"/>
      <w:marRight w:val="0"/>
      <w:marTop w:val="0"/>
      <w:marBottom w:val="0"/>
      <w:divBdr>
        <w:top w:val="none" w:sz="0" w:space="0" w:color="auto"/>
        <w:left w:val="none" w:sz="0" w:space="0" w:color="auto"/>
        <w:bottom w:val="none" w:sz="0" w:space="0" w:color="auto"/>
        <w:right w:val="none" w:sz="0" w:space="0" w:color="auto"/>
      </w:divBdr>
    </w:div>
    <w:div w:id="650602762">
      <w:bodyDiv w:val="1"/>
      <w:marLeft w:val="0"/>
      <w:marRight w:val="0"/>
      <w:marTop w:val="0"/>
      <w:marBottom w:val="0"/>
      <w:divBdr>
        <w:top w:val="none" w:sz="0" w:space="0" w:color="auto"/>
        <w:left w:val="none" w:sz="0" w:space="0" w:color="auto"/>
        <w:bottom w:val="none" w:sz="0" w:space="0" w:color="auto"/>
        <w:right w:val="none" w:sz="0" w:space="0" w:color="auto"/>
      </w:divBdr>
    </w:div>
    <w:div w:id="677580344">
      <w:bodyDiv w:val="1"/>
      <w:marLeft w:val="0"/>
      <w:marRight w:val="0"/>
      <w:marTop w:val="0"/>
      <w:marBottom w:val="0"/>
      <w:divBdr>
        <w:top w:val="none" w:sz="0" w:space="0" w:color="auto"/>
        <w:left w:val="none" w:sz="0" w:space="0" w:color="auto"/>
        <w:bottom w:val="none" w:sz="0" w:space="0" w:color="auto"/>
        <w:right w:val="none" w:sz="0" w:space="0" w:color="auto"/>
      </w:divBdr>
    </w:div>
    <w:div w:id="703945411">
      <w:bodyDiv w:val="1"/>
      <w:marLeft w:val="0"/>
      <w:marRight w:val="0"/>
      <w:marTop w:val="0"/>
      <w:marBottom w:val="0"/>
      <w:divBdr>
        <w:top w:val="none" w:sz="0" w:space="0" w:color="auto"/>
        <w:left w:val="none" w:sz="0" w:space="0" w:color="auto"/>
        <w:bottom w:val="none" w:sz="0" w:space="0" w:color="auto"/>
        <w:right w:val="none" w:sz="0" w:space="0" w:color="auto"/>
      </w:divBdr>
    </w:div>
    <w:div w:id="725223021">
      <w:bodyDiv w:val="1"/>
      <w:marLeft w:val="0"/>
      <w:marRight w:val="0"/>
      <w:marTop w:val="0"/>
      <w:marBottom w:val="0"/>
      <w:divBdr>
        <w:top w:val="none" w:sz="0" w:space="0" w:color="auto"/>
        <w:left w:val="none" w:sz="0" w:space="0" w:color="auto"/>
        <w:bottom w:val="none" w:sz="0" w:space="0" w:color="auto"/>
        <w:right w:val="none" w:sz="0" w:space="0" w:color="auto"/>
      </w:divBdr>
    </w:div>
    <w:div w:id="817263086">
      <w:bodyDiv w:val="1"/>
      <w:marLeft w:val="0"/>
      <w:marRight w:val="0"/>
      <w:marTop w:val="0"/>
      <w:marBottom w:val="0"/>
      <w:divBdr>
        <w:top w:val="none" w:sz="0" w:space="0" w:color="auto"/>
        <w:left w:val="none" w:sz="0" w:space="0" w:color="auto"/>
        <w:bottom w:val="none" w:sz="0" w:space="0" w:color="auto"/>
        <w:right w:val="none" w:sz="0" w:space="0" w:color="auto"/>
      </w:divBdr>
    </w:div>
    <w:div w:id="878132676">
      <w:bodyDiv w:val="1"/>
      <w:marLeft w:val="0"/>
      <w:marRight w:val="0"/>
      <w:marTop w:val="0"/>
      <w:marBottom w:val="0"/>
      <w:divBdr>
        <w:top w:val="none" w:sz="0" w:space="0" w:color="auto"/>
        <w:left w:val="none" w:sz="0" w:space="0" w:color="auto"/>
        <w:bottom w:val="none" w:sz="0" w:space="0" w:color="auto"/>
        <w:right w:val="none" w:sz="0" w:space="0" w:color="auto"/>
      </w:divBdr>
    </w:div>
    <w:div w:id="891815675">
      <w:bodyDiv w:val="1"/>
      <w:marLeft w:val="0"/>
      <w:marRight w:val="0"/>
      <w:marTop w:val="0"/>
      <w:marBottom w:val="0"/>
      <w:divBdr>
        <w:top w:val="none" w:sz="0" w:space="0" w:color="auto"/>
        <w:left w:val="none" w:sz="0" w:space="0" w:color="auto"/>
        <w:bottom w:val="none" w:sz="0" w:space="0" w:color="auto"/>
        <w:right w:val="none" w:sz="0" w:space="0" w:color="auto"/>
      </w:divBdr>
    </w:div>
    <w:div w:id="899942012">
      <w:bodyDiv w:val="1"/>
      <w:marLeft w:val="0"/>
      <w:marRight w:val="0"/>
      <w:marTop w:val="0"/>
      <w:marBottom w:val="0"/>
      <w:divBdr>
        <w:top w:val="none" w:sz="0" w:space="0" w:color="auto"/>
        <w:left w:val="none" w:sz="0" w:space="0" w:color="auto"/>
        <w:bottom w:val="none" w:sz="0" w:space="0" w:color="auto"/>
        <w:right w:val="none" w:sz="0" w:space="0" w:color="auto"/>
      </w:divBdr>
    </w:div>
    <w:div w:id="912856045">
      <w:bodyDiv w:val="1"/>
      <w:marLeft w:val="0"/>
      <w:marRight w:val="0"/>
      <w:marTop w:val="0"/>
      <w:marBottom w:val="0"/>
      <w:divBdr>
        <w:top w:val="none" w:sz="0" w:space="0" w:color="auto"/>
        <w:left w:val="none" w:sz="0" w:space="0" w:color="auto"/>
        <w:bottom w:val="none" w:sz="0" w:space="0" w:color="auto"/>
        <w:right w:val="none" w:sz="0" w:space="0" w:color="auto"/>
      </w:divBdr>
    </w:div>
    <w:div w:id="954796863">
      <w:bodyDiv w:val="1"/>
      <w:marLeft w:val="0"/>
      <w:marRight w:val="0"/>
      <w:marTop w:val="0"/>
      <w:marBottom w:val="0"/>
      <w:divBdr>
        <w:top w:val="none" w:sz="0" w:space="0" w:color="auto"/>
        <w:left w:val="none" w:sz="0" w:space="0" w:color="auto"/>
        <w:bottom w:val="none" w:sz="0" w:space="0" w:color="auto"/>
        <w:right w:val="none" w:sz="0" w:space="0" w:color="auto"/>
      </w:divBdr>
    </w:div>
    <w:div w:id="964121914">
      <w:bodyDiv w:val="1"/>
      <w:marLeft w:val="0"/>
      <w:marRight w:val="0"/>
      <w:marTop w:val="0"/>
      <w:marBottom w:val="0"/>
      <w:divBdr>
        <w:top w:val="none" w:sz="0" w:space="0" w:color="auto"/>
        <w:left w:val="none" w:sz="0" w:space="0" w:color="auto"/>
        <w:bottom w:val="none" w:sz="0" w:space="0" w:color="auto"/>
        <w:right w:val="none" w:sz="0" w:space="0" w:color="auto"/>
      </w:divBdr>
    </w:div>
    <w:div w:id="1132165409">
      <w:bodyDiv w:val="1"/>
      <w:marLeft w:val="0"/>
      <w:marRight w:val="0"/>
      <w:marTop w:val="0"/>
      <w:marBottom w:val="0"/>
      <w:divBdr>
        <w:top w:val="none" w:sz="0" w:space="0" w:color="auto"/>
        <w:left w:val="none" w:sz="0" w:space="0" w:color="auto"/>
        <w:bottom w:val="none" w:sz="0" w:space="0" w:color="auto"/>
        <w:right w:val="none" w:sz="0" w:space="0" w:color="auto"/>
      </w:divBdr>
    </w:div>
    <w:div w:id="1177186749">
      <w:bodyDiv w:val="1"/>
      <w:marLeft w:val="0"/>
      <w:marRight w:val="0"/>
      <w:marTop w:val="0"/>
      <w:marBottom w:val="0"/>
      <w:divBdr>
        <w:top w:val="none" w:sz="0" w:space="0" w:color="auto"/>
        <w:left w:val="none" w:sz="0" w:space="0" w:color="auto"/>
        <w:bottom w:val="none" w:sz="0" w:space="0" w:color="auto"/>
        <w:right w:val="none" w:sz="0" w:space="0" w:color="auto"/>
      </w:divBdr>
    </w:div>
    <w:div w:id="1250388737">
      <w:bodyDiv w:val="1"/>
      <w:marLeft w:val="0"/>
      <w:marRight w:val="0"/>
      <w:marTop w:val="0"/>
      <w:marBottom w:val="0"/>
      <w:divBdr>
        <w:top w:val="none" w:sz="0" w:space="0" w:color="auto"/>
        <w:left w:val="none" w:sz="0" w:space="0" w:color="auto"/>
        <w:bottom w:val="none" w:sz="0" w:space="0" w:color="auto"/>
        <w:right w:val="none" w:sz="0" w:space="0" w:color="auto"/>
      </w:divBdr>
    </w:div>
    <w:div w:id="1251739583">
      <w:bodyDiv w:val="1"/>
      <w:marLeft w:val="0"/>
      <w:marRight w:val="0"/>
      <w:marTop w:val="0"/>
      <w:marBottom w:val="0"/>
      <w:divBdr>
        <w:top w:val="none" w:sz="0" w:space="0" w:color="auto"/>
        <w:left w:val="none" w:sz="0" w:space="0" w:color="auto"/>
        <w:bottom w:val="none" w:sz="0" w:space="0" w:color="auto"/>
        <w:right w:val="none" w:sz="0" w:space="0" w:color="auto"/>
      </w:divBdr>
    </w:div>
    <w:div w:id="1278607576">
      <w:bodyDiv w:val="1"/>
      <w:marLeft w:val="0"/>
      <w:marRight w:val="0"/>
      <w:marTop w:val="0"/>
      <w:marBottom w:val="0"/>
      <w:divBdr>
        <w:top w:val="none" w:sz="0" w:space="0" w:color="auto"/>
        <w:left w:val="none" w:sz="0" w:space="0" w:color="auto"/>
        <w:bottom w:val="none" w:sz="0" w:space="0" w:color="auto"/>
        <w:right w:val="none" w:sz="0" w:space="0" w:color="auto"/>
      </w:divBdr>
    </w:div>
    <w:div w:id="1284458989">
      <w:bodyDiv w:val="1"/>
      <w:marLeft w:val="0"/>
      <w:marRight w:val="0"/>
      <w:marTop w:val="0"/>
      <w:marBottom w:val="0"/>
      <w:divBdr>
        <w:top w:val="none" w:sz="0" w:space="0" w:color="auto"/>
        <w:left w:val="none" w:sz="0" w:space="0" w:color="auto"/>
        <w:bottom w:val="none" w:sz="0" w:space="0" w:color="auto"/>
        <w:right w:val="none" w:sz="0" w:space="0" w:color="auto"/>
      </w:divBdr>
    </w:div>
    <w:div w:id="1295789868">
      <w:bodyDiv w:val="1"/>
      <w:marLeft w:val="0"/>
      <w:marRight w:val="0"/>
      <w:marTop w:val="0"/>
      <w:marBottom w:val="0"/>
      <w:divBdr>
        <w:top w:val="none" w:sz="0" w:space="0" w:color="auto"/>
        <w:left w:val="none" w:sz="0" w:space="0" w:color="auto"/>
        <w:bottom w:val="none" w:sz="0" w:space="0" w:color="auto"/>
        <w:right w:val="none" w:sz="0" w:space="0" w:color="auto"/>
      </w:divBdr>
    </w:div>
    <w:div w:id="1298414486">
      <w:bodyDiv w:val="1"/>
      <w:marLeft w:val="0"/>
      <w:marRight w:val="0"/>
      <w:marTop w:val="0"/>
      <w:marBottom w:val="0"/>
      <w:divBdr>
        <w:top w:val="none" w:sz="0" w:space="0" w:color="auto"/>
        <w:left w:val="none" w:sz="0" w:space="0" w:color="auto"/>
        <w:bottom w:val="none" w:sz="0" w:space="0" w:color="auto"/>
        <w:right w:val="none" w:sz="0" w:space="0" w:color="auto"/>
      </w:divBdr>
    </w:div>
    <w:div w:id="1329167787">
      <w:bodyDiv w:val="1"/>
      <w:marLeft w:val="0"/>
      <w:marRight w:val="0"/>
      <w:marTop w:val="0"/>
      <w:marBottom w:val="0"/>
      <w:divBdr>
        <w:top w:val="none" w:sz="0" w:space="0" w:color="auto"/>
        <w:left w:val="none" w:sz="0" w:space="0" w:color="auto"/>
        <w:bottom w:val="none" w:sz="0" w:space="0" w:color="auto"/>
        <w:right w:val="none" w:sz="0" w:space="0" w:color="auto"/>
      </w:divBdr>
    </w:div>
    <w:div w:id="1332217557">
      <w:bodyDiv w:val="1"/>
      <w:marLeft w:val="0"/>
      <w:marRight w:val="0"/>
      <w:marTop w:val="0"/>
      <w:marBottom w:val="0"/>
      <w:divBdr>
        <w:top w:val="none" w:sz="0" w:space="0" w:color="auto"/>
        <w:left w:val="none" w:sz="0" w:space="0" w:color="auto"/>
        <w:bottom w:val="none" w:sz="0" w:space="0" w:color="auto"/>
        <w:right w:val="none" w:sz="0" w:space="0" w:color="auto"/>
      </w:divBdr>
    </w:div>
    <w:div w:id="1333142481">
      <w:bodyDiv w:val="1"/>
      <w:marLeft w:val="0"/>
      <w:marRight w:val="0"/>
      <w:marTop w:val="0"/>
      <w:marBottom w:val="0"/>
      <w:divBdr>
        <w:top w:val="none" w:sz="0" w:space="0" w:color="auto"/>
        <w:left w:val="none" w:sz="0" w:space="0" w:color="auto"/>
        <w:bottom w:val="none" w:sz="0" w:space="0" w:color="auto"/>
        <w:right w:val="none" w:sz="0" w:space="0" w:color="auto"/>
      </w:divBdr>
    </w:div>
    <w:div w:id="1352728581">
      <w:bodyDiv w:val="1"/>
      <w:marLeft w:val="0"/>
      <w:marRight w:val="0"/>
      <w:marTop w:val="0"/>
      <w:marBottom w:val="0"/>
      <w:divBdr>
        <w:top w:val="none" w:sz="0" w:space="0" w:color="auto"/>
        <w:left w:val="none" w:sz="0" w:space="0" w:color="auto"/>
        <w:bottom w:val="none" w:sz="0" w:space="0" w:color="auto"/>
        <w:right w:val="none" w:sz="0" w:space="0" w:color="auto"/>
      </w:divBdr>
    </w:div>
    <w:div w:id="1353649414">
      <w:bodyDiv w:val="1"/>
      <w:marLeft w:val="0"/>
      <w:marRight w:val="0"/>
      <w:marTop w:val="0"/>
      <w:marBottom w:val="0"/>
      <w:divBdr>
        <w:top w:val="none" w:sz="0" w:space="0" w:color="auto"/>
        <w:left w:val="none" w:sz="0" w:space="0" w:color="auto"/>
        <w:bottom w:val="none" w:sz="0" w:space="0" w:color="auto"/>
        <w:right w:val="none" w:sz="0" w:space="0" w:color="auto"/>
      </w:divBdr>
    </w:div>
    <w:div w:id="1391542694">
      <w:bodyDiv w:val="1"/>
      <w:marLeft w:val="0"/>
      <w:marRight w:val="0"/>
      <w:marTop w:val="0"/>
      <w:marBottom w:val="0"/>
      <w:divBdr>
        <w:top w:val="none" w:sz="0" w:space="0" w:color="auto"/>
        <w:left w:val="none" w:sz="0" w:space="0" w:color="auto"/>
        <w:bottom w:val="none" w:sz="0" w:space="0" w:color="auto"/>
        <w:right w:val="none" w:sz="0" w:space="0" w:color="auto"/>
      </w:divBdr>
    </w:div>
    <w:div w:id="1496454166">
      <w:bodyDiv w:val="1"/>
      <w:marLeft w:val="0"/>
      <w:marRight w:val="0"/>
      <w:marTop w:val="0"/>
      <w:marBottom w:val="0"/>
      <w:divBdr>
        <w:top w:val="none" w:sz="0" w:space="0" w:color="auto"/>
        <w:left w:val="none" w:sz="0" w:space="0" w:color="auto"/>
        <w:bottom w:val="none" w:sz="0" w:space="0" w:color="auto"/>
        <w:right w:val="none" w:sz="0" w:space="0" w:color="auto"/>
      </w:divBdr>
    </w:div>
    <w:div w:id="1497381901">
      <w:bodyDiv w:val="1"/>
      <w:marLeft w:val="0"/>
      <w:marRight w:val="0"/>
      <w:marTop w:val="0"/>
      <w:marBottom w:val="0"/>
      <w:divBdr>
        <w:top w:val="none" w:sz="0" w:space="0" w:color="auto"/>
        <w:left w:val="none" w:sz="0" w:space="0" w:color="auto"/>
        <w:bottom w:val="none" w:sz="0" w:space="0" w:color="auto"/>
        <w:right w:val="none" w:sz="0" w:space="0" w:color="auto"/>
      </w:divBdr>
    </w:div>
    <w:div w:id="1523661898">
      <w:bodyDiv w:val="1"/>
      <w:marLeft w:val="0"/>
      <w:marRight w:val="0"/>
      <w:marTop w:val="0"/>
      <w:marBottom w:val="0"/>
      <w:divBdr>
        <w:top w:val="none" w:sz="0" w:space="0" w:color="auto"/>
        <w:left w:val="none" w:sz="0" w:space="0" w:color="auto"/>
        <w:bottom w:val="none" w:sz="0" w:space="0" w:color="auto"/>
        <w:right w:val="none" w:sz="0" w:space="0" w:color="auto"/>
      </w:divBdr>
    </w:div>
    <w:div w:id="1533373281">
      <w:bodyDiv w:val="1"/>
      <w:marLeft w:val="0"/>
      <w:marRight w:val="0"/>
      <w:marTop w:val="0"/>
      <w:marBottom w:val="0"/>
      <w:divBdr>
        <w:top w:val="none" w:sz="0" w:space="0" w:color="auto"/>
        <w:left w:val="none" w:sz="0" w:space="0" w:color="auto"/>
        <w:bottom w:val="none" w:sz="0" w:space="0" w:color="auto"/>
        <w:right w:val="none" w:sz="0" w:space="0" w:color="auto"/>
      </w:divBdr>
    </w:div>
    <w:div w:id="1550150276">
      <w:bodyDiv w:val="1"/>
      <w:marLeft w:val="0"/>
      <w:marRight w:val="0"/>
      <w:marTop w:val="0"/>
      <w:marBottom w:val="0"/>
      <w:divBdr>
        <w:top w:val="none" w:sz="0" w:space="0" w:color="auto"/>
        <w:left w:val="none" w:sz="0" w:space="0" w:color="auto"/>
        <w:bottom w:val="none" w:sz="0" w:space="0" w:color="auto"/>
        <w:right w:val="none" w:sz="0" w:space="0" w:color="auto"/>
      </w:divBdr>
    </w:div>
    <w:div w:id="1566142404">
      <w:bodyDiv w:val="1"/>
      <w:marLeft w:val="0"/>
      <w:marRight w:val="0"/>
      <w:marTop w:val="0"/>
      <w:marBottom w:val="0"/>
      <w:divBdr>
        <w:top w:val="none" w:sz="0" w:space="0" w:color="auto"/>
        <w:left w:val="none" w:sz="0" w:space="0" w:color="auto"/>
        <w:bottom w:val="none" w:sz="0" w:space="0" w:color="auto"/>
        <w:right w:val="none" w:sz="0" w:space="0" w:color="auto"/>
      </w:divBdr>
    </w:div>
    <w:div w:id="1589538704">
      <w:bodyDiv w:val="1"/>
      <w:marLeft w:val="0"/>
      <w:marRight w:val="0"/>
      <w:marTop w:val="0"/>
      <w:marBottom w:val="0"/>
      <w:divBdr>
        <w:top w:val="none" w:sz="0" w:space="0" w:color="auto"/>
        <w:left w:val="none" w:sz="0" w:space="0" w:color="auto"/>
        <w:bottom w:val="none" w:sz="0" w:space="0" w:color="auto"/>
        <w:right w:val="none" w:sz="0" w:space="0" w:color="auto"/>
      </w:divBdr>
    </w:div>
    <w:div w:id="1606422073">
      <w:bodyDiv w:val="1"/>
      <w:marLeft w:val="0"/>
      <w:marRight w:val="0"/>
      <w:marTop w:val="0"/>
      <w:marBottom w:val="0"/>
      <w:divBdr>
        <w:top w:val="none" w:sz="0" w:space="0" w:color="auto"/>
        <w:left w:val="none" w:sz="0" w:space="0" w:color="auto"/>
        <w:bottom w:val="none" w:sz="0" w:space="0" w:color="auto"/>
        <w:right w:val="none" w:sz="0" w:space="0" w:color="auto"/>
      </w:divBdr>
    </w:div>
    <w:div w:id="1616253559">
      <w:bodyDiv w:val="1"/>
      <w:marLeft w:val="0"/>
      <w:marRight w:val="0"/>
      <w:marTop w:val="0"/>
      <w:marBottom w:val="0"/>
      <w:divBdr>
        <w:top w:val="none" w:sz="0" w:space="0" w:color="auto"/>
        <w:left w:val="none" w:sz="0" w:space="0" w:color="auto"/>
        <w:bottom w:val="none" w:sz="0" w:space="0" w:color="auto"/>
        <w:right w:val="none" w:sz="0" w:space="0" w:color="auto"/>
      </w:divBdr>
    </w:div>
    <w:div w:id="1652055093">
      <w:bodyDiv w:val="1"/>
      <w:marLeft w:val="0"/>
      <w:marRight w:val="0"/>
      <w:marTop w:val="0"/>
      <w:marBottom w:val="0"/>
      <w:divBdr>
        <w:top w:val="none" w:sz="0" w:space="0" w:color="auto"/>
        <w:left w:val="none" w:sz="0" w:space="0" w:color="auto"/>
        <w:bottom w:val="none" w:sz="0" w:space="0" w:color="auto"/>
        <w:right w:val="none" w:sz="0" w:space="0" w:color="auto"/>
      </w:divBdr>
    </w:div>
    <w:div w:id="1699888402">
      <w:bodyDiv w:val="1"/>
      <w:marLeft w:val="0"/>
      <w:marRight w:val="0"/>
      <w:marTop w:val="0"/>
      <w:marBottom w:val="0"/>
      <w:divBdr>
        <w:top w:val="none" w:sz="0" w:space="0" w:color="auto"/>
        <w:left w:val="none" w:sz="0" w:space="0" w:color="auto"/>
        <w:bottom w:val="none" w:sz="0" w:space="0" w:color="auto"/>
        <w:right w:val="none" w:sz="0" w:space="0" w:color="auto"/>
      </w:divBdr>
    </w:div>
    <w:div w:id="1737316811">
      <w:bodyDiv w:val="1"/>
      <w:marLeft w:val="0"/>
      <w:marRight w:val="0"/>
      <w:marTop w:val="0"/>
      <w:marBottom w:val="0"/>
      <w:divBdr>
        <w:top w:val="none" w:sz="0" w:space="0" w:color="auto"/>
        <w:left w:val="none" w:sz="0" w:space="0" w:color="auto"/>
        <w:bottom w:val="none" w:sz="0" w:space="0" w:color="auto"/>
        <w:right w:val="none" w:sz="0" w:space="0" w:color="auto"/>
      </w:divBdr>
    </w:div>
    <w:div w:id="1881014951">
      <w:bodyDiv w:val="1"/>
      <w:marLeft w:val="0"/>
      <w:marRight w:val="0"/>
      <w:marTop w:val="0"/>
      <w:marBottom w:val="0"/>
      <w:divBdr>
        <w:top w:val="none" w:sz="0" w:space="0" w:color="auto"/>
        <w:left w:val="none" w:sz="0" w:space="0" w:color="auto"/>
        <w:bottom w:val="none" w:sz="0" w:space="0" w:color="auto"/>
        <w:right w:val="none" w:sz="0" w:space="0" w:color="auto"/>
      </w:divBdr>
    </w:div>
    <w:div w:id="1888953138">
      <w:bodyDiv w:val="1"/>
      <w:marLeft w:val="0"/>
      <w:marRight w:val="0"/>
      <w:marTop w:val="0"/>
      <w:marBottom w:val="0"/>
      <w:divBdr>
        <w:top w:val="none" w:sz="0" w:space="0" w:color="auto"/>
        <w:left w:val="none" w:sz="0" w:space="0" w:color="auto"/>
        <w:bottom w:val="none" w:sz="0" w:space="0" w:color="auto"/>
        <w:right w:val="none" w:sz="0" w:space="0" w:color="auto"/>
      </w:divBdr>
    </w:div>
    <w:div w:id="1891919584">
      <w:bodyDiv w:val="1"/>
      <w:marLeft w:val="0"/>
      <w:marRight w:val="0"/>
      <w:marTop w:val="0"/>
      <w:marBottom w:val="0"/>
      <w:divBdr>
        <w:top w:val="none" w:sz="0" w:space="0" w:color="auto"/>
        <w:left w:val="none" w:sz="0" w:space="0" w:color="auto"/>
        <w:bottom w:val="none" w:sz="0" w:space="0" w:color="auto"/>
        <w:right w:val="none" w:sz="0" w:space="0" w:color="auto"/>
      </w:divBdr>
    </w:div>
    <w:div w:id="1909807086">
      <w:bodyDiv w:val="1"/>
      <w:marLeft w:val="0"/>
      <w:marRight w:val="0"/>
      <w:marTop w:val="0"/>
      <w:marBottom w:val="0"/>
      <w:divBdr>
        <w:top w:val="none" w:sz="0" w:space="0" w:color="auto"/>
        <w:left w:val="none" w:sz="0" w:space="0" w:color="auto"/>
        <w:bottom w:val="none" w:sz="0" w:space="0" w:color="auto"/>
        <w:right w:val="none" w:sz="0" w:space="0" w:color="auto"/>
      </w:divBdr>
      <w:divsChild>
        <w:div w:id="1652052586">
          <w:marLeft w:val="0"/>
          <w:marRight w:val="0"/>
          <w:marTop w:val="0"/>
          <w:marBottom w:val="0"/>
          <w:divBdr>
            <w:top w:val="none" w:sz="0" w:space="0" w:color="auto"/>
            <w:left w:val="none" w:sz="0" w:space="0" w:color="auto"/>
            <w:bottom w:val="none" w:sz="0" w:space="0" w:color="auto"/>
            <w:right w:val="none" w:sz="0" w:space="0" w:color="auto"/>
          </w:divBdr>
        </w:div>
        <w:div w:id="1356613628">
          <w:marLeft w:val="0"/>
          <w:marRight w:val="0"/>
          <w:marTop w:val="0"/>
          <w:marBottom w:val="0"/>
          <w:divBdr>
            <w:top w:val="none" w:sz="0" w:space="0" w:color="auto"/>
            <w:left w:val="none" w:sz="0" w:space="0" w:color="auto"/>
            <w:bottom w:val="none" w:sz="0" w:space="0" w:color="auto"/>
            <w:right w:val="none" w:sz="0" w:space="0" w:color="auto"/>
          </w:divBdr>
        </w:div>
        <w:div w:id="683628872">
          <w:marLeft w:val="0"/>
          <w:marRight w:val="0"/>
          <w:marTop w:val="0"/>
          <w:marBottom w:val="0"/>
          <w:divBdr>
            <w:top w:val="none" w:sz="0" w:space="0" w:color="auto"/>
            <w:left w:val="none" w:sz="0" w:space="0" w:color="auto"/>
            <w:bottom w:val="none" w:sz="0" w:space="0" w:color="auto"/>
            <w:right w:val="none" w:sz="0" w:space="0" w:color="auto"/>
          </w:divBdr>
        </w:div>
        <w:div w:id="1122652229">
          <w:marLeft w:val="0"/>
          <w:marRight w:val="0"/>
          <w:marTop w:val="0"/>
          <w:marBottom w:val="0"/>
          <w:divBdr>
            <w:top w:val="none" w:sz="0" w:space="0" w:color="auto"/>
            <w:left w:val="none" w:sz="0" w:space="0" w:color="auto"/>
            <w:bottom w:val="none" w:sz="0" w:space="0" w:color="auto"/>
            <w:right w:val="none" w:sz="0" w:space="0" w:color="auto"/>
          </w:divBdr>
        </w:div>
        <w:div w:id="418525948">
          <w:marLeft w:val="0"/>
          <w:marRight w:val="0"/>
          <w:marTop w:val="0"/>
          <w:marBottom w:val="0"/>
          <w:divBdr>
            <w:top w:val="none" w:sz="0" w:space="0" w:color="auto"/>
            <w:left w:val="none" w:sz="0" w:space="0" w:color="auto"/>
            <w:bottom w:val="none" w:sz="0" w:space="0" w:color="auto"/>
            <w:right w:val="none" w:sz="0" w:space="0" w:color="auto"/>
          </w:divBdr>
        </w:div>
        <w:div w:id="1976720630">
          <w:marLeft w:val="0"/>
          <w:marRight w:val="0"/>
          <w:marTop w:val="0"/>
          <w:marBottom w:val="0"/>
          <w:divBdr>
            <w:top w:val="none" w:sz="0" w:space="0" w:color="auto"/>
            <w:left w:val="none" w:sz="0" w:space="0" w:color="auto"/>
            <w:bottom w:val="none" w:sz="0" w:space="0" w:color="auto"/>
            <w:right w:val="none" w:sz="0" w:space="0" w:color="auto"/>
          </w:divBdr>
        </w:div>
        <w:div w:id="1575318936">
          <w:marLeft w:val="0"/>
          <w:marRight w:val="0"/>
          <w:marTop w:val="0"/>
          <w:marBottom w:val="0"/>
          <w:divBdr>
            <w:top w:val="none" w:sz="0" w:space="0" w:color="auto"/>
            <w:left w:val="none" w:sz="0" w:space="0" w:color="auto"/>
            <w:bottom w:val="none" w:sz="0" w:space="0" w:color="auto"/>
            <w:right w:val="none" w:sz="0" w:space="0" w:color="auto"/>
          </w:divBdr>
        </w:div>
      </w:divsChild>
    </w:div>
    <w:div w:id="1933393275">
      <w:bodyDiv w:val="1"/>
      <w:marLeft w:val="0"/>
      <w:marRight w:val="0"/>
      <w:marTop w:val="0"/>
      <w:marBottom w:val="0"/>
      <w:divBdr>
        <w:top w:val="none" w:sz="0" w:space="0" w:color="auto"/>
        <w:left w:val="none" w:sz="0" w:space="0" w:color="auto"/>
        <w:bottom w:val="none" w:sz="0" w:space="0" w:color="auto"/>
        <w:right w:val="none" w:sz="0" w:space="0" w:color="auto"/>
      </w:divBdr>
    </w:div>
    <w:div w:id="1965186319">
      <w:bodyDiv w:val="1"/>
      <w:marLeft w:val="0"/>
      <w:marRight w:val="0"/>
      <w:marTop w:val="0"/>
      <w:marBottom w:val="0"/>
      <w:divBdr>
        <w:top w:val="none" w:sz="0" w:space="0" w:color="auto"/>
        <w:left w:val="none" w:sz="0" w:space="0" w:color="auto"/>
        <w:bottom w:val="none" w:sz="0" w:space="0" w:color="auto"/>
        <w:right w:val="none" w:sz="0" w:space="0" w:color="auto"/>
      </w:divBdr>
    </w:div>
    <w:div w:id="1986203259">
      <w:bodyDiv w:val="1"/>
      <w:marLeft w:val="0"/>
      <w:marRight w:val="0"/>
      <w:marTop w:val="0"/>
      <w:marBottom w:val="0"/>
      <w:divBdr>
        <w:top w:val="none" w:sz="0" w:space="0" w:color="auto"/>
        <w:left w:val="none" w:sz="0" w:space="0" w:color="auto"/>
        <w:bottom w:val="none" w:sz="0" w:space="0" w:color="auto"/>
        <w:right w:val="none" w:sz="0" w:space="0" w:color="auto"/>
      </w:divBdr>
    </w:div>
    <w:div w:id="2010867275">
      <w:bodyDiv w:val="1"/>
      <w:marLeft w:val="0"/>
      <w:marRight w:val="0"/>
      <w:marTop w:val="0"/>
      <w:marBottom w:val="0"/>
      <w:divBdr>
        <w:top w:val="none" w:sz="0" w:space="0" w:color="auto"/>
        <w:left w:val="none" w:sz="0" w:space="0" w:color="auto"/>
        <w:bottom w:val="none" w:sz="0" w:space="0" w:color="auto"/>
        <w:right w:val="none" w:sz="0" w:space="0" w:color="auto"/>
      </w:divBdr>
    </w:div>
    <w:div w:id="2045474521">
      <w:bodyDiv w:val="1"/>
      <w:marLeft w:val="0"/>
      <w:marRight w:val="0"/>
      <w:marTop w:val="0"/>
      <w:marBottom w:val="0"/>
      <w:divBdr>
        <w:top w:val="none" w:sz="0" w:space="0" w:color="auto"/>
        <w:left w:val="none" w:sz="0" w:space="0" w:color="auto"/>
        <w:bottom w:val="none" w:sz="0" w:space="0" w:color="auto"/>
        <w:right w:val="none" w:sz="0" w:space="0" w:color="auto"/>
      </w:divBdr>
    </w:div>
    <w:div w:id="2073919421">
      <w:bodyDiv w:val="1"/>
      <w:marLeft w:val="0"/>
      <w:marRight w:val="0"/>
      <w:marTop w:val="0"/>
      <w:marBottom w:val="0"/>
      <w:divBdr>
        <w:top w:val="none" w:sz="0" w:space="0" w:color="auto"/>
        <w:left w:val="none" w:sz="0" w:space="0" w:color="auto"/>
        <w:bottom w:val="none" w:sz="0" w:space="0" w:color="auto"/>
        <w:right w:val="none" w:sz="0" w:space="0" w:color="auto"/>
      </w:divBdr>
    </w:div>
    <w:div w:id="2075227525">
      <w:bodyDiv w:val="1"/>
      <w:marLeft w:val="0"/>
      <w:marRight w:val="0"/>
      <w:marTop w:val="0"/>
      <w:marBottom w:val="0"/>
      <w:divBdr>
        <w:top w:val="none" w:sz="0" w:space="0" w:color="auto"/>
        <w:left w:val="none" w:sz="0" w:space="0" w:color="auto"/>
        <w:bottom w:val="none" w:sz="0" w:space="0" w:color="auto"/>
        <w:right w:val="none" w:sz="0" w:space="0" w:color="auto"/>
      </w:divBdr>
    </w:div>
    <w:div w:id="2082945948">
      <w:bodyDiv w:val="1"/>
      <w:marLeft w:val="0"/>
      <w:marRight w:val="0"/>
      <w:marTop w:val="0"/>
      <w:marBottom w:val="0"/>
      <w:divBdr>
        <w:top w:val="none" w:sz="0" w:space="0" w:color="auto"/>
        <w:left w:val="none" w:sz="0" w:space="0" w:color="auto"/>
        <w:bottom w:val="none" w:sz="0" w:space="0" w:color="auto"/>
        <w:right w:val="none" w:sz="0" w:space="0" w:color="auto"/>
      </w:divBdr>
    </w:div>
    <w:div w:id="2105344332">
      <w:bodyDiv w:val="1"/>
      <w:marLeft w:val="0"/>
      <w:marRight w:val="0"/>
      <w:marTop w:val="0"/>
      <w:marBottom w:val="0"/>
      <w:divBdr>
        <w:top w:val="none" w:sz="0" w:space="0" w:color="auto"/>
        <w:left w:val="none" w:sz="0" w:space="0" w:color="auto"/>
        <w:bottom w:val="none" w:sz="0" w:space="0" w:color="auto"/>
        <w:right w:val="none" w:sz="0" w:space="0" w:color="auto"/>
      </w:divBdr>
    </w:div>
    <w:div w:id="213139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documents.worldbank.org/curated/en/2013/01/17629963/companies-need-board-level-risk-management-committee" TargetMode="External"/><Relationship Id="rId18" Type="http://schemas.openxmlformats.org/officeDocument/2006/relationships/hyperlink" Target="http://www.financialstability" TargetMode="External"/><Relationship Id="rId26" Type="http://schemas.openxmlformats.org/officeDocument/2006/relationships/hyperlink" Target="https://www.piranirisk.com/blog/case-study-barings-bank-fraud"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16/j.jaccpubpol.2015.02.001" TargetMode="External"/><Relationship Id="rId34" Type="http://schemas.openxmlformats.org/officeDocument/2006/relationships/hyperlink" Target="https://dx.doi.org/10.2139/ssrn.1731044"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usinessinspection.com.bd/the-bangladesh-bank-cyber-heist/" TargetMode="External"/><Relationship Id="rId17" Type="http://schemas.openxmlformats.org/officeDocument/2006/relationships/hyperlink" Target="https://www.dhakatribune.com/bangladesh/crime/49500/17.5-lakh-investors-cheated-by-destiny-tree" TargetMode="External"/><Relationship Id="rId25" Type="http://schemas.openxmlformats.org/officeDocument/2006/relationships/hyperlink" Target="https://hbr.org/2023/04/how-banks-can-finally-get-risk-management-right" TargetMode="External"/><Relationship Id="rId33" Type="http://schemas.openxmlformats.org/officeDocument/2006/relationships/hyperlink" Target="https://doi.org/10.1108/02686900910948170" TargetMode="External"/><Relationship Id="rId38" Type="http://schemas.openxmlformats.org/officeDocument/2006/relationships/hyperlink" Target="https://en.wikipedia.org/wiki?curid=53003287" TargetMode="Externa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1111/rmir.12016" TargetMode="External"/><Relationship Id="rId20" Type="http://schemas.openxmlformats.org/officeDocument/2006/relationships/hyperlink" Target="https://doi.org/10.3390/risks9090156" TargetMode="External"/><Relationship Id="rId29" Type="http://schemas.openxmlformats.org/officeDocument/2006/relationships/hyperlink" Target="https://doi.org/10.26668/businessreview/2023.v8i1.928"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nancialstability" TargetMode="External"/><Relationship Id="rId24" Type="http://schemas.openxmlformats.org/officeDocument/2006/relationships/hyperlink" Target="https://doi.org/10.1007/s11747-015-0426-9" TargetMode="External"/><Relationship Id="rId32" Type="http://schemas.openxmlformats.org/officeDocument/2006/relationships/hyperlink" Target="https://www.thedailystar.net/business/news/case-filed-against-delta-life-insurance-evading-vat-tk-3517-crore-2043201(accessed28,.06.24)" TargetMode="External"/><Relationship Id="rId37" Type="http://schemas.openxmlformats.org/officeDocument/2006/relationships/hyperlink" Target="https://www.tbsnews.net/bangladesh/corruption/idra-finds-delta-life-insurance-boards-involvement-embezzling-tk3687cr-338698"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inkedin.com/pulse/case-study-bangladesh-banking-heist-digialert" TargetMode="External"/><Relationship Id="rId23" Type="http://schemas.openxmlformats.org/officeDocument/2006/relationships/hyperlink" Target="https://doi.org/10.1016/j.jfineco.2019.05.019" TargetMode="External"/><Relationship Id="rId28" Type="http://schemas.openxmlformats.org/officeDocument/2006/relationships/hyperlink" Target="https://doi.org/10.1177/107179190501100309" TargetMode="External"/><Relationship Id="rId36" Type="http://schemas.openxmlformats.org/officeDocument/2006/relationships/hyperlink" Target="https://www.theguardian.com/business/ng-interactive/2015/sep/23/volkswagen-emissions-scandal-explained-diesel-cars" TargetMode="External"/><Relationship Id="rId10" Type="http://schemas.openxmlformats.org/officeDocument/2006/relationships/hyperlink" Target="https://www.bb.org.bd/mediaroom/circulars/brpd/aug132014brpd12e.pdf" TargetMode="External"/><Relationship Id="rId19" Type="http://schemas.openxmlformats.org/officeDocument/2006/relationships/hyperlink" Target="https://doi.org/10.1108/02686900710741955" TargetMode="External"/><Relationship Id="rId31" Type="http://schemas.openxmlformats.org/officeDocument/2006/relationships/hyperlink" Target="https://www.thedailystar.net/frontpage/janata-bank-loan-scam-whole-bank-was-it-1531045" TargetMode="External"/><Relationship Id="rId44"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80/23322373.2020.1753495" TargetMode="External"/><Relationship Id="rId22" Type="http://schemas.openxmlformats.org/officeDocument/2006/relationships/hyperlink" Target="https://en.prothomalo.com/amp/story/bangladesh/crime-and-law/jsv5k1ia4m" TargetMode="External"/><Relationship Id="rId27" Type="http://schemas.openxmlformats.org/officeDocument/2006/relationships/hyperlink" Target="https://ethicsunwrapped.utexas.edu/wp-content/uploads/2022/10/22-The-Collapse-of-Barings-Bank.pdf" TargetMode="External"/><Relationship Id="rId30" Type="http://schemas.openxmlformats.org/officeDocument/2006/relationships/hyperlink" Target="https://www.thedailystar.net/news-detail-246119" TargetMode="External"/><Relationship Id="rId35" Type="http://schemas.openxmlformats.org/officeDocument/2006/relationships/hyperlink" Target="http://www.thedailystar.net/business/news/hsbcexecutes-countrys-first-cross-border-blockchain-lc-transaction-1987393"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9835E-E871-48AB-8771-AD6C4D9FF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26</Pages>
  <Words>8798</Words>
  <Characters>50151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Ogunlalu Adewale Emmanuel</cp:lastModifiedBy>
  <cp:revision>5</cp:revision>
  <dcterms:created xsi:type="dcterms:W3CDTF">2025-10-14T16:26:00Z</dcterms:created>
  <dcterms:modified xsi:type="dcterms:W3CDTF">2025-10-15T15:50:00Z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ce879aade1d7ec85aa82185b84aabc95bc12b30179d51409cc963765012385ad</vt:lpwstr>
  </property>
</Properties>
</file>