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B3C76" w14:textId="2A94B2C2" w:rsidR="00863D7F" w:rsidRPr="00863D7F" w:rsidRDefault="00863D7F" w:rsidP="00863D7F"/>
    <w:p w14:paraId="4386C61A" w14:textId="77777777" w:rsidR="00530303" w:rsidRPr="00530303" w:rsidRDefault="00530303" w:rsidP="00530303">
      <w:pPr>
        <w:jc w:val="right"/>
        <w:rPr>
          <w:b/>
          <w:bCs/>
          <w:i/>
          <w:sz w:val="32"/>
          <w:u w:val="single"/>
        </w:rPr>
      </w:pPr>
      <w:r w:rsidRPr="00530303">
        <w:rPr>
          <w:b/>
          <w:bCs/>
          <w:i/>
          <w:sz w:val="32"/>
          <w:u w:val="single"/>
        </w:rPr>
        <w:t xml:space="preserve">Case report </w:t>
      </w:r>
    </w:p>
    <w:p w14:paraId="496EF429" w14:textId="3CFCA65B" w:rsidR="00863D7F" w:rsidRDefault="00863D7F" w:rsidP="00863D7F">
      <w:pPr>
        <w:rPr>
          <w:b/>
          <w:bCs/>
        </w:rPr>
      </w:pPr>
      <w:r w:rsidRPr="00863D7F">
        <w:rPr>
          <w:b/>
          <w:bCs/>
        </w:rPr>
        <w:t>Ammonium Bi-Urates in the Urine of a 10-Year-Old Boy: A Case Report from a Tertiary Care Hospital</w:t>
      </w:r>
    </w:p>
    <w:p w14:paraId="0B4B808F" w14:textId="77777777" w:rsidR="00732FEB" w:rsidRDefault="00732FEB" w:rsidP="00863D7F">
      <w:pPr>
        <w:rPr>
          <w:b/>
          <w:bCs/>
        </w:rPr>
      </w:pPr>
    </w:p>
    <w:p w14:paraId="7A06A1F8" w14:textId="061FC169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Abstract</w:t>
      </w:r>
    </w:p>
    <w:p w14:paraId="6B809097" w14:textId="1D0FCCCB" w:rsidR="00863D7F" w:rsidRDefault="00863D7F" w:rsidP="00937567">
      <w:pPr>
        <w:jc w:val="both"/>
      </w:pPr>
      <w:r w:rsidRPr="00863D7F">
        <w:rPr>
          <w:b/>
          <w:bCs/>
        </w:rPr>
        <w:t>Background:</w:t>
      </w:r>
      <w:r w:rsidRPr="00863D7F">
        <w:br/>
      </w:r>
      <w:r w:rsidR="00931CB4" w:rsidRPr="00863D7F">
        <w:t>Ammonium bi-urate crystals are uncommon findings on urine microscopy, particularly in older children.</w:t>
      </w:r>
      <w:r w:rsidRPr="00863D7F">
        <w:t xml:space="preserve"> </w:t>
      </w:r>
      <w:r w:rsidR="00931CB4" w:rsidRPr="00863D7F">
        <w:t xml:space="preserve">Their presence may indicate underlying metabolic disturbances, dehydration, infection, or altered urinary </w:t>
      </w:r>
      <w:proofErr w:type="spellStart"/>
      <w:r w:rsidR="00931CB4" w:rsidRPr="00863D7F">
        <w:t>pH.</w:t>
      </w:r>
      <w:proofErr w:type="spellEnd"/>
      <w:r w:rsidRPr="00863D7F">
        <w:t xml:space="preserve"> </w:t>
      </w:r>
      <w:r w:rsidR="00931CB4" w:rsidRPr="00863D7F">
        <w:t>Recognizing these crystals is important to prevent urinary tract pathologies, including stone formation.</w:t>
      </w:r>
    </w:p>
    <w:p w14:paraId="3E37E778" w14:textId="6627BA2C" w:rsidR="00541B26" w:rsidRPr="00541B26" w:rsidRDefault="00863D7F" w:rsidP="00541B26">
      <w:pPr>
        <w:rPr>
          <w:b/>
          <w:bCs/>
        </w:rPr>
      </w:pPr>
      <w:r w:rsidRPr="00863D7F">
        <w:rPr>
          <w:b/>
          <w:bCs/>
        </w:rPr>
        <w:t xml:space="preserve">Case </w:t>
      </w:r>
      <w:r w:rsidR="00264CE2">
        <w:rPr>
          <w:b/>
          <w:bCs/>
        </w:rPr>
        <w:t>report</w:t>
      </w:r>
      <w:r w:rsidRPr="00863D7F">
        <w:rPr>
          <w:b/>
          <w:bCs/>
        </w:rPr>
        <w:t>:</w:t>
      </w:r>
    </w:p>
    <w:p w14:paraId="6A08491D" w14:textId="2EDC3E3B" w:rsidR="00541B26" w:rsidRPr="00541B26" w:rsidRDefault="00931CB4" w:rsidP="00541B26">
      <w:pPr>
        <w:jc w:val="both"/>
      </w:pPr>
      <w:r w:rsidRPr="00541B26">
        <w:t>A 10-year-old boy presented with low-grade fever and mild dehydration, but no urinary symptoms.</w:t>
      </w:r>
      <w:r w:rsidR="00541B26" w:rsidRPr="00541B26">
        <w:t xml:space="preserve"> </w:t>
      </w:r>
      <w:r w:rsidRPr="00541B26">
        <w:t>Urine microscopy revealed numerous refractile, brownish-yellow “thorn-apple” crystals at near-neutral pH, which is consistent with ammonium bi-urate.</w:t>
      </w:r>
      <w:r w:rsidR="00541B26" w:rsidRPr="00541B26">
        <w:t xml:space="preserve"> </w:t>
      </w:r>
      <w:r w:rsidRPr="00541B26">
        <w:t>The urine culture was sterile, and renal function test results were normal.</w:t>
      </w:r>
      <w:r w:rsidR="00541B26" w:rsidRPr="00541B26">
        <w:t xml:space="preserve"> </w:t>
      </w:r>
      <w:r w:rsidRPr="00541B26">
        <w:t>The child was managed conservatively with hydration advice, resulting in complete resolution of the crystalluria on follow-up after three months.</w:t>
      </w:r>
    </w:p>
    <w:p w14:paraId="6DB3C9BF" w14:textId="5630689A" w:rsidR="00541B26" w:rsidRPr="00541B26" w:rsidRDefault="00541B26" w:rsidP="00541B26">
      <w:pPr>
        <w:jc w:val="both"/>
      </w:pPr>
      <w:r w:rsidRPr="00541B26">
        <w:rPr>
          <w:b/>
          <w:bCs/>
        </w:rPr>
        <w:t>Discussion:</w:t>
      </w:r>
      <w:r w:rsidRPr="00541B26">
        <w:br/>
      </w:r>
      <w:r w:rsidR="00931CB4" w:rsidRPr="00541B26">
        <w:t>Ammonium bi-urate crystalluria occurs when the urinary ammonia and urate concentrations increase under near-neutral pH conditions.</w:t>
      </w:r>
      <w:r w:rsidRPr="00541B26">
        <w:t xml:space="preserve"> Transient metabolic stress or reduced fluid intake can precipitate such crystals even in the absence of infection. </w:t>
      </w:r>
      <w:r w:rsidR="00931CB4" w:rsidRPr="00541B26">
        <w:t>Although historically observed in regions with a high prevalence of bladder stones and low phosphate diets, sporadic cases may occur in otherwise healthy children.</w:t>
      </w:r>
      <w:r w:rsidRPr="00541B26">
        <w:t xml:space="preserve"> </w:t>
      </w:r>
      <w:r w:rsidR="00931CB4" w:rsidRPr="00541B26">
        <w:t>Early recognition and hydration remain key to preventing stone disease progression.</w:t>
      </w:r>
    </w:p>
    <w:p w14:paraId="254F8B57" w14:textId="4E908CA6" w:rsidR="00541B26" w:rsidRPr="00541B26" w:rsidRDefault="00541B26" w:rsidP="00541B26">
      <w:pPr>
        <w:jc w:val="both"/>
      </w:pPr>
      <w:r w:rsidRPr="00541B26">
        <w:rPr>
          <w:b/>
          <w:bCs/>
        </w:rPr>
        <w:t>Conclusion:</w:t>
      </w:r>
      <w:r w:rsidRPr="00541B26">
        <w:br/>
      </w:r>
      <w:r w:rsidR="00931CB4" w:rsidRPr="00541B26">
        <w:t xml:space="preserve">Ammonium bi-urate crystals, although rare in older children, </w:t>
      </w:r>
      <w:r w:rsidR="00050033">
        <w:t>may</w:t>
      </w:r>
      <w:r w:rsidR="00931CB4" w:rsidRPr="00541B26">
        <w:t xml:space="preserve"> appear transiently during febrile or dehydrating illnesses.</w:t>
      </w:r>
      <w:r w:rsidRPr="00541B26">
        <w:t xml:space="preserve"> </w:t>
      </w:r>
      <w:r w:rsidR="00931CB4" w:rsidRPr="00541B26">
        <w:t>Recognition of their morphology and prompt correction of hydration status are vital for the resolution and prevention of recurrence.</w:t>
      </w:r>
      <w:r w:rsidR="003130BB" w:rsidRPr="003130BB">
        <w:t xml:space="preserve"> This case underscores the diagnostic importance of correlating urinary crystal morphology with clinical context</w:t>
      </w:r>
      <w:r w:rsidR="003130BB">
        <w:t>.</w:t>
      </w:r>
    </w:p>
    <w:p w14:paraId="6FD8D8FE" w14:textId="126534C6" w:rsidR="00541B26" w:rsidRPr="00863D7F" w:rsidRDefault="00541B26" w:rsidP="00937567">
      <w:pPr>
        <w:jc w:val="both"/>
      </w:pPr>
      <w:r w:rsidRPr="00541B26">
        <w:rPr>
          <w:b/>
          <w:bCs/>
        </w:rPr>
        <w:t>Keywords:</w:t>
      </w:r>
      <w:r w:rsidRPr="00541B26">
        <w:br/>
        <w:t>Ammonium bi-urate crystals, crystalluria, dehydration, lithogenic risk, pediatric urine microscopy, thorn-apple crystals</w:t>
      </w:r>
    </w:p>
    <w:p w14:paraId="6D13F8D4" w14:textId="77777777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Introduction</w:t>
      </w:r>
    </w:p>
    <w:p w14:paraId="323DDCEB" w14:textId="4541B84E" w:rsidR="00863D7F" w:rsidRDefault="00931CB4" w:rsidP="00937567">
      <w:pPr>
        <w:jc w:val="both"/>
      </w:pPr>
      <w:r w:rsidRPr="00863D7F">
        <w:lastRenderedPageBreak/>
        <w:t>Crystalluria refers to the presence of crystals in urine sediment and is a frequent finding during routine microscopic examination.</w:t>
      </w:r>
      <w:r w:rsidR="00863D7F" w:rsidRPr="00863D7F">
        <w:t xml:space="preserve"> While most crystals are physiologic or transient, some types may indicate or predispose to urolithiasis or systemic metabolic abnormalities</w:t>
      </w:r>
      <w:r w:rsidR="002B2973">
        <w:t xml:space="preserve"> </w:t>
      </w:r>
      <w:r w:rsidR="002B2973" w:rsidRPr="002B2973">
        <w:rPr>
          <w:vertAlign w:val="superscript"/>
        </w:rPr>
        <w:t>1-2</w:t>
      </w:r>
      <w:r w:rsidR="00082FEB">
        <w:t>.</w:t>
      </w:r>
    </w:p>
    <w:p w14:paraId="178C485A" w14:textId="6B48A9CA" w:rsidR="005F023C" w:rsidRPr="00863D7F" w:rsidRDefault="005F023C" w:rsidP="00937567">
      <w:pPr>
        <w:jc w:val="both"/>
      </w:pPr>
      <w:r w:rsidRPr="005F023C">
        <w:t xml:space="preserve">Pediatric urinary stone disease, once considered rare, is now increasingly reported, particularly involving renal and ureteric calculi. </w:t>
      </w:r>
      <w:commentRangeStart w:id="0"/>
      <w:r w:rsidR="00DC35B9" w:rsidRPr="005F023C">
        <w:t>Despite a low prevalence of 2–3%, recurrence rates range from 6.5% to 5</w:t>
      </w:r>
      <w:r w:rsidR="009F18E4">
        <w:t>4</w:t>
      </w:r>
      <w:r w:rsidR="00DC35B9" w:rsidRPr="005F023C">
        <w:t>%.</w:t>
      </w:r>
      <w:r w:rsidRPr="005F023C">
        <w:t xml:space="preserve"> </w:t>
      </w:r>
      <w:commentRangeEnd w:id="0"/>
      <w:r w:rsidR="00645745">
        <w:rPr>
          <w:rStyle w:val="CommentReference"/>
        </w:rPr>
        <w:commentReference w:id="0"/>
      </w:r>
      <w:r w:rsidRPr="005F023C">
        <w:t xml:space="preserve">Given its risk of significant morbidity and potential progression to end-stage renal disease, pediatric urolithiasis has become a growing </w:t>
      </w:r>
      <w:r w:rsidRPr="005C2CD8">
        <w:t>clinical concern</w:t>
      </w:r>
      <w:r w:rsidR="002B2973" w:rsidRPr="005C2CD8">
        <w:t xml:space="preserve"> </w:t>
      </w:r>
      <w:r w:rsidR="002B2973" w:rsidRPr="005C2CD8">
        <w:rPr>
          <w:vertAlign w:val="superscript"/>
        </w:rPr>
        <w:t>3-5</w:t>
      </w:r>
      <w:r w:rsidRPr="005C2CD8">
        <w:t>.</w:t>
      </w:r>
    </w:p>
    <w:p w14:paraId="0A50FF9D" w14:textId="7EDD758D" w:rsidR="00863D7F" w:rsidRPr="00863D7F" w:rsidRDefault="00DC35B9" w:rsidP="00937567">
      <w:pPr>
        <w:jc w:val="both"/>
      </w:pPr>
      <w:commentRangeStart w:id="1"/>
      <w:r w:rsidRPr="00863D7F">
        <w:t>Ammonium urate and ammonium bi</w:t>
      </w:r>
      <w:r w:rsidR="009F41BD">
        <w:t>-</w:t>
      </w:r>
      <w:r w:rsidRPr="00863D7F">
        <w:t>urate crystals are rare in modern clinical practice, particularly beyond infancy.</w:t>
      </w:r>
      <w:r w:rsidR="00863D7F" w:rsidRPr="00863D7F">
        <w:t xml:space="preserve"> </w:t>
      </w:r>
      <w:r w:rsidRPr="00863D7F">
        <w:t>They are typically associated with dehydration, urinary tract infections, metabolic acidosis, or diets rich in purines</w:t>
      </w:r>
      <w:r>
        <w:t>.</w:t>
      </w:r>
      <w:r w:rsidR="005F023C">
        <w:t xml:space="preserve"> </w:t>
      </w:r>
      <w:r w:rsidR="00863D7F" w:rsidRPr="00863D7F">
        <w:t>These crystals are more frequently encountered in resource-limited regions or in areas endemic for bladder stones</w:t>
      </w:r>
      <w:r w:rsidR="002B2973">
        <w:t xml:space="preserve"> </w:t>
      </w:r>
      <w:commentRangeEnd w:id="1"/>
      <w:r w:rsidR="00D84B0A">
        <w:rPr>
          <w:rStyle w:val="CommentReference"/>
        </w:rPr>
        <w:commentReference w:id="1"/>
      </w:r>
      <w:r w:rsidR="002B2973" w:rsidRPr="002B2973">
        <w:rPr>
          <w:vertAlign w:val="superscript"/>
        </w:rPr>
        <w:t>6-7</w:t>
      </w:r>
      <w:r w:rsidR="00863D7F" w:rsidRPr="00863D7F">
        <w:t>.</w:t>
      </w:r>
    </w:p>
    <w:p w14:paraId="7C7376C5" w14:textId="6F56C1C0" w:rsidR="00863D7F" w:rsidRDefault="00DC35B9" w:rsidP="00937567">
      <w:pPr>
        <w:jc w:val="both"/>
      </w:pPr>
      <w:r w:rsidRPr="00863D7F">
        <w:t>Ammonium bi-urate crystals have a distinctive “thorn-apple” morphology and are less soluble at neutral or slightly alkaline urinary pH levels.</w:t>
      </w:r>
      <w:r w:rsidR="00863D7F" w:rsidRPr="00863D7F">
        <w:t xml:space="preserve"> Recognition of these crystals is crucial because their persistence may precede the formation of ammonium urate stones</w:t>
      </w:r>
      <w:r w:rsidR="005879E1">
        <w:t xml:space="preserve"> </w:t>
      </w:r>
      <w:r w:rsidR="005879E1" w:rsidRPr="005879E1">
        <w:rPr>
          <w:vertAlign w:val="superscript"/>
        </w:rPr>
        <w:t>8</w:t>
      </w:r>
      <w:r w:rsidR="00863D7F" w:rsidRPr="00863D7F">
        <w:t>. Here, we report a case of incidental detection of ammonium bi-urate crystals in an older child during evaluation for febrile illness, emphasizing the importance of hydration and monitoring.</w:t>
      </w:r>
    </w:p>
    <w:p w14:paraId="7F67C27A" w14:textId="38D6CEAD" w:rsidR="00937567" w:rsidRPr="00863D7F" w:rsidRDefault="00937567" w:rsidP="00937567">
      <w:pPr>
        <w:jc w:val="both"/>
        <w:rPr>
          <w:b/>
          <w:bCs/>
        </w:rPr>
      </w:pPr>
      <w:r w:rsidRPr="00937567">
        <w:rPr>
          <w:b/>
          <w:bCs/>
        </w:rPr>
        <w:t>Case Report</w:t>
      </w:r>
    </w:p>
    <w:p w14:paraId="773281EE" w14:textId="5C5C39EA" w:rsidR="00937567" w:rsidRPr="00937567" w:rsidRDefault="00937567" w:rsidP="00937567">
      <w:pPr>
        <w:jc w:val="both"/>
      </w:pPr>
      <w:r w:rsidRPr="00937567">
        <w:t>A 10-year-old male child presented to the outpatient department</w:t>
      </w:r>
      <w:r w:rsidR="00392D17">
        <w:t xml:space="preserve"> </w:t>
      </w:r>
      <w:r w:rsidR="00392D17" w:rsidRPr="002A65A6">
        <w:rPr>
          <w:rFonts w:ascii="Times New Roman" w:hAnsi="Times New Roman" w:cs="Times New Roman"/>
        </w:rPr>
        <w:t xml:space="preserve">of the Raipur Institute of Medical Sciences, a tertiary care </w:t>
      </w:r>
      <w:r w:rsidR="00392D17">
        <w:rPr>
          <w:rFonts w:ascii="Times New Roman" w:hAnsi="Times New Roman" w:cs="Times New Roman"/>
        </w:rPr>
        <w:t xml:space="preserve">hospital </w:t>
      </w:r>
      <w:r w:rsidR="00392D17" w:rsidRPr="002A65A6">
        <w:rPr>
          <w:rFonts w:ascii="Times New Roman" w:hAnsi="Times New Roman" w:cs="Times New Roman"/>
        </w:rPr>
        <w:t>Raipur, Chhattisgarh, India</w:t>
      </w:r>
      <w:r w:rsidR="00392D17">
        <w:rPr>
          <w:rFonts w:ascii="Times New Roman" w:hAnsi="Times New Roman" w:cs="Times New Roman"/>
        </w:rPr>
        <w:t>,</w:t>
      </w:r>
      <w:r w:rsidR="00392D17" w:rsidRPr="002A65A6">
        <w:rPr>
          <w:rFonts w:ascii="Times New Roman" w:hAnsi="Times New Roman" w:cs="Times New Roman"/>
        </w:rPr>
        <w:t xml:space="preserve"> </w:t>
      </w:r>
      <w:r w:rsidRPr="00937567">
        <w:t>with a history of low-grade fever lasting for</w:t>
      </w:r>
      <w:r w:rsidR="00AC34BF">
        <w:t xml:space="preserve"> </w:t>
      </w:r>
      <w:r w:rsidRPr="00937567">
        <w:t xml:space="preserve">four days. </w:t>
      </w:r>
      <w:r w:rsidR="00DC35B9" w:rsidRPr="00937567">
        <w:t>There were no associated urinary symptoms, such as dysuria, hematuria, flank pain, urgency, or frequency.</w:t>
      </w:r>
      <w:r w:rsidRPr="00937567">
        <w:t xml:space="preserve"> </w:t>
      </w:r>
      <w:r w:rsidR="00DC35B9" w:rsidRPr="00937567">
        <w:t xml:space="preserve">The child’s appetite </w:t>
      </w:r>
      <w:r w:rsidR="00060C7C">
        <w:t xml:space="preserve">was </w:t>
      </w:r>
      <w:r w:rsidR="00CF1090">
        <w:t>s</w:t>
      </w:r>
      <w:r w:rsidR="00CF1090" w:rsidRPr="00937567">
        <w:t>lightly</w:t>
      </w:r>
      <w:r w:rsidR="00DC35B9" w:rsidRPr="00937567">
        <w:t xml:space="preserve"> reduced during the febrile episode, and the parents reported a mild decrease in oral fluid intake.</w:t>
      </w:r>
      <w:r w:rsidRPr="00937567">
        <w:t xml:space="preserve"> There was no history of gastroenteritis, vomiting, or recent illness, and no prior episodes suggestive of </w:t>
      </w:r>
      <w:r w:rsidR="009F41BD">
        <w:t>u</w:t>
      </w:r>
      <w:r w:rsidR="009F41BD" w:rsidRPr="009F41BD">
        <w:t>reteric</w:t>
      </w:r>
      <w:r w:rsidRPr="00937567">
        <w:t xml:space="preserve"> or metabolic disease. </w:t>
      </w:r>
      <w:r w:rsidR="00DC35B9" w:rsidRPr="00937567">
        <w:t>His medical history was unremarkable, with normal growth and development, and no history of nephrolithiasis or recurrent urinary tract infections.</w:t>
      </w:r>
      <w:r w:rsidRPr="00937567">
        <w:t xml:space="preserve"> The child was not on any medications at the time of presentation.</w:t>
      </w:r>
    </w:p>
    <w:p w14:paraId="3F77AB28" w14:textId="748E1491" w:rsidR="00217766" w:rsidRPr="005879E1" w:rsidRDefault="00DC35B9" w:rsidP="005879E1">
      <w:pPr>
        <w:jc w:val="both"/>
      </w:pPr>
      <w:r w:rsidRPr="00937567">
        <w:t>On general physical examination, the patient appeared well nourished but mildly dehydrated, as evidenced by dry oral mucosa and slightly reduced skin turgor.</w:t>
      </w:r>
      <w:r w:rsidR="00937567" w:rsidRPr="00937567">
        <w:t xml:space="preserve"> At the time of examination, he was afebrile, and vital signs were within normal limits for age. </w:t>
      </w:r>
      <w:r w:rsidRPr="00937567">
        <w:t>Systemic examination revealed a soft, nontender abdomen without organomegaly or costovertebral angle tenderness.</w:t>
      </w:r>
      <w:r w:rsidR="00937567" w:rsidRPr="00937567">
        <w:t xml:space="preserve"> </w:t>
      </w:r>
      <w:r w:rsidRPr="00937567">
        <w:t>The results of cardiovascular, respiratory, and neurological examinations were unremarkable.</w:t>
      </w:r>
    </w:p>
    <w:p w14:paraId="6C84B7E1" w14:textId="77777777" w:rsidR="003130BB" w:rsidRDefault="003130BB" w:rsidP="00863D7F">
      <w:pPr>
        <w:rPr>
          <w:b/>
          <w:bCs/>
        </w:rPr>
      </w:pPr>
    </w:p>
    <w:p w14:paraId="1E9FE78B" w14:textId="77777777" w:rsidR="003130BB" w:rsidRDefault="003130BB" w:rsidP="00863D7F">
      <w:pPr>
        <w:rPr>
          <w:b/>
          <w:bCs/>
        </w:rPr>
      </w:pPr>
    </w:p>
    <w:p w14:paraId="66897DB3" w14:textId="285903DF" w:rsidR="003130BB" w:rsidRDefault="003130BB" w:rsidP="00863D7F">
      <w:pPr>
        <w:rPr>
          <w:b/>
          <w:bCs/>
        </w:rPr>
      </w:pPr>
    </w:p>
    <w:p w14:paraId="79F65388" w14:textId="79EF7A38" w:rsidR="00E25888" w:rsidRDefault="00E25888" w:rsidP="00863D7F">
      <w:pPr>
        <w:rPr>
          <w:b/>
          <w:bCs/>
        </w:rPr>
      </w:pPr>
    </w:p>
    <w:p w14:paraId="7330B33F" w14:textId="2E59704C" w:rsidR="00E25888" w:rsidRDefault="00E25888" w:rsidP="00863D7F">
      <w:pPr>
        <w:rPr>
          <w:b/>
          <w:bCs/>
        </w:rPr>
      </w:pPr>
    </w:p>
    <w:p w14:paraId="3835E98E" w14:textId="074DAD2E" w:rsidR="00E25888" w:rsidRDefault="00E25888" w:rsidP="00863D7F">
      <w:pPr>
        <w:rPr>
          <w:b/>
          <w:bCs/>
        </w:rPr>
      </w:pPr>
    </w:p>
    <w:p w14:paraId="49F960DA" w14:textId="7F056C4D" w:rsidR="00E25888" w:rsidRDefault="00E25888" w:rsidP="00863D7F">
      <w:pPr>
        <w:rPr>
          <w:b/>
          <w:bCs/>
        </w:rPr>
      </w:pPr>
    </w:p>
    <w:p w14:paraId="0E18AF66" w14:textId="640DA568" w:rsidR="00E25888" w:rsidRDefault="00E25888" w:rsidP="00863D7F">
      <w:pPr>
        <w:rPr>
          <w:b/>
          <w:bCs/>
        </w:rPr>
      </w:pPr>
    </w:p>
    <w:p w14:paraId="7A8F8050" w14:textId="6E3A6EBA" w:rsidR="00E25888" w:rsidRDefault="00E25888" w:rsidP="00863D7F">
      <w:pPr>
        <w:rPr>
          <w:b/>
          <w:bCs/>
        </w:rPr>
      </w:pPr>
    </w:p>
    <w:p w14:paraId="52B6C48A" w14:textId="489EBC6C" w:rsidR="00E25888" w:rsidRDefault="00E25888" w:rsidP="00863D7F">
      <w:pPr>
        <w:rPr>
          <w:b/>
          <w:bCs/>
        </w:rPr>
      </w:pPr>
    </w:p>
    <w:p w14:paraId="0CAF505B" w14:textId="3CAA73B9" w:rsidR="00E25888" w:rsidRDefault="00E25888" w:rsidP="00863D7F">
      <w:pPr>
        <w:rPr>
          <w:b/>
          <w:bCs/>
        </w:rPr>
      </w:pPr>
    </w:p>
    <w:p w14:paraId="722650AD" w14:textId="77777777" w:rsidR="00E25888" w:rsidRDefault="00E25888" w:rsidP="00863D7F">
      <w:pPr>
        <w:rPr>
          <w:b/>
          <w:bCs/>
        </w:rPr>
      </w:pPr>
    </w:p>
    <w:p w14:paraId="24CE5B21" w14:textId="77777777" w:rsidR="003130BB" w:rsidRDefault="003130BB" w:rsidP="00863D7F">
      <w:pPr>
        <w:rPr>
          <w:b/>
          <w:bCs/>
        </w:rPr>
      </w:pPr>
    </w:p>
    <w:p w14:paraId="5ADE8689" w14:textId="15B094B4" w:rsidR="00863D7F" w:rsidRPr="00863D7F" w:rsidRDefault="00771DA6" w:rsidP="00863D7F">
      <w:pPr>
        <w:rPr>
          <w:b/>
          <w:bCs/>
        </w:rPr>
      </w:pPr>
      <w:r>
        <w:rPr>
          <w:b/>
          <w:bCs/>
        </w:rPr>
        <w:t xml:space="preserve">Table 1. </w:t>
      </w:r>
      <w:r w:rsidR="00863D7F" w:rsidRPr="00863D7F">
        <w:rPr>
          <w:b/>
          <w:bCs/>
        </w:rPr>
        <w:t>Laboratory Investigations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4031"/>
        <w:gridCol w:w="3074"/>
      </w:tblGrid>
      <w:tr w:rsidR="00863D7F" w:rsidRPr="00863D7F" w14:paraId="330C997C" w14:textId="77777777" w:rsidTr="00755370">
        <w:tc>
          <w:tcPr>
            <w:tcW w:w="2425" w:type="dxa"/>
            <w:hideMark/>
          </w:tcPr>
          <w:p w14:paraId="25DC1B60" w14:textId="77777777" w:rsidR="00863D7F" w:rsidRPr="00863D7F" w:rsidRDefault="00863D7F" w:rsidP="00C50CBF">
            <w:pPr>
              <w:rPr>
                <w:b/>
                <w:bCs/>
              </w:rPr>
            </w:pPr>
            <w:r w:rsidRPr="00863D7F">
              <w:rPr>
                <w:b/>
                <w:bCs/>
              </w:rPr>
              <w:t>Test</w:t>
            </w:r>
          </w:p>
        </w:tc>
        <w:tc>
          <w:tcPr>
            <w:tcW w:w="4031" w:type="dxa"/>
            <w:hideMark/>
          </w:tcPr>
          <w:p w14:paraId="0812F10B" w14:textId="77777777" w:rsidR="00863D7F" w:rsidRPr="00863D7F" w:rsidRDefault="00863D7F" w:rsidP="00C50CBF">
            <w:pPr>
              <w:rPr>
                <w:b/>
                <w:bCs/>
              </w:rPr>
            </w:pPr>
            <w:r w:rsidRPr="00863D7F">
              <w:rPr>
                <w:b/>
                <w:bCs/>
              </w:rPr>
              <w:t>Result</w:t>
            </w:r>
          </w:p>
        </w:tc>
        <w:tc>
          <w:tcPr>
            <w:tcW w:w="0" w:type="auto"/>
            <w:hideMark/>
          </w:tcPr>
          <w:p w14:paraId="59B5EB31" w14:textId="77777777" w:rsidR="00863D7F" w:rsidRPr="00863D7F" w:rsidRDefault="00863D7F" w:rsidP="00C50CBF">
            <w:pPr>
              <w:rPr>
                <w:b/>
                <w:bCs/>
              </w:rPr>
            </w:pPr>
            <w:r w:rsidRPr="00863D7F">
              <w:rPr>
                <w:b/>
                <w:bCs/>
              </w:rPr>
              <w:t>Interpretation</w:t>
            </w:r>
          </w:p>
        </w:tc>
      </w:tr>
      <w:tr w:rsidR="00C50CBF" w:rsidRPr="00863D7F" w14:paraId="7997FEE4" w14:textId="77777777" w:rsidTr="00755370">
        <w:tc>
          <w:tcPr>
            <w:tcW w:w="2425" w:type="dxa"/>
          </w:tcPr>
          <w:p w14:paraId="77A14627" w14:textId="61F99204" w:rsidR="00C50CBF" w:rsidRPr="00863D7F" w:rsidRDefault="00C50CBF" w:rsidP="00C50CBF">
            <w:pPr>
              <w:rPr>
                <w:b/>
                <w:bCs/>
              </w:rPr>
            </w:pPr>
            <w:r w:rsidRPr="00444B3B">
              <w:rPr>
                <w:b/>
                <w:bCs/>
              </w:rPr>
              <w:t>Urine (Gross Examination)</w:t>
            </w:r>
          </w:p>
        </w:tc>
        <w:tc>
          <w:tcPr>
            <w:tcW w:w="4031" w:type="dxa"/>
          </w:tcPr>
          <w:p w14:paraId="010D41E1" w14:textId="3E6386CF" w:rsidR="00C50CBF" w:rsidRPr="00863D7F" w:rsidRDefault="00C50CBF" w:rsidP="00C50CBF">
            <w:r w:rsidRPr="00444B3B">
              <w:t>Turbid, yellowish appearance</w:t>
            </w:r>
          </w:p>
        </w:tc>
        <w:tc>
          <w:tcPr>
            <w:tcW w:w="0" w:type="auto"/>
          </w:tcPr>
          <w:p w14:paraId="74A50404" w14:textId="0B37877F" w:rsidR="00C50CBF" w:rsidRPr="00863D7F" w:rsidRDefault="00C50CBF" w:rsidP="00C50CBF">
            <w:r w:rsidRPr="00444B3B">
              <w:t>Suggestive of concentrated urine; possible mild dehydration</w:t>
            </w:r>
          </w:p>
        </w:tc>
      </w:tr>
      <w:tr w:rsidR="00C50CBF" w:rsidRPr="00863D7F" w14:paraId="40BD324D" w14:textId="77777777" w:rsidTr="00755370">
        <w:tc>
          <w:tcPr>
            <w:tcW w:w="2425" w:type="dxa"/>
          </w:tcPr>
          <w:p w14:paraId="6B21F61B" w14:textId="60FF4C0A" w:rsidR="00C50CBF" w:rsidRPr="00863D7F" w:rsidRDefault="00C50CBF" w:rsidP="00C50CBF">
            <w:pPr>
              <w:rPr>
                <w:b/>
                <w:bCs/>
              </w:rPr>
            </w:pPr>
            <w:r w:rsidRPr="00863D7F">
              <w:rPr>
                <w:b/>
                <w:bCs/>
              </w:rPr>
              <w:t>Urine dipstick</w:t>
            </w:r>
          </w:p>
        </w:tc>
        <w:tc>
          <w:tcPr>
            <w:tcW w:w="4031" w:type="dxa"/>
          </w:tcPr>
          <w:p w14:paraId="10EB5F00" w14:textId="3D1501D6" w:rsidR="00C50CBF" w:rsidRPr="00863D7F" w:rsidRDefault="00C50CBF" w:rsidP="00C50CBF">
            <w:r w:rsidRPr="00863D7F">
              <w:t>pH ≈ 6.5; no protein, no blood, nitrite/leukocyte esterase negative</w:t>
            </w:r>
          </w:p>
        </w:tc>
        <w:tc>
          <w:tcPr>
            <w:tcW w:w="0" w:type="auto"/>
          </w:tcPr>
          <w:p w14:paraId="30A839C6" w14:textId="69F43F4A" w:rsidR="00C50CBF" w:rsidRPr="00863D7F" w:rsidRDefault="00C50CBF" w:rsidP="00C50CBF">
            <w:r w:rsidRPr="00863D7F">
              <w:t>Near-neutral urine</w:t>
            </w:r>
          </w:p>
        </w:tc>
      </w:tr>
      <w:tr w:rsidR="00C50CBF" w:rsidRPr="00863D7F" w14:paraId="02D207DD" w14:textId="77777777" w:rsidTr="00755370">
        <w:tc>
          <w:tcPr>
            <w:tcW w:w="2425" w:type="dxa"/>
            <w:hideMark/>
          </w:tcPr>
          <w:p w14:paraId="2CD123CB" w14:textId="34A28011" w:rsidR="00C50CBF" w:rsidRPr="00863D7F" w:rsidRDefault="00C50CBF" w:rsidP="00C50CBF">
            <w:r w:rsidRPr="00444B3B">
              <w:rPr>
                <w:b/>
                <w:bCs/>
              </w:rPr>
              <w:t>Urine</w:t>
            </w:r>
            <w:r w:rsidRPr="00863D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Pr="00863D7F">
              <w:rPr>
                <w:b/>
                <w:bCs/>
              </w:rPr>
              <w:t>Microscopy</w:t>
            </w:r>
            <w:r>
              <w:rPr>
                <w:b/>
                <w:bCs/>
              </w:rPr>
              <w:t xml:space="preserve"> </w:t>
            </w:r>
            <w:r w:rsidRPr="00444B3B">
              <w:rPr>
                <w:b/>
                <w:bCs/>
              </w:rPr>
              <w:t>Examination)</w:t>
            </w:r>
          </w:p>
        </w:tc>
        <w:tc>
          <w:tcPr>
            <w:tcW w:w="4031" w:type="dxa"/>
            <w:hideMark/>
          </w:tcPr>
          <w:p w14:paraId="6E56FA7C" w14:textId="77777777" w:rsidR="00C50CBF" w:rsidRPr="00863D7F" w:rsidRDefault="00C50CBF" w:rsidP="00C50CBF">
            <w:r w:rsidRPr="00863D7F">
              <w:t>Numerous thorn-apple shaped ammonium bi-urate crystals, refractile, brownish-yellow; no casts or bacteria</w:t>
            </w:r>
          </w:p>
        </w:tc>
        <w:tc>
          <w:tcPr>
            <w:tcW w:w="0" w:type="auto"/>
            <w:hideMark/>
          </w:tcPr>
          <w:p w14:paraId="19D45BCA" w14:textId="77777777" w:rsidR="00C50CBF" w:rsidRPr="00863D7F" w:rsidRDefault="00C50CBF" w:rsidP="00C50CBF">
            <w:r w:rsidRPr="00863D7F">
              <w:t>Characteristic morphology</w:t>
            </w:r>
          </w:p>
        </w:tc>
      </w:tr>
      <w:tr w:rsidR="00C50CBF" w:rsidRPr="00863D7F" w14:paraId="7BE8B59A" w14:textId="77777777" w:rsidTr="00755370">
        <w:tc>
          <w:tcPr>
            <w:tcW w:w="2425" w:type="dxa"/>
            <w:hideMark/>
          </w:tcPr>
          <w:p w14:paraId="4E845498" w14:textId="77777777" w:rsidR="00C50CBF" w:rsidRPr="00863D7F" w:rsidRDefault="00C50CBF" w:rsidP="00C50CBF">
            <w:r w:rsidRPr="00863D7F">
              <w:rPr>
                <w:b/>
                <w:bCs/>
              </w:rPr>
              <w:t>Urine culture</w:t>
            </w:r>
          </w:p>
        </w:tc>
        <w:tc>
          <w:tcPr>
            <w:tcW w:w="4031" w:type="dxa"/>
            <w:hideMark/>
          </w:tcPr>
          <w:p w14:paraId="45AE249C" w14:textId="77777777" w:rsidR="00C50CBF" w:rsidRPr="00863D7F" w:rsidRDefault="00C50CBF" w:rsidP="00C50CBF">
            <w:r w:rsidRPr="00863D7F">
              <w:t>Sterile</w:t>
            </w:r>
          </w:p>
        </w:tc>
        <w:tc>
          <w:tcPr>
            <w:tcW w:w="0" w:type="auto"/>
            <w:hideMark/>
          </w:tcPr>
          <w:p w14:paraId="44BF59E6" w14:textId="77777777" w:rsidR="00C50CBF" w:rsidRPr="00863D7F" w:rsidRDefault="00C50CBF" w:rsidP="00C50CBF">
            <w:r w:rsidRPr="00863D7F">
              <w:t>Rules out infection</w:t>
            </w:r>
          </w:p>
        </w:tc>
      </w:tr>
      <w:tr w:rsidR="00C50CBF" w:rsidRPr="00863D7F" w14:paraId="0B27FBF5" w14:textId="77777777" w:rsidTr="00755370">
        <w:tc>
          <w:tcPr>
            <w:tcW w:w="2425" w:type="dxa"/>
            <w:hideMark/>
          </w:tcPr>
          <w:p w14:paraId="298BC81D" w14:textId="77777777" w:rsidR="00C50CBF" w:rsidRPr="00863D7F" w:rsidRDefault="00C50CBF" w:rsidP="00C50CBF">
            <w:r w:rsidRPr="00863D7F">
              <w:rPr>
                <w:b/>
                <w:bCs/>
              </w:rPr>
              <w:t>Serum creatinine, BUN</w:t>
            </w:r>
          </w:p>
        </w:tc>
        <w:tc>
          <w:tcPr>
            <w:tcW w:w="4031" w:type="dxa"/>
            <w:hideMark/>
          </w:tcPr>
          <w:p w14:paraId="7288BB0D" w14:textId="77777777" w:rsidR="00C50CBF" w:rsidRPr="00863D7F" w:rsidRDefault="00C50CBF" w:rsidP="00C50CBF">
            <w:r w:rsidRPr="00863D7F">
              <w:t>Normal</w:t>
            </w:r>
          </w:p>
        </w:tc>
        <w:tc>
          <w:tcPr>
            <w:tcW w:w="0" w:type="auto"/>
            <w:hideMark/>
          </w:tcPr>
          <w:p w14:paraId="027CDC9C" w14:textId="77777777" w:rsidR="00C50CBF" w:rsidRPr="00863D7F" w:rsidRDefault="00C50CBF" w:rsidP="00C50CBF">
            <w:r w:rsidRPr="00863D7F">
              <w:t>Normal renal function</w:t>
            </w:r>
          </w:p>
        </w:tc>
      </w:tr>
      <w:tr w:rsidR="00C50CBF" w:rsidRPr="00863D7F" w14:paraId="39452634" w14:textId="77777777" w:rsidTr="00755370">
        <w:tc>
          <w:tcPr>
            <w:tcW w:w="2425" w:type="dxa"/>
            <w:hideMark/>
          </w:tcPr>
          <w:p w14:paraId="17F98AB9" w14:textId="77777777" w:rsidR="00C50CBF" w:rsidRPr="00863D7F" w:rsidRDefault="00C50CBF" w:rsidP="00C50CBF">
            <w:r w:rsidRPr="00863D7F">
              <w:rPr>
                <w:b/>
                <w:bCs/>
              </w:rPr>
              <w:t>Serum uric acid</w:t>
            </w:r>
          </w:p>
        </w:tc>
        <w:tc>
          <w:tcPr>
            <w:tcW w:w="4031" w:type="dxa"/>
            <w:hideMark/>
          </w:tcPr>
          <w:p w14:paraId="5B4BA5D3" w14:textId="77777777" w:rsidR="00C50CBF" w:rsidRPr="00863D7F" w:rsidRDefault="00C50CBF" w:rsidP="00C50CBF">
            <w:r w:rsidRPr="00863D7F">
              <w:t>Normal</w:t>
            </w:r>
          </w:p>
        </w:tc>
        <w:tc>
          <w:tcPr>
            <w:tcW w:w="0" w:type="auto"/>
            <w:hideMark/>
          </w:tcPr>
          <w:p w14:paraId="00257D50" w14:textId="77777777" w:rsidR="00C50CBF" w:rsidRPr="00863D7F" w:rsidRDefault="00C50CBF" w:rsidP="00C50CBF">
            <w:r w:rsidRPr="00863D7F">
              <w:t>No hyperuricemia</w:t>
            </w:r>
          </w:p>
        </w:tc>
      </w:tr>
      <w:tr w:rsidR="00C50CBF" w:rsidRPr="00863D7F" w14:paraId="2A4246BB" w14:textId="77777777" w:rsidTr="00755370">
        <w:tc>
          <w:tcPr>
            <w:tcW w:w="2425" w:type="dxa"/>
            <w:hideMark/>
          </w:tcPr>
          <w:p w14:paraId="2CD75EF4" w14:textId="0512EAEC" w:rsidR="00C50CBF" w:rsidRPr="00863D7F" w:rsidRDefault="00C50CBF" w:rsidP="00C50CBF">
            <w:r w:rsidRPr="00863D7F">
              <w:rPr>
                <w:b/>
                <w:bCs/>
              </w:rPr>
              <w:t>Spot urine uric acid: creatinine ratio</w:t>
            </w:r>
          </w:p>
        </w:tc>
        <w:tc>
          <w:tcPr>
            <w:tcW w:w="4031" w:type="dxa"/>
            <w:hideMark/>
          </w:tcPr>
          <w:p w14:paraId="5D627222" w14:textId="77777777" w:rsidR="00C50CBF" w:rsidRPr="00863D7F" w:rsidRDefault="00C50CBF" w:rsidP="00C50CBF">
            <w:r w:rsidRPr="00863D7F">
              <w:t>Normal</w:t>
            </w:r>
          </w:p>
        </w:tc>
        <w:tc>
          <w:tcPr>
            <w:tcW w:w="0" w:type="auto"/>
            <w:hideMark/>
          </w:tcPr>
          <w:p w14:paraId="24C164BC" w14:textId="77777777" w:rsidR="00C50CBF" w:rsidRPr="00863D7F" w:rsidRDefault="00C50CBF" w:rsidP="00C50CBF">
            <w:r w:rsidRPr="00863D7F">
              <w:t>No hyperuricosuria</w:t>
            </w:r>
          </w:p>
        </w:tc>
      </w:tr>
      <w:tr w:rsidR="00C50CBF" w:rsidRPr="00863D7F" w14:paraId="3BEA15B4" w14:textId="77777777" w:rsidTr="00755370">
        <w:tc>
          <w:tcPr>
            <w:tcW w:w="2425" w:type="dxa"/>
            <w:hideMark/>
          </w:tcPr>
          <w:p w14:paraId="4BA043E2" w14:textId="77777777" w:rsidR="00C50CBF" w:rsidRPr="00863D7F" w:rsidRDefault="00C50CBF" w:rsidP="00C50CBF">
            <w:r w:rsidRPr="00863D7F">
              <w:rPr>
                <w:b/>
                <w:bCs/>
              </w:rPr>
              <w:t>Electrolytes (Na⁺, K⁺, Cl⁻)</w:t>
            </w:r>
          </w:p>
        </w:tc>
        <w:tc>
          <w:tcPr>
            <w:tcW w:w="4031" w:type="dxa"/>
            <w:hideMark/>
          </w:tcPr>
          <w:p w14:paraId="5E5907AC" w14:textId="77777777" w:rsidR="00C50CBF" w:rsidRPr="00863D7F" w:rsidRDefault="00C50CBF" w:rsidP="00C50CBF">
            <w:r w:rsidRPr="00863D7F">
              <w:t>Normal</w:t>
            </w:r>
          </w:p>
        </w:tc>
        <w:tc>
          <w:tcPr>
            <w:tcW w:w="0" w:type="auto"/>
            <w:hideMark/>
          </w:tcPr>
          <w:p w14:paraId="188831C5" w14:textId="77777777" w:rsidR="00C50CBF" w:rsidRPr="00863D7F" w:rsidRDefault="00C50CBF" w:rsidP="00C50CBF">
            <w:r w:rsidRPr="00863D7F">
              <w:t>Balanced status</w:t>
            </w:r>
          </w:p>
        </w:tc>
      </w:tr>
      <w:tr w:rsidR="00C50CBF" w:rsidRPr="00863D7F" w14:paraId="6B017ECC" w14:textId="77777777" w:rsidTr="00755370">
        <w:tc>
          <w:tcPr>
            <w:tcW w:w="2425" w:type="dxa"/>
            <w:hideMark/>
          </w:tcPr>
          <w:p w14:paraId="1E4F6AA4" w14:textId="77777777" w:rsidR="00C50CBF" w:rsidRPr="00863D7F" w:rsidRDefault="00C50CBF" w:rsidP="00C50CBF">
            <w:r w:rsidRPr="00863D7F">
              <w:rPr>
                <w:b/>
                <w:bCs/>
              </w:rPr>
              <w:t>CBC</w:t>
            </w:r>
          </w:p>
        </w:tc>
        <w:tc>
          <w:tcPr>
            <w:tcW w:w="4031" w:type="dxa"/>
            <w:hideMark/>
          </w:tcPr>
          <w:p w14:paraId="67BADDA8" w14:textId="77777777" w:rsidR="00C50CBF" w:rsidRPr="00863D7F" w:rsidRDefault="00C50CBF" w:rsidP="00C50CBF">
            <w:r w:rsidRPr="00863D7F">
              <w:t>Mild neutrophilic leukocytosis</w:t>
            </w:r>
          </w:p>
        </w:tc>
        <w:tc>
          <w:tcPr>
            <w:tcW w:w="0" w:type="auto"/>
            <w:hideMark/>
          </w:tcPr>
          <w:p w14:paraId="06D66C32" w14:textId="77777777" w:rsidR="00C50CBF" w:rsidRPr="00863D7F" w:rsidRDefault="00C50CBF" w:rsidP="00C50CBF">
            <w:r w:rsidRPr="00863D7F">
              <w:t>Suggests inflammatory response</w:t>
            </w:r>
          </w:p>
        </w:tc>
      </w:tr>
      <w:tr w:rsidR="00C50CBF" w:rsidRPr="00863D7F" w14:paraId="5242DEFA" w14:textId="77777777" w:rsidTr="00755370">
        <w:tc>
          <w:tcPr>
            <w:tcW w:w="2425" w:type="dxa"/>
            <w:hideMark/>
          </w:tcPr>
          <w:p w14:paraId="336A40A3" w14:textId="77777777" w:rsidR="00C50CBF" w:rsidRPr="00863D7F" w:rsidRDefault="00C50CBF" w:rsidP="00C50CBF">
            <w:r w:rsidRPr="00863D7F">
              <w:rPr>
                <w:b/>
                <w:bCs/>
              </w:rPr>
              <w:t>CRP</w:t>
            </w:r>
          </w:p>
        </w:tc>
        <w:tc>
          <w:tcPr>
            <w:tcW w:w="4031" w:type="dxa"/>
            <w:hideMark/>
          </w:tcPr>
          <w:p w14:paraId="0E3E6FAE" w14:textId="77777777" w:rsidR="00C50CBF" w:rsidRPr="00863D7F" w:rsidRDefault="00C50CBF" w:rsidP="00C50CBF">
            <w:r w:rsidRPr="00863D7F">
              <w:t>47.84 mg/L (elevated)</w:t>
            </w:r>
          </w:p>
        </w:tc>
        <w:tc>
          <w:tcPr>
            <w:tcW w:w="0" w:type="auto"/>
            <w:hideMark/>
          </w:tcPr>
          <w:p w14:paraId="0C4F1E1C" w14:textId="77777777" w:rsidR="00C50CBF" w:rsidRPr="00863D7F" w:rsidRDefault="00C50CBF" w:rsidP="00C50CBF">
            <w:r w:rsidRPr="00863D7F">
              <w:t>Confirms systemic inflammation</w:t>
            </w:r>
          </w:p>
        </w:tc>
      </w:tr>
      <w:tr w:rsidR="00C50CBF" w:rsidRPr="00863D7F" w14:paraId="2EA5686C" w14:textId="77777777" w:rsidTr="00755370">
        <w:tc>
          <w:tcPr>
            <w:tcW w:w="2425" w:type="dxa"/>
            <w:hideMark/>
          </w:tcPr>
          <w:p w14:paraId="6A710F9C" w14:textId="77777777" w:rsidR="00C50CBF" w:rsidRPr="00863D7F" w:rsidRDefault="00C50CBF" w:rsidP="00C50CBF">
            <w:proofErr w:type="spellStart"/>
            <w:r w:rsidRPr="00863D7F">
              <w:rPr>
                <w:b/>
                <w:bCs/>
              </w:rPr>
              <w:t>Widal</w:t>
            </w:r>
            <w:proofErr w:type="spellEnd"/>
            <w:r w:rsidRPr="00863D7F">
              <w:rPr>
                <w:b/>
                <w:bCs/>
              </w:rPr>
              <w:t xml:space="preserve"> test, MP smear, Dengue NS1/IgM</w:t>
            </w:r>
          </w:p>
        </w:tc>
        <w:tc>
          <w:tcPr>
            <w:tcW w:w="4031" w:type="dxa"/>
            <w:hideMark/>
          </w:tcPr>
          <w:p w14:paraId="0E70B801" w14:textId="77777777" w:rsidR="00C50CBF" w:rsidRPr="00863D7F" w:rsidRDefault="00C50CBF" w:rsidP="00C50CBF">
            <w:r w:rsidRPr="00863D7F">
              <w:t>Negative</w:t>
            </w:r>
          </w:p>
        </w:tc>
        <w:tc>
          <w:tcPr>
            <w:tcW w:w="0" w:type="auto"/>
            <w:hideMark/>
          </w:tcPr>
          <w:p w14:paraId="154FBA29" w14:textId="77777777" w:rsidR="00C50CBF" w:rsidRPr="00863D7F" w:rsidRDefault="00C50CBF" w:rsidP="00C50CBF">
            <w:r w:rsidRPr="00863D7F">
              <w:t>No evidence of enteric fever, malaria, or dengue</w:t>
            </w:r>
          </w:p>
        </w:tc>
      </w:tr>
      <w:tr w:rsidR="00C50CBF" w:rsidRPr="00863D7F" w14:paraId="7A367FA9" w14:textId="77777777" w:rsidTr="00755370">
        <w:tc>
          <w:tcPr>
            <w:tcW w:w="2425" w:type="dxa"/>
            <w:hideMark/>
          </w:tcPr>
          <w:p w14:paraId="1AA3D38C" w14:textId="77777777" w:rsidR="00C50CBF" w:rsidRPr="00863D7F" w:rsidRDefault="00C50CBF" w:rsidP="00C50CBF">
            <w:r w:rsidRPr="00863D7F">
              <w:rPr>
                <w:b/>
                <w:bCs/>
              </w:rPr>
              <w:t>Ultrasound KUB</w:t>
            </w:r>
          </w:p>
        </w:tc>
        <w:tc>
          <w:tcPr>
            <w:tcW w:w="4031" w:type="dxa"/>
            <w:hideMark/>
          </w:tcPr>
          <w:p w14:paraId="19F7734F" w14:textId="77777777" w:rsidR="00C50CBF" w:rsidRPr="00863D7F" w:rsidRDefault="00C50CBF" w:rsidP="00C50CBF">
            <w:r w:rsidRPr="00863D7F">
              <w:t>No stones or hydronephrosis</w:t>
            </w:r>
          </w:p>
        </w:tc>
        <w:tc>
          <w:tcPr>
            <w:tcW w:w="0" w:type="auto"/>
            <w:hideMark/>
          </w:tcPr>
          <w:p w14:paraId="450F622F" w14:textId="77777777" w:rsidR="00C50CBF" w:rsidRPr="00863D7F" w:rsidRDefault="00C50CBF" w:rsidP="00C50CBF">
            <w:r w:rsidRPr="00863D7F">
              <w:t>Normal study</w:t>
            </w:r>
          </w:p>
        </w:tc>
      </w:tr>
    </w:tbl>
    <w:p w14:paraId="3FF42D70" w14:textId="73B042E3" w:rsidR="00755370" w:rsidRDefault="00755370" w:rsidP="00863D7F"/>
    <w:p w14:paraId="17CC6764" w14:textId="7484C569" w:rsidR="00863D7F" w:rsidRPr="00863D7F" w:rsidRDefault="00863D7F" w:rsidP="00863D7F"/>
    <w:p w14:paraId="251A6266" w14:textId="3B317F0A" w:rsidR="003443EF" w:rsidRDefault="003443EF" w:rsidP="00863D7F">
      <w:pPr>
        <w:rPr>
          <w:b/>
          <w:bCs/>
        </w:rPr>
      </w:pPr>
    </w:p>
    <w:p w14:paraId="55ECEF44" w14:textId="24964D33" w:rsidR="003443EF" w:rsidRDefault="00D84B0A" w:rsidP="00863D7F">
      <w:pPr>
        <w:rPr>
          <w:b/>
          <w:bCs/>
        </w:rPr>
      </w:pPr>
      <w:r w:rsidRPr="00DD11D4">
        <w:rPr>
          <w:b/>
          <w:bCs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608D8D9" wp14:editId="34DF3669">
            <wp:simplePos x="0" y="0"/>
            <wp:positionH relativeFrom="column">
              <wp:posOffset>45720</wp:posOffset>
            </wp:positionH>
            <wp:positionV relativeFrom="paragraph">
              <wp:posOffset>-558165</wp:posOffset>
            </wp:positionV>
            <wp:extent cx="2692792" cy="2887980"/>
            <wp:effectExtent l="0" t="0" r="0" b="7620"/>
            <wp:wrapNone/>
            <wp:docPr id="2054710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1071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792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1D4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0C0895F5" wp14:editId="66E3F0D8">
            <wp:simplePos x="0" y="0"/>
            <wp:positionH relativeFrom="column">
              <wp:posOffset>3156585</wp:posOffset>
            </wp:positionH>
            <wp:positionV relativeFrom="paragraph">
              <wp:posOffset>-568325</wp:posOffset>
            </wp:positionV>
            <wp:extent cx="2705100" cy="2896181"/>
            <wp:effectExtent l="0" t="0" r="0" b="0"/>
            <wp:wrapNone/>
            <wp:docPr id="1385481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8165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9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90459" w14:textId="7108B242" w:rsidR="003443EF" w:rsidRDefault="003443EF" w:rsidP="00863D7F">
      <w:pPr>
        <w:rPr>
          <w:b/>
          <w:bCs/>
        </w:rPr>
      </w:pPr>
    </w:p>
    <w:p w14:paraId="06871ABE" w14:textId="6B4454A2" w:rsidR="003443EF" w:rsidRDefault="003443EF" w:rsidP="00863D7F">
      <w:pPr>
        <w:rPr>
          <w:b/>
          <w:bCs/>
        </w:rPr>
      </w:pPr>
    </w:p>
    <w:p w14:paraId="59CB6735" w14:textId="47DCB636" w:rsidR="003443EF" w:rsidRDefault="003443EF" w:rsidP="00863D7F">
      <w:pPr>
        <w:rPr>
          <w:b/>
          <w:bCs/>
        </w:rPr>
      </w:pPr>
    </w:p>
    <w:p w14:paraId="0B9ED27B" w14:textId="77777777" w:rsidR="003443EF" w:rsidRDefault="003443EF" w:rsidP="00863D7F">
      <w:pPr>
        <w:rPr>
          <w:b/>
          <w:bCs/>
        </w:rPr>
      </w:pPr>
    </w:p>
    <w:p w14:paraId="25479A41" w14:textId="07998A01" w:rsidR="003443EF" w:rsidRDefault="003443EF" w:rsidP="00863D7F">
      <w:pPr>
        <w:rPr>
          <w:b/>
          <w:bCs/>
        </w:rPr>
      </w:pPr>
    </w:p>
    <w:p w14:paraId="4A710BA5" w14:textId="763AC509" w:rsidR="000064AE" w:rsidRDefault="000064AE" w:rsidP="00863D7F">
      <w:pPr>
        <w:rPr>
          <w:b/>
          <w:bCs/>
        </w:rPr>
      </w:pPr>
    </w:p>
    <w:p w14:paraId="34029323" w14:textId="77777777" w:rsidR="00755370" w:rsidRDefault="00755370" w:rsidP="00863D7F">
      <w:pPr>
        <w:rPr>
          <w:b/>
          <w:bCs/>
        </w:rPr>
      </w:pPr>
    </w:p>
    <w:p w14:paraId="4623710E" w14:textId="0BFAC09F" w:rsidR="003443EF" w:rsidRDefault="00DC35B9" w:rsidP="00EB4403">
      <w:pPr>
        <w:jc w:val="both"/>
        <w:rPr>
          <w:b/>
          <w:bCs/>
        </w:rPr>
      </w:pPr>
      <w:r w:rsidRPr="00250262">
        <w:rPr>
          <w:b/>
          <w:bCs/>
        </w:rPr>
        <w:t>Figure 1:</w:t>
      </w:r>
      <w:r w:rsidRPr="00250262">
        <w:t xml:space="preserve"> (A) Turbid yellowish urine sample, indicating concentration.</w:t>
      </w:r>
      <w:r w:rsidR="00250262" w:rsidRPr="00250262">
        <w:t xml:space="preserve"> (B) Unstained wet mount (×40) showing numerous refractile “thorn-apple” shaped ammonium bi-urate crystals.</w:t>
      </w:r>
    </w:p>
    <w:p w14:paraId="7C4646C1" w14:textId="77777777" w:rsidR="00C50CBF" w:rsidRDefault="00C50CBF" w:rsidP="00863D7F">
      <w:pPr>
        <w:rPr>
          <w:b/>
          <w:bCs/>
        </w:rPr>
      </w:pPr>
    </w:p>
    <w:p w14:paraId="500C5B9B" w14:textId="77777777" w:rsidR="00E133B8" w:rsidRDefault="00E133B8" w:rsidP="00863D7F">
      <w:pPr>
        <w:rPr>
          <w:b/>
          <w:bCs/>
        </w:rPr>
      </w:pPr>
    </w:p>
    <w:p w14:paraId="17A71783" w14:textId="68CB085A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Management and Outcome</w:t>
      </w:r>
      <w:r w:rsidR="00633913">
        <w:rPr>
          <w:b/>
          <w:bCs/>
        </w:rPr>
        <w:t xml:space="preserve"> </w:t>
      </w:r>
    </w:p>
    <w:p w14:paraId="0018F9A9" w14:textId="68876624" w:rsidR="004C3FAF" w:rsidRPr="004C3FAF" w:rsidRDefault="00DC35B9" w:rsidP="00E93F5C">
      <w:pPr>
        <w:jc w:val="both"/>
      </w:pPr>
      <w:r w:rsidRPr="004C3FAF">
        <w:t xml:space="preserve">The patient was managed conservatively with emphasis on </w:t>
      </w:r>
      <w:r w:rsidR="00384B91">
        <w:t>correcting</w:t>
      </w:r>
      <w:r w:rsidR="00384B91" w:rsidRPr="00544B81">
        <w:t xml:space="preserve"> </w:t>
      </w:r>
      <w:r w:rsidRPr="004C3FAF">
        <w:t xml:space="preserve">mild dehydration and </w:t>
      </w:r>
      <w:r w:rsidR="00CF7C43" w:rsidRPr="00CF7C43">
        <w:t>optimizing dietary intake</w:t>
      </w:r>
      <w:r w:rsidRPr="004C3FAF">
        <w:t>.</w:t>
      </w:r>
      <w:r w:rsidR="004C3FAF" w:rsidRPr="004C3FAF">
        <w:t xml:space="preserve"> He and his caregivers were counselled to increase daily fluid intake to approximately 1.5–2 liters per day, with the goal of maintaining clear, adequately diluted urine. </w:t>
      </w:r>
      <w:r w:rsidRPr="004C3FAF">
        <w:t>Regular follow-up was advised with repeat urinalysis every four–six weeks to monitor for persistence or recurrence of crystalluria.</w:t>
      </w:r>
      <w:r w:rsidR="004C3FAF" w:rsidRPr="004C3FAF">
        <w:t xml:space="preserve"> </w:t>
      </w:r>
      <w:r w:rsidRPr="004C3FAF">
        <w:t xml:space="preserve">At the </w:t>
      </w:r>
      <w:r w:rsidR="00060C7C">
        <w:t>3</w:t>
      </w:r>
      <w:r w:rsidRPr="004C3FAF">
        <w:t>-month follow-up visit, urine microscopy revealed complete resolution of the ammonium bi-urate crystals, and the urine appeared clear.</w:t>
      </w:r>
      <w:r w:rsidR="004C3FAF" w:rsidRPr="004C3FAF">
        <w:t xml:space="preserve"> </w:t>
      </w:r>
      <w:r w:rsidRPr="004C3FAF">
        <w:t>The patient remained asymptomatic with normal renal function parameters and no new clinical concerns.</w:t>
      </w:r>
    </w:p>
    <w:p w14:paraId="63306A92" w14:textId="7DB767E0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Discussion</w:t>
      </w:r>
    </w:p>
    <w:p w14:paraId="0D012D9F" w14:textId="1524DBA1" w:rsidR="00E93F5C" w:rsidRDefault="00DC35B9" w:rsidP="00BD7C09">
      <w:pPr>
        <w:jc w:val="both"/>
      </w:pPr>
      <w:r w:rsidRPr="00E93F5C">
        <w:t>Ammonium bi-urate crystalluria is an uncommon finding in pediatric urine microscopy and is rarely observed in routine practice.</w:t>
      </w:r>
      <w:r w:rsidR="00E93F5C" w:rsidRPr="00E93F5C">
        <w:t xml:space="preserve"> </w:t>
      </w:r>
      <w:r w:rsidRPr="00E93F5C">
        <w:t xml:space="preserve">Its formation depends on the urinary urate concentration, ammonia levels, and urinary </w:t>
      </w:r>
      <w:proofErr w:type="spellStart"/>
      <w:r w:rsidRPr="00E93F5C">
        <w:t>pH.</w:t>
      </w:r>
      <w:proofErr w:type="spellEnd"/>
      <w:r w:rsidR="00E93F5C" w:rsidRPr="00E93F5C">
        <w:t xml:space="preserve"> </w:t>
      </w:r>
      <w:r w:rsidRPr="00E93F5C">
        <w:t>These crystals typically appear in near-neutral to slightly alkaline urine, where the urate solubility decreases.</w:t>
      </w:r>
      <w:r w:rsidR="00E93F5C" w:rsidRPr="00E93F5C">
        <w:t xml:space="preserve"> </w:t>
      </w:r>
      <w:r w:rsidRPr="00E93F5C">
        <w:t xml:space="preserve">Transient factors, such as dehydration, fever, or mild metabolic stress, </w:t>
      </w:r>
      <w:r w:rsidR="009D67A9">
        <w:t>may</w:t>
      </w:r>
      <w:r w:rsidRPr="00E93F5C">
        <w:t xml:space="preserve"> increase urinary ammonia and solute concentrations and promote crystal formation.</w:t>
      </w:r>
      <w:r w:rsidR="00E93F5C" w:rsidRPr="00E93F5C">
        <w:t xml:space="preserve"> </w:t>
      </w:r>
      <w:r w:rsidRPr="00E93F5C">
        <w:t>While urease-producing infections are known to cause ammonium urate precipitation, the sterile urine culture in this case excluded the infection.</w:t>
      </w:r>
      <w:r w:rsidR="00E93F5C" w:rsidRPr="00E93F5C">
        <w:t xml:space="preserve"> </w:t>
      </w:r>
      <w:r w:rsidRPr="00E93F5C">
        <w:t>Thus, crystalluria was likely due to transient dehydration and systemic inflammatory changes during the febrile episode, which temporarily altered urinary chemistry and favored crystal precipitation.</w:t>
      </w:r>
    </w:p>
    <w:p w14:paraId="360FAF0E" w14:textId="05F116B7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Clinical Relevance</w:t>
      </w:r>
    </w:p>
    <w:p w14:paraId="12BB7D63" w14:textId="6B46F7EB" w:rsidR="00863D7F" w:rsidRPr="00863D7F" w:rsidRDefault="00DC35B9" w:rsidP="00637851">
      <w:pPr>
        <w:jc w:val="both"/>
      </w:pPr>
      <w:r w:rsidRPr="00863D7F">
        <w:t xml:space="preserve">Crystalluria </w:t>
      </w:r>
      <w:r w:rsidR="00544B81">
        <w:t xml:space="preserve">often </w:t>
      </w:r>
      <w:r w:rsidRPr="00863D7F">
        <w:t>precedes stone formation.</w:t>
      </w:r>
      <w:r w:rsidR="00863D7F" w:rsidRPr="00863D7F">
        <w:t xml:space="preserve"> In children, ammonium urate stones have been described after episodes of gastroenteritis or severe dehydration (Ban et al., 2022). </w:t>
      </w:r>
      <w:r w:rsidRPr="00863D7F">
        <w:t xml:space="preserve">Our case differs </w:t>
      </w:r>
      <w:r w:rsidRPr="00863D7F">
        <w:lastRenderedPageBreak/>
        <w:t xml:space="preserve">in that it </w:t>
      </w:r>
      <w:r w:rsidR="00791482" w:rsidRPr="00791482">
        <w:t>demonstrated</w:t>
      </w:r>
      <w:r w:rsidRPr="00863D7F">
        <w:t xml:space="preserve"> crystalluria during a mild febrile illness without overt dehydration or infection and with spontaneous resolution upon hydration.</w:t>
      </w:r>
    </w:p>
    <w:p w14:paraId="08C6B547" w14:textId="30CCD763" w:rsidR="00637851" w:rsidRPr="00637851" w:rsidRDefault="00637851" w:rsidP="00863D7F">
      <w:pPr>
        <w:rPr>
          <w:b/>
          <w:bCs/>
        </w:rPr>
      </w:pPr>
      <w:r w:rsidRPr="00637851">
        <w:rPr>
          <w:b/>
          <w:bCs/>
        </w:rPr>
        <w:t>Differential Diagnosis</w:t>
      </w:r>
    </w:p>
    <w:p w14:paraId="613596EC" w14:textId="47E5B9C0" w:rsidR="00637851" w:rsidRPr="00637851" w:rsidRDefault="00DC35B9" w:rsidP="00863D7F">
      <w:r w:rsidRPr="00637851">
        <w:t>The differential diagnosis of crystalline deposits by urine microscopy includes uric acid, sodium or potassium urate, calcium oxalate, and phosphate crystals.</w:t>
      </w:r>
      <w:r w:rsidR="00637851" w:rsidRPr="00637851">
        <w:t xml:space="preserve"> </w:t>
      </w:r>
      <w:r w:rsidRPr="00637851">
        <w:t>However, these morphological differences are typically observed in more acidic or alkaline environments.</w:t>
      </w:r>
      <w:r w:rsidR="00637851" w:rsidRPr="00637851">
        <w:t xml:space="preserve"> </w:t>
      </w:r>
      <w:r w:rsidRPr="00637851">
        <w:t>The absence of triple phosphate crystals and negative urine culture excluded infection-related crystalluria in this case.</w:t>
      </w:r>
    </w:p>
    <w:p w14:paraId="5A63EE90" w14:textId="4CF4AA49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Comparison with Literature</w:t>
      </w:r>
    </w:p>
    <w:p w14:paraId="2EDB03C0" w14:textId="435AC08D" w:rsidR="000064AE" w:rsidRPr="000064AE" w:rsidRDefault="00DC35B9" w:rsidP="000064AE">
      <w:pPr>
        <w:jc w:val="both"/>
      </w:pPr>
      <w:r w:rsidRPr="000064AE">
        <w:t>Ammonium urate and ammonium bi-urate crystals are rare, but remain documented in specific populations and conditions.</w:t>
      </w:r>
      <w:r w:rsidR="000064AE" w:rsidRPr="000064AE">
        <w:t xml:space="preserve"> Klohn et al. (1986) described their occurrence with ammonium-rich urine, low phosphate intake, and dehydration in endemic regions</w:t>
      </w:r>
      <w:r w:rsidR="005C2CD8">
        <w:t xml:space="preserve"> </w:t>
      </w:r>
      <w:r w:rsidR="005879E1" w:rsidRPr="005879E1">
        <w:rPr>
          <w:vertAlign w:val="superscript"/>
        </w:rPr>
        <w:t>8</w:t>
      </w:r>
      <w:r w:rsidR="000064AE" w:rsidRPr="000064AE">
        <w:t>. Borden and Dean (1979</w:t>
      </w:r>
      <w:r w:rsidR="000064AE" w:rsidRPr="000064AE">
        <w:rPr>
          <w:b/>
          <w:bCs/>
        </w:rPr>
        <w:t>)</w:t>
      </w:r>
      <w:r w:rsidR="000064AE" w:rsidRPr="000064AE">
        <w:t xml:space="preserve"> reported </w:t>
      </w:r>
      <w:r w:rsidR="000064AE" w:rsidRPr="000064AE">
        <w:rPr>
          <w:i/>
          <w:iCs/>
        </w:rPr>
        <w:t>ammonium acid urate stones</w:t>
      </w:r>
      <w:r w:rsidR="000064AE" w:rsidRPr="000064AE">
        <w:t xml:space="preserve"> in Navajo children, highlighting pediatric susceptibility linked to environmental and dietary factors</w:t>
      </w:r>
      <w:r w:rsidR="00C159A1">
        <w:t xml:space="preserve"> </w:t>
      </w:r>
      <w:r w:rsidR="00C159A1" w:rsidRPr="00C159A1">
        <w:rPr>
          <w:vertAlign w:val="superscript"/>
        </w:rPr>
        <w:t>9</w:t>
      </w:r>
      <w:r w:rsidR="000064AE" w:rsidRPr="000064AE">
        <w:t>. Kamoun et al. (1999) found ammonium urate as the stone nucleus in 38–45% of Tunisian pediatric cases, confirming its regional prevalence</w:t>
      </w:r>
      <w:r w:rsidR="00C159A1">
        <w:t xml:space="preserve"> </w:t>
      </w:r>
      <w:r w:rsidR="00C159A1" w:rsidRPr="00C159A1">
        <w:rPr>
          <w:vertAlign w:val="superscript"/>
        </w:rPr>
        <w:t>10</w:t>
      </w:r>
      <w:r w:rsidR="000064AE" w:rsidRPr="000064AE">
        <w:t>. In contrast, Gabrielsen et al. (2012) showed</w:t>
      </w:r>
      <w:r>
        <w:t xml:space="preserve"> that</w:t>
      </w:r>
      <w:r w:rsidR="000064AE" w:rsidRPr="000064AE">
        <w:t xml:space="preserve"> these stones</w:t>
      </w:r>
      <w:r>
        <w:t xml:space="preserve"> are</w:t>
      </w:r>
      <w:r w:rsidR="000064AE" w:rsidRPr="000064AE">
        <w:t xml:space="preserve"> uncommon and decrea</w:t>
      </w:r>
      <w:r>
        <w:t>se</w:t>
      </w:r>
      <w:r w:rsidR="000064AE" w:rsidRPr="000064AE">
        <w:t xml:space="preserve"> with age in U.S. children</w:t>
      </w:r>
      <w:r w:rsidR="005C2CD8">
        <w:t xml:space="preserve"> </w:t>
      </w:r>
      <w:r w:rsidR="00C159A1" w:rsidRPr="00C159A1">
        <w:rPr>
          <w:vertAlign w:val="superscript"/>
        </w:rPr>
        <w:t>11</w:t>
      </w:r>
      <w:r w:rsidR="000064AE" w:rsidRPr="000064AE">
        <w:t>. Frochot and Daudon (2016) emphasized the prognostic value of crystalluria, noting that rare urate crystals may precede stone formation</w:t>
      </w:r>
      <w:r w:rsidR="005C2CD8">
        <w:t xml:space="preserve"> </w:t>
      </w:r>
      <w:r w:rsidR="00C159A1" w:rsidRPr="00C159A1">
        <w:rPr>
          <w:vertAlign w:val="superscript"/>
        </w:rPr>
        <w:t>12</w:t>
      </w:r>
      <w:r w:rsidR="000064AE" w:rsidRPr="000064AE">
        <w:t>.</w:t>
      </w:r>
    </w:p>
    <w:p w14:paraId="232BAA14" w14:textId="1C0B9686" w:rsidR="000064AE" w:rsidRPr="000064AE" w:rsidRDefault="003130BB" w:rsidP="000064AE">
      <w:pPr>
        <w:jc w:val="both"/>
      </w:pPr>
      <w:r w:rsidRPr="003130BB">
        <w:t>Our findings are consistent with previously reported observations</w:t>
      </w:r>
      <w:r w:rsidR="00192D9E" w:rsidRPr="000064AE">
        <w:t>, demonstrating transient ammonium bi-urate crystalluria during mild dehydration that resolved completely with hydration, highlighting the importance of adequate fluid intake in preventing lithogenic risk.</w:t>
      </w:r>
    </w:p>
    <w:p w14:paraId="1CB203E6" w14:textId="77777777" w:rsidR="000064AE" w:rsidRDefault="000064AE" w:rsidP="00863D7F"/>
    <w:p w14:paraId="5A4FC1A3" w14:textId="03CAF8A8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Limitations</w:t>
      </w:r>
    </w:p>
    <w:p w14:paraId="49914DCA" w14:textId="415E9BB7" w:rsidR="00863D7F" w:rsidRPr="00863D7F" w:rsidRDefault="00192D9E" w:rsidP="00034916">
      <w:pPr>
        <w:jc w:val="both"/>
      </w:pPr>
      <w:r w:rsidRPr="00532174">
        <w:t>This case report had certain limitations that should be acknowledged.</w:t>
      </w:r>
      <w:r w:rsidR="00532174" w:rsidRPr="00532174">
        <w:t xml:space="preserve"> </w:t>
      </w:r>
      <w:r w:rsidRPr="00532174">
        <w:t>As this was a single-case observation, the findings cannot be generalized to a broader pediatric population.</w:t>
      </w:r>
      <w:r w:rsidR="00532174" w:rsidRPr="00532174">
        <w:t xml:space="preserve"> </w:t>
      </w:r>
      <w:r w:rsidRPr="00532174">
        <w:t>Larger studies or multicenter case series are needed to better understand the prevalence, underlying metabolic factors, and clinical implications of ammonium bi-urate crystalluria in children, especially in the context of transient dehydration or febrile illnesses.</w:t>
      </w:r>
    </w:p>
    <w:p w14:paraId="666213B9" w14:textId="77777777" w:rsidR="00863D7F" w:rsidRPr="00863D7F" w:rsidRDefault="00863D7F" w:rsidP="00863D7F">
      <w:pPr>
        <w:rPr>
          <w:b/>
          <w:bCs/>
        </w:rPr>
      </w:pPr>
      <w:r w:rsidRPr="00863D7F">
        <w:rPr>
          <w:b/>
          <w:bCs/>
        </w:rPr>
        <w:t>Conclusion</w:t>
      </w:r>
    </w:p>
    <w:p w14:paraId="5B9B9C23" w14:textId="6D9D165F" w:rsidR="00863D7F" w:rsidRPr="00863D7F" w:rsidRDefault="00192D9E" w:rsidP="000064AE">
      <w:pPr>
        <w:jc w:val="both"/>
      </w:pPr>
      <w:r w:rsidRPr="00863D7F">
        <w:t>Ammonium bi-urate crystals, though rare in older children, may appear transiently during febrile or dehydrating illnesses.</w:t>
      </w:r>
      <w:r w:rsidR="00863D7F" w:rsidRPr="00863D7F">
        <w:t xml:space="preserve"> </w:t>
      </w:r>
      <w:r w:rsidRPr="00863D7F">
        <w:t xml:space="preserve">Recognition of their distinctive morphology should prompt evaluation of hydration, dietary habits, and urinary </w:t>
      </w:r>
      <w:proofErr w:type="spellStart"/>
      <w:r w:rsidRPr="00863D7F">
        <w:t>pH.</w:t>
      </w:r>
      <w:proofErr w:type="spellEnd"/>
      <w:r w:rsidR="00863D7F" w:rsidRPr="00863D7F">
        <w:t xml:space="preserve"> </w:t>
      </w:r>
      <w:r w:rsidRPr="00863D7F">
        <w:t>With timely conservative management, recurrence and progression to stone disease can be prevented.</w:t>
      </w:r>
      <w:r w:rsidR="00863D7F" w:rsidRPr="00863D7F">
        <w:t xml:space="preserve"> </w:t>
      </w:r>
      <w:r w:rsidRPr="00863D7F">
        <w:t>Awareness among clinicians and laboratory professionals ensures an appropriate evaluation</w:t>
      </w:r>
      <w:r>
        <w:t>.</w:t>
      </w:r>
    </w:p>
    <w:p w14:paraId="7BC1D52F" w14:textId="06034590" w:rsidR="00863D7F" w:rsidRPr="00863D7F" w:rsidRDefault="00863D7F" w:rsidP="00863D7F"/>
    <w:commentRangeStart w:id="2"/>
    <w:p w14:paraId="36969443" w14:textId="637FB5CF" w:rsidR="002B2973" w:rsidRPr="002B2973" w:rsidRDefault="001009C5" w:rsidP="002B2973">
      <w:pPr>
        <w:rPr>
          <w:color w:val="000000"/>
        </w:rPr>
      </w:pPr>
      <w:sdt>
        <w:sdtPr>
          <w:rPr>
            <w:color w:val="000000"/>
          </w:rPr>
          <w:tag w:val="TEMP_PARAGRAPH_MARKER"/>
          <w:id w:val="136308631"/>
          <w:placeholder>
            <w:docPart w:val="DefaultPlaceholder_-1854013440"/>
          </w:placeholder>
          <w15:appearance w15:val="hidden"/>
        </w:sdtPr>
        <w:sdtEndPr/>
        <w:sdtContent>
          <w:r w:rsidR="00931CB4">
            <w:rPr>
              <w:color w:val="000000"/>
            </w:rPr>
            <w:t>​</w:t>
          </w:r>
        </w:sdtContent>
      </w:sdt>
      <w:r w:rsidR="002B2973" w:rsidRPr="002B2973">
        <w:rPr>
          <w:b/>
          <w:bCs/>
        </w:rPr>
        <w:t>References</w:t>
      </w:r>
      <w:commentRangeEnd w:id="2"/>
      <w:r w:rsidR="00BE66D3">
        <w:rPr>
          <w:rStyle w:val="CommentReference"/>
        </w:rPr>
        <w:commentReference w:id="2"/>
      </w:r>
    </w:p>
    <w:p w14:paraId="49C2B045" w14:textId="093ACCF3" w:rsidR="002B2973" w:rsidRPr="002B2973" w:rsidRDefault="002B2973" w:rsidP="002B2973">
      <w:pPr>
        <w:numPr>
          <w:ilvl w:val="0"/>
          <w:numId w:val="27"/>
        </w:numPr>
      </w:pPr>
      <w:r w:rsidRPr="002B2973">
        <w:lastRenderedPageBreak/>
        <w:t xml:space="preserve">Baumann JM, Affolter B. From crystalluria to kidney stones: some physicochemical aspects </w:t>
      </w:r>
      <w:bookmarkStart w:id="3" w:name="_GoBack"/>
      <w:bookmarkEnd w:id="3"/>
      <w:r w:rsidRPr="002B2973">
        <w:t xml:space="preserve">of calcium nephrolithiasis. </w:t>
      </w:r>
      <w:r w:rsidRPr="002B2973">
        <w:rPr>
          <w:i/>
          <w:iCs/>
        </w:rPr>
        <w:t>World J Nephrol</w:t>
      </w:r>
      <w:r w:rsidRPr="002B2973">
        <w:t>. 2014;3(4):256–67. Available from: https://pmc.ncbi.nlm.nih.gov/articles/PMC4220359/</w:t>
      </w:r>
    </w:p>
    <w:p w14:paraId="4CF1306A" w14:textId="252ECF18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Letavernier</w:t>
      </w:r>
      <w:proofErr w:type="spellEnd"/>
      <w:r w:rsidRPr="002B2973">
        <w:t xml:space="preserve"> E, </w:t>
      </w:r>
      <w:proofErr w:type="spellStart"/>
      <w:r w:rsidRPr="002B2973">
        <w:t>Bazin</w:t>
      </w:r>
      <w:proofErr w:type="spellEnd"/>
      <w:r w:rsidRPr="002B2973">
        <w:t xml:space="preserve"> D, Daudon M. Description of stone morphology and crystalluria improve diagnosis and care of kidney stone formers. </w:t>
      </w:r>
      <w:r w:rsidRPr="002B2973">
        <w:rPr>
          <w:i/>
          <w:iCs/>
        </w:rPr>
        <w:t>Healthcare (Basel)</w:t>
      </w:r>
      <w:r w:rsidRPr="002B2973">
        <w:t>. 2022 Dec 20;11(1):2. Available from: https://www.mdpi.com/2227-9032/11/1/2</w:t>
      </w:r>
    </w:p>
    <w:p w14:paraId="5BDB3B2E" w14:textId="0ECF9C56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Akın Y, Uçar M, Yücel S. Current medical treatment in pediatric urolithiasis. </w:t>
      </w:r>
      <w:r w:rsidRPr="002B2973">
        <w:rPr>
          <w:i/>
          <w:iCs/>
        </w:rPr>
        <w:t>Turk J Urol</w:t>
      </w:r>
      <w:r w:rsidRPr="002B2973">
        <w:t>. 2014. Available from: https://www.turkishjournalofurology.com</w:t>
      </w:r>
    </w:p>
    <w:p w14:paraId="047A4A67" w14:textId="0C9A4ADD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Tasian</w:t>
      </w:r>
      <w:proofErr w:type="spellEnd"/>
      <w:r w:rsidRPr="002B2973">
        <w:t xml:space="preserve"> GE, </w:t>
      </w:r>
      <w:proofErr w:type="spellStart"/>
      <w:r w:rsidRPr="002B2973">
        <w:t>Kabarriti</w:t>
      </w:r>
      <w:proofErr w:type="spellEnd"/>
      <w:r w:rsidRPr="002B2973">
        <w:t xml:space="preserve"> AE, </w:t>
      </w:r>
      <w:proofErr w:type="spellStart"/>
      <w:r w:rsidRPr="002B2973">
        <w:t>Kalmus</w:t>
      </w:r>
      <w:proofErr w:type="spellEnd"/>
      <w:r w:rsidRPr="002B2973">
        <w:t xml:space="preserve"> A, Furth SL. Kidney stone recurrence among children and adolescents. </w:t>
      </w:r>
      <w:r w:rsidRPr="002B2973">
        <w:rPr>
          <w:i/>
          <w:iCs/>
        </w:rPr>
        <w:t>J Urol</w:t>
      </w:r>
      <w:r w:rsidRPr="002B2973">
        <w:t>. 2016;197(1):246–52. Available from: https://pmc.ncbi.nlm.nih.gov/articles/PMC5161588/</w:t>
      </w:r>
    </w:p>
    <w:p w14:paraId="6284FA1A" w14:textId="49A6E804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Pecoraro</w:t>
      </w:r>
      <w:proofErr w:type="spellEnd"/>
      <w:r w:rsidRPr="002B2973">
        <w:t xml:space="preserve"> L, </w:t>
      </w:r>
      <w:proofErr w:type="spellStart"/>
      <w:r w:rsidRPr="002B2973">
        <w:t>Zuccato</w:t>
      </w:r>
      <w:proofErr w:type="spellEnd"/>
      <w:r w:rsidRPr="002B2973">
        <w:t xml:space="preserve"> A, </w:t>
      </w:r>
      <w:proofErr w:type="spellStart"/>
      <w:r w:rsidRPr="002B2973">
        <w:t>Vitella</w:t>
      </w:r>
      <w:proofErr w:type="spellEnd"/>
      <w:r w:rsidRPr="002B2973">
        <w:t xml:space="preserve"> R, </w:t>
      </w:r>
      <w:proofErr w:type="spellStart"/>
      <w:r w:rsidRPr="002B2973">
        <w:t>Pietrobelli</w:t>
      </w:r>
      <w:proofErr w:type="spellEnd"/>
      <w:r w:rsidRPr="002B2973">
        <w:t xml:space="preserve"> A, </w:t>
      </w:r>
      <w:proofErr w:type="spellStart"/>
      <w:r w:rsidRPr="002B2973">
        <w:t>Piacentini</w:t>
      </w:r>
      <w:proofErr w:type="spellEnd"/>
      <w:r w:rsidRPr="002B2973">
        <w:t xml:space="preserve"> G, Brugnara M. Pediatric nephrolithiasis: a changing landscape through time and space. </w:t>
      </w:r>
      <w:r w:rsidRPr="002B2973">
        <w:rPr>
          <w:i/>
          <w:iCs/>
        </w:rPr>
        <w:t>Medicina (Kaunas)</w:t>
      </w:r>
      <w:r w:rsidRPr="002B2973">
        <w:t>. 2024 Dec 2;60(12):1993. Available from: https://www.mdpi.com/1648-9144/60/12/1993</w:t>
      </w:r>
    </w:p>
    <w:p w14:paraId="227BA97D" w14:textId="11899321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Bowyer R, </w:t>
      </w:r>
      <w:proofErr w:type="spellStart"/>
      <w:r w:rsidRPr="002B2973">
        <w:t>Brockis</w:t>
      </w:r>
      <w:proofErr w:type="spellEnd"/>
      <w:r w:rsidRPr="002B2973">
        <w:t xml:space="preserve"> JG. Biochemical aspects of the investigation of ammonium urate bladder stone formation in Indonesian children. </w:t>
      </w:r>
      <w:r w:rsidRPr="002B2973">
        <w:rPr>
          <w:i/>
          <w:iCs/>
        </w:rPr>
        <w:t>Pathology</w:t>
      </w:r>
      <w:r w:rsidRPr="002B2973">
        <w:t>. 1977;9(1):79–86. Available from: https://www.sciencedirect.com/science/article/abs/pii/S0031302516386962</w:t>
      </w:r>
    </w:p>
    <w:p w14:paraId="7D21E56A" w14:textId="160C1AD0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Soble JJ, Hamilton BD, </w:t>
      </w:r>
      <w:proofErr w:type="spellStart"/>
      <w:r w:rsidRPr="002B2973">
        <w:t>Streem</w:t>
      </w:r>
      <w:proofErr w:type="spellEnd"/>
      <w:r w:rsidRPr="002B2973">
        <w:t xml:space="preserve"> SB. Ammonium acid urate calculi: a reevaluation of risk factors. </w:t>
      </w:r>
      <w:r w:rsidRPr="002B2973">
        <w:rPr>
          <w:i/>
          <w:iCs/>
        </w:rPr>
        <w:t>J Urol</w:t>
      </w:r>
      <w:r w:rsidRPr="002B2973">
        <w:t>. 1999;161(3):869–73. Available from: https://pubmed.ncbi.nlm.nih.gov/10022703/</w:t>
      </w:r>
    </w:p>
    <w:p w14:paraId="186B1EE1" w14:textId="77777777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Klohn</w:t>
      </w:r>
      <w:proofErr w:type="spellEnd"/>
      <w:r w:rsidRPr="002B2973">
        <w:t xml:space="preserve"> M, </w:t>
      </w:r>
      <w:proofErr w:type="spellStart"/>
      <w:r w:rsidRPr="002B2973">
        <w:t>Bolle</w:t>
      </w:r>
      <w:proofErr w:type="spellEnd"/>
      <w:r w:rsidRPr="002B2973">
        <w:t xml:space="preserve"> JF, </w:t>
      </w:r>
      <w:proofErr w:type="spellStart"/>
      <w:r w:rsidRPr="002B2973">
        <w:t>Reverdin</w:t>
      </w:r>
      <w:proofErr w:type="spellEnd"/>
      <w:r w:rsidRPr="002B2973">
        <w:t xml:space="preserve"> NP, </w:t>
      </w:r>
      <w:proofErr w:type="spellStart"/>
      <w:r w:rsidRPr="002B2973">
        <w:t>Susini</w:t>
      </w:r>
      <w:proofErr w:type="spellEnd"/>
      <w:r w:rsidRPr="002B2973">
        <w:t xml:space="preserve"> A, Baud CA, Graber P. Ammonium urate urinary stones. </w:t>
      </w:r>
      <w:proofErr w:type="spellStart"/>
      <w:r w:rsidRPr="002B2973">
        <w:rPr>
          <w:i/>
          <w:iCs/>
        </w:rPr>
        <w:t>Urol</w:t>
      </w:r>
      <w:proofErr w:type="spellEnd"/>
      <w:r w:rsidRPr="002B2973">
        <w:rPr>
          <w:i/>
          <w:iCs/>
        </w:rPr>
        <w:t xml:space="preserve"> Res</w:t>
      </w:r>
      <w:r w:rsidRPr="002B2973">
        <w:t>. 1986 Dec;14(6):315–8.</w:t>
      </w:r>
    </w:p>
    <w:p w14:paraId="608C4B85" w14:textId="25BE90C9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Borden TA, Dean WM. Ammonium acid urate stones in Navajo Indian children. </w:t>
      </w:r>
      <w:r w:rsidRPr="002B2973">
        <w:rPr>
          <w:i/>
          <w:iCs/>
        </w:rPr>
        <w:t>Urology</w:t>
      </w:r>
      <w:r w:rsidRPr="002B2973">
        <w:t>. 1979;14(1):9–12. Available from: https://pubmed.ncbi.nlm.nih.gov/452233/</w:t>
      </w:r>
    </w:p>
    <w:p w14:paraId="013A067C" w14:textId="18CBE82C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Kamoun</w:t>
      </w:r>
      <w:proofErr w:type="spellEnd"/>
      <w:r w:rsidRPr="002B2973">
        <w:t xml:space="preserve"> A, </w:t>
      </w:r>
      <w:proofErr w:type="spellStart"/>
      <w:r w:rsidRPr="002B2973">
        <w:t>Daudon</w:t>
      </w:r>
      <w:proofErr w:type="spellEnd"/>
      <w:r w:rsidRPr="002B2973">
        <w:t xml:space="preserve"> M, </w:t>
      </w:r>
      <w:proofErr w:type="spellStart"/>
      <w:r w:rsidRPr="002B2973">
        <w:t>Abdelmoula</w:t>
      </w:r>
      <w:proofErr w:type="spellEnd"/>
      <w:r w:rsidRPr="002B2973">
        <w:t xml:space="preserve"> J, </w:t>
      </w:r>
      <w:proofErr w:type="spellStart"/>
      <w:r w:rsidRPr="002B2973">
        <w:t>Hamzaoui</w:t>
      </w:r>
      <w:proofErr w:type="spellEnd"/>
      <w:r w:rsidRPr="002B2973">
        <w:t xml:space="preserve"> M, </w:t>
      </w:r>
      <w:proofErr w:type="spellStart"/>
      <w:r w:rsidRPr="002B2973">
        <w:t>Chaouachi</w:t>
      </w:r>
      <w:proofErr w:type="spellEnd"/>
      <w:r w:rsidRPr="002B2973">
        <w:t xml:space="preserve"> B, </w:t>
      </w:r>
      <w:proofErr w:type="spellStart"/>
      <w:r w:rsidRPr="002B2973">
        <w:t>Houissa</w:t>
      </w:r>
      <w:proofErr w:type="spellEnd"/>
      <w:r w:rsidRPr="002B2973">
        <w:t xml:space="preserve"> T, et al. Urolithiasis in Tunisian children: a study of 120 cases based on stone composition. </w:t>
      </w:r>
      <w:proofErr w:type="spellStart"/>
      <w:r w:rsidRPr="002B2973">
        <w:rPr>
          <w:i/>
          <w:iCs/>
        </w:rPr>
        <w:t>Pediatr</w:t>
      </w:r>
      <w:proofErr w:type="spellEnd"/>
      <w:r w:rsidRPr="002B2973">
        <w:rPr>
          <w:i/>
          <w:iCs/>
        </w:rPr>
        <w:t xml:space="preserve"> </w:t>
      </w:r>
      <w:proofErr w:type="spellStart"/>
      <w:r w:rsidRPr="002B2973">
        <w:rPr>
          <w:i/>
          <w:iCs/>
        </w:rPr>
        <w:t>Nephrol</w:t>
      </w:r>
      <w:proofErr w:type="spellEnd"/>
      <w:r w:rsidRPr="002B2973">
        <w:t>. 1999;13(9):920–5. Available from: https://pubmed.ncbi.nlm.nih.gov/10603149/</w:t>
      </w:r>
    </w:p>
    <w:p w14:paraId="2A177C5E" w14:textId="6A7B5254" w:rsidR="002B2973" w:rsidRPr="002B2973" w:rsidRDefault="002B2973" w:rsidP="002B2973">
      <w:pPr>
        <w:numPr>
          <w:ilvl w:val="0"/>
          <w:numId w:val="27"/>
        </w:numPr>
      </w:pPr>
      <w:proofErr w:type="spellStart"/>
      <w:r w:rsidRPr="002B2973">
        <w:t>Gabrielsen</w:t>
      </w:r>
      <w:proofErr w:type="spellEnd"/>
      <w:r w:rsidRPr="002B2973">
        <w:t xml:space="preserve"> JS, </w:t>
      </w:r>
      <w:proofErr w:type="spellStart"/>
      <w:r w:rsidRPr="002B2973">
        <w:t>Laciak</w:t>
      </w:r>
      <w:proofErr w:type="spellEnd"/>
      <w:r w:rsidRPr="002B2973">
        <w:t xml:space="preserve"> RJ, Frank EL, McFadden M, Bates CS, </w:t>
      </w:r>
      <w:proofErr w:type="spellStart"/>
      <w:r w:rsidRPr="002B2973">
        <w:t>Oottamasathien</w:t>
      </w:r>
      <w:proofErr w:type="spellEnd"/>
      <w:r w:rsidRPr="002B2973">
        <w:t xml:space="preserve"> S, et al. Pediatric urinary stone composition in the United States. </w:t>
      </w:r>
      <w:r w:rsidRPr="002B2973">
        <w:rPr>
          <w:i/>
          <w:iCs/>
        </w:rPr>
        <w:t>J Urol</w:t>
      </w:r>
      <w:r w:rsidRPr="002B2973">
        <w:t>. 2012 Jun;187(6):2182–7. Available from: https://pubmed.ncbi.nlm.nih.gov/22503021/</w:t>
      </w:r>
    </w:p>
    <w:p w14:paraId="620AFA43" w14:textId="0814BDDC" w:rsidR="002B2973" w:rsidRPr="002B2973" w:rsidRDefault="002B2973" w:rsidP="002B2973">
      <w:pPr>
        <w:numPr>
          <w:ilvl w:val="0"/>
          <w:numId w:val="27"/>
        </w:numPr>
      </w:pPr>
      <w:r w:rsidRPr="002B2973">
        <w:t xml:space="preserve">Frochot V, Daudon M. Clinical value of crystalluria and quantitative </w:t>
      </w:r>
      <w:r w:rsidR="00C159A1" w:rsidRPr="002B2973">
        <w:t>morpho constitutional</w:t>
      </w:r>
      <w:r w:rsidRPr="002B2973">
        <w:t xml:space="preserve"> analysis of urinary calculi. </w:t>
      </w:r>
      <w:r w:rsidRPr="002B2973">
        <w:rPr>
          <w:i/>
          <w:iCs/>
        </w:rPr>
        <w:t>Int J Surg</w:t>
      </w:r>
      <w:r w:rsidRPr="002B2973">
        <w:t>. 2016 Dec 1;36(Pt D):624–32. Available from: https://www.sciencedirect.com/science/article/pii/S1743919116310329</w:t>
      </w:r>
    </w:p>
    <w:p w14:paraId="431EDD88" w14:textId="77777777" w:rsidR="006923CD" w:rsidRPr="00863D7F" w:rsidRDefault="006923CD" w:rsidP="00863D7F"/>
    <w:sectPr w:rsidR="006923CD" w:rsidRPr="00863D7F" w:rsidSect="002B29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1260" w:bottom="36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P" w:date="2025-10-30T21:46:00Z" w:initials="H">
    <w:p w14:paraId="5DFBB252" w14:textId="29D61BC2" w:rsidR="00645745" w:rsidRDefault="00645745">
      <w:pPr>
        <w:pStyle w:val="CommentText"/>
      </w:pPr>
      <w:r>
        <w:rPr>
          <w:rStyle w:val="CommentReference"/>
        </w:rPr>
        <w:annotationRef/>
      </w:r>
      <w:r>
        <w:t>Reference please.</w:t>
      </w:r>
    </w:p>
  </w:comment>
  <w:comment w:id="1" w:author="HP" w:date="2025-10-30T21:46:00Z" w:initials="H">
    <w:p w14:paraId="110617A6" w14:textId="2B1D10DB" w:rsidR="00D84B0A" w:rsidRDefault="00D84B0A">
      <w:pPr>
        <w:pStyle w:val="CommentText"/>
      </w:pPr>
      <w:r>
        <w:rPr>
          <w:rStyle w:val="CommentReference"/>
        </w:rPr>
        <w:annotationRef/>
      </w:r>
      <w:r>
        <w:t xml:space="preserve">Are references 6 and 7 for all the 3 sentences? As all 3 sentences need reference. </w:t>
      </w:r>
      <w:proofErr w:type="spellStart"/>
      <w:r>
        <w:t>Plz</w:t>
      </w:r>
      <w:proofErr w:type="spellEnd"/>
      <w:r>
        <w:t xml:space="preserve"> give reference for all the 3 statements</w:t>
      </w:r>
    </w:p>
  </w:comment>
  <w:comment w:id="2" w:author="HP" w:date="2025-10-30T22:06:00Z" w:initials="H">
    <w:p w14:paraId="4F4E8FDB" w14:textId="61097546" w:rsidR="00BE66D3" w:rsidRDefault="00BE66D3">
      <w:pPr>
        <w:pStyle w:val="CommentText"/>
      </w:pPr>
      <w:r>
        <w:rPr>
          <w:rStyle w:val="CommentReference"/>
        </w:rPr>
        <w:annotationRef/>
      </w:r>
      <w:r>
        <w:t>Only 2 references are within 5 years bracket. Rest of the refe</w:t>
      </w:r>
      <w:r w:rsidR="006818A5">
        <w:t xml:space="preserve">rences are old and some are very old. The historic references 1 or 2 are acceptable, rest of the references should be within 5 years period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FBB252" w15:done="0"/>
  <w15:commentEx w15:paraId="110617A6" w15:done="0"/>
  <w15:commentEx w15:paraId="4F4E8FD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F460B" w14:textId="77777777" w:rsidR="001009C5" w:rsidRDefault="001009C5" w:rsidP="00E25888">
      <w:pPr>
        <w:spacing w:after="0" w:line="240" w:lineRule="auto"/>
      </w:pPr>
      <w:r>
        <w:separator/>
      </w:r>
    </w:p>
  </w:endnote>
  <w:endnote w:type="continuationSeparator" w:id="0">
    <w:p w14:paraId="7144C86A" w14:textId="77777777" w:rsidR="001009C5" w:rsidRDefault="001009C5" w:rsidP="00E2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9BEAA" w14:textId="77777777" w:rsidR="00E25888" w:rsidRDefault="00E258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29F2D" w14:textId="77777777" w:rsidR="00E25888" w:rsidRDefault="00E258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BD45" w14:textId="77777777" w:rsidR="00E25888" w:rsidRDefault="00E258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DE6DF" w14:textId="77777777" w:rsidR="001009C5" w:rsidRDefault="001009C5" w:rsidP="00E25888">
      <w:pPr>
        <w:spacing w:after="0" w:line="240" w:lineRule="auto"/>
      </w:pPr>
      <w:r>
        <w:separator/>
      </w:r>
    </w:p>
  </w:footnote>
  <w:footnote w:type="continuationSeparator" w:id="0">
    <w:p w14:paraId="21EC4526" w14:textId="77777777" w:rsidR="001009C5" w:rsidRDefault="001009C5" w:rsidP="00E2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B594" w14:textId="661489FE" w:rsidR="00E25888" w:rsidRDefault="001009C5">
    <w:pPr>
      <w:pStyle w:val="Header"/>
    </w:pPr>
    <w:r>
      <w:rPr>
        <w:noProof/>
      </w:rPr>
      <w:pict w14:anchorId="7BDCF0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096204" o:spid="_x0000_s2050" type="#_x0000_t136" style="position:absolute;margin-left:0;margin-top:0;width:565.75pt;height:106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E8869" w14:textId="7854E52D" w:rsidR="00E25888" w:rsidRDefault="001009C5">
    <w:pPr>
      <w:pStyle w:val="Header"/>
    </w:pPr>
    <w:r>
      <w:rPr>
        <w:noProof/>
      </w:rPr>
      <w:pict w14:anchorId="7F68F3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096205" o:spid="_x0000_s2051" type="#_x0000_t136" style="position:absolute;margin-left:0;margin-top:0;width:565.75pt;height:106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94A5" w14:textId="3113CE0E" w:rsidR="00E25888" w:rsidRDefault="001009C5">
    <w:pPr>
      <w:pStyle w:val="Header"/>
    </w:pPr>
    <w:r>
      <w:rPr>
        <w:noProof/>
      </w:rPr>
      <w:pict w14:anchorId="6FFF52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096203" o:spid="_x0000_s2049" type="#_x0000_t136" style="position:absolute;margin-left:0;margin-top:0;width:565.75pt;height:106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CA3"/>
    <w:multiLevelType w:val="hybridMultilevel"/>
    <w:tmpl w:val="3C14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078B"/>
    <w:multiLevelType w:val="multilevel"/>
    <w:tmpl w:val="4592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0709E"/>
    <w:multiLevelType w:val="multilevel"/>
    <w:tmpl w:val="43E8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17FF2"/>
    <w:multiLevelType w:val="hybridMultilevel"/>
    <w:tmpl w:val="AF98D36A"/>
    <w:lvl w:ilvl="0" w:tplc="C98EE40E">
      <w:start w:val="1"/>
      <w:numFmt w:val="decimal"/>
      <w:lvlText w:val="%1."/>
      <w:lvlJc w:val="left"/>
      <w:pPr>
        <w:ind w:left="-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0" w:hanging="360"/>
      </w:pPr>
    </w:lvl>
    <w:lvl w:ilvl="2" w:tplc="0409001B" w:tentative="1">
      <w:start w:val="1"/>
      <w:numFmt w:val="lowerRoman"/>
      <w:lvlText w:val="%3."/>
      <w:lvlJc w:val="right"/>
      <w:pPr>
        <w:ind w:left="1160" w:hanging="180"/>
      </w:pPr>
    </w:lvl>
    <w:lvl w:ilvl="3" w:tplc="0409000F" w:tentative="1">
      <w:start w:val="1"/>
      <w:numFmt w:val="decimal"/>
      <w:lvlText w:val="%4."/>
      <w:lvlJc w:val="left"/>
      <w:pPr>
        <w:ind w:left="1880" w:hanging="360"/>
      </w:pPr>
    </w:lvl>
    <w:lvl w:ilvl="4" w:tplc="04090019" w:tentative="1">
      <w:start w:val="1"/>
      <w:numFmt w:val="lowerLetter"/>
      <w:lvlText w:val="%5."/>
      <w:lvlJc w:val="left"/>
      <w:pPr>
        <w:ind w:left="2600" w:hanging="360"/>
      </w:pPr>
    </w:lvl>
    <w:lvl w:ilvl="5" w:tplc="0409001B" w:tentative="1">
      <w:start w:val="1"/>
      <w:numFmt w:val="lowerRoman"/>
      <w:lvlText w:val="%6."/>
      <w:lvlJc w:val="right"/>
      <w:pPr>
        <w:ind w:left="3320" w:hanging="180"/>
      </w:pPr>
    </w:lvl>
    <w:lvl w:ilvl="6" w:tplc="0409000F" w:tentative="1">
      <w:start w:val="1"/>
      <w:numFmt w:val="decimal"/>
      <w:lvlText w:val="%7."/>
      <w:lvlJc w:val="left"/>
      <w:pPr>
        <w:ind w:left="4040" w:hanging="360"/>
      </w:pPr>
    </w:lvl>
    <w:lvl w:ilvl="7" w:tplc="04090019" w:tentative="1">
      <w:start w:val="1"/>
      <w:numFmt w:val="lowerLetter"/>
      <w:lvlText w:val="%8."/>
      <w:lvlJc w:val="left"/>
      <w:pPr>
        <w:ind w:left="4760" w:hanging="360"/>
      </w:pPr>
    </w:lvl>
    <w:lvl w:ilvl="8" w:tplc="0409001B" w:tentative="1">
      <w:start w:val="1"/>
      <w:numFmt w:val="lowerRoman"/>
      <w:lvlText w:val="%9."/>
      <w:lvlJc w:val="right"/>
      <w:pPr>
        <w:ind w:left="5480" w:hanging="180"/>
      </w:pPr>
    </w:lvl>
  </w:abstractNum>
  <w:abstractNum w:abstractNumId="4">
    <w:nsid w:val="0A7F4FF0"/>
    <w:multiLevelType w:val="multilevel"/>
    <w:tmpl w:val="E12E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6D789B"/>
    <w:multiLevelType w:val="multilevel"/>
    <w:tmpl w:val="3C90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F53F6F"/>
    <w:multiLevelType w:val="multilevel"/>
    <w:tmpl w:val="7696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44AA8"/>
    <w:multiLevelType w:val="multilevel"/>
    <w:tmpl w:val="8536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D2862"/>
    <w:multiLevelType w:val="multilevel"/>
    <w:tmpl w:val="089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B23753"/>
    <w:multiLevelType w:val="multilevel"/>
    <w:tmpl w:val="327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5A70B0"/>
    <w:multiLevelType w:val="multilevel"/>
    <w:tmpl w:val="D6C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F774F"/>
    <w:multiLevelType w:val="multilevel"/>
    <w:tmpl w:val="C90A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45568"/>
    <w:multiLevelType w:val="multilevel"/>
    <w:tmpl w:val="7FEA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136B35"/>
    <w:multiLevelType w:val="multilevel"/>
    <w:tmpl w:val="1A4C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9C3E07"/>
    <w:multiLevelType w:val="multilevel"/>
    <w:tmpl w:val="C5DE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1E6D20"/>
    <w:multiLevelType w:val="multilevel"/>
    <w:tmpl w:val="8A1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B44B6D"/>
    <w:multiLevelType w:val="hybridMultilevel"/>
    <w:tmpl w:val="B1AED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E1A42"/>
    <w:multiLevelType w:val="multilevel"/>
    <w:tmpl w:val="3B0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6A0219"/>
    <w:multiLevelType w:val="multilevel"/>
    <w:tmpl w:val="4A2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B04970"/>
    <w:multiLevelType w:val="multilevel"/>
    <w:tmpl w:val="400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3C6416"/>
    <w:multiLevelType w:val="multilevel"/>
    <w:tmpl w:val="BF1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284409"/>
    <w:multiLevelType w:val="hybridMultilevel"/>
    <w:tmpl w:val="869EE5FE"/>
    <w:lvl w:ilvl="0" w:tplc="0409000F">
      <w:start w:val="1"/>
      <w:numFmt w:val="decimal"/>
      <w:lvlText w:val="%1."/>
      <w:lvlJc w:val="left"/>
      <w:pPr>
        <w:ind w:left="240" w:hanging="360"/>
      </w:p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2">
    <w:nsid w:val="77B41262"/>
    <w:multiLevelType w:val="hybridMultilevel"/>
    <w:tmpl w:val="F5CAC8BA"/>
    <w:lvl w:ilvl="0" w:tplc="EF5C3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F51F4"/>
    <w:multiLevelType w:val="multilevel"/>
    <w:tmpl w:val="AAFC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37301"/>
    <w:multiLevelType w:val="multilevel"/>
    <w:tmpl w:val="6FD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E31E9B"/>
    <w:multiLevelType w:val="multilevel"/>
    <w:tmpl w:val="C092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1D280D"/>
    <w:multiLevelType w:val="multilevel"/>
    <w:tmpl w:val="6CCA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5"/>
  </w:num>
  <w:num w:numId="3">
    <w:abstractNumId w:val="15"/>
  </w:num>
  <w:num w:numId="4">
    <w:abstractNumId w:val="23"/>
  </w:num>
  <w:num w:numId="5">
    <w:abstractNumId w:val="4"/>
  </w:num>
  <w:num w:numId="6">
    <w:abstractNumId w:val="26"/>
  </w:num>
  <w:num w:numId="7">
    <w:abstractNumId w:val="18"/>
  </w:num>
  <w:num w:numId="8">
    <w:abstractNumId w:val="11"/>
  </w:num>
  <w:num w:numId="9">
    <w:abstractNumId w:val="10"/>
  </w:num>
  <w:num w:numId="10">
    <w:abstractNumId w:val="19"/>
  </w:num>
  <w:num w:numId="11">
    <w:abstractNumId w:val="9"/>
  </w:num>
  <w:num w:numId="12">
    <w:abstractNumId w:val="13"/>
  </w:num>
  <w:num w:numId="13">
    <w:abstractNumId w:val="14"/>
  </w:num>
  <w:num w:numId="14">
    <w:abstractNumId w:val="6"/>
  </w:num>
  <w:num w:numId="15">
    <w:abstractNumId w:val="24"/>
  </w:num>
  <w:num w:numId="16">
    <w:abstractNumId w:val="7"/>
  </w:num>
  <w:num w:numId="17">
    <w:abstractNumId w:val="20"/>
  </w:num>
  <w:num w:numId="18">
    <w:abstractNumId w:val="8"/>
  </w:num>
  <w:num w:numId="19">
    <w:abstractNumId w:val="12"/>
  </w:num>
  <w:num w:numId="20">
    <w:abstractNumId w:val="17"/>
  </w:num>
  <w:num w:numId="21">
    <w:abstractNumId w:val="1"/>
  </w:num>
  <w:num w:numId="22">
    <w:abstractNumId w:val="0"/>
  </w:num>
  <w:num w:numId="23">
    <w:abstractNumId w:val="22"/>
  </w:num>
  <w:num w:numId="24">
    <w:abstractNumId w:val="21"/>
  </w:num>
  <w:num w:numId="25">
    <w:abstractNumId w:val="16"/>
  </w:num>
  <w:num w:numId="26">
    <w:abstractNumId w:val="3"/>
  </w:num>
  <w:num w:numId="2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47"/>
    <w:rsid w:val="000064AE"/>
    <w:rsid w:val="00034916"/>
    <w:rsid w:val="00050033"/>
    <w:rsid w:val="00060C7C"/>
    <w:rsid w:val="00066F67"/>
    <w:rsid w:val="00082FEB"/>
    <w:rsid w:val="00083CD5"/>
    <w:rsid w:val="00086447"/>
    <w:rsid w:val="00090E39"/>
    <w:rsid w:val="00096CF2"/>
    <w:rsid w:val="001009C5"/>
    <w:rsid w:val="00192D9E"/>
    <w:rsid w:val="001A781F"/>
    <w:rsid w:val="001F6F46"/>
    <w:rsid w:val="00217766"/>
    <w:rsid w:val="002476C4"/>
    <w:rsid w:val="00250262"/>
    <w:rsid w:val="00264CE2"/>
    <w:rsid w:val="002B2973"/>
    <w:rsid w:val="003130BB"/>
    <w:rsid w:val="00330E44"/>
    <w:rsid w:val="003443EF"/>
    <w:rsid w:val="00384B91"/>
    <w:rsid w:val="00392D17"/>
    <w:rsid w:val="003D5854"/>
    <w:rsid w:val="00411182"/>
    <w:rsid w:val="00444B3B"/>
    <w:rsid w:val="004C3FAF"/>
    <w:rsid w:val="004C465B"/>
    <w:rsid w:val="00530303"/>
    <w:rsid w:val="00532174"/>
    <w:rsid w:val="00541B26"/>
    <w:rsid w:val="00544B81"/>
    <w:rsid w:val="00554C30"/>
    <w:rsid w:val="00577A5B"/>
    <w:rsid w:val="005879E1"/>
    <w:rsid w:val="005C2CD8"/>
    <w:rsid w:val="005F023C"/>
    <w:rsid w:val="005F6B08"/>
    <w:rsid w:val="00616E1D"/>
    <w:rsid w:val="00633913"/>
    <w:rsid w:val="00637851"/>
    <w:rsid w:val="00645745"/>
    <w:rsid w:val="00663200"/>
    <w:rsid w:val="006818A5"/>
    <w:rsid w:val="006923CD"/>
    <w:rsid w:val="00697CDA"/>
    <w:rsid w:val="00732FEB"/>
    <w:rsid w:val="00755370"/>
    <w:rsid w:val="00771DA6"/>
    <w:rsid w:val="00791482"/>
    <w:rsid w:val="007C2EE0"/>
    <w:rsid w:val="007D70DE"/>
    <w:rsid w:val="00863D7F"/>
    <w:rsid w:val="00873A23"/>
    <w:rsid w:val="00894341"/>
    <w:rsid w:val="008E1D25"/>
    <w:rsid w:val="009170B3"/>
    <w:rsid w:val="0092436C"/>
    <w:rsid w:val="00931CB4"/>
    <w:rsid w:val="00937567"/>
    <w:rsid w:val="009477DC"/>
    <w:rsid w:val="0097387F"/>
    <w:rsid w:val="009748CC"/>
    <w:rsid w:val="00981ED4"/>
    <w:rsid w:val="009D67A9"/>
    <w:rsid w:val="009E4A1B"/>
    <w:rsid w:val="009F18E4"/>
    <w:rsid w:val="009F41BD"/>
    <w:rsid w:val="00A24941"/>
    <w:rsid w:val="00A31E86"/>
    <w:rsid w:val="00AB0B04"/>
    <w:rsid w:val="00AC34BF"/>
    <w:rsid w:val="00AC4E5B"/>
    <w:rsid w:val="00B12D95"/>
    <w:rsid w:val="00B206EC"/>
    <w:rsid w:val="00B625BD"/>
    <w:rsid w:val="00B90FE3"/>
    <w:rsid w:val="00BB1BA5"/>
    <w:rsid w:val="00BB79A8"/>
    <w:rsid w:val="00BC4CF4"/>
    <w:rsid w:val="00BD722E"/>
    <w:rsid w:val="00BD7C09"/>
    <w:rsid w:val="00BE66D3"/>
    <w:rsid w:val="00BF76AE"/>
    <w:rsid w:val="00C159A1"/>
    <w:rsid w:val="00C50CBF"/>
    <w:rsid w:val="00C96E7A"/>
    <w:rsid w:val="00CD39E3"/>
    <w:rsid w:val="00CF1090"/>
    <w:rsid w:val="00CF7C43"/>
    <w:rsid w:val="00D84B0A"/>
    <w:rsid w:val="00DB2DCC"/>
    <w:rsid w:val="00DC35B9"/>
    <w:rsid w:val="00DD11D4"/>
    <w:rsid w:val="00E133B8"/>
    <w:rsid w:val="00E25888"/>
    <w:rsid w:val="00E5425F"/>
    <w:rsid w:val="00E93F5C"/>
    <w:rsid w:val="00EB4403"/>
    <w:rsid w:val="00F2296D"/>
    <w:rsid w:val="00F46D36"/>
    <w:rsid w:val="00F522ED"/>
    <w:rsid w:val="00F57BF3"/>
    <w:rsid w:val="00F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EA6AE8"/>
  <w15:chartTrackingRefBased/>
  <w15:docId w15:val="{894EE25A-0C6C-44AC-A5D9-7A378349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4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4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4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4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44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D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1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D2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1D25"/>
    <w:rPr>
      <w:color w:val="666666"/>
    </w:rPr>
  </w:style>
  <w:style w:type="table" w:styleId="TableGrid">
    <w:name w:val="Table Grid"/>
    <w:basedOn w:val="TableNormal"/>
    <w:uiPriority w:val="39"/>
    <w:rsid w:val="00F46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88"/>
  </w:style>
  <w:style w:type="paragraph" w:styleId="Footer">
    <w:name w:val="footer"/>
    <w:basedOn w:val="Normal"/>
    <w:link w:val="FooterChar"/>
    <w:uiPriority w:val="99"/>
    <w:unhideWhenUsed/>
    <w:rsid w:val="00E2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88"/>
  </w:style>
  <w:style w:type="character" w:styleId="CommentReference">
    <w:name w:val="annotation reference"/>
    <w:basedOn w:val="DefaultParagraphFont"/>
    <w:uiPriority w:val="99"/>
    <w:semiHidden/>
    <w:unhideWhenUsed/>
    <w:rsid w:val="0064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7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7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7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051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3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219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586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2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99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92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42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43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32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5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5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30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234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3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4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95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88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491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5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380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9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979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66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11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936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892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891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1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22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358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8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81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25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097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43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3634-EC43-47DF-BD97-6564D6EFCAE7}"/>
      </w:docPartPr>
      <w:docPartBody>
        <w:p w:rsidR="00DC28F1" w:rsidRDefault="00E21256">
          <w:r w:rsidRPr="00F071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56"/>
    <w:rsid w:val="001D226F"/>
    <w:rsid w:val="001F6F46"/>
    <w:rsid w:val="00200A98"/>
    <w:rsid w:val="002D78CA"/>
    <w:rsid w:val="00363EC6"/>
    <w:rsid w:val="00411182"/>
    <w:rsid w:val="004B583C"/>
    <w:rsid w:val="00577A5B"/>
    <w:rsid w:val="005E1AAD"/>
    <w:rsid w:val="00616E1D"/>
    <w:rsid w:val="006A4C83"/>
    <w:rsid w:val="009170B3"/>
    <w:rsid w:val="00977438"/>
    <w:rsid w:val="00981ED4"/>
    <w:rsid w:val="00B070CD"/>
    <w:rsid w:val="00B206EC"/>
    <w:rsid w:val="00B61A75"/>
    <w:rsid w:val="00B62209"/>
    <w:rsid w:val="00B625BD"/>
    <w:rsid w:val="00BF1273"/>
    <w:rsid w:val="00C47BA0"/>
    <w:rsid w:val="00CC3224"/>
    <w:rsid w:val="00CD692F"/>
    <w:rsid w:val="00D0348C"/>
    <w:rsid w:val="00DB2DCC"/>
    <w:rsid w:val="00DC28F1"/>
    <w:rsid w:val="00E21256"/>
    <w:rsid w:val="00E53FCE"/>
    <w:rsid w:val="00F57BF3"/>
    <w:rsid w:val="00F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FC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  <wetp:taskpane dockstate="right" visibility="0" width="438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59C5880-EF8B-4CAF-AC18-ED3A8A00F933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BIBLIOGRAPHY_IS_DIRTY" value="true"/>
    <we:property name="MENDELEY_BIBLIOGRAPHY_LAST_MODIFIED" value="1761540788791"/>
    <we:property name="MENDELEY_CITATIONS" value="[]"/>
    <we:property name="MENDELEY_CITATIONS_STYLE" value="{&quot;id&quot;:&quot;https://www.zotero.org/styles/vancouver&quot;,&quot;title&quot;:&quot;Vancouver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C2D3635C-2C8F-4BEA-B06A-17214C842BAB}">
  <we:reference id="wa200001361" version="2.129.3.0" store="en-US" storeType="OMEX"/>
  <we:alternateReferences>
    <we:reference id="wa200001361" version="2.129.3.0" store="wa200001361" storeType="OMEX"/>
  </we:alternateReferences>
  <we:properties>
    <we:property name="paperpal-document-id" value="&quot;a7ce07c9-947a-4dd2-992a-6dd31be4ea44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4E6C7B7-EAA8-49D0-976B-A62214C6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Dilshad Quraishi</dc:creator>
  <cp:keywords/>
  <dc:description/>
  <cp:lastModifiedBy>HP</cp:lastModifiedBy>
  <cp:revision>78</cp:revision>
  <dcterms:created xsi:type="dcterms:W3CDTF">2025-09-18T06:15:00Z</dcterms:created>
  <dcterms:modified xsi:type="dcterms:W3CDTF">2025-10-30T17:07:00Z</dcterms:modified>
</cp:coreProperties>
</file>