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F1494" w14:paraId="6A249D4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E1797B9" w14:textId="77777777" w:rsidR="00602F7D" w:rsidRPr="00BF149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bookmarkStart w:id="0" w:name="_GoBack"/>
          </w:p>
        </w:tc>
      </w:tr>
      <w:tr w:rsidR="0000007A" w:rsidRPr="00BF1494" w14:paraId="2ED48B78" w14:textId="77777777" w:rsidTr="002643B3">
        <w:trPr>
          <w:trHeight w:val="290"/>
        </w:trPr>
        <w:tc>
          <w:tcPr>
            <w:tcW w:w="1234" w:type="pct"/>
          </w:tcPr>
          <w:p w14:paraId="19B182A2" w14:textId="77777777" w:rsidR="0000007A" w:rsidRPr="00BF14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4749" w14:textId="77777777" w:rsidR="0000007A" w:rsidRPr="00BF1494" w:rsidRDefault="002A25C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AC3591" w:rsidRPr="00BF149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Biochemistry, Genetics and Molecular Biology</w:t>
              </w:r>
            </w:hyperlink>
            <w:r w:rsidR="00AC3591" w:rsidRPr="00BF149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F1494" w14:paraId="0C7EABA3" w14:textId="77777777" w:rsidTr="002643B3">
        <w:trPr>
          <w:trHeight w:val="290"/>
        </w:trPr>
        <w:tc>
          <w:tcPr>
            <w:tcW w:w="1234" w:type="pct"/>
          </w:tcPr>
          <w:p w14:paraId="2AF74D2B" w14:textId="77777777" w:rsidR="0000007A" w:rsidRPr="00BF14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248A" w14:textId="77777777" w:rsidR="0000007A" w:rsidRPr="00BF1494" w:rsidRDefault="00B23A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Ms_AJBGMB_128888</w:t>
            </w:r>
          </w:p>
        </w:tc>
      </w:tr>
      <w:tr w:rsidR="0000007A" w:rsidRPr="00BF1494" w14:paraId="6A0949FD" w14:textId="77777777" w:rsidTr="002643B3">
        <w:trPr>
          <w:trHeight w:val="650"/>
        </w:trPr>
        <w:tc>
          <w:tcPr>
            <w:tcW w:w="1234" w:type="pct"/>
          </w:tcPr>
          <w:p w14:paraId="728B3619" w14:textId="77777777" w:rsidR="0000007A" w:rsidRPr="00BF14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4B86" w14:textId="77777777" w:rsidR="0000007A" w:rsidRPr="00BF1494" w:rsidRDefault="00B23A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sz w:val="20"/>
                <w:szCs w:val="20"/>
                <w:lang w:val="en-GB"/>
              </w:rPr>
              <w:t>BIOCHEMICAL SERUM INDICES OF HEPATIC AND RENAL FUNCTIONS OF RATS IN FIRST AND SECOND LINE FIXED DOSES OF ANTI-RETROVIRAL DRUGS VERSUS FIRST LINE WITH SWITCH TO SECOND LINE COMBINATION</w:t>
            </w:r>
          </w:p>
        </w:tc>
      </w:tr>
      <w:tr w:rsidR="00CF0BBB" w:rsidRPr="00BF1494" w14:paraId="39D11440" w14:textId="77777777" w:rsidTr="002643B3">
        <w:trPr>
          <w:trHeight w:val="332"/>
        </w:trPr>
        <w:tc>
          <w:tcPr>
            <w:tcW w:w="1234" w:type="pct"/>
          </w:tcPr>
          <w:p w14:paraId="016867D9" w14:textId="77777777" w:rsidR="00CF0BBB" w:rsidRPr="00BF149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A9C1" w14:textId="47E23CFA" w:rsidR="00CF0BBB" w:rsidRPr="00BF1494" w:rsidRDefault="00050C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RESEARCH</w:t>
            </w:r>
          </w:p>
        </w:tc>
      </w:tr>
    </w:tbl>
    <w:p w14:paraId="2502B700" w14:textId="77777777" w:rsidR="00037D52" w:rsidRPr="00BF149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3351C4" w14:textId="77777777" w:rsidR="00605952" w:rsidRPr="00BF149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D4B314" w14:textId="77777777" w:rsidR="00D9392F" w:rsidRPr="00BF1494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E6EF3D" w14:textId="77777777" w:rsidR="0072022C" w:rsidRPr="00BF1494" w:rsidRDefault="0072022C" w:rsidP="0072022C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GB"/>
        </w:rPr>
      </w:pPr>
      <w:bookmarkStart w:id="1" w:name="_Hlk171324449"/>
      <w:r w:rsidRPr="00BF149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14:paraId="2F74E36F" w14:textId="77777777" w:rsidR="0072022C" w:rsidRPr="00BF1494" w:rsidRDefault="0072022C" w:rsidP="007202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245DEDC" w14:textId="77777777" w:rsidR="0072022C" w:rsidRPr="00BF1494" w:rsidRDefault="0072022C" w:rsidP="0072022C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BF1494">
        <w:rPr>
          <w:rFonts w:ascii="Arial" w:hAnsi="Arial" w:cs="Arial"/>
          <w:sz w:val="20"/>
          <w:szCs w:val="20"/>
          <w:lang w:val="en-GB"/>
        </w:rPr>
        <w:t xml:space="preserve">This journal’s peer review policy states that </w:t>
      </w:r>
      <w:r w:rsidRPr="00BF1494">
        <w:rPr>
          <w:rFonts w:ascii="Arial" w:hAnsi="Arial" w:cs="Arial"/>
          <w:b/>
          <w:sz w:val="20"/>
          <w:szCs w:val="20"/>
          <w:u w:val="single"/>
          <w:lang w:val="en-GB"/>
        </w:rPr>
        <w:t>NO</w:t>
      </w:r>
      <w:r w:rsidRPr="00BF1494">
        <w:rPr>
          <w:rFonts w:ascii="Arial" w:hAnsi="Arial" w:cs="Arial"/>
          <w:sz w:val="20"/>
          <w:szCs w:val="20"/>
          <w:lang w:val="en-GB"/>
        </w:rPr>
        <w:t xml:space="preserve"> manuscript should be rejected only on the basis of ‘</w:t>
      </w:r>
      <w:r w:rsidRPr="00BF1494">
        <w:rPr>
          <w:rFonts w:ascii="Arial" w:hAnsi="Arial" w:cs="Arial"/>
          <w:b/>
          <w:sz w:val="20"/>
          <w:szCs w:val="20"/>
          <w:u w:val="single"/>
          <w:lang w:val="en-GB"/>
        </w:rPr>
        <w:t>lack of Novelty’</w:t>
      </w:r>
      <w:r w:rsidRPr="00BF1494">
        <w:rPr>
          <w:rFonts w:ascii="Arial" w:hAnsi="Arial" w:cs="Arial"/>
          <w:sz w:val="20"/>
          <w:szCs w:val="20"/>
          <w:lang w:val="en-GB"/>
        </w:rPr>
        <w:t>, provided the manuscript is scientifically robust and technically sound.</w:t>
      </w:r>
    </w:p>
    <w:p w14:paraId="3D8366FA" w14:textId="77777777" w:rsidR="0072022C" w:rsidRPr="00BF1494" w:rsidRDefault="0072022C" w:rsidP="0072022C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BF1494">
        <w:rPr>
          <w:rFonts w:ascii="Arial" w:hAnsi="Arial" w:cs="Arial"/>
          <w:sz w:val="20"/>
          <w:szCs w:val="20"/>
          <w:lang w:val="en-GB"/>
        </w:rPr>
        <w:t>To know the complete guidelines for the Peer Review process, reviewers are requested to visit this link:</w:t>
      </w:r>
    </w:p>
    <w:p w14:paraId="7512627A" w14:textId="77777777" w:rsidR="0072022C" w:rsidRPr="00BF1494" w:rsidRDefault="0072022C" w:rsidP="007202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D58E478" w14:textId="77777777" w:rsidR="0072022C" w:rsidRPr="00BF1494" w:rsidRDefault="002A25C6" w:rsidP="0072022C">
      <w:pPr>
        <w:pStyle w:val="BodyText"/>
        <w:rPr>
          <w:rFonts w:ascii="Arial" w:hAnsi="Arial" w:cs="Arial"/>
          <w:sz w:val="20"/>
          <w:szCs w:val="20"/>
          <w:lang w:val="en-GB"/>
        </w:rPr>
      </w:pPr>
      <w:hyperlink r:id="rId9" w:history="1">
        <w:r w:rsidR="0072022C" w:rsidRPr="00BF1494">
          <w:rPr>
            <w:rStyle w:val="Hyperlink"/>
            <w:rFonts w:ascii="Arial" w:hAnsi="Arial" w:cs="Arial"/>
            <w:sz w:val="20"/>
            <w:szCs w:val="20"/>
            <w:lang w:val="en-GB"/>
          </w:rPr>
          <w:t>https://r1.reviewerhub.org/general-editorial-policy/</w:t>
        </w:r>
      </w:hyperlink>
    </w:p>
    <w:p w14:paraId="3641BD11" w14:textId="77777777" w:rsidR="0072022C" w:rsidRPr="00BF1494" w:rsidRDefault="0072022C" w:rsidP="0072022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FEF71E" w14:textId="77777777" w:rsidR="0072022C" w:rsidRPr="00BF1494" w:rsidRDefault="0072022C" w:rsidP="0072022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A5AE761" w14:textId="77777777" w:rsidR="0072022C" w:rsidRPr="00BF1494" w:rsidRDefault="0072022C" w:rsidP="0072022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F1494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Important Policies Regarding Peer Review</w:t>
      </w:r>
    </w:p>
    <w:p w14:paraId="6C6B57E4" w14:textId="77777777" w:rsidR="0072022C" w:rsidRPr="00BF1494" w:rsidRDefault="0072022C" w:rsidP="0072022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D17B5FE" w14:textId="77777777" w:rsidR="0072022C" w:rsidRPr="00BF1494" w:rsidRDefault="0072022C" w:rsidP="0072022C">
      <w:pPr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r w:rsidRPr="00BF1494">
        <w:rPr>
          <w:rFonts w:ascii="Arial" w:hAnsi="Arial" w:cs="Arial"/>
          <w:sz w:val="20"/>
          <w:szCs w:val="20"/>
          <w:shd w:val="clear" w:color="auto" w:fill="FFFFFF"/>
        </w:rPr>
        <w:t>Peer review Comments Approval Policy:</w:t>
      </w:r>
      <w:r w:rsidRPr="00BF1494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BF14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BF1494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 </w:t>
      </w:r>
    </w:p>
    <w:p w14:paraId="41ADCE54" w14:textId="77777777" w:rsidR="0072022C" w:rsidRPr="00BF1494" w:rsidRDefault="0072022C" w:rsidP="0072022C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BF1494">
        <w:rPr>
          <w:rFonts w:ascii="Arial" w:hAnsi="Arial" w:cs="Arial"/>
          <w:sz w:val="20"/>
          <w:szCs w:val="20"/>
          <w:shd w:val="clear" w:color="auto" w:fill="FFFFFF"/>
        </w:rPr>
        <w:t>Benefits for Reviewers:</w:t>
      </w:r>
      <w:r w:rsidRPr="00BF1494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BF149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BF1494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</w:p>
    <w:p w14:paraId="43D14C80" w14:textId="77777777" w:rsidR="0072022C" w:rsidRPr="00BF1494" w:rsidRDefault="0072022C" w:rsidP="0072022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709820" w14:textId="77777777" w:rsidR="0072022C" w:rsidRPr="00BF1494" w:rsidRDefault="0072022C" w:rsidP="0072022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D88E45C" w14:textId="77777777" w:rsidR="0072022C" w:rsidRPr="00BF1494" w:rsidRDefault="0072022C" w:rsidP="0072022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AD6400" w14:textId="77777777" w:rsidR="0072022C" w:rsidRPr="00BF1494" w:rsidRDefault="0072022C" w:rsidP="007202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1E2583F" w14:textId="77777777" w:rsidR="0072022C" w:rsidRPr="00BF1494" w:rsidRDefault="0072022C" w:rsidP="0072022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36059A7" w14:textId="77777777" w:rsidR="0072022C" w:rsidRPr="00BF1494" w:rsidRDefault="0072022C" w:rsidP="0072022C">
      <w:pPr>
        <w:rPr>
          <w:rFonts w:ascii="Arial" w:hAnsi="Arial" w:cs="Arial"/>
          <w:sz w:val="20"/>
          <w:szCs w:val="20"/>
        </w:rPr>
      </w:pPr>
      <w:bookmarkStart w:id="2" w:name="_Hlk170903434"/>
      <w:r w:rsidRPr="00BF1494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72022C" w:rsidRPr="00BF1494" w14:paraId="73B5B74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25C43AB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149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F149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89CD575" w14:textId="77777777" w:rsidR="0072022C" w:rsidRPr="00BF1494" w:rsidRDefault="007202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022C" w:rsidRPr="00BF1494" w14:paraId="53702906" w14:textId="77777777">
        <w:tc>
          <w:tcPr>
            <w:tcW w:w="1265" w:type="pct"/>
            <w:noWrap/>
          </w:tcPr>
          <w:p w14:paraId="1D450D77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D224CA4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149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27E33B8C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F1494">
              <w:rPr>
                <w:rFonts w:ascii="Arial" w:hAnsi="Arial" w:cs="Arial"/>
                <w:lang w:val="en-GB"/>
              </w:rPr>
              <w:t>Author’s Feedback</w:t>
            </w:r>
            <w:r w:rsidRPr="00BF149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F149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2022C" w:rsidRPr="00BF1494" w14:paraId="56770B07" w14:textId="77777777">
        <w:trPr>
          <w:trHeight w:val="1264"/>
        </w:trPr>
        <w:tc>
          <w:tcPr>
            <w:tcW w:w="1265" w:type="pct"/>
            <w:noWrap/>
          </w:tcPr>
          <w:p w14:paraId="10E2A9BE" w14:textId="77777777" w:rsidR="0072022C" w:rsidRPr="00BF1494" w:rsidRDefault="007202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2969A57" w14:textId="77777777" w:rsidR="0072022C" w:rsidRPr="00BF1494" w:rsidRDefault="0072022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6ABDDE9" w14:textId="6C1A1E0A" w:rsidR="0072022C" w:rsidRPr="00BF1494" w:rsidRDefault="00F47EE5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As the world is ravaged with </w:t>
            </w:r>
            <w:r w:rsidR="002D7955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HIV and AIDS which is mostly caused by unprotected sexual intercourse</w:t>
            </w:r>
            <w:r w:rsidR="00C80391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, there is need to find a better therapeutic in battling this viral disease. Also, the already existence </w:t>
            </w:r>
            <w:r w:rsidR="00BD3100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drugs </w:t>
            </w:r>
            <w:r w:rsidR="00EC1D89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need</w:t>
            </w:r>
            <w:r w:rsidR="00BD3100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further modification to tackle this infection. The modification is </w:t>
            </w:r>
            <w:r w:rsidR="00EC1D89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because of</w:t>
            </w:r>
            <w:r w:rsidR="00BD3100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different st</w:t>
            </w:r>
            <w:r w:rsidR="00390FDA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r</w:t>
            </w:r>
            <w:r w:rsidR="00BD3100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ain the virus forms after they invade the biological system</w:t>
            </w:r>
            <w:r w:rsidR="00390FDA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This manuscript provides a good insight </w:t>
            </w:r>
            <w:r w:rsidR="00314F8B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on how to reduce the infection world-wide and </w:t>
            </w:r>
            <w:r w:rsidR="00EC1D89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it also provides a way of opening gaps in the pool of research.</w:t>
            </w:r>
          </w:p>
        </w:tc>
        <w:tc>
          <w:tcPr>
            <w:tcW w:w="1523" w:type="pct"/>
          </w:tcPr>
          <w:p w14:paraId="4A6D1979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22C" w:rsidRPr="00BF1494" w14:paraId="0E20EA0A" w14:textId="77777777">
        <w:trPr>
          <w:trHeight w:val="1262"/>
        </w:trPr>
        <w:tc>
          <w:tcPr>
            <w:tcW w:w="1265" w:type="pct"/>
            <w:noWrap/>
          </w:tcPr>
          <w:p w14:paraId="2FEEDDBE" w14:textId="77777777" w:rsidR="0072022C" w:rsidRPr="00BF1494" w:rsidRDefault="007202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BD7F76" w14:textId="77777777" w:rsidR="0072022C" w:rsidRPr="00BF1494" w:rsidRDefault="007202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5CFCFF8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06A51E8" w14:textId="0CD45A07" w:rsidR="0072022C" w:rsidRPr="00BF1494" w:rsidRDefault="00050C0F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 title is suitable but needs to be rephrased as it is wordy. </w:t>
            </w:r>
          </w:p>
        </w:tc>
        <w:tc>
          <w:tcPr>
            <w:tcW w:w="1523" w:type="pct"/>
          </w:tcPr>
          <w:p w14:paraId="49D51203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22C" w:rsidRPr="00BF1494" w14:paraId="313A5C7C" w14:textId="77777777">
        <w:trPr>
          <w:trHeight w:val="1262"/>
        </w:trPr>
        <w:tc>
          <w:tcPr>
            <w:tcW w:w="1265" w:type="pct"/>
            <w:noWrap/>
          </w:tcPr>
          <w:p w14:paraId="1FBF3928" w14:textId="77777777" w:rsidR="0072022C" w:rsidRPr="00BF1494" w:rsidRDefault="007202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F149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6007DDD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42D2F1" w14:textId="77777777" w:rsidR="0072022C" w:rsidRPr="00BF1494" w:rsidRDefault="004B5AA6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It is comprehensive. However, there is more information on the methodology. Kindly shorten this part. In addition, the abstract doesn’t include a conclusive part. Please try to conclude the abstract.</w:t>
            </w:r>
          </w:p>
          <w:p w14:paraId="6E7EB2F2" w14:textId="77777777" w:rsidR="004B5AA6" w:rsidRPr="00BF1494" w:rsidRDefault="004B5AA6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Others</w:t>
            </w:r>
          </w:p>
          <w:p w14:paraId="2517B07C" w14:textId="77777777" w:rsidR="004B5AA6" w:rsidRPr="00BF1494" w:rsidRDefault="004B5AA6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-human to be written as humans</w:t>
            </w:r>
          </w:p>
          <w:p w14:paraId="5FCF94D1" w14:textId="77777777" w:rsidR="004B5AA6" w:rsidRPr="00BF1494" w:rsidRDefault="004B5AA6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-life threatening as life-threatening</w:t>
            </w:r>
          </w:p>
          <w:p w14:paraId="1FE0FD09" w14:textId="46CFF515" w:rsidR="004B5AA6" w:rsidRPr="00BF1494" w:rsidRDefault="004B5AA6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</w:t>
            </w:r>
            <w:r w:rsidR="008753F3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second line as second-line also first line as first-line</w:t>
            </w:r>
          </w:p>
          <w:p w14:paraId="723C8390" w14:textId="77777777" w:rsidR="008753F3" w:rsidRPr="00BF1494" w:rsidRDefault="008753F3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 (…D</w:t>
            </w: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  <w:lang w:val="en-GB"/>
              </w:rPr>
              <w:t>1</w:t>
            </w: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and D</w:t>
            </w: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  <w:lang w:val="en-GB"/>
              </w:rPr>
              <w:t>2</w:t>
            </w: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) ensure you put comma after D</w:t>
            </w: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  <w:lang w:val="en-GB"/>
              </w:rPr>
              <w:t>1</w:t>
            </w:r>
          </w:p>
          <w:p w14:paraId="67983810" w14:textId="77777777" w:rsidR="008753F3" w:rsidRPr="00BF1494" w:rsidRDefault="008753F3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-Group A received normal as Group A received a normal</w:t>
            </w:r>
          </w:p>
          <w:p w14:paraId="050BA5FB" w14:textId="53E69019" w:rsidR="008753F3" w:rsidRPr="00BF1494" w:rsidRDefault="008753F3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 Group B</w:t>
            </w: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  <w:lang w:val="en-GB"/>
              </w:rPr>
              <w:t>2</w:t>
            </w: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received same as received the same (do the same for Group C</w:t>
            </w: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bscript"/>
                <w:lang w:val="en-GB"/>
              </w:rPr>
              <w:t>2</w:t>
            </w: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received the same)</w:t>
            </w:r>
          </w:p>
          <w:p w14:paraId="27031F0A" w14:textId="3442A6B7" w:rsidR="008753F3" w:rsidRPr="00BF1494" w:rsidRDefault="008753F3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-ensure you write </w:t>
            </w:r>
            <w:proofErr w:type="spellStart"/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bwt</w:t>
            </w:r>
            <w:proofErr w:type="spellEnd"/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in full first before shortening it</w:t>
            </w:r>
          </w:p>
          <w:p w14:paraId="06B4BEB6" w14:textId="77777777" w:rsidR="008753F3" w:rsidRPr="00BF1494" w:rsidRDefault="008753F3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</w:t>
            </w:r>
            <w:r w:rsidR="002A05DF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for 30 days </w:t>
            </w:r>
            <w:r w:rsidR="00715F2A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then to for 30 days and then</w:t>
            </w:r>
          </w:p>
          <w:p w14:paraId="20B2A642" w14:textId="1147AF7D" w:rsidR="00715F2A" w:rsidRPr="00BF1494" w:rsidRDefault="00715F2A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</w:t>
            </w:r>
            <w:r w:rsidR="00BC1729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30</w:t>
            </w:r>
            <w:r w:rsidR="00294D56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and 45 days, while animals</w:t>
            </w:r>
            <w:r w:rsidR="00A60C5C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treated for 60 days was</w:t>
            </w:r>
            <w:r w:rsidR="00294D56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… to 30, and 45 days. At the same time, animal</w:t>
            </w:r>
            <w:r w:rsidR="00A60C5C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 tre</w:t>
            </w:r>
            <w:r w:rsidR="00C0396D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ated for 60 days were….</w:t>
            </w:r>
          </w:p>
          <w:p w14:paraId="38C2E8B0" w14:textId="5FDE9726" w:rsidR="00995687" w:rsidRPr="00BF1494" w:rsidRDefault="00294D56" w:rsidP="00995687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</w:t>
            </w:r>
            <w:r w:rsidR="0048366B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…</w:t>
            </w:r>
            <w:r w:rsidR="00515103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while </w:t>
            </w:r>
            <w:r w:rsidR="001946E0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significant increase</w:t>
            </w:r>
            <w:r w:rsidR="00224826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(p&lt;0.05)</w:t>
            </w:r>
            <w:r w:rsidR="00742557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First and</w:t>
            </w:r>
            <w:r w:rsidR="001946E0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to while a significant increase </w:t>
            </w:r>
            <w:r w:rsidR="00995687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(p&lt;0.05) in first</w:t>
            </w:r>
          </w:p>
          <w:p w14:paraId="78683017" w14:textId="77777777" w:rsidR="000878F2" w:rsidRPr="00BF1494" w:rsidRDefault="000878F2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</w:t>
            </w:r>
            <w:r w:rsidR="0098295B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dru</w:t>
            </w:r>
            <w:r w:rsidR="00A6792D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gs exerted toxic effect to drugs exerted a toxic effect</w:t>
            </w:r>
          </w:p>
          <w:p w14:paraId="05F49F46" w14:textId="77777777" w:rsidR="00A6792D" w:rsidRPr="00BF1494" w:rsidRDefault="00A6792D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-repeated dose at long term to repeated doses at long-term</w:t>
            </w:r>
          </w:p>
          <w:p w14:paraId="601E36A0" w14:textId="77777777" w:rsidR="00973234" w:rsidRPr="00BF1494" w:rsidRDefault="00973234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</w:t>
            </w:r>
            <w:r w:rsidR="00AC27AB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do not bold all the keywords line. On</w:t>
            </w:r>
            <w:r w:rsidR="008177F5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ly bold ‘Keywords:”</w:t>
            </w:r>
          </w:p>
          <w:p w14:paraId="5BE941F4" w14:textId="552FFC0B" w:rsidR="004C62BE" w:rsidRPr="00BF1494" w:rsidRDefault="004C62BE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I will suggest you divide the abstract into Introduction, objectives, methods, results an</w:t>
            </w:r>
            <w:r w:rsidR="0019126B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d conclusion</w:t>
            </w:r>
          </w:p>
        </w:tc>
        <w:tc>
          <w:tcPr>
            <w:tcW w:w="1523" w:type="pct"/>
          </w:tcPr>
          <w:p w14:paraId="1E941019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22C" w:rsidRPr="00BF1494" w14:paraId="386F4444" w14:textId="77777777">
        <w:trPr>
          <w:trHeight w:val="704"/>
        </w:trPr>
        <w:tc>
          <w:tcPr>
            <w:tcW w:w="1265" w:type="pct"/>
            <w:noWrap/>
          </w:tcPr>
          <w:p w14:paraId="26FACCE0" w14:textId="77777777" w:rsidR="0072022C" w:rsidRPr="00BF1494" w:rsidRDefault="0072022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F149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E928051" w14:textId="5E52A173" w:rsidR="0072022C" w:rsidRPr="00BF1494" w:rsidRDefault="0019126B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Yes, it is scientifically correct</w:t>
            </w:r>
          </w:p>
        </w:tc>
        <w:tc>
          <w:tcPr>
            <w:tcW w:w="1523" w:type="pct"/>
          </w:tcPr>
          <w:p w14:paraId="5551A68D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22C" w:rsidRPr="00BF1494" w14:paraId="7B5E8D24" w14:textId="77777777">
        <w:trPr>
          <w:trHeight w:val="703"/>
        </w:trPr>
        <w:tc>
          <w:tcPr>
            <w:tcW w:w="1265" w:type="pct"/>
            <w:noWrap/>
          </w:tcPr>
          <w:p w14:paraId="1F9AC4C3" w14:textId="77777777" w:rsidR="0072022C" w:rsidRPr="00BF1494" w:rsidRDefault="007202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BB91C1F" w14:textId="77777777" w:rsidR="0072022C" w:rsidRPr="00BF1494" w:rsidRDefault="00483896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The references are sufficient and recent eno</w:t>
            </w:r>
            <w:r w:rsidR="00DB5F0D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ugh. However, the numbering is not in order as it needs to be </w:t>
            </w:r>
            <w:r w:rsidR="00FB15BD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numbered accordingly as the manuscript is written. </w:t>
            </w:r>
            <w:proofErr w:type="spellStart"/>
            <w:r w:rsidR="00FB15BD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E.g</w:t>
            </w:r>
            <w:proofErr w:type="spellEnd"/>
            <w:r w:rsidR="00FB15BD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starts from 1,2,3,……</w:t>
            </w:r>
            <w:r w:rsidR="00361B61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76</w:t>
            </w:r>
          </w:p>
          <w:p w14:paraId="0F7B4170" w14:textId="2FDDB987" w:rsidR="00361B61" w:rsidRPr="00BF1494" w:rsidRDefault="00361B61" w:rsidP="00361B6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In addition, one type of </w:t>
            </w:r>
            <w:r w:rsidR="00CA47E6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citation style should be used based on </w:t>
            </w:r>
            <w:r w:rsidR="00775130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the journal requirement. I could see number citation and </w:t>
            </w:r>
            <w:r w:rsidR="006A7B79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citation with names in the text. Please adopt the recommended style by the Journal</w:t>
            </w:r>
          </w:p>
        </w:tc>
        <w:tc>
          <w:tcPr>
            <w:tcW w:w="1523" w:type="pct"/>
          </w:tcPr>
          <w:p w14:paraId="068A1BF0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022C" w:rsidRPr="00BF1494" w14:paraId="4D726D5C" w14:textId="77777777">
        <w:trPr>
          <w:trHeight w:val="386"/>
        </w:trPr>
        <w:tc>
          <w:tcPr>
            <w:tcW w:w="1265" w:type="pct"/>
            <w:noWrap/>
          </w:tcPr>
          <w:p w14:paraId="75599ECD" w14:textId="77777777" w:rsidR="0072022C" w:rsidRPr="00BF1494" w:rsidRDefault="0072022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F1494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0A2E2114" w14:textId="77777777" w:rsidR="0072022C" w:rsidRPr="00BF1494" w:rsidRDefault="007202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6B7A075" w14:textId="7F2A32CE" w:rsidR="0072022C" w:rsidRPr="00BF1494" w:rsidRDefault="006A7B7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It is partially suitable but </w:t>
            </w:r>
            <w:r w:rsidR="003E6F00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needs to</w:t>
            </w:r>
            <w:r w:rsidR="00081580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be polished. If possible, I will recommend using Grammarly to polish the grammar</w:t>
            </w:r>
            <w:r w:rsidR="003E6F00"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D937813" w14:textId="77777777" w:rsidR="0072022C" w:rsidRPr="00BF1494" w:rsidRDefault="007202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022C" w:rsidRPr="00BF1494" w14:paraId="39605C0B" w14:textId="77777777">
        <w:trPr>
          <w:trHeight w:val="1178"/>
        </w:trPr>
        <w:tc>
          <w:tcPr>
            <w:tcW w:w="1265" w:type="pct"/>
            <w:noWrap/>
          </w:tcPr>
          <w:p w14:paraId="39DA3106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F149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F149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F149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2977B6A" w14:textId="77777777" w:rsidR="0072022C" w:rsidRPr="00BF1494" w:rsidRDefault="007202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EF7DE55" w14:textId="77777777" w:rsidR="0072022C" w:rsidRPr="00BF1494" w:rsidRDefault="003E6F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Introduction</w:t>
            </w:r>
          </w:p>
          <w:p w14:paraId="53972C21" w14:textId="77777777" w:rsidR="003E6F00" w:rsidRPr="00BF1494" w:rsidRDefault="003656E1" w:rsidP="003E6F0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Paragraph 1. human as humans; life threatening as life-threatening</w:t>
            </w:r>
            <w:r w:rsidR="00C2419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; United Nation as United Nations; program and as program, and</w:t>
            </w:r>
          </w:p>
          <w:p w14:paraId="02E23AA3" w14:textId="77777777" w:rsidR="00153D1E" w:rsidRPr="00BF1494" w:rsidRDefault="00153D1E" w:rsidP="003E6F0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Paragraph 2. </w:t>
            </w:r>
            <w:r w:rsidR="00F14367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sub-Sharan as sub-Saharan</w:t>
            </w:r>
          </w:p>
          <w:p w14:paraId="3BAE9E6E" w14:textId="77777777" w:rsidR="00A7556D" w:rsidRPr="00BF1494" w:rsidRDefault="00A7556D" w:rsidP="003E6F0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Paragraph 3. </w:t>
            </w:r>
            <w:r w:rsidR="000E5703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As at 2017 to As of 2017; </w:t>
            </w:r>
            <w:r w:rsidR="00F94EDC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the nucleoside to nucleoside; </w:t>
            </w:r>
            <w:r w:rsidR="005D55BE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antagonist</w:t>
            </w:r>
            <w:r w:rsidR="00BA5D17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to antagonists; (INSTIs) and to (INSTIs), and</w:t>
            </w:r>
          </w:p>
          <w:p w14:paraId="3FAF4FB7" w14:textId="77777777" w:rsidR="00BA5D17" w:rsidRPr="00BF1494" w:rsidRDefault="00E5354A" w:rsidP="003E6F0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Paragraph 4. </w:t>
            </w:r>
            <w:r w:rsidR="00616A18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antiretroviral regimen to antiretroviral regimens; </w:t>
            </w:r>
            <w:r w:rsidR="001227D1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drug from PI to drugs from the PI</w:t>
            </w:r>
          </w:p>
          <w:p w14:paraId="41F80E11" w14:textId="04E267BC" w:rsidR="001227D1" w:rsidRPr="00BF1494" w:rsidRDefault="008520BB" w:rsidP="003E6F0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Please join paragraph 4 and 5 together as they capture the same idea.</w:t>
            </w:r>
            <w:r w:rsidR="00EA2FB7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Also change </w:t>
            </w:r>
            <w:r w:rsidR="00EA2FB7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Gamma glutamyl to Gamma-glutamyl </w:t>
            </w:r>
          </w:p>
          <w:p w14:paraId="36FAE80F" w14:textId="3D905BD4" w:rsidR="008520BB" w:rsidRPr="00BF1494" w:rsidRDefault="00CB5448" w:rsidP="003E6F0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Paragraph 6. </w:t>
            </w:r>
            <w:r w:rsidR="00072866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effects  are </w:t>
            </w:r>
            <w:r w:rsidR="00C25EA2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observer to effects are observed;</w:t>
            </w:r>
            <w:r w:rsidR="00F91BE2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TDF- induced to TDF-induced; </w:t>
            </w:r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low-dose </w:t>
            </w:r>
            <w:proofErr w:type="spellStart"/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ritnonavir</w:t>
            </w:r>
            <w:proofErr w:type="spellEnd"/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17543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to low-dose ritonavir</w:t>
            </w:r>
            <w:r w:rsidR="00EF1A64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; include test for plasma  to include tests for plasma; s</w:t>
            </w:r>
            <w:r w:rsidR="004D5093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econd line to second-line; first line with switch to first-line with a switch</w:t>
            </w:r>
            <w:r w:rsidR="00EE3649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….</w:t>
            </w:r>
          </w:p>
          <w:p w14:paraId="4DC3D512" w14:textId="77777777" w:rsidR="00C97D92" w:rsidRPr="00BF1494" w:rsidRDefault="004F468E" w:rsidP="00C97D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Materials and methods</w:t>
            </w:r>
          </w:p>
          <w:p w14:paraId="7BEC8C62" w14:textId="77777777" w:rsidR="004F468E" w:rsidRPr="00BF1494" w:rsidRDefault="00077392" w:rsidP="004F468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In 2.1.1, </w:t>
            </w:r>
            <w:r w:rsidR="00E01F62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(AST) and to (AST), and; </w:t>
            </w:r>
            <w:r w:rsidR="00AA5E48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from </w:t>
            </w:r>
            <w:proofErr w:type="spellStart"/>
            <w:r w:rsidR="00AA5E48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Fortrees</w:t>
            </w:r>
            <w:proofErr w:type="spellEnd"/>
            <w:r w:rsidR="00AA5E48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to from Fortre</w:t>
            </w:r>
            <w:r w:rsidR="001E4418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s</w:t>
            </w:r>
            <w:r w:rsidR="00AA5E48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s </w:t>
            </w:r>
            <w:r w:rsidR="00E01F62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1DBFB6FA" w14:textId="77777777" w:rsidR="00BC5707" w:rsidRPr="00BF1494" w:rsidRDefault="00D724A6" w:rsidP="004F468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In 2.1.2, faculty as Faculty; pellet as pellets</w:t>
            </w:r>
          </w:p>
          <w:p w14:paraId="2D60EB98" w14:textId="14C1C5BB" w:rsidR="00960563" w:rsidRPr="00BF1494" w:rsidRDefault="00960563" w:rsidP="004F468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In 2.1.3, </w:t>
            </w:r>
            <w:r w:rsidR="008336A3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from University to from the Universit</w:t>
            </w:r>
            <w:r w:rsidR="00CF5AEB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y; ensure you separate units from number</w:t>
            </w:r>
          </w:p>
          <w:p w14:paraId="0D270402" w14:textId="77777777" w:rsidR="0001097F" w:rsidRPr="00BF1494" w:rsidRDefault="000916C9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In 2.2, </w:t>
            </w:r>
            <w:r w:rsidR="00676698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please have drug administration written in an acceptable tabular form and do not join unit and number together</w:t>
            </w:r>
            <w:r w:rsidR="00F76DD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. Also you have been using </w:t>
            </w:r>
            <w:proofErr w:type="spellStart"/>
            <w:r w:rsidR="00F76DD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bwt</w:t>
            </w:r>
            <w:proofErr w:type="spellEnd"/>
            <w:r w:rsidR="00F76DD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as body weight but you wrote ‘Note</w:t>
            </w:r>
            <w:r w:rsidR="0001097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01097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Bw</w:t>
            </w:r>
            <w:proofErr w:type="spellEnd"/>
            <w:r w:rsidR="0001097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= Body weight</w:t>
            </w:r>
            <w:r w:rsidR="00F76DD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’</w:t>
            </w:r>
            <w:r w:rsidR="0001097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Please be consistent with one either </w:t>
            </w:r>
            <w:proofErr w:type="spellStart"/>
            <w:r w:rsidR="0001097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bw</w:t>
            </w:r>
            <w:proofErr w:type="spellEnd"/>
            <w:r w:rsidR="0001097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or </w:t>
            </w:r>
            <w:proofErr w:type="spellStart"/>
            <w:r w:rsidR="0001097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bwt</w:t>
            </w:r>
            <w:proofErr w:type="spellEnd"/>
            <w:r w:rsidR="0001097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.</w:t>
            </w:r>
          </w:p>
          <w:p w14:paraId="32BCC396" w14:textId="4509EEEF" w:rsidR="00241039" w:rsidRPr="00BF1494" w:rsidRDefault="00241039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In 2.3, </w:t>
            </w:r>
            <w:r w:rsidR="00E43455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dosage to dosages; </w:t>
            </w:r>
            <w:r w:rsidR="00D23DAE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human adult to human adults; with pestle to with a pestle; (450 mg)</w:t>
            </w:r>
            <w:r w:rsidR="008E123A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were to was; </w:t>
            </w:r>
            <w:r w:rsidR="0098620C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rats were to rats was; aliquot to an aliquot; 100ml to 100 ml.</w:t>
            </w:r>
            <w:r w:rsidR="001066E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Also</w:t>
            </w:r>
            <w:r w:rsidR="002045B9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,</w:t>
            </w:r>
            <w:r w:rsidR="001066EF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this side needs to be cited unless the doses </w:t>
            </w:r>
            <w:r w:rsidR="002045B9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are formed from different research trials.</w:t>
            </w:r>
          </w:p>
          <w:p w14:paraId="03A7C491" w14:textId="77777777" w:rsidR="00BD2632" w:rsidRPr="00BF1494" w:rsidRDefault="0098620C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In 2.4</w:t>
            </w:r>
            <w:r w:rsidR="005C0B00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, </w:t>
            </w:r>
            <w:r w:rsidR="00AB0E53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At the end of administration to At the end of the administration; 45 and to 45, and; Blood sample to The blood sample; animal were to animal was</w:t>
            </w:r>
            <w:r w:rsidR="00BB3E84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. Please cite this side too unless you came up with </w:t>
            </w:r>
            <w:r w:rsidR="00BD2632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rpm values yourself.</w:t>
            </w:r>
          </w:p>
          <w:p w14:paraId="4BAA3459" w14:textId="77777777" w:rsidR="00E45F5D" w:rsidRPr="00BF1494" w:rsidRDefault="00BD2632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In 2.5, </w:t>
            </w:r>
            <w:r w:rsidR="00C77A53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by International  to by the International; </w:t>
            </w:r>
            <w:r w:rsidR="00C90C25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IFCC methods employed is old. It will be better to use recent methods</w:t>
            </w:r>
            <w:r w:rsidR="00E005E5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for your analysis; </w:t>
            </w:r>
            <w:r w:rsidR="008E6595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a-ketoglutarate to α</w:t>
            </w:r>
            <w:r w:rsidR="00EA7B10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-ketoglutarate; </w:t>
            </w:r>
            <w:r w:rsidR="00154A99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Activity of ALP to The activity of ALP</w:t>
            </w:r>
            <w:r w:rsidR="00CA6426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; </w:t>
            </w:r>
            <w:r w:rsidR="000667C6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the yellow colored </w:t>
            </w:r>
            <w:r w:rsidR="0009425D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to the yellow-colored; </w:t>
            </w:r>
            <w:r w:rsidR="00117968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Jaffe (1886) method is too old! </w:t>
            </w:r>
            <w:r w:rsidR="00304669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Also</w:t>
            </w:r>
            <w:r w:rsidR="00E45F5D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,</w:t>
            </w:r>
            <w:r w:rsidR="00304669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ensure you have </w:t>
            </w:r>
            <w:r w:rsidR="00E45F5D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a </w:t>
            </w:r>
            <w:r w:rsidR="00304669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sub-heading for each analysis to better differentiate them</w:t>
            </w:r>
            <w:r w:rsidR="00E45F5D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,</w:t>
            </w:r>
            <w:r w:rsidR="00304669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and ensure you use </w:t>
            </w:r>
            <w:proofErr w:type="spellStart"/>
            <w:r w:rsidR="00E45F5D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ChemDraw</w:t>
            </w:r>
            <w:proofErr w:type="spellEnd"/>
            <w:r w:rsidR="00304669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or other software to write chemical </w:t>
            </w:r>
            <w:r w:rsidR="00E45F5D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reactions</w:t>
            </w:r>
            <w:r w:rsidR="00304669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or transition accordingly.</w:t>
            </w:r>
            <w:r w:rsidR="0009425D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1EF5A242" w14:textId="31F6233A" w:rsidR="00C84EB5" w:rsidRPr="00BF1494" w:rsidRDefault="00C84EB5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In 2.7, if approval was given, ensure you add the approval code and date.</w:t>
            </w:r>
            <w:r w:rsidR="00FC6E01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And it is not clear what type of approval was granted. Please be more specific.</w:t>
            </w:r>
          </w:p>
          <w:p w14:paraId="50636D0E" w14:textId="6FC92E9E" w:rsidR="00C85307" w:rsidRPr="00BF1494" w:rsidRDefault="00C85307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Finally, ensure you cite the methodology appropriately</w:t>
            </w:r>
          </w:p>
          <w:p w14:paraId="35A71BD3" w14:textId="7AAD629B" w:rsidR="00EF764F" w:rsidRPr="00BF1494" w:rsidRDefault="00EF764F" w:rsidP="00EF76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Results and discussion</w:t>
            </w:r>
          </w:p>
          <w:p w14:paraId="4991DBE8" w14:textId="77777777" w:rsidR="0098620C" w:rsidRPr="00BF1494" w:rsidRDefault="00154A99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77A53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AB0E53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FC5690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In 3.1.1 join aminotransferase as a word</w:t>
            </w:r>
            <w:r w:rsidR="00207415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. Also try and check some grammatical errors with the suggested software (Grammarly)</w:t>
            </w:r>
          </w:p>
          <w:p w14:paraId="7767DC52" w14:textId="77777777" w:rsidR="00207415" w:rsidRPr="00BF1494" w:rsidRDefault="00207415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In 3.2, </w:t>
            </w:r>
            <w:r w:rsidR="00FE7031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‘</w:t>
            </w:r>
            <w:r w:rsidR="00FE7031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fourteen to twenty percent (14-20%) will experience elevations in hepatic enzymes</w:t>
            </w:r>
            <w:r w:rsidR="00FE7031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’ please compare this value with your current study.</w:t>
            </w:r>
          </w:p>
          <w:p w14:paraId="41704CAC" w14:textId="77777777" w:rsidR="00FE7031" w:rsidRPr="00BF1494" w:rsidRDefault="00CE56FD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I must commend </w:t>
            </w:r>
            <w:r w:rsidR="00AE3EDA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you;</w:t>
            </w: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you did a great job in the discussion part but the key importance of discussion is missi</w:t>
            </w:r>
            <w:r w:rsidR="00E249D8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ng </w:t>
            </w: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which is </w:t>
            </w:r>
            <w:r w:rsidR="00E249D8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the </w:t>
            </w: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comparison between </w:t>
            </w:r>
            <w:r w:rsidR="00E249D8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past work and your study. Please ensure you link past results to your study. </w:t>
            </w:r>
            <w:r w:rsidR="00AE3EDA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The discussion</w:t>
            </w:r>
            <w:r w:rsidR="00580EB4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looks more like </w:t>
            </w:r>
            <w:r w:rsidR="00AE3EDA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a </w:t>
            </w:r>
            <w:r w:rsidR="00580EB4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review without comparison.</w:t>
            </w:r>
            <w:r w:rsidR="001F33FC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In addition, as mentioned earlier, ensure you </w:t>
            </w:r>
            <w:r w:rsidR="00B053E5"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use a style of in-text citation throughout. </w:t>
            </w:r>
          </w:p>
          <w:p w14:paraId="48F415EC" w14:textId="77777777" w:rsidR="00F25BCF" w:rsidRPr="00BF1494" w:rsidRDefault="00F25BCF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Paragraph 2. ‘EFV and’ remove the space in between; </w:t>
            </w:r>
            <w:r w:rsidR="005E472E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In line with these documented evidence to In line with this documented evidence</w:t>
            </w:r>
            <w:r w:rsidR="001C29AF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.</w:t>
            </w:r>
          </w:p>
          <w:p w14:paraId="743CE87A" w14:textId="02B6C647" w:rsidR="00F60207" w:rsidRPr="00BF1494" w:rsidRDefault="001C29AF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Paragraph 4. </w:t>
            </w:r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among HIV positive  to among HIV-positive</w:t>
            </w:r>
            <w:r w:rsidR="004C3E49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; </w:t>
            </w:r>
            <w:proofErr w:type="spellStart"/>
            <w:r w:rsidR="000317D1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zalctitabine</w:t>
            </w:r>
            <w:proofErr w:type="spellEnd"/>
            <w:r w:rsidR="000317D1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or </w:t>
            </w:r>
            <w:proofErr w:type="spellStart"/>
            <w:r w:rsidR="008837A2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zalcitabine</w:t>
            </w:r>
            <w:proofErr w:type="spellEnd"/>
            <w:r w:rsidR="008837A2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?</w:t>
            </w:r>
          </w:p>
          <w:p w14:paraId="1FDEE1BA" w14:textId="77777777" w:rsidR="00DB541E" w:rsidRPr="00BF1494" w:rsidRDefault="00F60207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Paragraph 5. </w:t>
            </w:r>
            <w:r w:rsidR="00DB541E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‘</w:t>
            </w:r>
            <w:r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may be an evidence</w:t>
            </w:r>
            <w:r w:rsidR="00DB541E" w:rsidRPr="00BF14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’ remove an; membrane in liver to membrane in the</w:t>
            </w:r>
            <w:r w:rsidR="00DB541E" w:rsidRPr="00BF14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B541E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liver</w:t>
            </w:r>
          </w:p>
          <w:p w14:paraId="41F0DA64" w14:textId="77777777" w:rsidR="00D6761B" w:rsidRPr="00BF1494" w:rsidRDefault="00397116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Paragraph 6. present findings is to present findings are;</w:t>
            </w:r>
          </w:p>
          <w:p w14:paraId="38EFCE43" w14:textId="77777777" w:rsidR="00375014" w:rsidRPr="00BF1494" w:rsidRDefault="00D6761B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Paragraph 9. </w:t>
            </w:r>
            <w:r w:rsidR="000714C6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‘</w:t>
            </w: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This is agreement with other studies which have</w:t>
            </w:r>
            <w:r w:rsidR="000714C6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’</w:t>
            </w: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714C6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to This </w:t>
            </w:r>
            <w:r w:rsidR="00153C3A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agrees</w:t>
            </w:r>
            <w:r w:rsidR="000714C6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with other studies that have; </w:t>
            </w:r>
            <w:r w:rsidR="00153C3A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tetrapyrrole to tetrapyrrole; </w:t>
            </w:r>
            <w:r w:rsidR="00F8301A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levels of total bilirubin seen </w:t>
            </w:r>
            <w:r w:rsidR="00375014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to levels of total bilirubin is seen</w:t>
            </w:r>
          </w:p>
          <w:p w14:paraId="154CEBE2" w14:textId="77777777" w:rsidR="00E2602E" w:rsidRPr="00BF1494" w:rsidRDefault="006C4721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lastRenderedPageBreak/>
              <w:t>Paragraph 10. had reported that electrolytes to had reported that electrolyte</w:t>
            </w:r>
          </w:p>
          <w:p w14:paraId="5FEBA621" w14:textId="77777777" w:rsidR="00B834BC" w:rsidRPr="00BF1494" w:rsidRDefault="00E2602E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Paragraph 12. Treatment with TDF containing regimen to Treatment with TDF-containing regimens</w:t>
            </w:r>
          </w:p>
          <w:p w14:paraId="19954536" w14:textId="77777777" w:rsidR="00CB13B0" w:rsidRPr="00BF1494" w:rsidRDefault="00B834BC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Paragraph 14. creatinine are essential </w:t>
            </w:r>
            <w:proofErr w:type="spellStart"/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clininal</w:t>
            </w:r>
            <w:proofErr w:type="spellEnd"/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to creatinine are essential clinical; </w:t>
            </w:r>
            <w:r w:rsidR="00886EBD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by N-</w:t>
            </w:r>
            <w:proofErr w:type="spellStart"/>
            <w:r w:rsidR="00886EBD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acetylglutamate</w:t>
            </w:r>
            <w:proofErr w:type="spellEnd"/>
            <w:r w:rsidR="00886EBD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to by N-acetyl glutamate</w:t>
            </w:r>
            <w:r w:rsidR="004C3902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; activates </w:t>
            </w:r>
            <w:proofErr w:type="spellStart"/>
            <w:r w:rsidR="004C3902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carbanoyl</w:t>
            </w:r>
            <w:proofErr w:type="spellEnd"/>
            <w:r w:rsidR="004C3902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to activates carbamoyl</w:t>
            </w:r>
          </w:p>
          <w:p w14:paraId="2CAA5381" w14:textId="77777777" w:rsidR="00553CE4" w:rsidRPr="00BF1494" w:rsidRDefault="00CB13B0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Paragraph 15. </w:t>
            </w:r>
            <w:r w:rsidR="004227C0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methylation of </w:t>
            </w:r>
            <w:proofErr w:type="spellStart"/>
            <w:r w:rsidR="004227C0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glycoyamine</w:t>
            </w:r>
            <w:proofErr w:type="spellEnd"/>
            <w:r w:rsidR="004227C0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, do you mean glucosamine?</w:t>
            </w:r>
          </w:p>
          <w:p w14:paraId="6A15966E" w14:textId="6775FC23" w:rsidR="007D51CC" w:rsidRPr="00BF1494" w:rsidRDefault="007D51CC" w:rsidP="002410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Paragraph 16. </w:t>
            </w: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serum electrolytes imbalance to serum electrolyte imbalance </w:t>
            </w:r>
          </w:p>
          <w:p w14:paraId="0AEF5F9A" w14:textId="77777777" w:rsidR="00553CE4" w:rsidRPr="00BF1494" w:rsidRDefault="00553CE4" w:rsidP="00553CE4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Conclusion</w:t>
            </w:r>
          </w:p>
          <w:p w14:paraId="6652106C" w14:textId="77777777" w:rsidR="001C29AF" w:rsidRPr="00BF1494" w:rsidRDefault="0016612A" w:rsidP="00553CE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This is well crafted</w:t>
            </w:r>
          </w:p>
          <w:p w14:paraId="205E5204" w14:textId="77777777" w:rsidR="0016612A" w:rsidRPr="00BF1494" w:rsidRDefault="0016612A" w:rsidP="00553CE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exhibit toxic tendency on hepatic to exhibit toxic tendencies in hepatic; </w:t>
            </w:r>
            <w:r w:rsidR="009D5DA4" w:rsidRPr="00BF149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for management to for the management</w:t>
            </w:r>
          </w:p>
          <w:p w14:paraId="4B4189A9" w14:textId="77777777" w:rsidR="008B083E" w:rsidRPr="00BF1494" w:rsidRDefault="008B083E" w:rsidP="008B08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</w:t>
            </w:r>
          </w:p>
          <w:p w14:paraId="086648E2" w14:textId="76058A02" w:rsidR="008B083E" w:rsidRPr="00BF1494" w:rsidRDefault="008B083E" w:rsidP="008B083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06C27F" w14:textId="7675E602" w:rsidR="0072022C" w:rsidRPr="00BF1494" w:rsidRDefault="00553C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ab/>
            </w:r>
          </w:p>
        </w:tc>
      </w:tr>
    </w:tbl>
    <w:p w14:paraId="4D80B5F3" w14:textId="322EE8AE" w:rsidR="0072022C" w:rsidRPr="00BF1494" w:rsidRDefault="0072022C" w:rsidP="007202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24315B" w:rsidRPr="00BF1494" w14:paraId="233E7273" w14:textId="77777777" w:rsidTr="00BF14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7905" w14:textId="77777777" w:rsidR="0024315B" w:rsidRPr="00BF1494" w:rsidRDefault="0024315B" w:rsidP="00BF14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BF149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F149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89E7D6B" w14:textId="77777777" w:rsidR="0024315B" w:rsidRPr="00BF1494" w:rsidRDefault="0024315B" w:rsidP="0024315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315B" w:rsidRPr="00BF1494" w14:paraId="3B394A0E" w14:textId="77777777" w:rsidTr="00BF149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73EE" w14:textId="77777777" w:rsidR="0024315B" w:rsidRPr="00BF1494" w:rsidRDefault="0024315B" w:rsidP="002431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363F" w14:textId="77777777" w:rsidR="0024315B" w:rsidRPr="00BF1494" w:rsidRDefault="0024315B" w:rsidP="002431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9AADEFC" w14:textId="77777777" w:rsidR="0024315B" w:rsidRPr="00BF1494" w:rsidRDefault="0024315B" w:rsidP="002431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F149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F149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4315B" w:rsidRPr="00BF1494" w14:paraId="0B021A55" w14:textId="77777777" w:rsidTr="00BF149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D321" w14:textId="77777777" w:rsidR="0024315B" w:rsidRPr="00BF1494" w:rsidRDefault="0024315B" w:rsidP="0024315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149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8E25CE0" w14:textId="77777777" w:rsidR="0024315B" w:rsidRPr="00BF1494" w:rsidRDefault="0024315B" w:rsidP="002431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C695" w14:textId="77777777" w:rsidR="0024315B" w:rsidRPr="00BF1494" w:rsidRDefault="0024315B" w:rsidP="0024315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14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7FC075D" w14:textId="77777777" w:rsidR="0024315B" w:rsidRPr="00BF1494" w:rsidRDefault="0024315B" w:rsidP="002431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B34E54" w14:textId="77777777" w:rsidR="0024315B" w:rsidRPr="00BF1494" w:rsidRDefault="0024315B" w:rsidP="002431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BD0DAA9" w14:textId="77777777" w:rsidR="0024315B" w:rsidRPr="00BF1494" w:rsidRDefault="0024315B" w:rsidP="002431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615FB0" w14:textId="77777777" w:rsidR="0024315B" w:rsidRPr="00BF1494" w:rsidRDefault="0024315B" w:rsidP="002431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A091B1" w14:textId="77777777" w:rsidR="0024315B" w:rsidRPr="00BF1494" w:rsidRDefault="0024315B" w:rsidP="002431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6AB8D8FD" w14:textId="77777777" w:rsidR="0024315B" w:rsidRPr="00BF1494" w:rsidRDefault="0024315B" w:rsidP="0024315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24315B" w:rsidRPr="00BF1494" w14:paraId="68AE8EF0" w14:textId="77777777" w:rsidTr="003F0C5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C0FD" w14:textId="2A0539FF" w:rsidR="0024315B" w:rsidRPr="00BF1494" w:rsidRDefault="0024315B" w:rsidP="0024315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155E9609" w14:textId="77777777" w:rsidR="0024315B" w:rsidRPr="00BF1494" w:rsidRDefault="0024315B" w:rsidP="0024315B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4315B" w:rsidRPr="00BF1494" w14:paraId="4619B4AF" w14:textId="77777777" w:rsidTr="003F0C52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8BD2" w14:textId="77777777" w:rsidR="0024315B" w:rsidRPr="00BF1494" w:rsidRDefault="0024315B" w:rsidP="002431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A9B7" w14:textId="145860BE" w:rsidR="0024315B" w:rsidRPr="00BF1494" w:rsidRDefault="00BF1494" w:rsidP="002431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F1494">
              <w:rPr>
                <w:rFonts w:ascii="Arial" w:hAnsi="Arial" w:cs="Arial"/>
                <w:b/>
                <w:bCs/>
                <w:sz w:val="20"/>
                <w:szCs w:val="20"/>
              </w:rPr>
              <w:t>Sakariyau</w:t>
            </w:r>
            <w:proofErr w:type="spellEnd"/>
            <w:r w:rsidRPr="00BF14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a. </w:t>
            </w:r>
            <w:proofErr w:type="spellStart"/>
            <w:r w:rsidRPr="00BF1494">
              <w:rPr>
                <w:rFonts w:ascii="Arial" w:hAnsi="Arial" w:cs="Arial"/>
                <w:b/>
                <w:bCs/>
                <w:sz w:val="20"/>
                <w:szCs w:val="20"/>
              </w:rPr>
              <w:t>Waheed</w:t>
            </w:r>
            <w:proofErr w:type="spellEnd"/>
          </w:p>
        </w:tc>
      </w:tr>
      <w:tr w:rsidR="0024315B" w:rsidRPr="00BF1494" w14:paraId="6B5ECD8C" w14:textId="77777777" w:rsidTr="003F0C52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8A4B" w14:textId="77777777" w:rsidR="0024315B" w:rsidRPr="00BF1494" w:rsidRDefault="0024315B" w:rsidP="002431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4E98" w14:textId="4C09AB80" w:rsidR="0024315B" w:rsidRPr="00BF1494" w:rsidRDefault="00BF1494" w:rsidP="00BF14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Old </w:t>
            </w: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Dominion University, </w:t>
            </w: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United </w:t>
            </w: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States</w:t>
            </w: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</w:t>
            </w:r>
            <w:r w:rsidRPr="00BF1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America</w:t>
            </w:r>
          </w:p>
        </w:tc>
      </w:tr>
      <w:bookmarkEnd w:id="4"/>
    </w:tbl>
    <w:p w14:paraId="2F0053C5" w14:textId="77777777" w:rsidR="0024315B" w:rsidRPr="00BF1494" w:rsidRDefault="0024315B" w:rsidP="0024315B">
      <w:pPr>
        <w:rPr>
          <w:rFonts w:ascii="Arial" w:hAnsi="Arial" w:cs="Arial"/>
          <w:sz w:val="20"/>
          <w:szCs w:val="20"/>
        </w:rPr>
      </w:pPr>
    </w:p>
    <w:bookmarkEnd w:id="1"/>
    <w:bookmarkEnd w:id="2"/>
    <w:bookmarkEnd w:id="0"/>
    <w:p w14:paraId="5DD11A2B" w14:textId="77777777" w:rsidR="0072022C" w:rsidRPr="00BF1494" w:rsidRDefault="0072022C" w:rsidP="0072022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2022C" w:rsidRPr="00BF1494" w:rsidSect="0049511F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F7CCA" w14:textId="77777777" w:rsidR="002A25C6" w:rsidRPr="0000007A" w:rsidRDefault="002A25C6" w:rsidP="0099583E">
      <w:r>
        <w:separator/>
      </w:r>
    </w:p>
  </w:endnote>
  <w:endnote w:type="continuationSeparator" w:id="0">
    <w:p w14:paraId="251E1656" w14:textId="77777777" w:rsidR="002A25C6" w:rsidRPr="0000007A" w:rsidRDefault="002A25C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124E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41DF6" w:rsidRPr="00341DF6">
      <w:rPr>
        <w:sz w:val="16"/>
      </w:rPr>
      <w:t xml:space="preserve">Version: </w:t>
    </w:r>
    <w:r w:rsidR="00F24F24">
      <w:rPr>
        <w:sz w:val="16"/>
      </w:rPr>
      <w:t>3</w:t>
    </w:r>
    <w:r w:rsidR="00341DF6" w:rsidRPr="00341DF6">
      <w:rPr>
        <w:sz w:val="16"/>
      </w:rPr>
      <w:t xml:space="preserve"> (0</w:t>
    </w:r>
    <w:r w:rsidR="00F24F24">
      <w:rPr>
        <w:sz w:val="16"/>
      </w:rPr>
      <w:t>7</w:t>
    </w:r>
    <w:r w:rsidR="00341DF6" w:rsidRPr="00341DF6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F8CEC" w14:textId="77777777" w:rsidR="002A25C6" w:rsidRPr="0000007A" w:rsidRDefault="002A25C6" w:rsidP="0099583E">
      <w:r>
        <w:separator/>
      </w:r>
    </w:p>
  </w:footnote>
  <w:footnote w:type="continuationSeparator" w:id="0">
    <w:p w14:paraId="7DDC5133" w14:textId="77777777" w:rsidR="002A25C6" w:rsidRPr="0000007A" w:rsidRDefault="002A25C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A42A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DEBE16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24F2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B3875"/>
    <w:multiLevelType w:val="hybridMultilevel"/>
    <w:tmpl w:val="34CA9872"/>
    <w:lvl w:ilvl="0" w:tplc="40B82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7A"/>
    <w:rsid w:val="0000007A"/>
    <w:rsid w:val="00006187"/>
    <w:rsid w:val="00010403"/>
    <w:rsid w:val="0001097F"/>
    <w:rsid w:val="00012C8B"/>
    <w:rsid w:val="000200BB"/>
    <w:rsid w:val="00021981"/>
    <w:rsid w:val="000234E1"/>
    <w:rsid w:val="0002598E"/>
    <w:rsid w:val="000317D1"/>
    <w:rsid w:val="00037D52"/>
    <w:rsid w:val="000450FC"/>
    <w:rsid w:val="00050C0F"/>
    <w:rsid w:val="00056CB0"/>
    <w:rsid w:val="000577C2"/>
    <w:rsid w:val="0006257C"/>
    <w:rsid w:val="000667C6"/>
    <w:rsid w:val="000714C6"/>
    <w:rsid w:val="00072866"/>
    <w:rsid w:val="00077392"/>
    <w:rsid w:val="00081580"/>
    <w:rsid w:val="00084D7C"/>
    <w:rsid w:val="000878F2"/>
    <w:rsid w:val="00091112"/>
    <w:rsid w:val="000916C9"/>
    <w:rsid w:val="000936AC"/>
    <w:rsid w:val="0009425D"/>
    <w:rsid w:val="00095A59"/>
    <w:rsid w:val="000A2134"/>
    <w:rsid w:val="000A6F41"/>
    <w:rsid w:val="000B4EE5"/>
    <w:rsid w:val="000B74A1"/>
    <w:rsid w:val="000B757E"/>
    <w:rsid w:val="000C0837"/>
    <w:rsid w:val="000C3B7E"/>
    <w:rsid w:val="000E5703"/>
    <w:rsid w:val="00100577"/>
    <w:rsid w:val="00101322"/>
    <w:rsid w:val="001020B2"/>
    <w:rsid w:val="001066EF"/>
    <w:rsid w:val="00117968"/>
    <w:rsid w:val="001227D1"/>
    <w:rsid w:val="00136984"/>
    <w:rsid w:val="00144521"/>
    <w:rsid w:val="00150304"/>
    <w:rsid w:val="001516A1"/>
    <w:rsid w:val="0015296D"/>
    <w:rsid w:val="00153C3A"/>
    <w:rsid w:val="00153D1E"/>
    <w:rsid w:val="00154A99"/>
    <w:rsid w:val="00163622"/>
    <w:rsid w:val="001645A2"/>
    <w:rsid w:val="00164F4E"/>
    <w:rsid w:val="00165685"/>
    <w:rsid w:val="0016612A"/>
    <w:rsid w:val="0017480A"/>
    <w:rsid w:val="001766DF"/>
    <w:rsid w:val="00184644"/>
    <w:rsid w:val="0018753A"/>
    <w:rsid w:val="0019126B"/>
    <w:rsid w:val="001946E0"/>
    <w:rsid w:val="0019527A"/>
    <w:rsid w:val="00197E68"/>
    <w:rsid w:val="001A1605"/>
    <w:rsid w:val="001B0C63"/>
    <w:rsid w:val="001C29AF"/>
    <w:rsid w:val="001D3A1D"/>
    <w:rsid w:val="001E2D71"/>
    <w:rsid w:val="001E4418"/>
    <w:rsid w:val="001E4B3D"/>
    <w:rsid w:val="001E7A0D"/>
    <w:rsid w:val="001F24FF"/>
    <w:rsid w:val="001F2913"/>
    <w:rsid w:val="001F33FC"/>
    <w:rsid w:val="001F4A8C"/>
    <w:rsid w:val="001F707F"/>
    <w:rsid w:val="002011F3"/>
    <w:rsid w:val="00201B85"/>
    <w:rsid w:val="00202E80"/>
    <w:rsid w:val="002045B9"/>
    <w:rsid w:val="00207415"/>
    <w:rsid w:val="002105F7"/>
    <w:rsid w:val="00220111"/>
    <w:rsid w:val="0022369C"/>
    <w:rsid w:val="00224826"/>
    <w:rsid w:val="00230DB3"/>
    <w:rsid w:val="002320EB"/>
    <w:rsid w:val="0023696A"/>
    <w:rsid w:val="00241039"/>
    <w:rsid w:val="002422CB"/>
    <w:rsid w:val="0024315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4D56"/>
    <w:rsid w:val="002A05DF"/>
    <w:rsid w:val="002A25C6"/>
    <w:rsid w:val="002D7955"/>
    <w:rsid w:val="002D7EA9"/>
    <w:rsid w:val="002E1211"/>
    <w:rsid w:val="002E2339"/>
    <w:rsid w:val="002E6D86"/>
    <w:rsid w:val="002F10DB"/>
    <w:rsid w:val="002F6935"/>
    <w:rsid w:val="00304669"/>
    <w:rsid w:val="00304CA6"/>
    <w:rsid w:val="00312559"/>
    <w:rsid w:val="00314F8B"/>
    <w:rsid w:val="003204B8"/>
    <w:rsid w:val="00322474"/>
    <w:rsid w:val="0033692F"/>
    <w:rsid w:val="00341DF6"/>
    <w:rsid w:val="00346223"/>
    <w:rsid w:val="00360DA7"/>
    <w:rsid w:val="00361B61"/>
    <w:rsid w:val="003656E1"/>
    <w:rsid w:val="00375014"/>
    <w:rsid w:val="00390FDA"/>
    <w:rsid w:val="00397116"/>
    <w:rsid w:val="003A04E7"/>
    <w:rsid w:val="003A4991"/>
    <w:rsid w:val="003A5E93"/>
    <w:rsid w:val="003A6E1A"/>
    <w:rsid w:val="003B2172"/>
    <w:rsid w:val="003D7B08"/>
    <w:rsid w:val="003E6F00"/>
    <w:rsid w:val="003E746A"/>
    <w:rsid w:val="004227C0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66B"/>
    <w:rsid w:val="00483896"/>
    <w:rsid w:val="0049511F"/>
    <w:rsid w:val="004B4CAD"/>
    <w:rsid w:val="004B4FDC"/>
    <w:rsid w:val="004B5AA6"/>
    <w:rsid w:val="004B6542"/>
    <w:rsid w:val="004C3902"/>
    <w:rsid w:val="004C3DF1"/>
    <w:rsid w:val="004C3E49"/>
    <w:rsid w:val="004C62BE"/>
    <w:rsid w:val="004D2E36"/>
    <w:rsid w:val="004D5093"/>
    <w:rsid w:val="004F287C"/>
    <w:rsid w:val="004F468E"/>
    <w:rsid w:val="00503AB6"/>
    <w:rsid w:val="005047C5"/>
    <w:rsid w:val="00510920"/>
    <w:rsid w:val="00515103"/>
    <w:rsid w:val="00517543"/>
    <w:rsid w:val="00521812"/>
    <w:rsid w:val="00523D2C"/>
    <w:rsid w:val="00531C82"/>
    <w:rsid w:val="005339A8"/>
    <w:rsid w:val="00533FC1"/>
    <w:rsid w:val="0054564B"/>
    <w:rsid w:val="00545A13"/>
    <w:rsid w:val="00546343"/>
    <w:rsid w:val="00553CE4"/>
    <w:rsid w:val="00557CD3"/>
    <w:rsid w:val="00560D3C"/>
    <w:rsid w:val="005612BE"/>
    <w:rsid w:val="00565B89"/>
    <w:rsid w:val="00567DE0"/>
    <w:rsid w:val="005735A5"/>
    <w:rsid w:val="00580EB4"/>
    <w:rsid w:val="00591FD2"/>
    <w:rsid w:val="005A5BE0"/>
    <w:rsid w:val="005B12E0"/>
    <w:rsid w:val="005C0B00"/>
    <w:rsid w:val="005C25A0"/>
    <w:rsid w:val="005D230D"/>
    <w:rsid w:val="005D55BE"/>
    <w:rsid w:val="005E2749"/>
    <w:rsid w:val="005E472E"/>
    <w:rsid w:val="00602F7D"/>
    <w:rsid w:val="00605952"/>
    <w:rsid w:val="00616A18"/>
    <w:rsid w:val="00620677"/>
    <w:rsid w:val="00624032"/>
    <w:rsid w:val="00645A56"/>
    <w:rsid w:val="006532DF"/>
    <w:rsid w:val="0065579D"/>
    <w:rsid w:val="00663792"/>
    <w:rsid w:val="0067046C"/>
    <w:rsid w:val="00676698"/>
    <w:rsid w:val="00676845"/>
    <w:rsid w:val="00680547"/>
    <w:rsid w:val="0068446F"/>
    <w:rsid w:val="0069428E"/>
    <w:rsid w:val="00696CAD"/>
    <w:rsid w:val="006A5E0B"/>
    <w:rsid w:val="006A7B79"/>
    <w:rsid w:val="006C3797"/>
    <w:rsid w:val="006C4721"/>
    <w:rsid w:val="006E7D6E"/>
    <w:rsid w:val="006F6F2F"/>
    <w:rsid w:val="00701186"/>
    <w:rsid w:val="00707BE1"/>
    <w:rsid w:val="00715F2A"/>
    <w:rsid w:val="0072022C"/>
    <w:rsid w:val="007238EB"/>
    <w:rsid w:val="0072789A"/>
    <w:rsid w:val="007317C3"/>
    <w:rsid w:val="00734756"/>
    <w:rsid w:val="0073538B"/>
    <w:rsid w:val="00741BD0"/>
    <w:rsid w:val="00742557"/>
    <w:rsid w:val="007426E6"/>
    <w:rsid w:val="00746370"/>
    <w:rsid w:val="00766889"/>
    <w:rsid w:val="00766A0D"/>
    <w:rsid w:val="00767F8C"/>
    <w:rsid w:val="00775130"/>
    <w:rsid w:val="00780B67"/>
    <w:rsid w:val="007B1099"/>
    <w:rsid w:val="007B6E18"/>
    <w:rsid w:val="007D0246"/>
    <w:rsid w:val="007D51CC"/>
    <w:rsid w:val="007F5873"/>
    <w:rsid w:val="00806382"/>
    <w:rsid w:val="0081451C"/>
    <w:rsid w:val="00815F94"/>
    <w:rsid w:val="008177F5"/>
    <w:rsid w:val="0082130C"/>
    <w:rsid w:val="008224E2"/>
    <w:rsid w:val="00825DC9"/>
    <w:rsid w:val="0082676D"/>
    <w:rsid w:val="00831055"/>
    <w:rsid w:val="008336A3"/>
    <w:rsid w:val="008423BB"/>
    <w:rsid w:val="00846F1F"/>
    <w:rsid w:val="008520BB"/>
    <w:rsid w:val="0087201B"/>
    <w:rsid w:val="008753F3"/>
    <w:rsid w:val="00877F10"/>
    <w:rsid w:val="00882091"/>
    <w:rsid w:val="008837A2"/>
    <w:rsid w:val="00886EBD"/>
    <w:rsid w:val="008913D5"/>
    <w:rsid w:val="00893E75"/>
    <w:rsid w:val="008B083E"/>
    <w:rsid w:val="008B7D90"/>
    <w:rsid w:val="008C2778"/>
    <w:rsid w:val="008C2F62"/>
    <w:rsid w:val="008D020E"/>
    <w:rsid w:val="008D1117"/>
    <w:rsid w:val="008D15A4"/>
    <w:rsid w:val="008E123A"/>
    <w:rsid w:val="008E6595"/>
    <w:rsid w:val="008F36E4"/>
    <w:rsid w:val="008F5801"/>
    <w:rsid w:val="00933C8B"/>
    <w:rsid w:val="00942FA8"/>
    <w:rsid w:val="009553EC"/>
    <w:rsid w:val="00960563"/>
    <w:rsid w:val="00973234"/>
    <w:rsid w:val="0097330E"/>
    <w:rsid w:val="00974330"/>
    <w:rsid w:val="0097498C"/>
    <w:rsid w:val="00982766"/>
    <w:rsid w:val="0098295B"/>
    <w:rsid w:val="009852C4"/>
    <w:rsid w:val="00985F26"/>
    <w:rsid w:val="0098620C"/>
    <w:rsid w:val="00995687"/>
    <w:rsid w:val="0099583E"/>
    <w:rsid w:val="009A0242"/>
    <w:rsid w:val="009A59ED"/>
    <w:rsid w:val="009B0B41"/>
    <w:rsid w:val="009B5298"/>
    <w:rsid w:val="009B5AA8"/>
    <w:rsid w:val="009C45A0"/>
    <w:rsid w:val="009C5642"/>
    <w:rsid w:val="009D5DA4"/>
    <w:rsid w:val="009E13C3"/>
    <w:rsid w:val="009E6A30"/>
    <w:rsid w:val="009E79E5"/>
    <w:rsid w:val="009F06AE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0C5C"/>
    <w:rsid w:val="00A6343B"/>
    <w:rsid w:val="00A65C50"/>
    <w:rsid w:val="00A66DD2"/>
    <w:rsid w:val="00A6792D"/>
    <w:rsid w:val="00A7556D"/>
    <w:rsid w:val="00A773E4"/>
    <w:rsid w:val="00A85A1C"/>
    <w:rsid w:val="00A85F5D"/>
    <w:rsid w:val="00AA41B3"/>
    <w:rsid w:val="00AA5E48"/>
    <w:rsid w:val="00AA6670"/>
    <w:rsid w:val="00AB0E53"/>
    <w:rsid w:val="00AB1ED6"/>
    <w:rsid w:val="00AB397D"/>
    <w:rsid w:val="00AB638A"/>
    <w:rsid w:val="00AB6E43"/>
    <w:rsid w:val="00AB70C5"/>
    <w:rsid w:val="00AC1349"/>
    <w:rsid w:val="00AC27AB"/>
    <w:rsid w:val="00AC3591"/>
    <w:rsid w:val="00AD6C51"/>
    <w:rsid w:val="00AE0A4B"/>
    <w:rsid w:val="00AE3EDA"/>
    <w:rsid w:val="00AF3016"/>
    <w:rsid w:val="00B03A45"/>
    <w:rsid w:val="00B053E5"/>
    <w:rsid w:val="00B05C48"/>
    <w:rsid w:val="00B205C0"/>
    <w:rsid w:val="00B2236C"/>
    <w:rsid w:val="00B22FE6"/>
    <w:rsid w:val="00B23AC5"/>
    <w:rsid w:val="00B3033D"/>
    <w:rsid w:val="00B356AF"/>
    <w:rsid w:val="00B62087"/>
    <w:rsid w:val="00B62F41"/>
    <w:rsid w:val="00B73785"/>
    <w:rsid w:val="00B760E1"/>
    <w:rsid w:val="00B807F8"/>
    <w:rsid w:val="00B834BC"/>
    <w:rsid w:val="00B85368"/>
    <w:rsid w:val="00B858FF"/>
    <w:rsid w:val="00BA1AB3"/>
    <w:rsid w:val="00BA5D17"/>
    <w:rsid w:val="00BA6421"/>
    <w:rsid w:val="00BB34E6"/>
    <w:rsid w:val="00BB3E84"/>
    <w:rsid w:val="00BB4FEC"/>
    <w:rsid w:val="00BC1729"/>
    <w:rsid w:val="00BC402F"/>
    <w:rsid w:val="00BC5707"/>
    <w:rsid w:val="00BD2632"/>
    <w:rsid w:val="00BD27BA"/>
    <w:rsid w:val="00BD3100"/>
    <w:rsid w:val="00BE13EF"/>
    <w:rsid w:val="00BE40A5"/>
    <w:rsid w:val="00BE6454"/>
    <w:rsid w:val="00BF1494"/>
    <w:rsid w:val="00BF39A4"/>
    <w:rsid w:val="00C02797"/>
    <w:rsid w:val="00C0396D"/>
    <w:rsid w:val="00C10283"/>
    <w:rsid w:val="00C110CC"/>
    <w:rsid w:val="00C22886"/>
    <w:rsid w:val="00C2419F"/>
    <w:rsid w:val="00C25C8F"/>
    <w:rsid w:val="00C25EA2"/>
    <w:rsid w:val="00C263C6"/>
    <w:rsid w:val="00C26878"/>
    <w:rsid w:val="00C31CB2"/>
    <w:rsid w:val="00C635B6"/>
    <w:rsid w:val="00C70DFC"/>
    <w:rsid w:val="00C77A53"/>
    <w:rsid w:val="00C80391"/>
    <w:rsid w:val="00C82466"/>
    <w:rsid w:val="00C84097"/>
    <w:rsid w:val="00C84422"/>
    <w:rsid w:val="00C84EB5"/>
    <w:rsid w:val="00C85307"/>
    <w:rsid w:val="00C90C25"/>
    <w:rsid w:val="00C97D92"/>
    <w:rsid w:val="00CA47E6"/>
    <w:rsid w:val="00CA6426"/>
    <w:rsid w:val="00CB13B0"/>
    <w:rsid w:val="00CB429B"/>
    <w:rsid w:val="00CB5448"/>
    <w:rsid w:val="00CC2753"/>
    <w:rsid w:val="00CD093E"/>
    <w:rsid w:val="00CD1556"/>
    <w:rsid w:val="00CD1FD7"/>
    <w:rsid w:val="00CE199A"/>
    <w:rsid w:val="00CE56FD"/>
    <w:rsid w:val="00CE5AC7"/>
    <w:rsid w:val="00CF0BBB"/>
    <w:rsid w:val="00CF5AEB"/>
    <w:rsid w:val="00D1283A"/>
    <w:rsid w:val="00D17979"/>
    <w:rsid w:val="00D2075F"/>
    <w:rsid w:val="00D23DAE"/>
    <w:rsid w:val="00D3257B"/>
    <w:rsid w:val="00D37F8C"/>
    <w:rsid w:val="00D40416"/>
    <w:rsid w:val="00D45CF7"/>
    <w:rsid w:val="00D4782A"/>
    <w:rsid w:val="00D6761B"/>
    <w:rsid w:val="00D724A6"/>
    <w:rsid w:val="00D7603E"/>
    <w:rsid w:val="00D8579C"/>
    <w:rsid w:val="00D90124"/>
    <w:rsid w:val="00D9392F"/>
    <w:rsid w:val="00DA41F5"/>
    <w:rsid w:val="00DB541E"/>
    <w:rsid w:val="00DB5B54"/>
    <w:rsid w:val="00DB5F0D"/>
    <w:rsid w:val="00DB7E1B"/>
    <w:rsid w:val="00DC1D81"/>
    <w:rsid w:val="00DD0126"/>
    <w:rsid w:val="00DE0D9E"/>
    <w:rsid w:val="00E005E5"/>
    <w:rsid w:val="00E00B3B"/>
    <w:rsid w:val="00E01F62"/>
    <w:rsid w:val="00E249D8"/>
    <w:rsid w:val="00E2602E"/>
    <w:rsid w:val="00E43455"/>
    <w:rsid w:val="00E451EA"/>
    <w:rsid w:val="00E45F5D"/>
    <w:rsid w:val="00E47BF4"/>
    <w:rsid w:val="00E5354A"/>
    <w:rsid w:val="00E53E52"/>
    <w:rsid w:val="00E57F4B"/>
    <w:rsid w:val="00E63889"/>
    <w:rsid w:val="00E65EB7"/>
    <w:rsid w:val="00E71C8D"/>
    <w:rsid w:val="00E72360"/>
    <w:rsid w:val="00E972A7"/>
    <w:rsid w:val="00EA2839"/>
    <w:rsid w:val="00EA2FB7"/>
    <w:rsid w:val="00EA7B10"/>
    <w:rsid w:val="00EB3E91"/>
    <w:rsid w:val="00EC02F9"/>
    <w:rsid w:val="00EC1D89"/>
    <w:rsid w:val="00EC6894"/>
    <w:rsid w:val="00ED6B12"/>
    <w:rsid w:val="00EE0D3E"/>
    <w:rsid w:val="00EE3649"/>
    <w:rsid w:val="00EF1A64"/>
    <w:rsid w:val="00EF326D"/>
    <w:rsid w:val="00EF53FE"/>
    <w:rsid w:val="00EF764F"/>
    <w:rsid w:val="00F14367"/>
    <w:rsid w:val="00F245A7"/>
    <w:rsid w:val="00F24F24"/>
    <w:rsid w:val="00F25BCF"/>
    <w:rsid w:val="00F2643C"/>
    <w:rsid w:val="00F3295A"/>
    <w:rsid w:val="00F34D8E"/>
    <w:rsid w:val="00F3669D"/>
    <w:rsid w:val="00F405F8"/>
    <w:rsid w:val="00F41154"/>
    <w:rsid w:val="00F421B6"/>
    <w:rsid w:val="00F4700F"/>
    <w:rsid w:val="00F47EE5"/>
    <w:rsid w:val="00F51F7F"/>
    <w:rsid w:val="00F573EA"/>
    <w:rsid w:val="00F57E9D"/>
    <w:rsid w:val="00F60207"/>
    <w:rsid w:val="00F76DDF"/>
    <w:rsid w:val="00F8301A"/>
    <w:rsid w:val="00F91BE2"/>
    <w:rsid w:val="00F94EDC"/>
    <w:rsid w:val="00FA6528"/>
    <w:rsid w:val="00FB15BD"/>
    <w:rsid w:val="00FC2E17"/>
    <w:rsid w:val="00FC5690"/>
    <w:rsid w:val="00FC6387"/>
    <w:rsid w:val="00FC6802"/>
    <w:rsid w:val="00FC6E01"/>
    <w:rsid w:val="00FD70A7"/>
    <w:rsid w:val="00FE7031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05D5B"/>
  <w15:chartTrackingRefBased/>
  <w15:docId w15:val="{698B9C14-E460-4E37-AB3B-1B3869AC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B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bgmb.com/index.php/AJBGM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7960-F8EA-4E9F-A42A-5C5EAFA0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https://journalajbgmb.com/index.php/AJBGMB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1039</cp:lastModifiedBy>
  <cp:revision>163</cp:revision>
  <dcterms:created xsi:type="dcterms:W3CDTF">2024-12-20T16:10:00Z</dcterms:created>
  <dcterms:modified xsi:type="dcterms:W3CDTF">2025-11-04T08:03:00Z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beb44a6be6f6a210221d308831dd6acce39ca084c784e411d91f0b914e1bdbca</vt:lpwstr>
  </property>
</Properties>
</file>