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2B5B5" w14:textId="77777777" w:rsidR="00634D60" w:rsidRDefault="00FD5CBC" w:rsidP="003764D1">
      <w:pPr>
        <w:spacing w:after="0" w:line="276" w:lineRule="auto"/>
        <w:jc w:val="center"/>
      </w:pPr>
      <w:r>
        <w:rPr>
          <w:b/>
          <w:u w:val="single" w:color="000000"/>
        </w:rPr>
        <w:t xml:space="preserve">Evaluation of the insecticidal and repellent potential of </w:t>
      </w:r>
      <w:r>
        <w:rPr>
          <w:b/>
          <w:i/>
          <w:u w:val="single" w:color="000000"/>
        </w:rPr>
        <w:t xml:space="preserve">Cymbopogon schoenanthus </w:t>
      </w:r>
      <w:r>
        <w:rPr>
          <w:b/>
          <w:u w:val="single" w:color="000000"/>
        </w:rPr>
        <w:t>L.</w:t>
      </w:r>
    </w:p>
    <w:p w14:paraId="1341B9D9" w14:textId="77777777" w:rsidR="00634D60" w:rsidRDefault="00FD5CBC" w:rsidP="003764D1">
      <w:pPr>
        <w:spacing w:after="0" w:line="276" w:lineRule="auto"/>
        <w:jc w:val="center"/>
      </w:pPr>
      <w:r>
        <w:rPr>
          <w:b/>
          <w:u w:val="single" w:color="000000"/>
        </w:rPr>
        <w:t xml:space="preserve">(Spreng) essential oil and </w:t>
      </w:r>
      <w:r>
        <w:rPr>
          <w:b/>
          <w:i/>
          <w:u w:val="single" w:color="000000"/>
        </w:rPr>
        <w:t xml:space="preserve">Azadirachta indica </w:t>
      </w:r>
      <w:r>
        <w:rPr>
          <w:b/>
          <w:u w:val="single" w:color="000000"/>
        </w:rPr>
        <w:t xml:space="preserve">seed oil on adults of </w:t>
      </w:r>
      <w:r>
        <w:rPr>
          <w:b/>
          <w:i/>
          <w:u w:val="single" w:color="000000"/>
        </w:rPr>
        <w:t>Cletus ochraceus</w:t>
      </w:r>
    </w:p>
    <w:p w14:paraId="5B836C2F" w14:textId="77777777" w:rsidR="00634D60" w:rsidRDefault="00FD5CBC" w:rsidP="003764D1">
      <w:pPr>
        <w:spacing w:after="0" w:line="276" w:lineRule="auto"/>
        <w:jc w:val="center"/>
      </w:pPr>
      <w:r>
        <w:rPr>
          <w:b/>
          <w:u w:val="single" w:color="000000"/>
        </w:rPr>
        <w:t>(</w:t>
      </w:r>
      <w:r>
        <w:rPr>
          <w:b/>
          <w:i/>
          <w:u w:val="single" w:color="000000"/>
        </w:rPr>
        <w:t>Hemiptera</w:t>
      </w:r>
      <w:r>
        <w:rPr>
          <w:b/>
          <w:u w:val="single" w:color="000000"/>
        </w:rPr>
        <w:t>: Coreidae), a pest of cashew trees in Togo</w:t>
      </w:r>
    </w:p>
    <w:p w14:paraId="29DE7B06" w14:textId="77777777" w:rsidR="00E41F0C" w:rsidRDefault="00E41F0C" w:rsidP="003764D1">
      <w:pPr>
        <w:rPr>
          <w:b/>
        </w:rPr>
      </w:pPr>
    </w:p>
    <w:p w14:paraId="6C4CA2A4" w14:textId="24DC1355" w:rsidR="00634D60" w:rsidRPr="003764D1" w:rsidRDefault="00FD5CBC" w:rsidP="003764D1">
      <w:pPr>
        <w:rPr>
          <w:b/>
        </w:rPr>
      </w:pPr>
      <w:r w:rsidRPr="003764D1">
        <w:rPr>
          <w:b/>
        </w:rPr>
        <w:t xml:space="preserve">Abstract </w:t>
      </w:r>
    </w:p>
    <w:p w14:paraId="2933BE24" w14:textId="7A4BB30E" w:rsidR="008852B8" w:rsidRPr="003A1FCA" w:rsidRDefault="00FD5CBC" w:rsidP="000917ED">
      <w:pPr>
        <w:spacing w:after="0" w:line="240" w:lineRule="auto"/>
      </w:pPr>
      <w:r>
        <w:rPr>
          <w:i/>
        </w:rPr>
        <w:t xml:space="preserve">Cletus ochraceus </w:t>
      </w:r>
      <w:r>
        <w:t>is one of the most harmful pests affecting cashew trees in Togo.</w:t>
      </w:r>
      <w:r w:rsidR="003A1FCA">
        <w:t xml:space="preserve"> </w:t>
      </w:r>
      <w:r w:rsidR="003A1FCA" w:rsidRPr="003A1FCA">
        <w:t>Currently</w:t>
      </w:r>
      <w:r w:rsidR="000917ED">
        <w:t>,</w:t>
      </w:r>
    </w:p>
    <w:p w14:paraId="03F2B438" w14:textId="50C7DDF9" w:rsidR="003A1FCA" w:rsidRDefault="008852B8" w:rsidP="000917ED">
      <w:pPr>
        <w:spacing w:after="0" w:line="240" w:lineRule="auto"/>
        <w:ind w:left="14" w:firstLine="0"/>
      </w:pPr>
      <w:r>
        <w:t>the</w:t>
      </w:r>
      <w:r w:rsidR="00FD5CBC">
        <w:t xml:space="preserve"> only method of controlling this pest is through chemical control, which</w:t>
      </w:r>
      <w:r w:rsidR="00D5227F">
        <w:t>,</w:t>
      </w:r>
      <w:r w:rsidR="00FD5CBC">
        <w:t xml:space="preserve"> unfortunately</w:t>
      </w:r>
      <w:r w:rsidR="00D5227F">
        <w:t>,</w:t>
      </w:r>
      <w:r w:rsidR="00FD5CBC">
        <w:t xml:space="preserve"> has serious consequences for human health and the environment.</w:t>
      </w:r>
      <w:r w:rsidR="003A1FCA">
        <w:t xml:space="preserve"> </w:t>
      </w:r>
      <w:commentRangeStart w:id="0"/>
      <w:r w:rsidR="003A1FCA" w:rsidRPr="003A1FCA">
        <w:t xml:space="preserve">In order to </w:t>
      </w:r>
      <w:commentRangeEnd w:id="0"/>
      <w:r w:rsidR="007D7CCD">
        <w:rPr>
          <w:rStyle w:val="CommentReference"/>
          <w:rtl/>
        </w:rPr>
        <w:commentReference w:id="0"/>
      </w:r>
      <w:r w:rsidR="003A1FCA" w:rsidRPr="003A1FCA">
        <w:t xml:space="preserve">find an alternative to the use of synthetic chemical pesticides, the insecticidal and repellent properties of </w:t>
      </w:r>
      <w:r w:rsidR="003A1FCA" w:rsidRPr="003A1FCA">
        <w:rPr>
          <w:i/>
        </w:rPr>
        <w:t xml:space="preserve">Cymbopogon schoenanthus </w:t>
      </w:r>
      <w:r w:rsidR="003A1FCA" w:rsidRPr="003A1FCA">
        <w:t>essential oil and neem seed oil (</w:t>
      </w:r>
      <w:r w:rsidR="003A1FCA" w:rsidRPr="003A1FCA">
        <w:rPr>
          <w:i/>
        </w:rPr>
        <w:t>Azadirachta indica</w:t>
      </w:r>
      <w:r w:rsidR="003A1FCA" w:rsidRPr="003A1FCA">
        <w:t xml:space="preserve">) were evaluated on </w:t>
      </w:r>
      <w:r w:rsidR="003A1FCA" w:rsidRPr="003A1FCA">
        <w:rPr>
          <w:i/>
        </w:rPr>
        <w:t xml:space="preserve">Cletus ochraceus </w:t>
      </w:r>
      <w:r w:rsidR="003A1FCA" w:rsidRPr="003A1FCA">
        <w:t xml:space="preserve">adults </w:t>
      </w:r>
      <w:r w:rsidR="003A1FCA" w:rsidRPr="003A1FCA">
        <w:rPr>
          <w:i/>
        </w:rPr>
        <w:t xml:space="preserve">in vitro </w:t>
      </w:r>
      <w:r w:rsidR="003A1FCA" w:rsidRPr="003A1FCA">
        <w:t>by contact</w:t>
      </w:r>
      <w:r w:rsidR="003A1FCA" w:rsidRPr="003A1FCA">
        <w:rPr>
          <w:i/>
        </w:rPr>
        <w:t xml:space="preserve">. </w:t>
      </w:r>
      <w:commentRangeStart w:id="1"/>
      <w:r w:rsidR="003A1FCA" w:rsidRPr="003A1FCA">
        <w:t>After preliminary tests of each oil and their combination, five concentrations of these oils and their equivolume mixture were selected and prepared at a rate of four replicates per concentration.</w:t>
      </w:r>
      <w:commentRangeEnd w:id="1"/>
      <w:r w:rsidR="00FB4BA3">
        <w:rPr>
          <w:rStyle w:val="CommentReference"/>
        </w:rPr>
        <w:commentReference w:id="1"/>
      </w:r>
      <w:r w:rsidR="003A1FCA" w:rsidRPr="003A1FCA">
        <w:t xml:space="preserve"> </w:t>
      </w:r>
      <w:commentRangeStart w:id="2"/>
      <w:r w:rsidR="003A1FCA" w:rsidRPr="003A1FCA">
        <w:t xml:space="preserve">The insecticide tests were carried out by spraying the solutions directly onto the insects. The repellence test was carried out using the preferred area method on filter paper, followed by </w:t>
      </w:r>
      <w:commentRangeStart w:id="3"/>
      <w:r w:rsidR="003A1FCA" w:rsidRPr="003A1FCA">
        <w:t>determination</w:t>
      </w:r>
      <w:commentRangeEnd w:id="3"/>
      <w:r w:rsidR="000917ED">
        <w:rPr>
          <w:rStyle w:val="CommentReference"/>
        </w:rPr>
        <w:commentReference w:id="3"/>
      </w:r>
      <w:r w:rsidR="003A1FCA" w:rsidRPr="003A1FCA">
        <w:t xml:space="preserve"> of the percentage of </w:t>
      </w:r>
      <w:r w:rsidR="003A1FCA" w:rsidRPr="003A1FCA">
        <w:rPr>
          <w:i/>
        </w:rPr>
        <w:t xml:space="preserve">Cletus </w:t>
      </w:r>
      <w:r w:rsidR="003A1FCA" w:rsidRPr="003A1FCA">
        <w:t>present in the treated area.</w:t>
      </w:r>
      <w:commentRangeEnd w:id="2"/>
      <w:r w:rsidR="00BC35D2">
        <w:rPr>
          <w:rStyle w:val="CommentReference"/>
        </w:rPr>
        <w:commentReference w:id="2"/>
      </w:r>
      <w:r w:rsidR="003A1FCA" w:rsidRPr="003A1FCA">
        <w:t xml:space="preserve"> Each of the extract concentrations was applied to half of a piece of blotting paper placed in a 9 cm diameter Petri dish on which 10 </w:t>
      </w:r>
      <w:r w:rsidR="003A1FCA" w:rsidRPr="003A1FCA">
        <w:rPr>
          <w:i/>
        </w:rPr>
        <w:t xml:space="preserve">Cletus </w:t>
      </w:r>
      <w:r w:rsidR="003A1FCA" w:rsidRPr="003A1FCA">
        <w:t>were placed. When applied by contact, the combination of C</w:t>
      </w:r>
      <w:r w:rsidR="003A1FCA" w:rsidRPr="003A1FCA">
        <w:rPr>
          <w:i/>
        </w:rPr>
        <w:t xml:space="preserve">. schoenanthus </w:t>
      </w:r>
      <w:r w:rsidR="003A1FCA" w:rsidRPr="003A1FCA">
        <w:t>and A</w:t>
      </w:r>
      <w:r w:rsidR="003A1FCA" w:rsidRPr="003A1FCA">
        <w:rPr>
          <w:i/>
        </w:rPr>
        <w:t xml:space="preserve">. indica </w:t>
      </w:r>
      <w:r w:rsidR="003A1FCA" w:rsidRPr="003A1FCA">
        <w:t>oils showed moderate toxic activity (LC₅₀ = 20.7 µl.ml⁻¹),</w:t>
      </w:r>
      <w:r w:rsidR="003A1FCA">
        <w:t xml:space="preserve"> </w:t>
      </w:r>
      <w:r w:rsidR="003A1FCA" w:rsidRPr="003A1FCA">
        <w:t>proving to be more effective than neem oil alone</w:t>
      </w:r>
      <w:r w:rsidR="003A1FCA">
        <w:t xml:space="preserve"> </w:t>
      </w:r>
      <w:r w:rsidR="003A1FCA" w:rsidRPr="003A1FCA">
        <w:t>(LC₅₀ = 40.5 µl.ml⁻</w:t>
      </w:r>
      <w:r w:rsidR="00447D61" w:rsidRPr="003A1FCA">
        <w:t>¹</w:t>
      </w:r>
      <w:r w:rsidR="00447D61" w:rsidRPr="003A1FCA">
        <w:rPr>
          <w:vertAlign w:val="superscript"/>
        </w:rPr>
        <w:t>)</w:t>
      </w:r>
      <w:r w:rsidR="003A1FCA" w:rsidRPr="003A1FCA">
        <w:rPr>
          <w:vertAlign w:val="superscript"/>
        </w:rPr>
        <w:t>,</w:t>
      </w:r>
      <w:r w:rsidR="00447D61">
        <w:rPr>
          <w:vertAlign w:val="superscript"/>
        </w:rPr>
        <w:t xml:space="preserve"> </w:t>
      </w:r>
      <w:r w:rsidR="003A1FCA" w:rsidRPr="003A1FCA">
        <w:t xml:space="preserve">but less effective than C. </w:t>
      </w:r>
      <w:r w:rsidR="003A1FCA" w:rsidRPr="003A1FCA">
        <w:rPr>
          <w:i/>
        </w:rPr>
        <w:t>schoenanthus</w:t>
      </w:r>
      <w:r w:rsidR="003A1FCA" w:rsidRPr="003A1FCA">
        <w:t xml:space="preserve"> essential oil </w:t>
      </w:r>
      <w:r w:rsidR="003A1FCA" w:rsidRPr="003A1FCA">
        <w:rPr>
          <w:i/>
        </w:rPr>
        <w:t>(</w:t>
      </w:r>
      <w:r w:rsidR="003A1FCA" w:rsidRPr="003A1FCA">
        <w:t>LC₅₀ = 11.6 µl.</w:t>
      </w:r>
      <w:r w:rsidR="003A1FCA" w:rsidRPr="003A1FCA">
        <w:rPr>
          <w:vertAlign w:val="superscript"/>
        </w:rPr>
        <w:t>ml⁻</w:t>
      </w:r>
      <w:proofErr w:type="gramStart"/>
      <w:r w:rsidR="003A1FCA" w:rsidRPr="003A1FCA">
        <w:rPr>
          <w:vertAlign w:val="superscript"/>
        </w:rPr>
        <w:t>¹  )</w:t>
      </w:r>
      <w:proofErr w:type="gramEnd"/>
      <w:r w:rsidR="003A1FCA" w:rsidRPr="003A1FCA">
        <w:rPr>
          <w:vertAlign w:val="superscript"/>
        </w:rPr>
        <w:t>.</w:t>
      </w:r>
      <w:r w:rsidR="00ED19E9">
        <w:rPr>
          <w:vertAlign w:val="superscript"/>
        </w:rPr>
        <w:t xml:space="preserve"> </w:t>
      </w:r>
      <w:r w:rsidR="003A1FCA" w:rsidRPr="003A1FCA">
        <w:t>Repellency tests revealed a high repellent potential for C</w:t>
      </w:r>
      <w:r w:rsidR="003A1FCA" w:rsidRPr="003A1FCA">
        <w:rPr>
          <w:i/>
        </w:rPr>
        <w:t xml:space="preserve">. schoenanthus, </w:t>
      </w:r>
      <w:r w:rsidR="003A1FCA" w:rsidRPr="003A1FCA">
        <w:t>the combination of oils, and a low repellent potential for neem seed oil, with percentages of 87.5%, 68.6%, and 23%, respectively. C</w:t>
      </w:r>
      <w:r w:rsidR="003A1FCA" w:rsidRPr="003A1FCA">
        <w:rPr>
          <w:i/>
        </w:rPr>
        <w:t>. schoenanthus</w:t>
      </w:r>
      <w:r w:rsidR="003A1FCA" w:rsidRPr="003A1FCA">
        <w:t xml:space="preserve"> essential oil could be used as an active ingredient in the formulation of a biopesticide, as an alternative to synthetic chemical insecticides.</w:t>
      </w:r>
    </w:p>
    <w:p w14:paraId="10F880FE" w14:textId="77777777" w:rsidR="00634D60" w:rsidRDefault="003A1FCA" w:rsidP="003A1FCA">
      <w:pPr>
        <w:rPr>
          <w:i/>
        </w:rPr>
      </w:pPr>
      <w:r w:rsidRPr="003A1FCA">
        <w:rPr>
          <w:b/>
          <w:u w:val="single"/>
        </w:rPr>
        <w:t>Keywords</w:t>
      </w:r>
      <w:r w:rsidRPr="003A1FCA">
        <w:t xml:space="preserve">: Essential oil, </w:t>
      </w:r>
      <w:r w:rsidRPr="003A1FCA">
        <w:rPr>
          <w:i/>
        </w:rPr>
        <w:t>Anacardium occidentale</w:t>
      </w:r>
      <w:r w:rsidRPr="003A1FCA">
        <w:t xml:space="preserve">, </w:t>
      </w:r>
      <w:r w:rsidRPr="003A1FCA">
        <w:rPr>
          <w:i/>
        </w:rPr>
        <w:t>Cletus ochraceus</w:t>
      </w:r>
      <w:r w:rsidRPr="003A1FCA">
        <w:t xml:space="preserve">, </w:t>
      </w:r>
      <w:r w:rsidRPr="003A1FCA">
        <w:rPr>
          <w:i/>
        </w:rPr>
        <w:t>Cymbopogon schoenanthus</w:t>
      </w:r>
      <w:r w:rsidR="00FD5CBC">
        <w:rPr>
          <w:i/>
        </w:rPr>
        <w:t>.</w:t>
      </w:r>
    </w:p>
    <w:p w14:paraId="2879500A" w14:textId="77777777" w:rsidR="003A1FCA" w:rsidRDefault="003A1FCA" w:rsidP="003A1FCA"/>
    <w:p w14:paraId="51005936" w14:textId="77777777" w:rsidR="00634D60" w:rsidRDefault="00FD5CBC" w:rsidP="003764D1">
      <w:r>
        <w:t xml:space="preserve">Introduction </w:t>
      </w:r>
    </w:p>
    <w:p w14:paraId="156B54B2" w14:textId="417749DC" w:rsidR="00634D60" w:rsidRPr="003A1FCA" w:rsidRDefault="00FD5CBC" w:rsidP="003A1FCA">
      <w:pPr>
        <w:spacing w:line="360" w:lineRule="auto"/>
        <w:rPr>
          <w:color w:val="231F20"/>
        </w:rPr>
      </w:pPr>
      <w:r>
        <w:rPr>
          <w:color w:val="231F20"/>
        </w:rPr>
        <w:t>The cashew tree (</w:t>
      </w:r>
      <w:r>
        <w:rPr>
          <w:i/>
        </w:rPr>
        <w:t xml:space="preserve">Anacardium occidentale </w:t>
      </w:r>
      <w:r>
        <w:t>L</w:t>
      </w:r>
      <w:r>
        <w:rPr>
          <w:i/>
          <w:color w:val="231F20"/>
        </w:rPr>
        <w:t>.</w:t>
      </w:r>
      <w:r>
        <w:rPr>
          <w:color w:val="231F20"/>
        </w:rPr>
        <w:t xml:space="preserve">) is a fruit tree belonging to the Anacardiaceae family. </w:t>
      </w:r>
      <w:r>
        <w:t xml:space="preserve">Native to South America, more specifically the Brazilian coast </w:t>
      </w:r>
      <w:r>
        <w:rPr>
          <w:color w:val="231F20"/>
        </w:rPr>
        <w:t>(Alcindor, 2006)</w:t>
      </w:r>
      <w:r>
        <w:t xml:space="preserve">, it occupies </w:t>
      </w:r>
      <w:r>
        <w:rPr>
          <w:color w:val="231F20"/>
        </w:rPr>
        <w:t xml:space="preserve">an area of approximately 7.5 million hectares spread across 32 countries worldwide </w:t>
      </w:r>
      <w:r w:rsidR="003A1FCA" w:rsidRPr="003A1FCA">
        <w:rPr>
          <w:color w:val="231F20"/>
        </w:rPr>
        <w:t>(FAO, 2012)</w:t>
      </w:r>
      <w:r w:rsidR="003A1FCA" w:rsidRPr="003A1FCA">
        <w:rPr>
          <w:i/>
          <w:color w:val="231F20"/>
        </w:rPr>
        <w:t xml:space="preserve">. </w:t>
      </w:r>
      <w:r w:rsidR="003A1FCA" w:rsidRPr="003A1FCA">
        <w:rPr>
          <w:color w:val="231F20"/>
        </w:rPr>
        <w:t>The cashew tree ranks first in the world in terms of nut production (</w:t>
      </w:r>
      <w:proofErr w:type="spellStart"/>
      <w:r w:rsidR="003A1FCA" w:rsidRPr="003A1FCA">
        <w:rPr>
          <w:color w:val="231F20"/>
        </w:rPr>
        <w:t>Afouda</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2013). It was introduced to Togo in the 1960s </w:t>
      </w:r>
      <w:commentRangeStart w:id="5"/>
      <w:r w:rsidR="003A1FCA" w:rsidRPr="003A1FCA">
        <w:rPr>
          <w:color w:val="231F20"/>
        </w:rPr>
        <w:t>with the aim of curbing deforestation and combating soil erosion</w:t>
      </w:r>
      <w:commentRangeEnd w:id="5"/>
      <w:r w:rsidR="00404289">
        <w:rPr>
          <w:rStyle w:val="CommentReference"/>
        </w:rPr>
        <w:commentReference w:id="5"/>
      </w:r>
      <w:r w:rsidR="003A1FCA" w:rsidRPr="003A1FCA">
        <w:rPr>
          <w:color w:val="231F20"/>
        </w:rPr>
        <w:t xml:space="preserve"> (Goujon </w:t>
      </w:r>
      <w:r w:rsidR="003A1FCA" w:rsidRPr="003A1FCA">
        <w:rPr>
          <w:i/>
          <w:color w:val="231F20"/>
        </w:rPr>
        <w:t>et al.</w:t>
      </w:r>
      <w:r w:rsidR="003A1FCA" w:rsidRPr="003A1FCA">
        <w:rPr>
          <w:color w:val="231F20"/>
        </w:rPr>
        <w:t xml:space="preserve">, 1973; </w:t>
      </w:r>
      <w:proofErr w:type="spellStart"/>
      <w:r w:rsidR="003A1FCA" w:rsidRPr="003A1FCA">
        <w:rPr>
          <w:color w:val="231F20"/>
        </w:rPr>
        <w:t>Adeigbe</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2015). The cashew-based agroforestry system in Tanzania, Mozambique, Nigeria, </w:t>
      </w:r>
      <w:r w:rsidR="00922B17">
        <w:rPr>
          <w:color w:val="231F20"/>
        </w:rPr>
        <w:t>Guinea-Bissau</w:t>
      </w:r>
      <w:r w:rsidR="003A1FCA" w:rsidRPr="003A1FCA">
        <w:rPr>
          <w:color w:val="231F20"/>
        </w:rPr>
        <w:t>, Côte d'Ivoire, Benin, and Togo helps to solve the environmental and socio-economic problems faced by producers (</w:t>
      </w:r>
      <w:proofErr w:type="spellStart"/>
      <w:r w:rsidR="003A1FCA" w:rsidRPr="003A1FCA">
        <w:rPr>
          <w:color w:val="231F20"/>
        </w:rPr>
        <w:t>Yabi</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2013). Global production is estimated at over 2 million tons (Djaha </w:t>
      </w:r>
      <w:r w:rsidR="003A1FCA" w:rsidRPr="003A1FCA">
        <w:rPr>
          <w:i/>
          <w:color w:val="231F20"/>
        </w:rPr>
        <w:t>et al.,</w:t>
      </w:r>
      <w:r w:rsidR="003A1FCA" w:rsidRPr="003A1FCA">
        <w:rPr>
          <w:color w:val="231F20"/>
        </w:rPr>
        <w:t xml:space="preserve"> 2008). Cashew nuts play a key role in producing countries. In Togo, it is a high-potential crop and plays an important role in the national economy. However, its production is threatened by various pests, including C</w:t>
      </w:r>
      <w:r w:rsidR="003A1FCA" w:rsidRPr="003A1FCA">
        <w:rPr>
          <w:i/>
          <w:color w:val="231F20"/>
        </w:rPr>
        <w:t xml:space="preserve">. ochraceus </w:t>
      </w:r>
      <w:r w:rsidR="003A1FCA" w:rsidRPr="003A1FCA">
        <w:rPr>
          <w:color w:val="231F20"/>
        </w:rPr>
        <w:t>(</w:t>
      </w:r>
      <w:r w:rsidR="003A1FCA" w:rsidRPr="003A1FCA">
        <w:rPr>
          <w:i/>
          <w:color w:val="231F20"/>
        </w:rPr>
        <w:t>Hemiptera</w:t>
      </w:r>
      <w:r w:rsidR="003A1FCA" w:rsidRPr="003A1FCA">
        <w:rPr>
          <w:color w:val="231F20"/>
        </w:rPr>
        <w:t xml:space="preserve">: </w:t>
      </w:r>
      <w:r w:rsidR="003A1FCA" w:rsidRPr="003A1FCA">
        <w:rPr>
          <w:i/>
          <w:color w:val="231F20"/>
        </w:rPr>
        <w:t>Coreidae)</w:t>
      </w:r>
      <w:r w:rsidR="003A1FCA" w:rsidRPr="003A1FCA">
        <w:rPr>
          <w:color w:val="231F20"/>
        </w:rPr>
        <w:t xml:space="preserve">, a harmful insect that attacks young flowers and thus significantly reduces </w:t>
      </w:r>
      <w:r w:rsidR="003A1FCA" w:rsidRPr="003A1FCA">
        <w:rPr>
          <w:color w:val="231F20"/>
        </w:rPr>
        <w:lastRenderedPageBreak/>
        <w:t xml:space="preserve">agricultural yields. The conventional method of controlling these pests relies on the use of synthetic chemical insecticides. However, these products have adverse effects on the </w:t>
      </w:r>
      <w:commentRangeStart w:id="6"/>
      <w:proofErr w:type="spellStart"/>
      <w:r w:rsidR="003A1FCA" w:rsidRPr="003A1FCA">
        <w:rPr>
          <w:color w:val="231F20"/>
        </w:rPr>
        <w:t>environmen</w:t>
      </w:r>
      <w:proofErr w:type="spellEnd"/>
      <w:r w:rsidR="003A1FCA" w:rsidRPr="003A1FCA">
        <w:rPr>
          <w:color w:val="231F20"/>
        </w:rPr>
        <w:t>,</w:t>
      </w:r>
      <w:commentRangeEnd w:id="6"/>
      <w:r w:rsidR="00DE47B0">
        <w:rPr>
          <w:rStyle w:val="CommentReference"/>
        </w:rPr>
        <w:commentReference w:id="6"/>
      </w:r>
      <w:r w:rsidR="003A1FCA" w:rsidRPr="003A1FCA">
        <w:rPr>
          <w:color w:val="231F20"/>
        </w:rPr>
        <w:t xml:space="preserve"> human health, and non-target species, while promoting the development of resistance in insects (Regnault-Roger </w:t>
      </w:r>
      <w:r w:rsidR="003A1FCA" w:rsidRPr="003A1FCA">
        <w:rPr>
          <w:i/>
          <w:color w:val="231F20"/>
        </w:rPr>
        <w:t>et al.,</w:t>
      </w:r>
      <w:r w:rsidR="003A1FCA" w:rsidRPr="003A1FCA">
        <w:rPr>
          <w:color w:val="231F20"/>
        </w:rPr>
        <w:t xml:space="preserve"> 2012). To overcome these challenges, the use of sustainable solutions, particularly plant-based biopesticides, appears essential (Isman, 2006; Pavela &amp; Benelli, 2016). Essential oils and plant extracts are increasingly being studied for their natural insecticidal properties. Among them, the essential oil of C</w:t>
      </w:r>
      <w:r w:rsidR="003A1FCA" w:rsidRPr="003A1FCA">
        <w:rPr>
          <w:i/>
          <w:color w:val="231F20"/>
        </w:rPr>
        <w:t xml:space="preserve">. schoenanthus </w:t>
      </w:r>
      <w:r w:rsidR="003A1FCA" w:rsidRPr="003A1FCA">
        <w:rPr>
          <w:color w:val="231F20"/>
        </w:rPr>
        <w:t>and the seed oil of A</w:t>
      </w:r>
      <w:r w:rsidR="003A1FCA" w:rsidRPr="003A1FCA">
        <w:rPr>
          <w:i/>
          <w:color w:val="231F20"/>
        </w:rPr>
        <w:t xml:space="preserve">. indica </w:t>
      </w:r>
      <w:r w:rsidR="003A1FCA" w:rsidRPr="003A1FCA">
        <w:rPr>
          <w:color w:val="231F20"/>
        </w:rPr>
        <w:t>(neem) are recognized for their bioactive effects on several agricultural pests (</w:t>
      </w:r>
      <w:proofErr w:type="spellStart"/>
      <w:r w:rsidR="003A1FCA" w:rsidRPr="003A1FCA">
        <w:rPr>
          <w:color w:val="231F20"/>
        </w:rPr>
        <w:t>Abdelgaleil</w:t>
      </w:r>
      <w:proofErr w:type="spellEnd"/>
      <w:r w:rsidR="003A1FCA" w:rsidRPr="003A1FCA">
        <w:rPr>
          <w:color w:val="231F20"/>
        </w:rPr>
        <w:t xml:space="preserve"> </w:t>
      </w:r>
      <w:r w:rsidR="003A1FCA" w:rsidRPr="003A1FCA">
        <w:rPr>
          <w:i/>
          <w:color w:val="231F20"/>
        </w:rPr>
        <w:t>et al.,</w:t>
      </w:r>
      <w:r w:rsidR="003A1FCA" w:rsidRPr="003A1FCA">
        <w:rPr>
          <w:color w:val="231F20"/>
        </w:rPr>
        <w:t xml:space="preserve"> 2009; Koul &amp; Wahab, 2004). With this in mind, we evaluated the insecticidal and repellent potential of C</w:t>
      </w:r>
      <w:r w:rsidR="003A1FCA" w:rsidRPr="003A1FCA">
        <w:rPr>
          <w:i/>
          <w:color w:val="231F20"/>
        </w:rPr>
        <w:t xml:space="preserve">. schoenanthus </w:t>
      </w:r>
      <w:r w:rsidR="003A1FCA" w:rsidRPr="003A1FCA">
        <w:rPr>
          <w:color w:val="231F20"/>
        </w:rPr>
        <w:t>essential oil and neem seed oil (A</w:t>
      </w:r>
      <w:r w:rsidR="003A1FCA" w:rsidRPr="003A1FCA">
        <w:rPr>
          <w:i/>
          <w:color w:val="231F20"/>
        </w:rPr>
        <w:t xml:space="preserve">. indica) </w:t>
      </w:r>
      <w:r w:rsidR="003A1FCA" w:rsidRPr="003A1FCA">
        <w:rPr>
          <w:color w:val="231F20"/>
        </w:rPr>
        <w:t>on adults of C</w:t>
      </w:r>
      <w:r w:rsidR="003A1FCA" w:rsidRPr="003A1FCA">
        <w:rPr>
          <w:i/>
          <w:color w:val="231F20"/>
        </w:rPr>
        <w:t xml:space="preserve">. ochraceus, </w:t>
      </w:r>
      <w:r w:rsidR="003A1FCA" w:rsidRPr="003A1FCA">
        <w:rPr>
          <w:color w:val="231F20"/>
        </w:rPr>
        <w:t>a cashew tree pest.</w:t>
      </w:r>
      <w:r w:rsidR="00111B57">
        <w:rPr>
          <w:color w:val="231F20"/>
        </w:rPr>
        <w:t xml:space="preserve"> </w:t>
      </w:r>
      <w:r w:rsidR="003A1FCA" w:rsidRPr="003A1FCA">
        <w:rPr>
          <w:color w:val="231F20"/>
        </w:rPr>
        <w:t xml:space="preserve">The objective of this work is to research and propose a biological alternative to synthetic chemical pesticides that is compatible with </w:t>
      </w:r>
      <w:commentRangeStart w:id="7"/>
      <w:r w:rsidR="003A1FCA" w:rsidRPr="003A1FCA">
        <w:rPr>
          <w:color w:val="231F20"/>
        </w:rPr>
        <w:t xml:space="preserve">ecological </w:t>
      </w:r>
      <w:commentRangeEnd w:id="7"/>
      <w:r w:rsidR="00922B17">
        <w:rPr>
          <w:rStyle w:val="CommentReference"/>
        </w:rPr>
        <w:commentReference w:id="7"/>
      </w:r>
      <w:r w:rsidR="003A1FCA" w:rsidRPr="003A1FCA">
        <w:rPr>
          <w:color w:val="231F20"/>
        </w:rPr>
        <w:t>management of cashew tree pests.</w:t>
      </w:r>
      <w:r w:rsidR="003A1FCA" w:rsidRPr="003A1FCA">
        <w:rPr>
          <w:b/>
          <w:color w:val="231F20"/>
        </w:rPr>
        <w:t xml:space="preserve"> </w:t>
      </w:r>
    </w:p>
    <w:p w14:paraId="519CEF9A" w14:textId="77777777" w:rsidR="00634D60" w:rsidRDefault="00FD5CBC" w:rsidP="003764D1">
      <w:r>
        <w:rPr>
          <w:b/>
        </w:rPr>
        <w:t xml:space="preserve">MATERIALS AND METHODS </w:t>
      </w:r>
    </w:p>
    <w:p w14:paraId="0CA0D6F7" w14:textId="77777777" w:rsidR="00634D60" w:rsidRPr="003A1FCA" w:rsidRDefault="00FD5CBC" w:rsidP="003764D1">
      <w:pPr>
        <w:rPr>
          <w:b/>
        </w:rPr>
      </w:pPr>
      <w:r w:rsidRPr="003A1FCA">
        <w:rPr>
          <w:b/>
        </w:rPr>
        <w:t xml:space="preserve">2.1. Materials </w:t>
      </w:r>
    </w:p>
    <w:p w14:paraId="11638A6A" w14:textId="77777777" w:rsidR="00634D60" w:rsidRPr="003A1FCA" w:rsidRDefault="00FD5CBC" w:rsidP="003764D1">
      <w:pPr>
        <w:rPr>
          <w:b/>
        </w:rPr>
      </w:pPr>
      <w:r w:rsidRPr="003A1FCA">
        <w:rPr>
          <w:b/>
        </w:rPr>
        <w:t xml:space="preserve">2.1.1 Collection of </w:t>
      </w:r>
      <w:r w:rsidRPr="003A1FCA">
        <w:rPr>
          <w:b/>
          <w:i/>
        </w:rPr>
        <w:t>Cletus ochraceus</w:t>
      </w:r>
      <w:r w:rsidRPr="003A1FCA">
        <w:rPr>
          <w:b/>
        </w:rPr>
        <w:t xml:space="preserve"> </w:t>
      </w:r>
    </w:p>
    <w:p w14:paraId="32C1BF54" w14:textId="1AC8343C" w:rsidR="00634D60" w:rsidRDefault="00FD5CBC" w:rsidP="00844A17">
      <w:pPr>
        <w:spacing w:line="360" w:lineRule="auto"/>
      </w:pPr>
      <w:r>
        <w:t xml:space="preserve">Adult specimens of </w:t>
      </w:r>
      <w:r>
        <w:rPr>
          <w:i/>
        </w:rPr>
        <w:t xml:space="preserve">C. ochraceus </w:t>
      </w:r>
      <w:r>
        <w:t xml:space="preserve">were collected using </w:t>
      </w:r>
      <w:r>
        <w:rPr>
          <w:color w:val="231F20"/>
        </w:rPr>
        <w:t>plastic</w:t>
      </w:r>
      <w:r>
        <w:t xml:space="preserve"> boxes </w:t>
      </w:r>
      <w:r>
        <w:rPr>
          <w:color w:val="231F20"/>
        </w:rPr>
        <w:t>measuring 28x18x12 cm. The operation consisted of placing the attacked (blackened) inflorescence of the cashew tree in the box, then shaking the box with the lid on so that the insects fell to the bottom of the box along with several dead flowers</w:t>
      </w:r>
      <w:r>
        <w:rPr>
          <w:i/>
        </w:rPr>
        <w:t xml:space="preserve">. </w:t>
      </w:r>
      <w:commentRangeStart w:id="8"/>
      <w:r>
        <w:t>Collection</w:t>
      </w:r>
      <w:commentRangeEnd w:id="8"/>
      <w:r w:rsidR="00111B57">
        <w:rPr>
          <w:rStyle w:val="CommentReference"/>
        </w:rPr>
        <w:commentReference w:id="8"/>
      </w:r>
      <w:r>
        <w:t xml:space="preserve"> took place very early in the morning</w:t>
      </w:r>
      <w:r w:rsidR="00CB54B6">
        <w:t>,</w:t>
      </w:r>
      <w:r>
        <w:t xml:space="preserve"> between 5:00 and 6:00 a.m.</w:t>
      </w:r>
      <w:r>
        <w:rPr>
          <w:color w:val="231F20"/>
        </w:rPr>
        <w:t>,</w:t>
      </w:r>
      <w:r>
        <w:t xml:space="preserve"> when it was very cool</w:t>
      </w:r>
      <w:r>
        <w:rPr>
          <w:color w:val="231F20"/>
        </w:rPr>
        <w:t xml:space="preserve">, on cashew tree plots that had not previously been treated with pesticides. </w:t>
      </w:r>
      <w:r>
        <w:t xml:space="preserve">This was done during the </w:t>
      </w:r>
      <w:r>
        <w:rPr>
          <w:color w:val="231F20"/>
        </w:rPr>
        <w:t>flowering</w:t>
      </w:r>
      <w:r>
        <w:t xml:space="preserve"> period in December and January. </w:t>
      </w:r>
      <w:r>
        <w:rPr>
          <w:color w:val="231F20"/>
        </w:rPr>
        <w:t>Once a large quantity of insects had been collected, the contents of the box were transferred to larger boxes measuring 40x28x28 cm containing a few clusters of fresh flowers. Most of the box lids were perforated</w:t>
      </w:r>
      <w:r w:rsidR="00CB54B6">
        <w:rPr>
          <w:color w:val="231F20"/>
        </w:rPr>
        <w:t>,</w:t>
      </w:r>
      <w:r>
        <w:rPr>
          <w:color w:val="231F20"/>
        </w:rPr>
        <w:t xml:space="preserve"> and the holes were protected by a plastic net with </w:t>
      </w:r>
      <w:commentRangeStart w:id="9"/>
      <w:r>
        <w:rPr>
          <w:color w:val="231F20"/>
        </w:rPr>
        <w:t>very</w:t>
      </w:r>
      <w:commentRangeEnd w:id="9"/>
      <w:r w:rsidR="00CB54B6">
        <w:rPr>
          <w:rStyle w:val="CommentReference"/>
        </w:rPr>
        <w:commentReference w:id="9"/>
      </w:r>
      <w:r>
        <w:rPr>
          <w:color w:val="231F20"/>
        </w:rPr>
        <w:t xml:space="preserve"> small 1 mm diameter mesh to facilitate ventilation. After 24 hours of acclimatization </w:t>
      </w:r>
      <w:r>
        <w:t xml:space="preserve">at laboratory room temperature (t: 27 ± 2 °C; RH: 80%), </w:t>
      </w:r>
      <w:r>
        <w:rPr>
          <w:color w:val="231F20"/>
        </w:rPr>
        <w:t>homogeneous batches of adults were collected using fine brushes and placed in boxes 11 cm in diameter lined with blotting paper. The lids of these small boxes were perforated so that the insects could not escape and to allow ventilation.</w:t>
      </w:r>
      <w:r>
        <w:rPr>
          <w:i/>
        </w:rPr>
        <w:t xml:space="preserve"> </w:t>
      </w:r>
    </w:p>
    <w:p w14:paraId="4DD5C38B" w14:textId="77777777" w:rsidR="00634D60" w:rsidRPr="00355759" w:rsidRDefault="003A1FCA" w:rsidP="003764D1">
      <w:pPr>
        <w:rPr>
          <w:b/>
        </w:rPr>
      </w:pPr>
      <w:r>
        <w:rPr>
          <w:b/>
        </w:rPr>
        <w:t>2</w:t>
      </w:r>
      <w:r w:rsidR="00FD5CBC" w:rsidRPr="00355759">
        <w:rPr>
          <w:b/>
        </w:rPr>
        <w:t>.1.2</w:t>
      </w:r>
      <w:r w:rsidR="00FD5CBC" w:rsidRPr="00355759">
        <w:rPr>
          <w:rFonts w:ascii="Arial" w:eastAsia="Arial" w:hAnsi="Arial" w:cs="Arial"/>
          <w:b/>
        </w:rPr>
        <w:t xml:space="preserve"> </w:t>
      </w:r>
      <w:r w:rsidR="00FD5CBC" w:rsidRPr="00355759">
        <w:rPr>
          <w:b/>
          <w:i/>
        </w:rPr>
        <w:t xml:space="preserve">C. schoenanthus </w:t>
      </w:r>
      <w:r w:rsidR="00FD5CBC" w:rsidRPr="00355759">
        <w:rPr>
          <w:b/>
        </w:rPr>
        <w:t xml:space="preserve">essential oil (HEC) </w:t>
      </w:r>
    </w:p>
    <w:p w14:paraId="1CBB9705" w14:textId="77777777" w:rsidR="00634D60" w:rsidRDefault="00FD5CBC" w:rsidP="00844A17">
      <w:pPr>
        <w:spacing w:line="360" w:lineRule="auto"/>
      </w:pPr>
      <w:r>
        <w:t>The essential oil was supplied to us by the Laboratory for Research on Agroresources and Environmental Health (LARASE). It was obtained by hydrodistillation of dried C</w:t>
      </w:r>
      <w:r>
        <w:rPr>
          <w:i/>
        </w:rPr>
        <w:t xml:space="preserve">. schoenanthus </w:t>
      </w:r>
      <w:r>
        <w:lastRenderedPageBreak/>
        <w:t xml:space="preserve">leaves under cover at room temperature (t: 27±2°C; RH: 80%) using a </w:t>
      </w:r>
      <w:commentRangeStart w:id="10"/>
      <w:proofErr w:type="spellStart"/>
      <w:r>
        <w:t>Clevengertype</w:t>
      </w:r>
      <w:commentRangeEnd w:id="10"/>
      <w:proofErr w:type="spellEnd"/>
      <w:r w:rsidR="003B4C80">
        <w:rPr>
          <w:rStyle w:val="CommentReference"/>
        </w:rPr>
        <w:commentReference w:id="10"/>
      </w:r>
      <w:r>
        <w:t xml:space="preserve"> glass device (Clevenger, 1928).  </w:t>
      </w:r>
    </w:p>
    <w:p w14:paraId="639D6764" w14:textId="77777777" w:rsidR="00634D60" w:rsidRPr="003A1FCA" w:rsidRDefault="00FD5CBC" w:rsidP="003764D1">
      <w:pPr>
        <w:rPr>
          <w:b/>
        </w:rPr>
      </w:pPr>
      <w:r w:rsidRPr="003A1FCA">
        <w:rPr>
          <w:b/>
        </w:rPr>
        <w:t>1.1.3</w:t>
      </w:r>
      <w:r w:rsidRPr="003A1FCA">
        <w:rPr>
          <w:b/>
          <w:color w:val="231F20"/>
        </w:rPr>
        <w:t xml:space="preserve"> Neem seed oil (</w:t>
      </w:r>
      <w:r w:rsidRPr="003A1FCA">
        <w:rPr>
          <w:b/>
        </w:rPr>
        <w:t xml:space="preserve">HVN) </w:t>
      </w:r>
    </w:p>
    <w:p w14:paraId="28945998" w14:textId="21349C02" w:rsidR="00634D60" w:rsidRDefault="00FD5CBC" w:rsidP="00844A17">
      <w:pPr>
        <w:spacing w:line="360" w:lineRule="auto"/>
      </w:pPr>
      <w:r>
        <w:rPr>
          <w:color w:val="231F20"/>
        </w:rPr>
        <w:t xml:space="preserve">Neem seed oil was supplied by the neem seed-based biopesticide processing unit. It is obtained by cold pressing neem seed kernels. </w:t>
      </w:r>
      <w:r>
        <w:t>It is a viscous oil at room temperature, brownish-green in color, with a strong</w:t>
      </w:r>
      <w:r w:rsidR="003B4C80">
        <w:t>,</w:t>
      </w:r>
      <w:r>
        <w:t xml:space="preserve"> characteristic spicy odor and a bitter taste. It is insoluble in water and soluble in certain organic solvents such as cyclohexane. Its relative density at 20°C is 0.89 (experimental measurement). </w:t>
      </w:r>
    </w:p>
    <w:p w14:paraId="5E3DF622" w14:textId="77777777" w:rsidR="00634D60" w:rsidRPr="003A1FCA" w:rsidRDefault="00FD5CBC" w:rsidP="003764D1">
      <w:pPr>
        <w:rPr>
          <w:b/>
        </w:rPr>
      </w:pPr>
      <w:r w:rsidRPr="003A1FCA">
        <w:rPr>
          <w:b/>
        </w:rPr>
        <w:t xml:space="preserve">2.2 Methods </w:t>
      </w:r>
    </w:p>
    <w:p w14:paraId="0A184EFF" w14:textId="77777777" w:rsidR="00634D60" w:rsidRPr="003A1FCA" w:rsidRDefault="00FD5CBC" w:rsidP="003764D1">
      <w:pPr>
        <w:rPr>
          <w:b/>
        </w:rPr>
      </w:pPr>
      <w:r w:rsidRPr="003A1FCA">
        <w:rPr>
          <w:b/>
        </w:rPr>
        <w:t xml:space="preserve">2.2.1 Biological tests </w:t>
      </w:r>
    </w:p>
    <w:p w14:paraId="619B3B8A" w14:textId="77777777" w:rsidR="00634D60" w:rsidRPr="003A1FCA" w:rsidRDefault="00FD5CBC" w:rsidP="003764D1">
      <w:pPr>
        <w:rPr>
          <w:b/>
        </w:rPr>
      </w:pPr>
      <w:r w:rsidRPr="003A1FCA">
        <w:rPr>
          <w:b/>
        </w:rPr>
        <w:t xml:space="preserve">2.2.1.1 Contact toxicity tests </w:t>
      </w:r>
    </w:p>
    <w:p w14:paraId="1B481219" w14:textId="77777777" w:rsidR="00634D60" w:rsidRDefault="00FD5CBC" w:rsidP="00D53598">
      <w:pPr>
        <w:spacing w:line="360" w:lineRule="auto"/>
      </w:pPr>
      <w:r>
        <w:t xml:space="preserve">The tests were carried out </w:t>
      </w:r>
      <w:r>
        <w:rPr>
          <w:i/>
        </w:rPr>
        <w:t xml:space="preserve">in vitro </w:t>
      </w:r>
      <w:r>
        <w:t>in the laboratory, according to a fully randomized experimental protocol, with four (04) repetitions. Five concentrations of each solution were selected for the test</w:t>
      </w:r>
      <w:r w:rsidR="003A1FCA">
        <w:t>s (10, 20, 30, 40, and 50 µl.ml</w:t>
      </w:r>
      <w:r>
        <w:rPr>
          <w:vertAlign w:val="superscript"/>
        </w:rPr>
        <w:t>-1</w:t>
      </w:r>
      <w:r w:rsidR="003A1FCA">
        <w:t>)</w:t>
      </w:r>
      <w:r>
        <w:t xml:space="preserve">, following preliminary tests to determine the toxicity thresholds of the oil and Tween 80. For preparation, </w:t>
      </w:r>
      <w:r>
        <w:rPr>
          <w:i/>
        </w:rPr>
        <w:t xml:space="preserve">C. schoenanthus </w:t>
      </w:r>
      <w:r>
        <w:t xml:space="preserve">essential oil and </w:t>
      </w:r>
      <w:r>
        <w:rPr>
          <w:i/>
        </w:rPr>
        <w:t xml:space="preserve">A indica </w:t>
      </w:r>
      <w:r>
        <w:t xml:space="preserve">oil were diluted in distilled water with the addition of 1% Tween 80, used as an emulsifier, as this emulsifier is considered non-toxic to insects. The solutions were freshly prepared each day, just before the experiments. A batch of twenty (20) insects was carefully collected using a fine brush and placed in a 40 × 30 × 30 cm box lined with absorbent paper.  The oil solutions were then sprayed using a 15 ml manual sprayer. After treatment, the insects were transferred to circular boxes 11 cm in diameter, also lined with absorbent paper. Fragments of young leaves and flowers were placed in the boxes to serve as food for the treated insects. To ensure adequate ventilation, the top of each box was perforated. Each treatment thus corresponded to a box 11 cm in diameter containing twenty (20) insects. The negative control consisted of distilled water. The mortality of insects exposed to the different treatments was assessed 24 hours after application of the solutions. Adjusted mortality </w:t>
      </w:r>
      <w:proofErr w:type="gramStart"/>
      <w:r>
        <w:t>( )</w:t>
      </w:r>
      <w:proofErr w:type="gramEnd"/>
      <w:r>
        <w:t xml:space="preserve"> was calculated using Abbott's formula:</w:t>
      </w:r>
      <m:oMath>
        <m:r>
          <w:rPr>
            <w:rFonts w:ascii="Cambria Math" w:hAnsi="Cambria Math"/>
            <w:lang w:eastAsia="fr-FR"/>
          </w:rPr>
          <m:t xml:space="preserve"> MC= </m:t>
        </m:r>
        <m:f>
          <m:fPr>
            <m:ctrlPr>
              <w:rPr>
                <w:rFonts w:ascii="Cambria Math" w:hAnsi="Cambria Math"/>
                <w:i/>
                <w:lang w:eastAsia="fr-FR"/>
              </w:rPr>
            </m:ctrlPr>
          </m:fPr>
          <m:num>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e</m:t>
                </m:r>
              </m:sub>
            </m:sSub>
            <m:r>
              <m:rPr>
                <m:sty m:val="p"/>
              </m:rPr>
              <w:rPr>
                <w:rFonts w:ascii="Cambria Math" w:hAnsi="Cambria Math"/>
                <w:lang w:eastAsia="fr-FR"/>
              </w:rPr>
              <m:t>-</m:t>
            </m:r>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t</m:t>
                </m:r>
              </m:sub>
            </m:sSub>
            <m:r>
              <m:rPr>
                <m:sty m:val="b"/>
              </m:rPr>
              <w:rPr>
                <w:rFonts w:ascii="Cambria Math" w:hAnsi="Cambria Math"/>
                <w:lang w:eastAsia="fr-FR"/>
              </w:rPr>
              <m:t>​</m:t>
            </m:r>
          </m:num>
          <m:den>
            <m:r>
              <w:rPr>
                <w:rFonts w:ascii="Cambria Math" w:hAnsi="Cambria Math"/>
                <w:lang w:eastAsia="fr-FR"/>
              </w:rPr>
              <m:t>100-</m:t>
            </m:r>
            <m:sSub>
              <m:sSubPr>
                <m:ctrlPr>
                  <w:rPr>
                    <w:rFonts w:ascii="Cambria Math" w:hAnsi="Cambria Math"/>
                    <w:lang w:eastAsia="fr-FR"/>
                  </w:rPr>
                </m:ctrlPr>
              </m:sSubPr>
              <m:e>
                <m:r>
                  <w:rPr>
                    <w:rFonts w:ascii="Cambria Math" w:hAnsi="Cambria Math"/>
                    <w:lang w:eastAsia="fr-FR"/>
                  </w:rPr>
                  <m:t>M</m:t>
                </m:r>
              </m:e>
              <m:sub>
                <m:r>
                  <w:rPr>
                    <w:rFonts w:ascii="Cambria Math" w:hAnsi="Cambria Math"/>
                    <w:lang w:eastAsia="fr-FR"/>
                  </w:rPr>
                  <m:t>t</m:t>
                </m:r>
              </m:sub>
            </m:sSub>
          </m:den>
        </m:f>
        <m:r>
          <w:rPr>
            <w:rFonts w:ascii="Cambria Math" w:hAnsi="Cambria Math"/>
            <w:lang w:eastAsia="fr-FR"/>
          </w:rPr>
          <m:t>×100</m:t>
        </m:r>
      </m:oMath>
      <w:r w:rsidR="00844A17" w:rsidRPr="00844A17">
        <w:rPr>
          <w:rStyle w:val="NormalWebChar"/>
          <w:rFonts w:eastAsiaTheme="minorHAnsi"/>
          <w:lang w:val="en-US"/>
        </w:rPr>
        <w:t xml:space="preserve">  </w:t>
      </w:r>
      <w:r>
        <w:t xml:space="preserve">  Mc = adjusted mortality; Me = mortality of the sample; and Mt = mortality of the untreated control group. </w:t>
      </w:r>
    </w:p>
    <w:p w14:paraId="36EB1150" w14:textId="77777777" w:rsidR="00634D60" w:rsidRPr="00844A17" w:rsidRDefault="00FD5CBC" w:rsidP="003764D1">
      <w:pPr>
        <w:rPr>
          <w:b/>
        </w:rPr>
      </w:pPr>
      <w:r w:rsidRPr="00844A17">
        <w:rPr>
          <w:b/>
        </w:rPr>
        <w:t xml:space="preserve">2.2.1.2 Repellency test </w:t>
      </w:r>
    </w:p>
    <w:p w14:paraId="730407CC" w14:textId="0F64358C" w:rsidR="00634D60" w:rsidRPr="00D53598" w:rsidRDefault="00FD5CBC" w:rsidP="00D53598">
      <w:pPr>
        <w:spacing w:line="360" w:lineRule="auto"/>
      </w:pPr>
      <w:r w:rsidRPr="00D53598">
        <w:t xml:space="preserve">The solutions were applied using a micropipette. The repellent effect of the oils on </w:t>
      </w:r>
      <w:r w:rsidRPr="00D53598">
        <w:rPr>
          <w:i/>
        </w:rPr>
        <w:t xml:space="preserve">C. ochraceus </w:t>
      </w:r>
      <w:r w:rsidRPr="00D53598">
        <w:t xml:space="preserve">was evaluated using the preferred area method on blotting paper described by Mc Donald </w:t>
      </w:r>
      <w:r w:rsidRPr="00D53598">
        <w:rPr>
          <w:i/>
        </w:rPr>
        <w:t xml:space="preserve">et al. </w:t>
      </w:r>
      <w:r w:rsidRPr="00D53598">
        <w:t xml:space="preserve">(1970). The blotting paper used to cover the bottom of the 9 cm diameter Petri dishes was cut </w:t>
      </w:r>
      <w:r w:rsidRPr="00D53598">
        <w:lastRenderedPageBreak/>
        <w:t>into two equal parts spaced one centimeter apart. Two (02) ml of each of the prepared solutions were spread evenly over one half of the blotting paper, while the other half was left untreated. Next, a batch of 10 adult C</w:t>
      </w:r>
      <w:r w:rsidRPr="00D53598">
        <w:rPr>
          <w:i/>
        </w:rPr>
        <w:t xml:space="preserve">. ochraceus </w:t>
      </w:r>
      <w:r w:rsidRPr="00D53598">
        <w:t xml:space="preserve">individuals </w:t>
      </w:r>
      <w:commentRangeStart w:id="11"/>
      <w:r w:rsidRPr="00D53598">
        <w:t>were</w:t>
      </w:r>
      <w:commentRangeEnd w:id="11"/>
      <w:r w:rsidR="002E5593">
        <w:rPr>
          <w:rStyle w:val="CommentReference"/>
        </w:rPr>
        <w:commentReference w:id="11"/>
      </w:r>
      <w:r w:rsidRPr="00D53598">
        <w:t xml:space="preserve"> placed in the center of the blotting paper, which was secured with adhesive tape inside the Petri dish. Four replicates were performed for each dose. Control groups consisting of 10 adult C</w:t>
      </w:r>
      <w:r w:rsidRPr="00D53598">
        <w:rPr>
          <w:i/>
        </w:rPr>
        <w:t xml:space="preserve">. ochraceus </w:t>
      </w:r>
      <w:r w:rsidRPr="00D53598">
        <w:t xml:space="preserve">individuals were subjected to the same experimental conditions, using </w:t>
      </w:r>
      <w:r w:rsidRPr="00D53598">
        <w:rPr>
          <w:i/>
        </w:rPr>
        <w:t xml:space="preserve">C. schoenanthus </w:t>
      </w:r>
      <w:r w:rsidRPr="00D53598">
        <w:t>essential oil</w:t>
      </w:r>
      <w:r w:rsidRPr="00D53598">
        <w:rPr>
          <w:i/>
        </w:rPr>
        <w:t xml:space="preserve">, A indica </w:t>
      </w:r>
      <w:r w:rsidRPr="00D53598">
        <w:t>oil</w:t>
      </w:r>
      <w:r w:rsidRPr="00D53598">
        <w:rPr>
          <w:i/>
        </w:rPr>
        <w:t xml:space="preserve">, </w:t>
      </w:r>
      <w:r w:rsidRPr="00D53598">
        <w:t xml:space="preserve">a mixture of the two oils, and distilled water (negative control). Thirty minutes after exposure, the number of insects present on the treated (Nt) and untreated (Nc) areas </w:t>
      </w:r>
      <w:r w:rsidR="00FB1CFA">
        <w:t>of the blotting</w:t>
      </w:r>
      <w:r w:rsidRPr="00D53598">
        <w:t xml:space="preserve"> paper was recorded. The </w:t>
      </w:r>
      <w:commentRangeStart w:id="12"/>
      <w:proofErr w:type="spellStart"/>
      <w:r w:rsidRPr="00D53598">
        <w:t>rpellency</w:t>
      </w:r>
      <w:commentRangeEnd w:id="12"/>
      <w:proofErr w:type="spellEnd"/>
      <w:r w:rsidR="00D86C45">
        <w:rPr>
          <w:rStyle w:val="CommentReference"/>
        </w:rPr>
        <w:commentReference w:id="12"/>
      </w:r>
      <w:r w:rsidRPr="00D53598">
        <w:t xml:space="preserve"> </w:t>
      </w:r>
      <w:r w:rsidR="00D86C45" w:rsidRPr="00D53598">
        <w:t>percentage</w:t>
      </w:r>
      <w:r w:rsidRPr="00D53598">
        <w:t xml:space="preserve"> (RP) was </w:t>
      </w:r>
      <w:commentRangeStart w:id="13"/>
      <w:proofErr w:type="spellStart"/>
      <w:r w:rsidRPr="00D53598">
        <w:t>calclated</w:t>
      </w:r>
      <w:proofErr w:type="spellEnd"/>
      <w:r w:rsidRPr="00D53598">
        <w:t xml:space="preserve"> </w:t>
      </w:r>
      <w:commentRangeEnd w:id="13"/>
      <w:r w:rsidR="00D86C45">
        <w:rPr>
          <w:rStyle w:val="CommentReference"/>
        </w:rPr>
        <w:commentReference w:id="13"/>
      </w:r>
      <w:commentRangeStart w:id="14"/>
      <w:proofErr w:type="spellStart"/>
      <w:r w:rsidRPr="00D53598">
        <w:t>uing</w:t>
      </w:r>
      <w:proofErr w:type="spellEnd"/>
      <w:r w:rsidRPr="00D53598">
        <w:t xml:space="preserve"> </w:t>
      </w:r>
      <w:commentRangeEnd w:id="14"/>
      <w:r w:rsidR="00D86C45">
        <w:rPr>
          <w:rStyle w:val="CommentReference"/>
        </w:rPr>
        <w:commentReference w:id="14"/>
      </w:r>
      <w:r w:rsidRPr="00D53598">
        <w:t xml:space="preserve">the following formula: </w:t>
      </w:r>
      <w:commentRangeStart w:id="15"/>
      <w:r w:rsidR="00D53598" w:rsidRPr="00D53598">
        <w:rPr>
          <w:rStyle w:val="NormalWebChar"/>
          <w:rFonts w:eastAsiaTheme="minorHAnsi"/>
          <w:lang w:val="en-US"/>
        </w:rPr>
        <w:t>PR</w:t>
      </w:r>
      <w:commentRangeEnd w:id="15"/>
      <w:r w:rsidR="00DF7469">
        <w:rPr>
          <w:rStyle w:val="CommentReference"/>
        </w:rPr>
        <w:commentReference w:id="15"/>
      </w:r>
      <w:r w:rsidR="00D86C45" w:rsidRPr="00D53598">
        <w:rPr>
          <w:rStyle w:val="NormalWebChar"/>
          <w:rFonts w:eastAsiaTheme="minorHAnsi"/>
          <w:lang w:val="en-US"/>
        </w:rPr>
        <w:t xml:space="preserve">= </w:t>
      </w:r>
      <w:r w:rsidR="00D86C45" w:rsidRPr="00D53598">
        <w:rPr>
          <w:rStyle w:val="NormalWebChar"/>
          <w:rFonts w:eastAsiaTheme="minorEastAsia"/>
          <w:lang w:val="en-US"/>
        </w:rPr>
        <w:t>C.</w:t>
      </w:r>
      <w:r w:rsidRPr="00D53598">
        <w:rPr>
          <w:i/>
        </w:rPr>
        <w:t xml:space="preserve"> ochraceus </w:t>
      </w:r>
      <w:r w:rsidRPr="00D53598">
        <w:t>in the untreated area and Nt is the number of C</w:t>
      </w:r>
      <w:r w:rsidRPr="00D53598">
        <w:rPr>
          <w:i/>
        </w:rPr>
        <w:t xml:space="preserve">. ochraceus </w:t>
      </w:r>
      <w:r w:rsidRPr="00D53598">
        <w:t xml:space="preserve">in the treated area. The RP was used to classify the solutions according to the repellency classes defined by </w:t>
      </w:r>
      <w:r w:rsidR="002E5593">
        <w:t>McDonald</w:t>
      </w:r>
      <w:r w:rsidRPr="00D53598">
        <w:t xml:space="preserve"> </w:t>
      </w:r>
      <w:r w:rsidRPr="00D53598">
        <w:rPr>
          <w:i/>
        </w:rPr>
        <w:t xml:space="preserve">et al. </w:t>
      </w:r>
      <w:r w:rsidRPr="00D53598">
        <w:t xml:space="preserve">(1970). </w:t>
      </w:r>
    </w:p>
    <w:p w14:paraId="7CABFFDD" w14:textId="77777777" w:rsidR="00634D60" w:rsidRPr="003A1FCA" w:rsidRDefault="00FD5CBC" w:rsidP="003764D1">
      <w:pPr>
        <w:rPr>
          <w:b/>
        </w:rPr>
      </w:pPr>
      <w:r w:rsidRPr="003A1FCA">
        <w:rPr>
          <w:b/>
        </w:rPr>
        <w:t xml:space="preserve">2.2.2 Analysis of results </w:t>
      </w:r>
    </w:p>
    <w:p w14:paraId="6D83AAB5" w14:textId="16A26A5A" w:rsidR="00634D60" w:rsidRDefault="00FD5CBC" w:rsidP="00D53598">
      <w:pPr>
        <w:spacing w:line="360" w:lineRule="auto"/>
      </w:pPr>
      <w:r>
        <w:t>The results obtained were analyzed statistically using SPSS. 23</w:t>
      </w:r>
      <w:r w:rsidR="00DF7469">
        <w:t>,</w:t>
      </w:r>
      <w:r>
        <w:t xml:space="preserve"> and the </w:t>
      </w:r>
      <w:r w:rsidR="005951DA">
        <w:t>student</w:t>
      </w:r>
      <w:r>
        <w:t xml:space="preserve">-Newman-Keuls test was used to distinguish between the means obtained. The </w:t>
      </w:r>
      <w:commentRangeStart w:id="16"/>
      <w:r>
        <w:t>LC</w:t>
      </w:r>
      <w:r>
        <w:rPr>
          <w:vertAlign w:val="subscript"/>
        </w:rPr>
        <w:t>50</w:t>
      </w:r>
      <w:commentRangeEnd w:id="16"/>
      <w:r w:rsidR="00DF7469">
        <w:rPr>
          <w:rStyle w:val="CommentReference"/>
        </w:rPr>
        <w:commentReference w:id="16"/>
      </w:r>
      <w:r w:rsidR="00D53598">
        <w:t xml:space="preserve"> </w:t>
      </w:r>
      <w:r>
        <w:t xml:space="preserve">were calculated using the probit regression method. </w:t>
      </w:r>
    </w:p>
    <w:p w14:paraId="6F38D178" w14:textId="77777777" w:rsidR="00D53598" w:rsidRDefault="00D53598" w:rsidP="00D53598">
      <w:pPr>
        <w:spacing w:line="360" w:lineRule="auto"/>
      </w:pPr>
    </w:p>
    <w:p w14:paraId="71C8E233" w14:textId="77777777" w:rsidR="00D53598" w:rsidRDefault="00D53598" w:rsidP="00D53598">
      <w:pPr>
        <w:spacing w:line="360" w:lineRule="auto"/>
      </w:pPr>
    </w:p>
    <w:p w14:paraId="429AB73D" w14:textId="77777777" w:rsidR="00D53598" w:rsidRDefault="00D53598" w:rsidP="00D53598">
      <w:pPr>
        <w:spacing w:line="360" w:lineRule="auto"/>
      </w:pPr>
    </w:p>
    <w:p w14:paraId="44746A9D" w14:textId="77777777" w:rsidR="00634D60" w:rsidRPr="003A1FCA" w:rsidRDefault="00844A17" w:rsidP="003764D1">
      <w:pPr>
        <w:rPr>
          <w:b/>
        </w:rPr>
      </w:pPr>
      <w:r>
        <w:rPr>
          <w:b/>
        </w:rPr>
        <w:t>3</w:t>
      </w:r>
      <w:r w:rsidR="00FD5CBC" w:rsidRPr="003A1FCA">
        <w:rPr>
          <w:rFonts w:ascii="Arial" w:eastAsia="Arial" w:hAnsi="Arial" w:cs="Arial"/>
          <w:b/>
        </w:rPr>
        <w:t xml:space="preserve"> </w:t>
      </w:r>
      <w:r w:rsidR="00FD5CBC" w:rsidRPr="003A1FCA">
        <w:rPr>
          <w:b/>
        </w:rPr>
        <w:t xml:space="preserve">RESULTS AND DISCUSSION </w:t>
      </w:r>
    </w:p>
    <w:p w14:paraId="412ADF81" w14:textId="77777777" w:rsidR="00634D60" w:rsidRPr="003A1FCA" w:rsidRDefault="00FD5CBC" w:rsidP="003764D1">
      <w:pPr>
        <w:rPr>
          <w:b/>
        </w:rPr>
      </w:pPr>
      <w:r w:rsidRPr="003A1FCA">
        <w:rPr>
          <w:b/>
        </w:rPr>
        <w:t xml:space="preserve">3.1 Results </w:t>
      </w:r>
    </w:p>
    <w:p w14:paraId="24CD22DE" w14:textId="77777777" w:rsidR="00634D60" w:rsidRDefault="00FD5CBC" w:rsidP="003764D1">
      <w:r>
        <w:rPr>
          <w:b/>
        </w:rPr>
        <w:t xml:space="preserve">3.1.1 Acute toxicity of different types of solutions on </w:t>
      </w:r>
      <w:r>
        <w:rPr>
          <w:b/>
          <w:i/>
        </w:rPr>
        <w:t xml:space="preserve">Cletus ochraceus </w:t>
      </w:r>
      <w:r>
        <w:rPr>
          <w:b/>
        </w:rPr>
        <w:t>adults</w:t>
      </w:r>
      <w:r>
        <w:rPr>
          <w:b/>
          <w:i/>
        </w:rPr>
        <w:t>.</w:t>
      </w:r>
      <w:r>
        <w:rPr>
          <w:b/>
        </w:rPr>
        <w:t xml:space="preserve"> </w:t>
      </w:r>
    </w:p>
    <w:p w14:paraId="6CBF71AB" w14:textId="77777777" w:rsidR="00634D60" w:rsidRDefault="00FD5CBC" w:rsidP="00D53598">
      <w:pPr>
        <w:spacing w:line="360" w:lineRule="auto"/>
      </w:pPr>
      <w:r>
        <w:t xml:space="preserve">The tests carried out with different solutions caused significant mortality in adults of </w:t>
      </w:r>
      <w:r>
        <w:rPr>
          <w:i/>
        </w:rPr>
        <w:t xml:space="preserve">C. ochraceus </w:t>
      </w:r>
      <w:r>
        <w:t xml:space="preserve">(Table 1). Each combination of solution and concentration induced a specific response in the insects. Nevertheless, the three solutions showed a comparable dose-response relationship: as the concentration increased, so did mortality. Conversely, no lethal effect was recorded in the control group (Table 1). </w:t>
      </w:r>
      <w:r>
        <w:rPr>
          <w:color w:val="231F20"/>
        </w:rPr>
        <w:t>Average mortality of C</w:t>
      </w:r>
      <w:r>
        <w:rPr>
          <w:i/>
        </w:rPr>
        <w:t xml:space="preserve">. ochraceus </w:t>
      </w:r>
      <w:r>
        <w:rPr>
          <w:color w:val="231F20"/>
        </w:rPr>
        <w:t xml:space="preserve">adults after treatment with essential oil (HEC), </w:t>
      </w:r>
      <w:r>
        <w:t>neem seed</w:t>
      </w:r>
      <w:r>
        <w:rPr>
          <w:color w:val="231F20"/>
        </w:rPr>
        <w:t xml:space="preserve"> oil </w:t>
      </w:r>
      <w:r>
        <w:t xml:space="preserve">(HVN), and an equal volume combination of the oils (HEC/HVN). </w:t>
      </w:r>
    </w:p>
    <w:p w14:paraId="077890DB" w14:textId="77777777" w:rsidR="00634D60" w:rsidRDefault="00FD5CBC" w:rsidP="00D53598">
      <w:r>
        <w:rPr>
          <w:color w:val="231F20"/>
          <w:u w:val="single" w:color="231F20"/>
        </w:rPr>
        <w:t>Table 1</w:t>
      </w:r>
      <w:r>
        <w:rPr>
          <w:color w:val="231F20"/>
        </w:rPr>
        <w:t xml:space="preserve">: Effect of different solutions on the mortality of </w:t>
      </w:r>
      <w:r>
        <w:rPr>
          <w:i/>
        </w:rPr>
        <w:t xml:space="preserve">C. ochraceus </w:t>
      </w:r>
      <w:r>
        <w:rPr>
          <w:color w:val="231F20"/>
        </w:rPr>
        <w:t>adults</w:t>
      </w:r>
      <w:r>
        <w:rPr>
          <w:b/>
        </w:rPr>
        <w:t xml:space="preserve"> </w:t>
      </w:r>
    </w:p>
    <w:tbl>
      <w:tblPr>
        <w:tblStyle w:val="TableGrid"/>
        <w:tblW w:w="9337" w:type="dxa"/>
        <w:tblInd w:w="6" w:type="dxa"/>
        <w:tblLayout w:type="fixed"/>
        <w:tblCellMar>
          <w:right w:w="115" w:type="dxa"/>
        </w:tblCellMar>
        <w:tblLook w:val="04A0" w:firstRow="1" w:lastRow="0" w:firstColumn="1" w:lastColumn="0" w:noHBand="0" w:noVBand="1"/>
      </w:tblPr>
      <w:tblGrid>
        <w:gridCol w:w="3187"/>
        <w:gridCol w:w="1967"/>
        <w:gridCol w:w="2103"/>
        <w:gridCol w:w="2080"/>
      </w:tblGrid>
      <w:tr w:rsidR="00D53598" w14:paraId="0AF59B77" w14:textId="77777777" w:rsidTr="00665E56">
        <w:trPr>
          <w:trHeight w:val="274"/>
        </w:trPr>
        <w:tc>
          <w:tcPr>
            <w:tcW w:w="9337" w:type="dxa"/>
            <w:gridSpan w:val="4"/>
            <w:vAlign w:val="bottom"/>
          </w:tcPr>
          <w:p w14:paraId="3759CC0B" w14:textId="77777777" w:rsidR="00D53598" w:rsidRDefault="00D53598" w:rsidP="00665E56">
            <w:pPr>
              <w:spacing w:after="0" w:line="240" w:lineRule="auto"/>
              <w:jc w:val="center"/>
              <w:rPr>
                <w:rFonts w:eastAsia="Arial"/>
                <w:b/>
                <w:lang w:eastAsia="fr-FR"/>
              </w:rPr>
            </w:pPr>
            <w:r>
              <w:rPr>
                <w:rFonts w:ascii="Calibri" w:eastAsia="Calibri" w:hAnsi="Calibri" w:cs="Calibri"/>
                <w:noProof/>
                <w:sz w:val="22"/>
                <w:lang w:val="fr-FR" w:eastAsia="fr-FR"/>
              </w:rPr>
              <mc:AlternateContent>
                <mc:Choice Requires="wpg">
                  <w:drawing>
                    <wp:inline distT="0" distB="0" distL="0" distR="0" wp14:anchorId="74663638" wp14:editId="103AF61C">
                      <wp:extent cx="5817870" cy="46355"/>
                      <wp:effectExtent l="0" t="0" r="0" b="0"/>
                      <wp:docPr id="2"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5"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6"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0364BB"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" path="m,l5780405,34290e" filled="f" strokeweight=".5pt">
                        <v:stroke miterlimit="83231f" joinstyle="miter"/>
                        <v:path arrowok="t" textboxrect="0,0,5780405,34290"/>
                      </v:shape>
                      <w10:anchorlock/>
                    </v:group>
                  </w:pict>
                </mc:Fallback>
              </mc:AlternateContent>
            </w:r>
            <w:r>
              <w:rPr>
                <w:rFonts w:eastAsia="Arial"/>
                <w:b/>
                <w:lang w:eastAsia="fr-FR"/>
              </w:rPr>
              <w:t xml:space="preserve">Taux de </w:t>
            </w:r>
            <w:commentRangeStart w:id="17"/>
            <w:proofErr w:type="spellStart"/>
            <w:r>
              <w:rPr>
                <w:rFonts w:eastAsia="Arial"/>
                <w:b/>
                <w:lang w:eastAsia="fr-FR"/>
              </w:rPr>
              <w:t>mortalité</w:t>
            </w:r>
            <w:commentRangeEnd w:id="17"/>
            <w:proofErr w:type="spellEnd"/>
            <w:r w:rsidR="00745478">
              <w:rPr>
                <w:rStyle w:val="CommentReference"/>
              </w:rPr>
              <w:commentReference w:id="17"/>
            </w:r>
            <w:r>
              <w:rPr>
                <w:rFonts w:eastAsia="Arial"/>
                <w:b/>
                <w:lang w:eastAsia="fr-FR"/>
              </w:rPr>
              <w:t xml:space="preserve"> (%)</w:t>
            </w:r>
            <w:r>
              <w:rPr>
                <w:rFonts w:eastAsia="Arial"/>
                <w:b/>
                <w:lang w:eastAsia="fr-FR"/>
              </w:rPr>
              <w:br/>
            </w:r>
            <w:r>
              <w:rPr>
                <w:rFonts w:ascii="Calibri" w:eastAsia="Calibri" w:hAnsi="Calibri" w:cs="Calibri"/>
                <w:noProof/>
                <w:sz w:val="22"/>
                <w:lang w:val="fr-FR" w:eastAsia="fr-FR"/>
              </w:rPr>
              <mc:AlternateContent>
                <mc:Choice Requires="wpg">
                  <w:drawing>
                    <wp:inline distT="0" distB="0" distL="0" distR="0" wp14:anchorId="41005C13" wp14:editId="45D91ED1">
                      <wp:extent cx="5817870" cy="46355"/>
                      <wp:effectExtent l="0" t="0" r="0" b="0"/>
                      <wp:docPr id="17"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18"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9"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2A064C"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" path="m,l5780405,34290e" filled="f" strokeweight=".5pt">
                        <v:stroke miterlimit="83231f" joinstyle="miter"/>
                        <v:path arrowok="t" textboxrect="0,0,5780405,34290"/>
                      </v:shape>
                      <w10:anchorlock/>
                    </v:group>
                  </w:pict>
                </mc:Fallback>
              </mc:AlternateContent>
            </w:r>
          </w:p>
        </w:tc>
      </w:tr>
      <w:tr w:rsidR="00D53598" w14:paraId="38A31397" w14:textId="77777777" w:rsidTr="00D53598">
        <w:trPr>
          <w:trHeight w:val="240"/>
        </w:trPr>
        <w:tc>
          <w:tcPr>
            <w:tcW w:w="3187" w:type="dxa"/>
          </w:tcPr>
          <w:p w14:paraId="0B59D310" w14:textId="77777777" w:rsidR="00D53598" w:rsidRDefault="00D53598" w:rsidP="00665E56">
            <w:pPr>
              <w:pStyle w:val="NoSpacing"/>
              <w:rPr>
                <w:rFonts w:ascii="Times New Roman" w:eastAsiaTheme="minorEastAsia" w:hAnsi="Times New Roman" w:cs="Times New Roman"/>
                <w:b/>
                <w:sz w:val="24"/>
                <w:szCs w:val="24"/>
                <w:lang w:eastAsia="fr-FR"/>
              </w:rPr>
            </w:pPr>
            <w:r>
              <w:rPr>
                <w:rFonts w:ascii="Times New Roman" w:eastAsia="Arial" w:hAnsi="Times New Roman" w:cs="Times New Roman"/>
                <w:b/>
                <w:sz w:val="24"/>
                <w:szCs w:val="24"/>
                <w:lang w:eastAsia="fr-FR"/>
              </w:rPr>
              <w:lastRenderedPageBreak/>
              <w:t>Concentration (μl.ml</w:t>
            </w:r>
            <w:r>
              <w:rPr>
                <w:rFonts w:ascii="Times New Roman" w:eastAsia="Arial" w:hAnsi="Times New Roman" w:cs="Times New Roman"/>
                <w:b/>
                <w:sz w:val="24"/>
                <w:szCs w:val="24"/>
                <w:vertAlign w:val="superscript"/>
                <w:lang w:eastAsia="fr-FR"/>
              </w:rPr>
              <w:t>-</w:t>
            </w:r>
            <w:proofErr w:type="gramStart"/>
            <w:r>
              <w:rPr>
                <w:rFonts w:ascii="Times New Roman" w:eastAsia="Arial" w:hAnsi="Times New Roman" w:cs="Times New Roman"/>
                <w:b/>
                <w:sz w:val="24"/>
                <w:szCs w:val="24"/>
                <w:vertAlign w:val="superscript"/>
                <w:lang w:eastAsia="fr-FR"/>
              </w:rPr>
              <w:t xml:space="preserve">1 </w:t>
            </w:r>
            <w:r>
              <w:rPr>
                <w:rFonts w:ascii="Times New Roman" w:eastAsia="Arial" w:hAnsi="Times New Roman" w:cs="Times New Roman"/>
                <w:b/>
                <w:sz w:val="24"/>
                <w:szCs w:val="24"/>
                <w:lang w:eastAsia="fr-FR"/>
              </w:rPr>
              <w:t>)</w:t>
            </w:r>
            <w:proofErr w:type="gramEnd"/>
            <w:r>
              <w:rPr>
                <w:rFonts w:ascii="Times New Roman" w:eastAsiaTheme="minorEastAsia" w:hAnsi="Times New Roman" w:cs="Times New Roman"/>
                <w:noProof/>
                <w:sz w:val="24"/>
                <w:szCs w:val="24"/>
                <w:lang w:eastAsia="fr-FR"/>
              </w:rPr>
              <mc:AlternateContent>
                <mc:Choice Requires="wps">
                  <w:drawing>
                    <wp:inline distT="0" distB="0" distL="0" distR="0" wp14:anchorId="35801091" wp14:editId="0D085FF3">
                      <wp:extent cx="5791200" cy="0"/>
                      <wp:effectExtent l="0" t="0" r="19050" b="19050"/>
                      <wp:docPr id="9" name="Connecteur droit 9"/>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94AB63" id="Connecteur droit 9"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" strokecolor="black [3200]" strokeweight=".5pt">
                      <v:stroke joinstyle="miter"/>
                      <w10:anchorlock/>
                    </v:line>
                  </w:pict>
                </mc:Fallback>
              </mc:AlternateContent>
            </w:r>
            <w:r>
              <w:rPr>
                <w:rFonts w:ascii="Times New Roman" w:eastAsia="Arial" w:hAnsi="Times New Roman" w:cs="Times New Roman"/>
                <w:b/>
                <w:sz w:val="24"/>
                <w:szCs w:val="24"/>
                <w:lang w:eastAsia="fr-FR"/>
              </w:rPr>
              <w:t xml:space="preserve">  </w:t>
            </w:r>
          </w:p>
        </w:tc>
        <w:tc>
          <w:tcPr>
            <w:tcW w:w="1967" w:type="dxa"/>
          </w:tcPr>
          <w:p w14:paraId="1002D472" w14:textId="77777777" w:rsidR="00D53598" w:rsidRDefault="00D53598" w:rsidP="00665E56">
            <w:pPr>
              <w:tabs>
                <w:tab w:val="center" w:pos="2073"/>
              </w:tabs>
              <w:spacing w:after="0" w:line="240" w:lineRule="auto"/>
              <w:jc w:val="center"/>
              <w:rPr>
                <w:rFonts w:eastAsiaTheme="minorEastAsia"/>
                <w:b/>
                <w:lang w:eastAsia="fr-FR"/>
              </w:rPr>
            </w:pPr>
            <w:r>
              <w:rPr>
                <w:rFonts w:eastAsiaTheme="minorEastAsia"/>
                <w:b/>
                <w:lang w:eastAsia="fr-FR"/>
              </w:rPr>
              <w:t>HEC</w:t>
            </w:r>
            <w:r>
              <w:rPr>
                <w:rFonts w:eastAsiaTheme="minorEastAsia"/>
                <w:noProof/>
                <w:lang w:eastAsia="fr-FR"/>
              </w:rPr>
              <mc:AlternateContent>
                <mc:Choice Requires="wps">
                  <w:drawing>
                    <wp:inline distT="0" distB="0" distL="0" distR="0" wp14:anchorId="15559584" wp14:editId="0F55B130">
                      <wp:extent cx="5791200" cy="0"/>
                      <wp:effectExtent l="0" t="0" r="19050" b="19050"/>
                      <wp:docPr id="11" name="Connecteur droit 11"/>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82F6D5B" id="Connecteur droit 11"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" strokecolor="black [3200]" strokeweight=".5pt">
                      <v:stroke joinstyle="miter"/>
                      <w10:anchorlock/>
                    </v:line>
                  </w:pict>
                </mc:Fallback>
              </mc:AlternateContent>
            </w:r>
          </w:p>
        </w:tc>
        <w:tc>
          <w:tcPr>
            <w:tcW w:w="2103" w:type="dxa"/>
          </w:tcPr>
          <w:p w14:paraId="579CE5C4" w14:textId="77777777" w:rsidR="00D53598" w:rsidRDefault="00D53598" w:rsidP="00665E56">
            <w:pPr>
              <w:tabs>
                <w:tab w:val="center" w:pos="2073"/>
              </w:tabs>
              <w:spacing w:after="0" w:line="240" w:lineRule="auto"/>
              <w:jc w:val="center"/>
              <w:rPr>
                <w:rFonts w:eastAsiaTheme="minorEastAsia"/>
                <w:b/>
                <w:lang w:eastAsia="fr-FR"/>
              </w:rPr>
            </w:pPr>
            <w:r>
              <w:rPr>
                <w:rFonts w:eastAsiaTheme="minorEastAsia"/>
                <w:b/>
                <w:lang w:eastAsia="fr-FR"/>
              </w:rPr>
              <w:t>HEC/HVN</w:t>
            </w:r>
            <w:r>
              <w:rPr>
                <w:rFonts w:eastAsiaTheme="minorEastAsia"/>
                <w:noProof/>
                <w:lang w:eastAsia="fr-FR"/>
              </w:rPr>
              <mc:AlternateContent>
                <mc:Choice Requires="wps">
                  <w:drawing>
                    <wp:inline distT="0" distB="0" distL="0" distR="0" wp14:anchorId="657B35CF" wp14:editId="42CC28F4">
                      <wp:extent cx="5791200" cy="0"/>
                      <wp:effectExtent l="0" t="0" r="19050" b="19050"/>
                      <wp:docPr id="12" name="Connecteur droit 12"/>
                      <wp:cNvGraphicFramePr/>
                      <a:graphic xmlns:a="http://schemas.openxmlformats.org/drawingml/2006/main">
                        <a:graphicData uri="http://schemas.microsoft.com/office/word/2010/wordprocessingShape">
                          <wps:wsp>
                            <wps:cNvCnPr/>
                            <wps:spPr>
                              <a:xfrm flipV="1">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EFC14E" id="Connecteur droit 12" o:spid="_x0000_s1026" style="flip:y;visibility:visible;mso-wrap-style:square;mso-left-percent:-10001;mso-top-percent:-10001;mso-position-horizontal:absolute;mso-position-horizontal-relative:char;mso-position-vertical:absolute;mso-position-vertical-relative:line;mso-left-percent:-10001;mso-top-percent:-10001" from="0,0" to="4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" strokecolor="black [3200]" strokeweight=".5pt">
                      <v:stroke joinstyle="miter"/>
                      <w10:anchorlock/>
                    </v:line>
                  </w:pict>
                </mc:Fallback>
              </mc:AlternateContent>
            </w:r>
          </w:p>
        </w:tc>
        <w:tc>
          <w:tcPr>
            <w:tcW w:w="2080" w:type="dxa"/>
          </w:tcPr>
          <w:p w14:paraId="39276D91" w14:textId="77777777" w:rsidR="00D53598" w:rsidRDefault="00D53598" w:rsidP="00665E56">
            <w:pPr>
              <w:spacing w:after="0" w:line="240" w:lineRule="auto"/>
              <w:jc w:val="center"/>
              <w:rPr>
                <w:rFonts w:eastAsiaTheme="minorEastAsia"/>
                <w:b/>
                <w:lang w:eastAsia="fr-FR"/>
              </w:rPr>
            </w:pPr>
            <w:r>
              <w:rPr>
                <w:rFonts w:eastAsiaTheme="minorEastAsia"/>
                <w:b/>
                <w:lang w:eastAsia="fr-FR"/>
              </w:rPr>
              <w:t>HVN</w:t>
            </w:r>
            <w:r>
              <w:rPr>
                <w:rFonts w:eastAsiaTheme="minorEastAsia"/>
                <w:noProof/>
                <w:lang w:eastAsia="fr-FR"/>
              </w:rPr>
              <mc:AlternateContent>
                <mc:Choice Requires="wps">
                  <w:drawing>
                    <wp:inline distT="0" distB="0" distL="0" distR="0" wp14:anchorId="2D4C01EB" wp14:editId="57F24FB7">
                      <wp:extent cx="5548630" cy="27305"/>
                      <wp:effectExtent l="0" t="0" r="33020" b="29845"/>
                      <wp:docPr id="13" name="Connecteur droit 13"/>
                      <wp:cNvGraphicFramePr/>
                      <a:graphic xmlns:a="http://schemas.openxmlformats.org/drawingml/2006/main">
                        <a:graphicData uri="http://schemas.microsoft.com/office/word/2010/wordprocessingShape">
                          <wps:wsp>
                            <wps:cNvCnPr/>
                            <wps:spPr>
                              <a:xfrm flipV="1">
                                <a:off x="0" y="0"/>
                                <a:ext cx="5548745" cy="277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541B240" id="Connecteur droit 13" o:spid="_x0000_s1026" style="flip:y;visibility:visible;mso-wrap-style:square;mso-left-percent:-10001;mso-top-percent:-10001;mso-position-horizontal:absolute;mso-position-horizontal-relative:char;mso-position-vertical:absolute;mso-position-vertical-relative:line;mso-left-percent:-10001;mso-top-percent:-10001" from="0,0" to="43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" strokecolor="black [3200]" strokeweight=".5pt">
                      <v:stroke joinstyle="miter"/>
                      <w10:anchorlock/>
                    </v:line>
                  </w:pict>
                </mc:Fallback>
              </mc:AlternateContent>
            </w:r>
          </w:p>
        </w:tc>
      </w:tr>
      <w:tr w:rsidR="00D53598" w14:paraId="3B5B9A94" w14:textId="77777777" w:rsidTr="00D53598">
        <w:trPr>
          <w:trHeight w:val="236"/>
        </w:trPr>
        <w:tc>
          <w:tcPr>
            <w:tcW w:w="3187" w:type="dxa"/>
          </w:tcPr>
          <w:p w14:paraId="63335F5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0</w:t>
            </w:r>
          </w:p>
        </w:tc>
        <w:tc>
          <w:tcPr>
            <w:tcW w:w="1967" w:type="dxa"/>
          </w:tcPr>
          <w:p w14:paraId="44DE9F58"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c>
          <w:tcPr>
            <w:tcW w:w="2103" w:type="dxa"/>
          </w:tcPr>
          <w:p w14:paraId="2B93D906"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c>
          <w:tcPr>
            <w:tcW w:w="2080" w:type="dxa"/>
          </w:tcPr>
          <w:p w14:paraId="61F97DCA" w14:textId="77777777" w:rsidR="00D53598" w:rsidRDefault="00D53598" w:rsidP="00665E56">
            <w:pPr>
              <w:spacing w:after="0" w:line="240" w:lineRule="auto"/>
              <w:jc w:val="center"/>
              <w:rPr>
                <w:rFonts w:eastAsiaTheme="minorEastAsia"/>
                <w:lang w:eastAsia="fr-FR"/>
              </w:rPr>
            </w:pPr>
            <w:r>
              <w:rPr>
                <w:rFonts w:eastAsiaTheme="minorEastAsia"/>
                <w:lang w:eastAsia="fr-FR"/>
              </w:rPr>
              <w:t>0</w:t>
            </w:r>
          </w:p>
        </w:tc>
      </w:tr>
      <w:tr w:rsidR="00D53598" w14:paraId="62BEF5DA" w14:textId="77777777" w:rsidTr="00D53598">
        <w:trPr>
          <w:trHeight w:val="230"/>
        </w:trPr>
        <w:tc>
          <w:tcPr>
            <w:tcW w:w="3187" w:type="dxa"/>
          </w:tcPr>
          <w:p w14:paraId="444604B2"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w:t>
            </w:r>
          </w:p>
        </w:tc>
        <w:tc>
          <w:tcPr>
            <w:tcW w:w="1967" w:type="dxa"/>
          </w:tcPr>
          <w:p w14:paraId="4D2EEDD7"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42,50c</w:t>
            </w:r>
          </w:p>
        </w:tc>
        <w:tc>
          <w:tcPr>
            <w:tcW w:w="2103" w:type="dxa"/>
          </w:tcPr>
          <w:p w14:paraId="1C672E65"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16,50 e</w:t>
            </w:r>
          </w:p>
        </w:tc>
        <w:tc>
          <w:tcPr>
            <w:tcW w:w="2080" w:type="dxa"/>
          </w:tcPr>
          <w:p w14:paraId="3D6B91A3" w14:textId="77777777" w:rsidR="00D53598" w:rsidRDefault="00D53598" w:rsidP="00665E56">
            <w:pPr>
              <w:spacing w:after="0" w:line="240" w:lineRule="auto"/>
              <w:jc w:val="center"/>
              <w:rPr>
                <w:rFonts w:eastAsiaTheme="minorEastAsia"/>
                <w:lang w:eastAsia="fr-FR"/>
              </w:rPr>
            </w:pPr>
            <w:r>
              <w:rPr>
                <w:rFonts w:eastAsiaTheme="minorEastAsia"/>
                <w:lang w:eastAsia="fr-FR"/>
              </w:rPr>
              <w:t>13e</w:t>
            </w:r>
          </w:p>
        </w:tc>
      </w:tr>
      <w:tr w:rsidR="00D53598" w14:paraId="3C7873B8" w14:textId="77777777" w:rsidTr="00D53598">
        <w:trPr>
          <w:trHeight w:val="228"/>
        </w:trPr>
        <w:tc>
          <w:tcPr>
            <w:tcW w:w="3187" w:type="dxa"/>
          </w:tcPr>
          <w:p w14:paraId="52EA8BA7"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20</w:t>
            </w:r>
          </w:p>
        </w:tc>
        <w:tc>
          <w:tcPr>
            <w:tcW w:w="1967" w:type="dxa"/>
          </w:tcPr>
          <w:p w14:paraId="0AFC6F3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77,5b</w:t>
            </w:r>
          </w:p>
        </w:tc>
        <w:tc>
          <w:tcPr>
            <w:tcW w:w="2103" w:type="dxa"/>
          </w:tcPr>
          <w:p w14:paraId="114474B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41,25d</w:t>
            </w:r>
          </w:p>
        </w:tc>
        <w:tc>
          <w:tcPr>
            <w:tcW w:w="2080" w:type="dxa"/>
          </w:tcPr>
          <w:p w14:paraId="0A3F60FD" w14:textId="77777777" w:rsidR="00D53598" w:rsidRDefault="00D53598" w:rsidP="00665E56">
            <w:pPr>
              <w:spacing w:after="0" w:line="240" w:lineRule="auto"/>
              <w:jc w:val="center"/>
              <w:rPr>
                <w:rFonts w:eastAsiaTheme="minorEastAsia"/>
                <w:lang w:eastAsia="fr-FR"/>
              </w:rPr>
            </w:pPr>
            <w:r>
              <w:rPr>
                <w:rFonts w:eastAsiaTheme="minorEastAsia"/>
                <w:lang w:eastAsia="fr-FR"/>
              </w:rPr>
              <w:t>30d</w:t>
            </w:r>
          </w:p>
        </w:tc>
      </w:tr>
      <w:tr w:rsidR="00D53598" w14:paraId="35BF06E0" w14:textId="77777777" w:rsidTr="00D53598">
        <w:trPr>
          <w:trHeight w:val="228"/>
        </w:trPr>
        <w:tc>
          <w:tcPr>
            <w:tcW w:w="3187" w:type="dxa"/>
          </w:tcPr>
          <w:p w14:paraId="73FC4151"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30</w:t>
            </w:r>
          </w:p>
        </w:tc>
        <w:tc>
          <w:tcPr>
            <w:tcW w:w="1967" w:type="dxa"/>
          </w:tcPr>
          <w:p w14:paraId="2F62BAB6"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93.75a</w:t>
            </w:r>
          </w:p>
        </w:tc>
        <w:tc>
          <w:tcPr>
            <w:tcW w:w="2103" w:type="dxa"/>
          </w:tcPr>
          <w:p w14:paraId="79A19C60"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70c</w:t>
            </w:r>
          </w:p>
        </w:tc>
        <w:tc>
          <w:tcPr>
            <w:tcW w:w="2080" w:type="dxa"/>
          </w:tcPr>
          <w:p w14:paraId="47F8FAEC" w14:textId="77777777" w:rsidR="00D53598" w:rsidRDefault="00D53598" w:rsidP="00665E56">
            <w:pPr>
              <w:spacing w:after="0" w:line="240" w:lineRule="auto"/>
              <w:jc w:val="center"/>
              <w:rPr>
                <w:rFonts w:eastAsiaTheme="minorEastAsia"/>
                <w:lang w:eastAsia="fr-FR"/>
              </w:rPr>
            </w:pPr>
            <w:r>
              <w:rPr>
                <w:rFonts w:eastAsiaTheme="minorEastAsia"/>
                <w:lang w:eastAsia="fr-FR"/>
              </w:rPr>
              <w:t>46,25c</w:t>
            </w:r>
          </w:p>
        </w:tc>
      </w:tr>
      <w:tr w:rsidR="00D53598" w14:paraId="7F0EC75A" w14:textId="77777777" w:rsidTr="00D53598">
        <w:trPr>
          <w:trHeight w:val="229"/>
        </w:trPr>
        <w:tc>
          <w:tcPr>
            <w:tcW w:w="3187" w:type="dxa"/>
          </w:tcPr>
          <w:p w14:paraId="7C77A2BA"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40</w:t>
            </w:r>
          </w:p>
        </w:tc>
        <w:tc>
          <w:tcPr>
            <w:tcW w:w="1967" w:type="dxa"/>
          </w:tcPr>
          <w:p w14:paraId="14AAB43B"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103" w:type="dxa"/>
          </w:tcPr>
          <w:p w14:paraId="73D0FC3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85b</w:t>
            </w:r>
          </w:p>
        </w:tc>
        <w:tc>
          <w:tcPr>
            <w:tcW w:w="2080" w:type="dxa"/>
          </w:tcPr>
          <w:p w14:paraId="3369DB4C" w14:textId="77777777" w:rsidR="00D53598" w:rsidRDefault="00D53598" w:rsidP="00665E56">
            <w:pPr>
              <w:spacing w:after="0" w:line="240" w:lineRule="auto"/>
              <w:jc w:val="center"/>
              <w:rPr>
                <w:rFonts w:eastAsiaTheme="minorEastAsia"/>
                <w:lang w:eastAsia="fr-FR"/>
              </w:rPr>
            </w:pPr>
            <w:r>
              <w:rPr>
                <w:rFonts w:eastAsiaTheme="minorEastAsia"/>
                <w:lang w:eastAsia="fr-FR"/>
              </w:rPr>
              <w:t>57,5b</w:t>
            </w:r>
          </w:p>
        </w:tc>
      </w:tr>
      <w:tr w:rsidR="00D53598" w14:paraId="552C63FD" w14:textId="77777777" w:rsidTr="00D53598">
        <w:trPr>
          <w:trHeight w:val="234"/>
        </w:trPr>
        <w:tc>
          <w:tcPr>
            <w:tcW w:w="3187" w:type="dxa"/>
          </w:tcPr>
          <w:p w14:paraId="7502B23E"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50</w:t>
            </w:r>
          </w:p>
        </w:tc>
        <w:tc>
          <w:tcPr>
            <w:tcW w:w="1967" w:type="dxa"/>
          </w:tcPr>
          <w:p w14:paraId="037CD9C1"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103" w:type="dxa"/>
          </w:tcPr>
          <w:p w14:paraId="67BA83DF" w14:textId="77777777" w:rsidR="00D53598" w:rsidRDefault="00D53598" w:rsidP="00665E56">
            <w:pPr>
              <w:spacing w:after="0" w:line="240" w:lineRule="auto"/>
              <w:jc w:val="center"/>
              <w:rPr>
                <w:rFonts w:eastAsiaTheme="minorEastAsia"/>
                <w:bCs/>
                <w:lang w:eastAsia="fr-FR"/>
              </w:rPr>
            </w:pPr>
            <w:r>
              <w:rPr>
                <w:rFonts w:eastAsiaTheme="minorEastAsia"/>
                <w:bCs/>
                <w:lang w:eastAsia="fr-FR"/>
              </w:rPr>
              <w:t>100a</w:t>
            </w:r>
          </w:p>
        </w:tc>
        <w:tc>
          <w:tcPr>
            <w:tcW w:w="2080" w:type="dxa"/>
          </w:tcPr>
          <w:p w14:paraId="7961FC24" w14:textId="77777777" w:rsidR="00D53598" w:rsidRDefault="00D53598" w:rsidP="00665E56">
            <w:pPr>
              <w:spacing w:after="0" w:line="240" w:lineRule="auto"/>
              <w:jc w:val="center"/>
              <w:rPr>
                <w:rFonts w:eastAsiaTheme="minorEastAsia"/>
                <w:lang w:eastAsia="fr-FR"/>
              </w:rPr>
            </w:pPr>
            <w:r>
              <w:rPr>
                <w:rFonts w:eastAsiaTheme="minorEastAsia"/>
                <w:lang w:eastAsia="fr-FR"/>
              </w:rPr>
              <w:t xml:space="preserve">72,5a </w:t>
            </w:r>
          </w:p>
          <w:p w14:paraId="3F12F421" w14:textId="77777777" w:rsidR="00D53598" w:rsidRDefault="00D53598" w:rsidP="00665E56">
            <w:pPr>
              <w:spacing w:after="0" w:line="240" w:lineRule="auto"/>
              <w:jc w:val="center"/>
              <w:rPr>
                <w:rFonts w:eastAsiaTheme="minorEastAsia"/>
                <w:lang w:eastAsia="fr-FR"/>
              </w:rPr>
            </w:pPr>
          </w:p>
        </w:tc>
      </w:tr>
    </w:tbl>
    <w:p w14:paraId="2304BE1F" w14:textId="77777777" w:rsidR="00634D60" w:rsidRDefault="00D53598" w:rsidP="00D53598">
      <w:r>
        <w:rPr>
          <w:rFonts w:ascii="Calibri" w:eastAsia="Calibri" w:hAnsi="Calibri" w:cs="Calibri"/>
          <w:noProof/>
          <w:sz w:val="22"/>
          <w:lang w:val="fr-FR" w:eastAsia="fr-FR"/>
        </w:rPr>
        <mc:AlternateContent>
          <mc:Choice Requires="wpg">
            <w:drawing>
              <wp:inline distT="0" distB="0" distL="0" distR="0" wp14:anchorId="05E8F3EE" wp14:editId="54E299C5">
                <wp:extent cx="5817870" cy="46355"/>
                <wp:effectExtent l="0" t="0" r="0" b="0"/>
                <wp:docPr id="14" name="Group 14722"/>
                <wp:cNvGraphicFramePr/>
                <a:graphic xmlns:a="http://schemas.openxmlformats.org/drawingml/2006/main">
                  <a:graphicData uri="http://schemas.microsoft.com/office/word/2010/wordprocessingGroup">
                    <wpg:wgp>
                      <wpg:cNvGrpSpPr/>
                      <wpg:grpSpPr>
                        <a:xfrm>
                          <a:off x="0" y="0"/>
                          <a:ext cx="5817870" cy="46355"/>
                          <a:chOff x="0" y="0"/>
                          <a:chExt cx="5817870" cy="46355"/>
                        </a:xfrm>
                      </wpg:grpSpPr>
                      <wps:wsp>
                        <wps:cNvPr id="15" name="Shape 699"/>
                        <wps:cNvSpPr/>
                        <wps:spPr>
                          <a:xfrm>
                            <a:off x="0" y="0"/>
                            <a:ext cx="5811520" cy="6350"/>
                          </a:xfrm>
                          <a:custGeom>
                            <a:avLst/>
                            <a:gdLst/>
                            <a:ahLst/>
                            <a:cxnLst/>
                            <a:rect l="0" t="0" r="0" b="0"/>
                            <a:pathLst>
                              <a:path w="5811520" h="6350">
                                <a:moveTo>
                                  <a:pt x="0" y="0"/>
                                </a:moveTo>
                                <a:lnTo>
                                  <a:pt x="5811520" y="635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6" name="Shape 701"/>
                        <wps:cNvSpPr/>
                        <wps:spPr>
                          <a:xfrm>
                            <a:off x="37465" y="12065"/>
                            <a:ext cx="5780405" cy="34290"/>
                          </a:xfrm>
                          <a:custGeom>
                            <a:avLst/>
                            <a:gdLst/>
                            <a:ahLst/>
                            <a:cxnLst/>
                            <a:rect l="0" t="0" r="0" b="0"/>
                            <a:pathLst>
                              <a:path w="5780405" h="34290">
                                <a:moveTo>
                                  <a:pt x="0" y="0"/>
                                </a:moveTo>
                                <a:lnTo>
                                  <a:pt x="5780405" y="3429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81346F" id="Group 14722" o:spid="_x0000_s1026" style="width:458.1pt;height:3.65pt;mso-position-horizontal-relative:char;mso-position-vertical-relative:line" coordsize="58178,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">
                <v:shape id="Shape 699" o:spid="_x0000_s1027" style="position:absolute;width:58115;height:63;visibility:visible;mso-wrap-style:square;v-text-anchor:top" coordsize="5811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" path="m,l5811520,6350e" filled="f" strokeweight=".5pt">
                  <v:stroke miterlimit="83231f" joinstyle="miter"/>
                  <v:path arrowok="t" textboxrect="0,0,5811520,6350"/>
                </v:shape>
                <v:shape id="Shape 701" o:spid="_x0000_s1028" style="position:absolute;left:374;top:120;width:57804;height:343;visibility:visible;mso-wrap-style:square;v-text-anchor:top" coordsize="578040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" path="m,l5780405,34290e" filled="f" strokeweight=".5pt">
                  <v:stroke miterlimit="83231f" joinstyle="miter"/>
                  <v:path arrowok="t" textboxrect="0,0,5780405,34290"/>
                </v:shape>
                <w10:anchorlock/>
              </v:group>
            </w:pict>
          </mc:Fallback>
        </mc:AlternateContent>
      </w:r>
    </w:p>
    <w:p w14:paraId="07FE839B" w14:textId="77777777" w:rsidR="00634D60" w:rsidRPr="00D53598" w:rsidRDefault="00FD5CBC" w:rsidP="00D53598">
      <w:pPr>
        <w:rPr>
          <w:sz w:val="20"/>
        </w:rPr>
      </w:pPr>
      <w:r w:rsidRPr="00D53598">
        <w:rPr>
          <w:sz w:val="20"/>
        </w:rPr>
        <w:t xml:space="preserve">Within the same column, the averages assigned to the same letter do not differ statistically from each other (Newman-Keuls test, p = 0.05). </w:t>
      </w:r>
    </w:p>
    <w:p w14:paraId="4A0B8AB4" w14:textId="632A34B2" w:rsidR="00634D60" w:rsidRDefault="00FD5CBC" w:rsidP="00D53598">
      <w:pPr>
        <w:spacing w:line="360" w:lineRule="auto"/>
      </w:pPr>
      <w:r>
        <w:t>For the various solutions tested, the HEC-based formulation proved to be much more toxic than the HVN-based formulation, indicating that HEC had a more pronounced insecticidal effect than HVN. The lowest concentration tested (10 µl</w:t>
      </w:r>
      <w:r w:rsidRPr="00D53598">
        <w:t>.ml⁻¹)</w:t>
      </w:r>
      <w:r w:rsidR="00753851">
        <w:t xml:space="preserve"> </w:t>
      </w:r>
      <w:r>
        <w:t xml:space="preserve">caused 42.5% mortality for the </w:t>
      </w:r>
      <w:r w:rsidR="00745478">
        <w:t>HEC-based</w:t>
      </w:r>
      <w:r>
        <w:t xml:space="preserve"> solution, while only 13% mortality was recorded for the HVN-based solution and 16.5% mortality for the HEC/HVN mixture-based solution. A mortality rate of 100% of C</w:t>
      </w:r>
      <w:r>
        <w:rPr>
          <w:i/>
        </w:rPr>
        <w:t xml:space="preserve">. ochraceus </w:t>
      </w:r>
      <w:r>
        <w:t>was achieved</w:t>
      </w:r>
      <w:r w:rsidR="00753851">
        <w:t xml:space="preserve"> at a concentration of 40 µl.ml</w:t>
      </w:r>
      <w:r>
        <w:rPr>
          <w:vertAlign w:val="superscript"/>
        </w:rPr>
        <w:t>-1</w:t>
      </w:r>
      <w:r>
        <w:t xml:space="preserve"> of HEC tested and 50 µl.</w:t>
      </w:r>
      <w:r w:rsidRPr="00753851">
        <w:t>ml</w:t>
      </w:r>
      <w:r w:rsidR="00753851" w:rsidRPr="00753851">
        <w:rPr>
          <w:vertAlign w:val="superscript"/>
        </w:rPr>
        <w:t>-1</w:t>
      </w:r>
      <w:r w:rsidR="00753851" w:rsidRPr="00753851">
        <w:t xml:space="preserve"> </w:t>
      </w:r>
      <w:r w:rsidRPr="00753851">
        <w:t>for</w:t>
      </w:r>
      <w:r>
        <w:t xml:space="preserve"> the HEC/HVN mixture solution. For the HVN-based solution, only 72.5% mortality was recorded at a much higher concentration (50 µl</w:t>
      </w:r>
      <w:r w:rsidRPr="00753851">
        <w:t>.ml⁻¹</w:t>
      </w:r>
      <w:r>
        <w:t>of HVN)</w:t>
      </w:r>
      <w:r>
        <w:rPr>
          <w:vertAlign w:val="superscript"/>
        </w:rPr>
        <w:t>,</w:t>
      </w:r>
      <w:r>
        <w:t xml:space="preserve"> while for the HEC/HVN mixture-based solution, this rate was reached at a concentration of 50 µl.</w:t>
      </w:r>
      <w:r>
        <w:rPr>
          <w:vertAlign w:val="superscript"/>
        </w:rPr>
        <w:t>ml⁻¹</w:t>
      </w:r>
      <w:r>
        <w:t>of HEC/HVN. Thus</w:t>
      </w:r>
      <w:r>
        <w:rPr>
          <w:vertAlign w:val="superscript"/>
        </w:rPr>
        <w:t>,</w:t>
      </w:r>
      <w:r>
        <w:t xml:space="preserve"> for each 1 µl.</w:t>
      </w:r>
      <w:r w:rsidR="00725FC8">
        <w:t>ml (</w:t>
      </w:r>
      <w:r>
        <w:rPr>
          <w:vertAlign w:val="superscript"/>
        </w:rPr>
        <w:t>-</w:t>
      </w:r>
      <w:r w:rsidR="00875D8B">
        <w:rPr>
          <w:vertAlign w:val="superscript"/>
        </w:rPr>
        <w:t>1)</w:t>
      </w:r>
      <w:r w:rsidR="00875D8B">
        <w:t xml:space="preserve"> increase</w:t>
      </w:r>
      <w:r>
        <w:t xml:space="preserve"> in the tested </w:t>
      </w:r>
      <w:r w:rsidR="00753851">
        <w:t>concentration</w:t>
      </w:r>
      <w:r w:rsidR="00753851">
        <w:rPr>
          <w:vertAlign w:val="superscript"/>
        </w:rPr>
        <w:t>,</w:t>
      </w:r>
      <w:r w:rsidR="00753851">
        <w:t xml:space="preserve"> an</w:t>
      </w:r>
      <w:r>
        <w:t xml:space="preserve"> increase in mortality of 3.5%, 2.5%, and 1.7% is recorded for the HEC-based solution, the HVN-based solution, and the HEC/HVN </w:t>
      </w:r>
      <w:commentRangeStart w:id="18"/>
      <w:proofErr w:type="spellStart"/>
      <w:r>
        <w:t>mixturebased</w:t>
      </w:r>
      <w:commentRangeEnd w:id="18"/>
      <w:proofErr w:type="spellEnd"/>
      <w:r w:rsidR="00875D8B">
        <w:rPr>
          <w:rStyle w:val="CommentReference"/>
        </w:rPr>
        <w:commentReference w:id="18"/>
      </w:r>
      <w:r>
        <w:t xml:space="preserve"> solution, respectively. </w:t>
      </w:r>
    </w:p>
    <w:p w14:paraId="37D4FA7A" w14:textId="37C7F445" w:rsidR="00634D60" w:rsidRDefault="00FD5CBC" w:rsidP="003764D1">
      <w:r>
        <w:t xml:space="preserve">The lethal concentrations, the effect of which can cause the death of 50% of the test population, are listed in Table 2.  </w:t>
      </w:r>
    </w:p>
    <w:p w14:paraId="0CF2CFED" w14:textId="5A1F7297" w:rsidR="00E41F0C" w:rsidRDefault="00E41F0C" w:rsidP="003764D1"/>
    <w:p w14:paraId="037BED3E" w14:textId="44490398" w:rsidR="00E41F0C" w:rsidRDefault="00E41F0C" w:rsidP="003764D1"/>
    <w:p w14:paraId="401BAE2B" w14:textId="00F57A32" w:rsidR="00E41F0C" w:rsidRDefault="00E41F0C" w:rsidP="003764D1"/>
    <w:p w14:paraId="645D8A15" w14:textId="77777777" w:rsidR="00E41F0C" w:rsidRDefault="00E41F0C" w:rsidP="003764D1"/>
    <w:p w14:paraId="0099E10F" w14:textId="079425BE" w:rsidR="00634D60" w:rsidRDefault="00FD5CBC" w:rsidP="003764D1">
      <w:r>
        <w:rPr>
          <w:color w:val="231F20"/>
          <w:u w:val="single" w:color="231F20"/>
        </w:rPr>
        <w:t>T</w:t>
      </w:r>
      <w:r w:rsidRPr="003A1FCA">
        <w:rPr>
          <w:b/>
          <w:color w:val="231F20"/>
          <w:u w:val="single" w:color="231F20"/>
        </w:rPr>
        <w:t>able 2</w:t>
      </w:r>
      <w:r w:rsidRPr="003A1FCA">
        <w:rPr>
          <w:b/>
          <w:color w:val="231F20"/>
        </w:rPr>
        <w:t>: LC</w:t>
      </w:r>
      <w:r w:rsidR="00875D8B" w:rsidRPr="003A1FCA">
        <w:rPr>
          <w:b/>
          <w:color w:val="231F20"/>
          <w:vertAlign w:val="subscript"/>
        </w:rPr>
        <w:t>50</w:t>
      </w:r>
      <w:r w:rsidR="00875D8B" w:rsidRPr="003A1FCA">
        <w:rPr>
          <w:b/>
          <w:color w:val="231F20"/>
        </w:rPr>
        <w:t xml:space="preserve"> by</w:t>
      </w:r>
      <w:r w:rsidRPr="003A1FCA">
        <w:rPr>
          <w:b/>
          <w:color w:val="231F20"/>
        </w:rPr>
        <w:t xml:space="preserve"> contact of different solutions on </w:t>
      </w:r>
      <w:r w:rsidRPr="003A1FCA">
        <w:rPr>
          <w:b/>
          <w:i/>
        </w:rPr>
        <w:t xml:space="preserve">C. ochraceus </w:t>
      </w:r>
    </w:p>
    <w:tbl>
      <w:tblPr>
        <w:tblStyle w:val="TableGrid"/>
        <w:tblW w:w="8699" w:type="dxa"/>
        <w:tblInd w:w="353" w:type="dxa"/>
        <w:tblCellMar>
          <w:top w:w="66" w:type="dxa"/>
          <w:right w:w="31" w:type="dxa"/>
        </w:tblCellMar>
        <w:tblLook w:val="04A0" w:firstRow="1" w:lastRow="0" w:firstColumn="1" w:lastColumn="0" w:noHBand="0" w:noVBand="1"/>
      </w:tblPr>
      <w:tblGrid>
        <w:gridCol w:w="2689"/>
        <w:gridCol w:w="1183"/>
        <w:gridCol w:w="1073"/>
        <w:gridCol w:w="2434"/>
        <w:gridCol w:w="1320"/>
      </w:tblGrid>
      <w:tr w:rsidR="00634D60" w14:paraId="6F0E460A" w14:textId="77777777">
        <w:trPr>
          <w:trHeight w:val="828"/>
        </w:trPr>
        <w:tc>
          <w:tcPr>
            <w:tcW w:w="2689" w:type="dxa"/>
            <w:tcBorders>
              <w:top w:val="double" w:sz="12" w:space="0" w:color="000000"/>
              <w:left w:val="nil"/>
              <w:bottom w:val="single" w:sz="2" w:space="0" w:color="000000"/>
              <w:right w:val="nil"/>
            </w:tcBorders>
          </w:tcPr>
          <w:p w14:paraId="2A5B9B8C" w14:textId="77777777" w:rsidR="00634D60" w:rsidRDefault="00FD5CBC" w:rsidP="003764D1">
            <w:r>
              <w:t xml:space="preserve">BBP tested  </w:t>
            </w:r>
          </w:p>
        </w:tc>
        <w:tc>
          <w:tcPr>
            <w:tcW w:w="1183" w:type="dxa"/>
            <w:tcBorders>
              <w:top w:val="double" w:sz="12" w:space="0" w:color="000000"/>
              <w:left w:val="nil"/>
              <w:bottom w:val="single" w:sz="2" w:space="0" w:color="000000"/>
              <w:right w:val="nil"/>
            </w:tcBorders>
          </w:tcPr>
          <w:p w14:paraId="176B0BF3" w14:textId="77777777" w:rsidR="00634D60" w:rsidRDefault="00FD5CBC" w:rsidP="003764D1">
            <w:r>
              <w:t>LC</w:t>
            </w:r>
            <w:r>
              <w:rPr>
                <w:vertAlign w:val="subscript"/>
              </w:rPr>
              <w:t>50</w:t>
            </w:r>
            <w:r>
              <w:t xml:space="preserve"> </w:t>
            </w:r>
          </w:p>
          <w:p w14:paraId="00B63033" w14:textId="77777777" w:rsidR="00634D60" w:rsidRDefault="00FD5CBC" w:rsidP="003764D1">
            <w:r>
              <w:t>(µl.ml</w:t>
            </w:r>
            <w:r>
              <w:rPr>
                <w:vertAlign w:val="superscript"/>
              </w:rPr>
              <w:t>-</w:t>
            </w:r>
            <w:proofErr w:type="gramStart"/>
            <w:r>
              <w:rPr>
                <w:vertAlign w:val="superscript"/>
              </w:rPr>
              <w:t>1</w:t>
            </w:r>
            <w:r>
              <w:t xml:space="preserve"> )</w:t>
            </w:r>
            <w:proofErr w:type="gramEnd"/>
            <w:r>
              <w:t xml:space="preserve">  </w:t>
            </w:r>
          </w:p>
        </w:tc>
        <w:tc>
          <w:tcPr>
            <w:tcW w:w="1073" w:type="dxa"/>
            <w:tcBorders>
              <w:top w:val="double" w:sz="12" w:space="0" w:color="000000"/>
              <w:left w:val="nil"/>
              <w:bottom w:val="single" w:sz="2" w:space="0" w:color="000000"/>
              <w:right w:val="nil"/>
            </w:tcBorders>
            <w:vAlign w:val="center"/>
          </w:tcPr>
          <w:p w14:paraId="6863D839" w14:textId="77777777" w:rsidR="00634D60" w:rsidRDefault="00FD5CBC" w:rsidP="003764D1">
            <w:r>
              <w:t xml:space="preserve">Standard error  </w:t>
            </w:r>
          </w:p>
        </w:tc>
        <w:tc>
          <w:tcPr>
            <w:tcW w:w="2434" w:type="dxa"/>
            <w:tcBorders>
              <w:top w:val="double" w:sz="12" w:space="0" w:color="000000"/>
              <w:left w:val="nil"/>
              <w:bottom w:val="single" w:sz="2" w:space="0" w:color="000000"/>
              <w:right w:val="nil"/>
            </w:tcBorders>
          </w:tcPr>
          <w:p w14:paraId="596AF409" w14:textId="77777777" w:rsidR="00634D60" w:rsidRDefault="00FD5CBC" w:rsidP="003764D1">
            <w:r>
              <w:t xml:space="preserve">95% confidence interval </w:t>
            </w:r>
          </w:p>
          <w:p w14:paraId="7720EB7C" w14:textId="77777777" w:rsidR="00634D60" w:rsidRDefault="00FD5CBC" w:rsidP="003764D1">
            <w:r>
              <w:t xml:space="preserve">Lower bound  </w:t>
            </w:r>
          </w:p>
        </w:tc>
        <w:tc>
          <w:tcPr>
            <w:tcW w:w="1320" w:type="dxa"/>
            <w:tcBorders>
              <w:top w:val="double" w:sz="12" w:space="0" w:color="000000"/>
              <w:left w:val="nil"/>
              <w:bottom w:val="single" w:sz="2" w:space="0" w:color="000000"/>
              <w:right w:val="nil"/>
            </w:tcBorders>
          </w:tcPr>
          <w:p w14:paraId="44F6FBAB" w14:textId="77777777" w:rsidR="00634D60" w:rsidRDefault="00FD5CBC" w:rsidP="003764D1">
            <w:r>
              <w:t xml:space="preserve"> </w:t>
            </w:r>
          </w:p>
          <w:p w14:paraId="5221A045" w14:textId="77777777" w:rsidR="00634D60" w:rsidRDefault="00FD5CBC" w:rsidP="003764D1">
            <w:r>
              <w:t xml:space="preserve">Upper limit  </w:t>
            </w:r>
          </w:p>
        </w:tc>
      </w:tr>
      <w:tr w:rsidR="00634D60" w14:paraId="5E5D6FDF" w14:textId="77777777">
        <w:trPr>
          <w:trHeight w:val="438"/>
        </w:trPr>
        <w:tc>
          <w:tcPr>
            <w:tcW w:w="2689" w:type="dxa"/>
            <w:tcBorders>
              <w:top w:val="single" w:sz="2" w:space="0" w:color="000000"/>
              <w:left w:val="nil"/>
              <w:bottom w:val="nil"/>
              <w:right w:val="nil"/>
            </w:tcBorders>
          </w:tcPr>
          <w:p w14:paraId="11A1D8B5" w14:textId="77777777" w:rsidR="00634D60" w:rsidRDefault="00FD5CBC" w:rsidP="003764D1">
            <w:r>
              <w:t xml:space="preserve">HEC  </w:t>
            </w:r>
          </w:p>
        </w:tc>
        <w:tc>
          <w:tcPr>
            <w:tcW w:w="1183" w:type="dxa"/>
            <w:tcBorders>
              <w:top w:val="single" w:sz="2" w:space="0" w:color="000000"/>
              <w:left w:val="nil"/>
              <w:bottom w:val="nil"/>
              <w:right w:val="nil"/>
            </w:tcBorders>
          </w:tcPr>
          <w:p w14:paraId="090360F6" w14:textId="77777777" w:rsidR="00634D60" w:rsidRDefault="00FD5CBC" w:rsidP="003764D1">
            <w:r>
              <w:t xml:space="preserve">11.6 </w:t>
            </w:r>
          </w:p>
        </w:tc>
        <w:tc>
          <w:tcPr>
            <w:tcW w:w="1073" w:type="dxa"/>
            <w:tcBorders>
              <w:top w:val="single" w:sz="2" w:space="0" w:color="000000"/>
              <w:left w:val="nil"/>
              <w:bottom w:val="nil"/>
              <w:right w:val="nil"/>
            </w:tcBorders>
          </w:tcPr>
          <w:p w14:paraId="61AB8299" w14:textId="77777777" w:rsidR="00634D60" w:rsidRDefault="00FD5CBC" w:rsidP="003764D1">
            <w:r>
              <w:t xml:space="preserve">1.47 </w:t>
            </w:r>
          </w:p>
        </w:tc>
        <w:tc>
          <w:tcPr>
            <w:tcW w:w="2434" w:type="dxa"/>
            <w:tcBorders>
              <w:top w:val="single" w:sz="2" w:space="0" w:color="000000"/>
              <w:left w:val="nil"/>
              <w:bottom w:val="nil"/>
              <w:right w:val="nil"/>
            </w:tcBorders>
          </w:tcPr>
          <w:p w14:paraId="0BBE217E" w14:textId="77777777" w:rsidR="00634D60" w:rsidRDefault="00FD5CBC" w:rsidP="003764D1">
            <w:r>
              <w:t xml:space="preserve">8.72 </w:t>
            </w:r>
          </w:p>
        </w:tc>
        <w:tc>
          <w:tcPr>
            <w:tcW w:w="1320" w:type="dxa"/>
            <w:tcBorders>
              <w:top w:val="single" w:sz="2" w:space="0" w:color="000000"/>
              <w:left w:val="nil"/>
              <w:bottom w:val="nil"/>
              <w:right w:val="nil"/>
            </w:tcBorders>
          </w:tcPr>
          <w:p w14:paraId="1817A68F" w14:textId="77777777" w:rsidR="00634D60" w:rsidRDefault="00FD5CBC" w:rsidP="003764D1">
            <w:r>
              <w:t xml:space="preserve">14.5  </w:t>
            </w:r>
          </w:p>
        </w:tc>
      </w:tr>
      <w:tr w:rsidR="00634D60" w14:paraId="6F98FAD0" w14:textId="77777777">
        <w:trPr>
          <w:trHeight w:val="478"/>
        </w:trPr>
        <w:tc>
          <w:tcPr>
            <w:tcW w:w="2689" w:type="dxa"/>
            <w:tcBorders>
              <w:top w:val="nil"/>
              <w:left w:val="nil"/>
              <w:bottom w:val="nil"/>
              <w:right w:val="nil"/>
            </w:tcBorders>
            <w:vAlign w:val="center"/>
          </w:tcPr>
          <w:p w14:paraId="4199B97E" w14:textId="77777777" w:rsidR="00634D60" w:rsidRDefault="00FD5CBC" w:rsidP="003764D1">
            <w:r>
              <w:t xml:space="preserve">HEC/HVA </w:t>
            </w:r>
          </w:p>
        </w:tc>
        <w:tc>
          <w:tcPr>
            <w:tcW w:w="1183" w:type="dxa"/>
            <w:tcBorders>
              <w:top w:val="nil"/>
              <w:left w:val="nil"/>
              <w:bottom w:val="nil"/>
              <w:right w:val="nil"/>
            </w:tcBorders>
            <w:vAlign w:val="center"/>
          </w:tcPr>
          <w:p w14:paraId="416DFDCD" w14:textId="77777777" w:rsidR="00634D60" w:rsidRDefault="00FD5CBC" w:rsidP="003764D1">
            <w:r>
              <w:t xml:space="preserve">20.7    </w:t>
            </w:r>
          </w:p>
        </w:tc>
        <w:tc>
          <w:tcPr>
            <w:tcW w:w="1073" w:type="dxa"/>
            <w:tcBorders>
              <w:top w:val="nil"/>
              <w:left w:val="nil"/>
              <w:bottom w:val="nil"/>
              <w:right w:val="nil"/>
            </w:tcBorders>
            <w:vAlign w:val="center"/>
          </w:tcPr>
          <w:p w14:paraId="33AE71F2" w14:textId="77777777" w:rsidR="00634D60" w:rsidRDefault="00FD5CBC" w:rsidP="003764D1">
            <w:r>
              <w:t xml:space="preserve">2.03      </w:t>
            </w:r>
          </w:p>
        </w:tc>
        <w:tc>
          <w:tcPr>
            <w:tcW w:w="2434" w:type="dxa"/>
            <w:tcBorders>
              <w:top w:val="nil"/>
              <w:left w:val="nil"/>
              <w:bottom w:val="nil"/>
              <w:right w:val="nil"/>
            </w:tcBorders>
            <w:vAlign w:val="center"/>
          </w:tcPr>
          <w:p w14:paraId="46562DE6" w14:textId="77777777" w:rsidR="00634D60" w:rsidRDefault="00FD5CBC" w:rsidP="003764D1">
            <w:r>
              <w:t xml:space="preserve">16.7  </w:t>
            </w:r>
          </w:p>
        </w:tc>
        <w:tc>
          <w:tcPr>
            <w:tcW w:w="1320" w:type="dxa"/>
            <w:tcBorders>
              <w:top w:val="nil"/>
              <w:left w:val="nil"/>
              <w:bottom w:val="nil"/>
              <w:right w:val="nil"/>
            </w:tcBorders>
            <w:vAlign w:val="center"/>
          </w:tcPr>
          <w:p w14:paraId="732BBA5A" w14:textId="77777777" w:rsidR="00634D60" w:rsidRDefault="00FD5CBC" w:rsidP="003764D1">
            <w:r>
              <w:t xml:space="preserve">24.7  </w:t>
            </w:r>
          </w:p>
        </w:tc>
      </w:tr>
      <w:tr w:rsidR="00634D60" w14:paraId="68AC4D96" w14:textId="77777777">
        <w:trPr>
          <w:trHeight w:val="483"/>
        </w:trPr>
        <w:tc>
          <w:tcPr>
            <w:tcW w:w="2689" w:type="dxa"/>
            <w:tcBorders>
              <w:top w:val="nil"/>
              <w:left w:val="nil"/>
              <w:bottom w:val="double" w:sz="12" w:space="0" w:color="000000"/>
              <w:right w:val="nil"/>
            </w:tcBorders>
            <w:vAlign w:val="center"/>
          </w:tcPr>
          <w:p w14:paraId="5ADB01F6" w14:textId="77777777" w:rsidR="00634D60" w:rsidRDefault="00FD5CBC" w:rsidP="003764D1">
            <w:r>
              <w:lastRenderedPageBreak/>
              <w:t xml:space="preserve">HVA </w:t>
            </w:r>
          </w:p>
        </w:tc>
        <w:tc>
          <w:tcPr>
            <w:tcW w:w="1183" w:type="dxa"/>
            <w:tcBorders>
              <w:top w:val="nil"/>
              <w:left w:val="nil"/>
              <w:bottom w:val="double" w:sz="12" w:space="0" w:color="000000"/>
              <w:right w:val="nil"/>
            </w:tcBorders>
            <w:vAlign w:val="center"/>
          </w:tcPr>
          <w:p w14:paraId="1EE712B6" w14:textId="77777777" w:rsidR="00634D60" w:rsidRDefault="00FD5CBC" w:rsidP="003764D1">
            <w:r>
              <w:t xml:space="preserve">40.5    </w:t>
            </w:r>
          </w:p>
        </w:tc>
        <w:tc>
          <w:tcPr>
            <w:tcW w:w="1073" w:type="dxa"/>
            <w:tcBorders>
              <w:top w:val="nil"/>
              <w:left w:val="nil"/>
              <w:bottom w:val="double" w:sz="12" w:space="0" w:color="000000"/>
              <w:right w:val="nil"/>
            </w:tcBorders>
            <w:vAlign w:val="center"/>
          </w:tcPr>
          <w:p w14:paraId="21C58984" w14:textId="77777777" w:rsidR="00634D60" w:rsidRDefault="00FD5CBC" w:rsidP="003764D1">
            <w:r>
              <w:t xml:space="preserve">4.00      </w:t>
            </w:r>
          </w:p>
        </w:tc>
        <w:tc>
          <w:tcPr>
            <w:tcW w:w="2434" w:type="dxa"/>
            <w:tcBorders>
              <w:top w:val="nil"/>
              <w:left w:val="nil"/>
              <w:bottom w:val="double" w:sz="12" w:space="0" w:color="000000"/>
              <w:right w:val="nil"/>
            </w:tcBorders>
            <w:vAlign w:val="center"/>
          </w:tcPr>
          <w:p w14:paraId="323945AD" w14:textId="77777777" w:rsidR="00634D60" w:rsidRDefault="00FD5CBC" w:rsidP="003764D1">
            <w:r>
              <w:t xml:space="preserve">32.7        </w:t>
            </w:r>
          </w:p>
        </w:tc>
        <w:tc>
          <w:tcPr>
            <w:tcW w:w="1320" w:type="dxa"/>
            <w:tcBorders>
              <w:top w:val="nil"/>
              <w:left w:val="nil"/>
              <w:bottom w:val="double" w:sz="12" w:space="0" w:color="000000"/>
              <w:right w:val="nil"/>
            </w:tcBorders>
            <w:vAlign w:val="center"/>
          </w:tcPr>
          <w:p w14:paraId="5A32C494" w14:textId="77777777" w:rsidR="00634D60" w:rsidRDefault="00FD5CBC" w:rsidP="003764D1">
            <w:r>
              <w:t xml:space="preserve">48.3 </w:t>
            </w:r>
          </w:p>
        </w:tc>
      </w:tr>
    </w:tbl>
    <w:p w14:paraId="35295BF1" w14:textId="77777777" w:rsidR="00634D60" w:rsidRPr="00D53598" w:rsidRDefault="00FD5CBC" w:rsidP="003764D1">
      <w:pPr>
        <w:rPr>
          <w:sz w:val="20"/>
        </w:rPr>
      </w:pPr>
      <w:r w:rsidRPr="00D53598">
        <w:rPr>
          <w:sz w:val="20"/>
        </w:rPr>
        <w:t xml:space="preserve">HEC: Solution based on </w:t>
      </w:r>
      <w:r w:rsidRPr="00D53598">
        <w:rPr>
          <w:i/>
          <w:sz w:val="20"/>
        </w:rPr>
        <w:t xml:space="preserve">C. schoenanthus </w:t>
      </w:r>
      <w:r w:rsidRPr="00D53598">
        <w:rPr>
          <w:sz w:val="20"/>
        </w:rPr>
        <w:t xml:space="preserve">essential oil; HVN: Solution based on </w:t>
      </w:r>
      <w:r w:rsidRPr="00D53598">
        <w:rPr>
          <w:i/>
          <w:sz w:val="20"/>
        </w:rPr>
        <w:t>A. indica</w:t>
      </w:r>
      <w:r w:rsidRPr="00D53598">
        <w:rPr>
          <w:sz w:val="20"/>
        </w:rPr>
        <w:t xml:space="preserve"> seed vegetable oil; HEC/HVN: Solution based on a mixture of C. schoenanthus and neem oils. </w:t>
      </w:r>
    </w:p>
    <w:p w14:paraId="0EB90E56" w14:textId="77777777" w:rsidR="00634D60" w:rsidRDefault="00FD5CBC" w:rsidP="00D53598">
      <w:pPr>
        <w:spacing w:line="360" w:lineRule="auto"/>
      </w:pPr>
      <w:r>
        <w:t>The LC</w:t>
      </w:r>
      <w:r>
        <w:rPr>
          <w:vertAlign w:val="subscript"/>
        </w:rPr>
        <w:t>50</w:t>
      </w:r>
      <w:r>
        <w:t xml:space="preserve">values confirm the trends observed in mortality induced by HEC and HVN. Indeed, </w:t>
      </w:r>
    </w:p>
    <w:p w14:paraId="6C67AE4A" w14:textId="2F85F2DF" w:rsidR="00634D60" w:rsidRDefault="00FD5CBC" w:rsidP="00D53598">
      <w:pPr>
        <w:spacing w:line="360" w:lineRule="auto"/>
      </w:pPr>
      <w:r>
        <w:t>HEC (LC</w:t>
      </w:r>
      <w:r>
        <w:rPr>
          <w:vertAlign w:val="subscript"/>
        </w:rPr>
        <w:t>50</w:t>
      </w:r>
      <w:r>
        <w:t>= 11.6 ul.ml</w:t>
      </w:r>
      <w:r>
        <w:rPr>
          <w:vertAlign w:val="superscript"/>
        </w:rPr>
        <w:t>-1</w:t>
      </w:r>
      <w:r>
        <w:t>) proved to be approximately four times more toxic than HVN (LC</w:t>
      </w:r>
      <w:r w:rsidR="00875D8B">
        <w:rPr>
          <w:vertAlign w:val="subscript"/>
        </w:rPr>
        <w:t>50</w:t>
      </w:r>
      <w:r w:rsidR="00875D8B">
        <w:t xml:space="preserve"> =</w:t>
      </w:r>
      <w:r>
        <w:t xml:space="preserve"> 40.5 ul.ml</w:t>
      </w:r>
      <w:r>
        <w:rPr>
          <w:vertAlign w:val="superscript"/>
        </w:rPr>
        <w:t>-</w:t>
      </w:r>
      <w:proofErr w:type="gramStart"/>
      <w:r>
        <w:rPr>
          <w:vertAlign w:val="superscript"/>
        </w:rPr>
        <w:t>1</w:t>
      </w:r>
      <w:r>
        <w:t xml:space="preserve"> )</w:t>
      </w:r>
      <w:proofErr w:type="gramEnd"/>
      <w:r>
        <w:t xml:space="preserve"> on adult </w:t>
      </w:r>
      <w:r>
        <w:rPr>
          <w:i/>
        </w:rPr>
        <w:t>C. ochraceus</w:t>
      </w:r>
      <w:r>
        <w:t xml:space="preserve">, while the HEC/HVN mixture showed intermediate toxicity. This difference in efficacy is statistically significant, as evidenced by the absence of overlap in the 95% confidence intervals between treatments. </w:t>
      </w:r>
    </w:p>
    <w:p w14:paraId="60963DCC" w14:textId="77777777" w:rsidR="00634D60" w:rsidRDefault="00D53598" w:rsidP="003764D1">
      <w:r>
        <w:rPr>
          <w:b/>
        </w:rPr>
        <w:t>3</w:t>
      </w:r>
      <w:r w:rsidR="00FD5CBC">
        <w:rPr>
          <w:b/>
        </w:rPr>
        <w:t>.1.2</w:t>
      </w:r>
      <w:r w:rsidR="00FD5CBC">
        <w:rPr>
          <w:rFonts w:ascii="Arial" w:eastAsia="Arial" w:hAnsi="Arial" w:cs="Arial"/>
          <w:b/>
        </w:rPr>
        <w:t xml:space="preserve"> </w:t>
      </w:r>
      <w:r w:rsidR="00FD5CBC">
        <w:rPr>
          <w:b/>
        </w:rPr>
        <w:t xml:space="preserve">Repellent effect of different solutions on </w:t>
      </w:r>
      <w:r w:rsidR="00FD5CBC">
        <w:rPr>
          <w:b/>
          <w:i/>
        </w:rPr>
        <w:t xml:space="preserve">Cletus ochraceus </w:t>
      </w:r>
      <w:r w:rsidR="00FD5CBC">
        <w:rPr>
          <w:b/>
        </w:rPr>
        <w:t xml:space="preserve">adults. </w:t>
      </w:r>
    </w:p>
    <w:p w14:paraId="7ECDB11E" w14:textId="18B017FA" w:rsidR="00634D60" w:rsidRDefault="00FD5CBC" w:rsidP="00D53598">
      <w:pPr>
        <w:spacing w:line="360" w:lineRule="auto"/>
      </w:pPr>
      <w:r>
        <w:t>Table 3 shows the repellency percentages (RP) induced by different solutions on adult C. ochraceus. The results reveal an increase in RP proportional to concentration, regardless of the solution tested</w:t>
      </w:r>
      <w:r w:rsidR="00875D8B">
        <w:t>:</w:t>
      </w:r>
      <w:r>
        <w:t xml:space="preserve"> </w:t>
      </w:r>
      <w:r>
        <w:rPr>
          <w:i/>
        </w:rPr>
        <w:t>C. schoenanthus</w:t>
      </w:r>
      <w:r>
        <w:t xml:space="preserve"> essential oil</w:t>
      </w:r>
      <w:r>
        <w:rPr>
          <w:i/>
        </w:rPr>
        <w:t xml:space="preserve">, </w:t>
      </w:r>
      <w:r>
        <w:t xml:space="preserve">the </w:t>
      </w:r>
      <w:r>
        <w:rPr>
          <w:i/>
        </w:rPr>
        <w:t xml:space="preserve">C. schoenanthus/A indica </w:t>
      </w:r>
      <w:r>
        <w:t xml:space="preserve">mixture, and </w:t>
      </w:r>
      <w:r>
        <w:rPr>
          <w:i/>
        </w:rPr>
        <w:t xml:space="preserve">A indica </w:t>
      </w:r>
      <w:r>
        <w:t xml:space="preserve">neem seed oil, on adult </w:t>
      </w:r>
      <w:r>
        <w:rPr>
          <w:i/>
        </w:rPr>
        <w:t>C. ochraceus</w:t>
      </w:r>
      <w:r>
        <w:t xml:space="preserve">. C. </w:t>
      </w:r>
      <w:r>
        <w:rPr>
          <w:i/>
        </w:rPr>
        <w:t>schoenanthus</w:t>
      </w:r>
      <w:r>
        <w:t xml:space="preserve"> oil showed the highest repellency potential (82%), followed by the mixture (65%), while neem oil proved to be less repellent (31.8%) </w:t>
      </w:r>
    </w:p>
    <w:p w14:paraId="3410CF53" w14:textId="77777777" w:rsidR="00634D60" w:rsidRDefault="00FD5CBC" w:rsidP="00D53598">
      <w:pPr>
        <w:spacing w:line="360" w:lineRule="auto"/>
      </w:pPr>
      <w:r>
        <w:t xml:space="preserve">These results allowed us to classify the different solutions according to McDonald's repellency classes, presented in Table 3. </w:t>
      </w:r>
    </w:p>
    <w:p w14:paraId="03EE6DB6" w14:textId="77777777" w:rsidR="00753851" w:rsidRDefault="00753851" w:rsidP="00D53598">
      <w:pPr>
        <w:spacing w:line="360" w:lineRule="auto"/>
      </w:pPr>
    </w:p>
    <w:p w14:paraId="6CF38853" w14:textId="77777777" w:rsidR="00753851" w:rsidRDefault="00753851" w:rsidP="00D53598">
      <w:pPr>
        <w:spacing w:line="360" w:lineRule="auto"/>
      </w:pPr>
    </w:p>
    <w:p w14:paraId="55C1D49B" w14:textId="77777777" w:rsidR="00753851" w:rsidRDefault="00753851" w:rsidP="00D53598">
      <w:pPr>
        <w:spacing w:line="360" w:lineRule="auto"/>
      </w:pPr>
    </w:p>
    <w:p w14:paraId="08063347" w14:textId="77777777" w:rsidR="00753851" w:rsidRDefault="00753851" w:rsidP="00D53598">
      <w:pPr>
        <w:spacing w:line="360" w:lineRule="auto"/>
      </w:pPr>
    </w:p>
    <w:p w14:paraId="70E9CCA8" w14:textId="5722522C" w:rsidR="00753851" w:rsidRDefault="00753851" w:rsidP="00D53598">
      <w:pPr>
        <w:spacing w:line="360" w:lineRule="auto"/>
      </w:pPr>
    </w:p>
    <w:p w14:paraId="5AB73647" w14:textId="41AA28E5" w:rsidR="00E41F0C" w:rsidRDefault="00E41F0C" w:rsidP="00D53598">
      <w:pPr>
        <w:spacing w:line="360" w:lineRule="auto"/>
      </w:pPr>
    </w:p>
    <w:p w14:paraId="37EFB0A2" w14:textId="01580FB8" w:rsidR="00E41F0C" w:rsidRDefault="00E41F0C" w:rsidP="00D53598">
      <w:pPr>
        <w:spacing w:line="360" w:lineRule="auto"/>
      </w:pPr>
    </w:p>
    <w:p w14:paraId="2A5FC9A8" w14:textId="77777777" w:rsidR="00E41F0C" w:rsidRDefault="00E41F0C" w:rsidP="00D53598">
      <w:pPr>
        <w:spacing w:line="360" w:lineRule="auto"/>
      </w:pPr>
    </w:p>
    <w:p w14:paraId="545D4D21" w14:textId="77777777" w:rsidR="00634D60" w:rsidRDefault="00FD5CBC" w:rsidP="00D53598">
      <w:pPr>
        <w:spacing w:line="360" w:lineRule="auto"/>
      </w:pPr>
      <w:r>
        <w:rPr>
          <w:u w:val="single" w:color="000000"/>
        </w:rPr>
        <w:t>Table 3</w:t>
      </w:r>
      <w:r>
        <w:t xml:space="preserve">: Percentage repellency of </w:t>
      </w:r>
      <w:r>
        <w:rPr>
          <w:i/>
        </w:rPr>
        <w:t xml:space="preserve">C. ochraceus </w:t>
      </w:r>
      <w:r>
        <w:t xml:space="preserve">bugs after 1 hour of exposure to different substances. </w:t>
      </w:r>
    </w:p>
    <w:tbl>
      <w:tblPr>
        <w:tblStyle w:val="TableGrid"/>
        <w:tblW w:w="9470" w:type="dxa"/>
        <w:tblInd w:w="-142" w:type="dxa"/>
        <w:tblCellMar>
          <w:top w:w="43" w:type="dxa"/>
          <w:bottom w:w="6" w:type="dxa"/>
        </w:tblCellMar>
        <w:tblLook w:val="04A0" w:firstRow="1" w:lastRow="0" w:firstColumn="1" w:lastColumn="0" w:noHBand="0" w:noVBand="1"/>
      </w:tblPr>
      <w:tblGrid>
        <w:gridCol w:w="2040"/>
        <w:gridCol w:w="481"/>
        <w:gridCol w:w="461"/>
        <w:gridCol w:w="463"/>
        <w:gridCol w:w="461"/>
        <w:gridCol w:w="1676"/>
        <w:gridCol w:w="1399"/>
        <w:gridCol w:w="915"/>
        <w:gridCol w:w="1574"/>
      </w:tblGrid>
      <w:tr w:rsidR="00634D60" w14:paraId="0374937D" w14:textId="77777777">
        <w:trPr>
          <w:trHeight w:val="835"/>
        </w:trPr>
        <w:tc>
          <w:tcPr>
            <w:tcW w:w="2040" w:type="dxa"/>
            <w:vMerge w:val="restart"/>
            <w:tcBorders>
              <w:top w:val="single" w:sz="2" w:space="0" w:color="181717"/>
              <w:left w:val="nil"/>
              <w:bottom w:val="single" w:sz="2" w:space="0" w:color="181717"/>
              <w:right w:val="nil"/>
            </w:tcBorders>
            <w:vAlign w:val="center"/>
          </w:tcPr>
          <w:p w14:paraId="1A64CDD2" w14:textId="77777777" w:rsidR="00634D60" w:rsidRDefault="00FD5CBC" w:rsidP="003764D1">
            <w:r>
              <w:rPr>
                <w:b/>
              </w:rPr>
              <w:t xml:space="preserve">Substances tested </w:t>
            </w:r>
          </w:p>
        </w:tc>
        <w:tc>
          <w:tcPr>
            <w:tcW w:w="3541" w:type="dxa"/>
            <w:gridSpan w:val="5"/>
            <w:tcBorders>
              <w:top w:val="single" w:sz="2" w:space="0" w:color="181717"/>
              <w:left w:val="nil"/>
              <w:bottom w:val="single" w:sz="4" w:space="0" w:color="181717"/>
              <w:right w:val="nil"/>
            </w:tcBorders>
          </w:tcPr>
          <w:p w14:paraId="2838BB2C" w14:textId="77777777" w:rsidR="00634D60" w:rsidRDefault="00FD5CBC" w:rsidP="003764D1">
            <w:r>
              <w:rPr>
                <w:b/>
              </w:rPr>
              <w:t xml:space="preserve">  </w:t>
            </w:r>
          </w:p>
          <w:p w14:paraId="23713E35" w14:textId="77777777" w:rsidR="00634D60" w:rsidRDefault="00FD5CBC" w:rsidP="003764D1">
            <w:r>
              <w:rPr>
                <w:b/>
              </w:rPr>
              <w:lastRenderedPageBreak/>
              <w:t xml:space="preserve">Repellency rate after 1 hour of exposure (%) </w:t>
            </w:r>
          </w:p>
        </w:tc>
        <w:tc>
          <w:tcPr>
            <w:tcW w:w="1399" w:type="dxa"/>
            <w:tcBorders>
              <w:top w:val="single" w:sz="2" w:space="0" w:color="181717"/>
              <w:left w:val="nil"/>
              <w:bottom w:val="single" w:sz="4" w:space="0" w:color="181717"/>
              <w:right w:val="nil"/>
            </w:tcBorders>
          </w:tcPr>
          <w:p w14:paraId="4A6C4C13" w14:textId="7E767BFD" w:rsidR="00634D60" w:rsidRDefault="00FD5CBC" w:rsidP="003764D1">
            <w:r>
              <w:rPr>
                <w:b/>
              </w:rPr>
              <w:lastRenderedPageBreak/>
              <w:t xml:space="preserve">Average </w:t>
            </w:r>
            <w:r w:rsidR="00875D8B">
              <w:rPr>
                <w:b/>
              </w:rPr>
              <w:t>repellency (</w:t>
            </w:r>
            <w:r>
              <w:rPr>
                <w:b/>
              </w:rPr>
              <w:t xml:space="preserve">%) </w:t>
            </w:r>
          </w:p>
        </w:tc>
        <w:tc>
          <w:tcPr>
            <w:tcW w:w="915" w:type="dxa"/>
            <w:tcBorders>
              <w:top w:val="single" w:sz="2" w:space="0" w:color="181717"/>
              <w:left w:val="nil"/>
              <w:bottom w:val="single" w:sz="4" w:space="0" w:color="181717"/>
              <w:right w:val="nil"/>
            </w:tcBorders>
            <w:vAlign w:val="bottom"/>
          </w:tcPr>
          <w:p w14:paraId="37AF400E" w14:textId="77777777" w:rsidR="00634D60" w:rsidRDefault="00FD5CBC" w:rsidP="003764D1">
            <w:r>
              <w:rPr>
                <w:b/>
              </w:rPr>
              <w:t xml:space="preserve">Class </w:t>
            </w:r>
          </w:p>
        </w:tc>
        <w:tc>
          <w:tcPr>
            <w:tcW w:w="1574" w:type="dxa"/>
            <w:tcBorders>
              <w:top w:val="single" w:sz="2" w:space="0" w:color="181717"/>
              <w:left w:val="nil"/>
              <w:bottom w:val="single" w:sz="4" w:space="0" w:color="181717"/>
              <w:right w:val="nil"/>
            </w:tcBorders>
          </w:tcPr>
          <w:p w14:paraId="59393A0B" w14:textId="77777777" w:rsidR="00634D60" w:rsidRDefault="00FD5CBC" w:rsidP="003764D1">
            <w:r>
              <w:rPr>
                <w:b/>
              </w:rPr>
              <w:t xml:space="preserve">Effect of the tested substance </w:t>
            </w:r>
          </w:p>
        </w:tc>
      </w:tr>
      <w:tr w:rsidR="00634D60" w14:paraId="18AC896A" w14:textId="77777777">
        <w:trPr>
          <w:trHeight w:val="442"/>
        </w:trPr>
        <w:tc>
          <w:tcPr>
            <w:tcW w:w="0" w:type="auto"/>
            <w:vMerge/>
            <w:tcBorders>
              <w:top w:val="nil"/>
              <w:left w:val="nil"/>
              <w:bottom w:val="nil"/>
              <w:right w:val="nil"/>
            </w:tcBorders>
          </w:tcPr>
          <w:p w14:paraId="2A4ACD92" w14:textId="77777777" w:rsidR="00634D60" w:rsidRDefault="00634D60" w:rsidP="003764D1"/>
        </w:tc>
        <w:tc>
          <w:tcPr>
            <w:tcW w:w="3541" w:type="dxa"/>
            <w:gridSpan w:val="5"/>
            <w:tcBorders>
              <w:top w:val="single" w:sz="4" w:space="0" w:color="181717"/>
              <w:left w:val="nil"/>
              <w:bottom w:val="single" w:sz="2" w:space="0" w:color="181717"/>
              <w:right w:val="nil"/>
            </w:tcBorders>
          </w:tcPr>
          <w:p w14:paraId="12BD257F" w14:textId="77777777" w:rsidR="00634D60" w:rsidRDefault="00FD5CBC" w:rsidP="003764D1">
            <w:r>
              <w:rPr>
                <w:b/>
              </w:rPr>
              <w:t>Concentrations (µl.ml</w:t>
            </w:r>
            <w:r>
              <w:rPr>
                <w:b/>
                <w:vertAlign w:val="superscript"/>
              </w:rPr>
              <w:t>-</w:t>
            </w:r>
            <w:proofErr w:type="gramStart"/>
            <w:r>
              <w:rPr>
                <w:b/>
                <w:vertAlign w:val="superscript"/>
              </w:rPr>
              <w:t>1</w:t>
            </w:r>
            <w:r>
              <w:rPr>
                <w:b/>
              </w:rPr>
              <w:t xml:space="preserve"> )</w:t>
            </w:r>
            <w:proofErr w:type="gramEnd"/>
            <w:r>
              <w:rPr>
                <w:b/>
              </w:rPr>
              <w:t xml:space="preserve"> </w:t>
            </w:r>
            <w:r>
              <w:rPr>
                <w:b/>
              </w:rPr>
              <w:tab/>
              <w:t xml:space="preserve"> </w:t>
            </w:r>
          </w:p>
        </w:tc>
        <w:tc>
          <w:tcPr>
            <w:tcW w:w="1399" w:type="dxa"/>
            <w:tcBorders>
              <w:top w:val="single" w:sz="4" w:space="0" w:color="181717"/>
              <w:left w:val="nil"/>
              <w:bottom w:val="single" w:sz="2" w:space="0" w:color="181717"/>
              <w:right w:val="nil"/>
            </w:tcBorders>
          </w:tcPr>
          <w:p w14:paraId="7D54293D" w14:textId="77777777" w:rsidR="00634D60" w:rsidRDefault="00FD5CBC" w:rsidP="003764D1">
            <w:r>
              <w:rPr>
                <w:b/>
              </w:rPr>
              <w:t xml:space="preserve"> </w:t>
            </w:r>
          </w:p>
        </w:tc>
        <w:tc>
          <w:tcPr>
            <w:tcW w:w="915" w:type="dxa"/>
            <w:tcBorders>
              <w:top w:val="single" w:sz="4" w:space="0" w:color="181717"/>
              <w:left w:val="nil"/>
              <w:bottom w:val="single" w:sz="2" w:space="0" w:color="181717"/>
              <w:right w:val="nil"/>
            </w:tcBorders>
          </w:tcPr>
          <w:p w14:paraId="20BEFA87" w14:textId="77777777" w:rsidR="00634D60" w:rsidRDefault="00FD5CBC" w:rsidP="003764D1">
            <w:r>
              <w:rPr>
                <w:b/>
              </w:rPr>
              <w:t xml:space="preserve"> </w:t>
            </w:r>
          </w:p>
        </w:tc>
        <w:tc>
          <w:tcPr>
            <w:tcW w:w="1574" w:type="dxa"/>
            <w:tcBorders>
              <w:top w:val="single" w:sz="4" w:space="0" w:color="181717"/>
              <w:left w:val="nil"/>
              <w:bottom w:val="single" w:sz="2" w:space="0" w:color="181717"/>
              <w:right w:val="nil"/>
            </w:tcBorders>
          </w:tcPr>
          <w:p w14:paraId="599DE023" w14:textId="77777777" w:rsidR="00634D60" w:rsidRDefault="00FD5CBC" w:rsidP="003764D1">
            <w:r>
              <w:rPr>
                <w:b/>
              </w:rPr>
              <w:t xml:space="preserve"> </w:t>
            </w:r>
          </w:p>
        </w:tc>
      </w:tr>
      <w:tr w:rsidR="00634D60" w14:paraId="42D961F1" w14:textId="77777777">
        <w:trPr>
          <w:trHeight w:val="442"/>
        </w:trPr>
        <w:tc>
          <w:tcPr>
            <w:tcW w:w="0" w:type="auto"/>
            <w:vMerge/>
            <w:tcBorders>
              <w:top w:val="nil"/>
              <w:left w:val="nil"/>
              <w:bottom w:val="single" w:sz="2" w:space="0" w:color="181717"/>
              <w:right w:val="nil"/>
            </w:tcBorders>
          </w:tcPr>
          <w:p w14:paraId="2E207429" w14:textId="77777777" w:rsidR="00634D60" w:rsidRDefault="00634D60" w:rsidP="003764D1"/>
        </w:tc>
        <w:tc>
          <w:tcPr>
            <w:tcW w:w="481" w:type="dxa"/>
            <w:tcBorders>
              <w:top w:val="single" w:sz="2" w:space="0" w:color="181717"/>
              <w:left w:val="nil"/>
              <w:bottom w:val="single" w:sz="2" w:space="0" w:color="181717"/>
              <w:right w:val="nil"/>
            </w:tcBorders>
          </w:tcPr>
          <w:p w14:paraId="2E151BC4" w14:textId="77777777" w:rsidR="00634D60" w:rsidRDefault="00FD5CBC" w:rsidP="003764D1">
            <w:r>
              <w:rPr>
                <w:b/>
              </w:rPr>
              <w:t xml:space="preserve">10 </w:t>
            </w:r>
          </w:p>
        </w:tc>
        <w:tc>
          <w:tcPr>
            <w:tcW w:w="461" w:type="dxa"/>
            <w:tcBorders>
              <w:top w:val="single" w:sz="2" w:space="0" w:color="181717"/>
              <w:left w:val="nil"/>
              <w:bottom w:val="single" w:sz="2" w:space="0" w:color="181717"/>
              <w:right w:val="nil"/>
            </w:tcBorders>
          </w:tcPr>
          <w:p w14:paraId="7AD703FE" w14:textId="77777777" w:rsidR="00634D60" w:rsidRDefault="00FD5CBC" w:rsidP="003764D1">
            <w:r>
              <w:rPr>
                <w:b/>
              </w:rPr>
              <w:t xml:space="preserve">20 </w:t>
            </w:r>
          </w:p>
        </w:tc>
        <w:tc>
          <w:tcPr>
            <w:tcW w:w="463" w:type="dxa"/>
            <w:tcBorders>
              <w:top w:val="single" w:sz="2" w:space="0" w:color="181717"/>
              <w:left w:val="nil"/>
              <w:bottom w:val="single" w:sz="2" w:space="0" w:color="181717"/>
              <w:right w:val="nil"/>
            </w:tcBorders>
          </w:tcPr>
          <w:p w14:paraId="25C126A7" w14:textId="77777777" w:rsidR="00634D60" w:rsidRDefault="00FD5CBC" w:rsidP="003764D1">
            <w:r>
              <w:rPr>
                <w:b/>
              </w:rPr>
              <w:t xml:space="preserve">30 </w:t>
            </w:r>
          </w:p>
        </w:tc>
        <w:tc>
          <w:tcPr>
            <w:tcW w:w="461" w:type="dxa"/>
            <w:tcBorders>
              <w:top w:val="single" w:sz="2" w:space="0" w:color="181717"/>
              <w:left w:val="nil"/>
              <w:bottom w:val="single" w:sz="2" w:space="0" w:color="181717"/>
              <w:right w:val="nil"/>
            </w:tcBorders>
          </w:tcPr>
          <w:p w14:paraId="7DF4A669" w14:textId="77777777" w:rsidR="00634D60" w:rsidRDefault="00FD5CBC" w:rsidP="003764D1">
            <w:r>
              <w:rPr>
                <w:b/>
              </w:rPr>
              <w:t xml:space="preserve">40 </w:t>
            </w:r>
          </w:p>
        </w:tc>
        <w:tc>
          <w:tcPr>
            <w:tcW w:w="1676" w:type="dxa"/>
            <w:tcBorders>
              <w:top w:val="single" w:sz="2" w:space="0" w:color="181717"/>
              <w:left w:val="nil"/>
              <w:bottom w:val="single" w:sz="2" w:space="0" w:color="181717"/>
              <w:right w:val="nil"/>
            </w:tcBorders>
          </w:tcPr>
          <w:p w14:paraId="2DA110DE" w14:textId="77777777" w:rsidR="00634D60" w:rsidRDefault="00FD5CBC" w:rsidP="003764D1">
            <w:r>
              <w:rPr>
                <w:b/>
              </w:rPr>
              <w:t xml:space="preserve">50 </w:t>
            </w:r>
          </w:p>
        </w:tc>
        <w:tc>
          <w:tcPr>
            <w:tcW w:w="1399" w:type="dxa"/>
            <w:tcBorders>
              <w:top w:val="single" w:sz="2" w:space="0" w:color="181717"/>
              <w:left w:val="nil"/>
              <w:bottom w:val="single" w:sz="2" w:space="0" w:color="181717"/>
              <w:right w:val="nil"/>
            </w:tcBorders>
          </w:tcPr>
          <w:p w14:paraId="1710DEE8" w14:textId="77777777" w:rsidR="00634D60" w:rsidRDefault="00FD5CBC" w:rsidP="003764D1">
            <w:r>
              <w:rPr>
                <w:b/>
              </w:rPr>
              <w:t xml:space="preserve"> </w:t>
            </w:r>
          </w:p>
        </w:tc>
        <w:tc>
          <w:tcPr>
            <w:tcW w:w="915" w:type="dxa"/>
            <w:tcBorders>
              <w:top w:val="single" w:sz="2" w:space="0" w:color="181717"/>
              <w:left w:val="nil"/>
              <w:bottom w:val="single" w:sz="2" w:space="0" w:color="181717"/>
              <w:right w:val="nil"/>
            </w:tcBorders>
          </w:tcPr>
          <w:p w14:paraId="7D441DFA" w14:textId="77777777" w:rsidR="00634D60" w:rsidRDefault="00FD5CBC" w:rsidP="003764D1">
            <w:r>
              <w:rPr>
                <w:b/>
              </w:rPr>
              <w:t xml:space="preserve"> </w:t>
            </w:r>
          </w:p>
        </w:tc>
        <w:tc>
          <w:tcPr>
            <w:tcW w:w="1574" w:type="dxa"/>
            <w:tcBorders>
              <w:top w:val="single" w:sz="2" w:space="0" w:color="181717"/>
              <w:left w:val="nil"/>
              <w:bottom w:val="single" w:sz="2" w:space="0" w:color="181717"/>
              <w:right w:val="nil"/>
            </w:tcBorders>
          </w:tcPr>
          <w:p w14:paraId="393F0CC3" w14:textId="77777777" w:rsidR="00634D60" w:rsidRDefault="00FD5CBC" w:rsidP="003764D1">
            <w:r>
              <w:rPr>
                <w:b/>
              </w:rPr>
              <w:t xml:space="preserve"> </w:t>
            </w:r>
          </w:p>
        </w:tc>
      </w:tr>
      <w:tr w:rsidR="00634D60" w14:paraId="3D17BF29" w14:textId="77777777">
        <w:trPr>
          <w:trHeight w:val="339"/>
        </w:trPr>
        <w:tc>
          <w:tcPr>
            <w:tcW w:w="2040" w:type="dxa"/>
            <w:tcBorders>
              <w:top w:val="single" w:sz="2" w:space="0" w:color="181717"/>
              <w:left w:val="nil"/>
              <w:bottom w:val="nil"/>
              <w:right w:val="nil"/>
            </w:tcBorders>
          </w:tcPr>
          <w:p w14:paraId="288F30DF" w14:textId="77777777" w:rsidR="00634D60" w:rsidRDefault="00FD5CBC" w:rsidP="003764D1">
            <w:r>
              <w:t xml:space="preserve">HEC  </w:t>
            </w:r>
          </w:p>
        </w:tc>
        <w:tc>
          <w:tcPr>
            <w:tcW w:w="481" w:type="dxa"/>
            <w:tcBorders>
              <w:top w:val="single" w:sz="2" w:space="0" w:color="181717"/>
              <w:left w:val="nil"/>
              <w:bottom w:val="nil"/>
              <w:right w:val="nil"/>
            </w:tcBorders>
          </w:tcPr>
          <w:p w14:paraId="18529815" w14:textId="77777777" w:rsidR="00634D60" w:rsidRDefault="00FD5CBC" w:rsidP="003764D1">
            <w:r>
              <w:t xml:space="preserve">74 </w:t>
            </w:r>
          </w:p>
        </w:tc>
        <w:tc>
          <w:tcPr>
            <w:tcW w:w="461" w:type="dxa"/>
            <w:tcBorders>
              <w:top w:val="single" w:sz="2" w:space="0" w:color="181717"/>
              <w:left w:val="nil"/>
              <w:bottom w:val="nil"/>
              <w:right w:val="nil"/>
            </w:tcBorders>
          </w:tcPr>
          <w:p w14:paraId="33A11288" w14:textId="77777777" w:rsidR="00634D60" w:rsidRDefault="00FD5CBC" w:rsidP="003764D1">
            <w:r>
              <w:t xml:space="preserve">78 </w:t>
            </w:r>
          </w:p>
        </w:tc>
        <w:tc>
          <w:tcPr>
            <w:tcW w:w="463" w:type="dxa"/>
            <w:tcBorders>
              <w:top w:val="single" w:sz="2" w:space="0" w:color="181717"/>
              <w:left w:val="nil"/>
              <w:bottom w:val="nil"/>
              <w:right w:val="nil"/>
            </w:tcBorders>
          </w:tcPr>
          <w:p w14:paraId="4550A806" w14:textId="77777777" w:rsidR="00634D60" w:rsidRDefault="00FD5CBC" w:rsidP="003764D1">
            <w:r>
              <w:t xml:space="preserve">82 </w:t>
            </w:r>
          </w:p>
        </w:tc>
        <w:tc>
          <w:tcPr>
            <w:tcW w:w="461" w:type="dxa"/>
            <w:tcBorders>
              <w:top w:val="single" w:sz="2" w:space="0" w:color="181717"/>
              <w:left w:val="nil"/>
              <w:bottom w:val="nil"/>
              <w:right w:val="nil"/>
            </w:tcBorders>
          </w:tcPr>
          <w:p w14:paraId="424AC5FF" w14:textId="77777777" w:rsidR="00634D60" w:rsidRDefault="00FD5CBC" w:rsidP="003764D1">
            <w:r>
              <w:t xml:space="preserve">87 </w:t>
            </w:r>
          </w:p>
        </w:tc>
        <w:tc>
          <w:tcPr>
            <w:tcW w:w="1676" w:type="dxa"/>
            <w:tcBorders>
              <w:top w:val="single" w:sz="2" w:space="0" w:color="181717"/>
              <w:left w:val="nil"/>
              <w:bottom w:val="nil"/>
              <w:right w:val="nil"/>
            </w:tcBorders>
          </w:tcPr>
          <w:p w14:paraId="499A9CFB" w14:textId="77777777" w:rsidR="00634D60" w:rsidRDefault="00FD5CBC" w:rsidP="003764D1">
            <w:r>
              <w:t xml:space="preserve">89  </w:t>
            </w:r>
          </w:p>
        </w:tc>
        <w:tc>
          <w:tcPr>
            <w:tcW w:w="1399" w:type="dxa"/>
            <w:tcBorders>
              <w:top w:val="single" w:sz="2" w:space="0" w:color="181717"/>
              <w:left w:val="nil"/>
              <w:bottom w:val="nil"/>
              <w:right w:val="nil"/>
            </w:tcBorders>
          </w:tcPr>
          <w:p w14:paraId="4B851EC0" w14:textId="77777777" w:rsidR="00634D60" w:rsidRDefault="00FD5CBC" w:rsidP="003764D1">
            <w:r>
              <w:t xml:space="preserve"> 82 </w:t>
            </w:r>
          </w:p>
        </w:tc>
        <w:tc>
          <w:tcPr>
            <w:tcW w:w="915" w:type="dxa"/>
            <w:tcBorders>
              <w:top w:val="single" w:sz="2" w:space="0" w:color="181717"/>
              <w:left w:val="nil"/>
              <w:bottom w:val="nil"/>
              <w:right w:val="nil"/>
            </w:tcBorders>
          </w:tcPr>
          <w:p w14:paraId="4CF99639" w14:textId="77777777" w:rsidR="00634D60" w:rsidRDefault="00FD5CBC" w:rsidP="003764D1">
            <w:r>
              <w:t xml:space="preserve">V </w:t>
            </w:r>
          </w:p>
        </w:tc>
        <w:tc>
          <w:tcPr>
            <w:tcW w:w="1574" w:type="dxa"/>
            <w:tcBorders>
              <w:top w:val="single" w:sz="2" w:space="0" w:color="181717"/>
              <w:left w:val="nil"/>
              <w:bottom w:val="nil"/>
              <w:right w:val="nil"/>
            </w:tcBorders>
          </w:tcPr>
          <w:p w14:paraId="1E04E6D2" w14:textId="77777777" w:rsidR="00634D60" w:rsidRDefault="00FD5CBC" w:rsidP="003764D1">
            <w:r>
              <w:t xml:space="preserve">Very repellent </w:t>
            </w:r>
          </w:p>
        </w:tc>
      </w:tr>
      <w:tr w:rsidR="00634D60" w14:paraId="5F8490AB" w14:textId="77777777">
        <w:trPr>
          <w:trHeight w:val="323"/>
        </w:trPr>
        <w:tc>
          <w:tcPr>
            <w:tcW w:w="2040" w:type="dxa"/>
            <w:tcBorders>
              <w:top w:val="nil"/>
              <w:left w:val="nil"/>
              <w:bottom w:val="nil"/>
              <w:right w:val="nil"/>
            </w:tcBorders>
          </w:tcPr>
          <w:p w14:paraId="530D5C90" w14:textId="77777777" w:rsidR="00634D60" w:rsidRDefault="00FD5CBC" w:rsidP="003764D1">
            <w:r>
              <w:t xml:space="preserve">HEC/HVN </w:t>
            </w:r>
          </w:p>
        </w:tc>
        <w:tc>
          <w:tcPr>
            <w:tcW w:w="481" w:type="dxa"/>
            <w:tcBorders>
              <w:top w:val="nil"/>
              <w:left w:val="nil"/>
              <w:bottom w:val="nil"/>
              <w:right w:val="nil"/>
            </w:tcBorders>
          </w:tcPr>
          <w:p w14:paraId="42A4E3E4" w14:textId="77777777" w:rsidR="00634D60" w:rsidRDefault="00FD5CBC" w:rsidP="003764D1">
            <w:r>
              <w:t xml:space="preserve">58 </w:t>
            </w:r>
          </w:p>
        </w:tc>
        <w:tc>
          <w:tcPr>
            <w:tcW w:w="461" w:type="dxa"/>
            <w:tcBorders>
              <w:top w:val="nil"/>
              <w:left w:val="nil"/>
              <w:bottom w:val="nil"/>
              <w:right w:val="nil"/>
            </w:tcBorders>
          </w:tcPr>
          <w:p w14:paraId="4AC78B07" w14:textId="77777777" w:rsidR="00634D60" w:rsidRDefault="00FD5CBC" w:rsidP="003764D1">
            <w:r>
              <w:t xml:space="preserve">62 </w:t>
            </w:r>
          </w:p>
        </w:tc>
        <w:tc>
          <w:tcPr>
            <w:tcW w:w="463" w:type="dxa"/>
            <w:tcBorders>
              <w:top w:val="nil"/>
              <w:left w:val="nil"/>
              <w:bottom w:val="nil"/>
              <w:right w:val="nil"/>
            </w:tcBorders>
          </w:tcPr>
          <w:p w14:paraId="642D6647" w14:textId="77777777" w:rsidR="00634D60" w:rsidRDefault="00FD5CBC" w:rsidP="003764D1">
            <w:r>
              <w:t xml:space="preserve">65 </w:t>
            </w:r>
          </w:p>
        </w:tc>
        <w:tc>
          <w:tcPr>
            <w:tcW w:w="461" w:type="dxa"/>
            <w:tcBorders>
              <w:top w:val="nil"/>
              <w:left w:val="nil"/>
              <w:bottom w:val="nil"/>
              <w:right w:val="nil"/>
            </w:tcBorders>
          </w:tcPr>
          <w:p w14:paraId="3CB9B0B9" w14:textId="77777777" w:rsidR="00634D60" w:rsidRDefault="00FD5CBC" w:rsidP="003764D1">
            <w:r>
              <w:t xml:space="preserve">68 </w:t>
            </w:r>
          </w:p>
        </w:tc>
        <w:tc>
          <w:tcPr>
            <w:tcW w:w="1676" w:type="dxa"/>
            <w:tcBorders>
              <w:top w:val="nil"/>
              <w:left w:val="nil"/>
              <w:bottom w:val="nil"/>
              <w:right w:val="nil"/>
            </w:tcBorders>
          </w:tcPr>
          <w:p w14:paraId="3ABD7782" w14:textId="77777777" w:rsidR="00634D60" w:rsidRDefault="00FD5CBC" w:rsidP="003764D1">
            <w:r>
              <w:t xml:space="preserve">72 </w:t>
            </w:r>
          </w:p>
        </w:tc>
        <w:tc>
          <w:tcPr>
            <w:tcW w:w="1399" w:type="dxa"/>
            <w:tcBorders>
              <w:top w:val="nil"/>
              <w:left w:val="nil"/>
              <w:bottom w:val="nil"/>
              <w:right w:val="nil"/>
            </w:tcBorders>
          </w:tcPr>
          <w:p w14:paraId="119E88F3" w14:textId="77777777" w:rsidR="00634D60" w:rsidRDefault="00FD5CBC" w:rsidP="003764D1">
            <w:r>
              <w:t xml:space="preserve">    65 </w:t>
            </w:r>
          </w:p>
        </w:tc>
        <w:tc>
          <w:tcPr>
            <w:tcW w:w="915" w:type="dxa"/>
            <w:tcBorders>
              <w:top w:val="nil"/>
              <w:left w:val="nil"/>
              <w:bottom w:val="nil"/>
              <w:right w:val="nil"/>
            </w:tcBorders>
          </w:tcPr>
          <w:p w14:paraId="09F89A23" w14:textId="77777777" w:rsidR="00634D60" w:rsidRDefault="00FD5CBC" w:rsidP="003764D1">
            <w:r>
              <w:t xml:space="preserve">IV </w:t>
            </w:r>
          </w:p>
        </w:tc>
        <w:tc>
          <w:tcPr>
            <w:tcW w:w="1574" w:type="dxa"/>
            <w:tcBorders>
              <w:top w:val="nil"/>
              <w:left w:val="nil"/>
              <w:bottom w:val="nil"/>
              <w:right w:val="nil"/>
            </w:tcBorders>
          </w:tcPr>
          <w:p w14:paraId="213DEB9C" w14:textId="77777777" w:rsidR="00634D60" w:rsidRDefault="00FD5CBC" w:rsidP="003764D1">
            <w:r>
              <w:t xml:space="preserve">Repulsive </w:t>
            </w:r>
          </w:p>
        </w:tc>
      </w:tr>
      <w:tr w:rsidR="00634D60" w14:paraId="5AE7E3B8" w14:textId="77777777">
        <w:trPr>
          <w:trHeight w:val="601"/>
        </w:trPr>
        <w:tc>
          <w:tcPr>
            <w:tcW w:w="2040" w:type="dxa"/>
            <w:tcBorders>
              <w:top w:val="nil"/>
              <w:left w:val="nil"/>
              <w:bottom w:val="single" w:sz="2" w:space="0" w:color="181717"/>
              <w:right w:val="nil"/>
            </w:tcBorders>
          </w:tcPr>
          <w:p w14:paraId="7BAED785" w14:textId="77777777" w:rsidR="00634D60" w:rsidRDefault="00FD5CBC" w:rsidP="003764D1">
            <w:r>
              <w:t xml:space="preserve">HVN </w:t>
            </w:r>
          </w:p>
        </w:tc>
        <w:tc>
          <w:tcPr>
            <w:tcW w:w="481" w:type="dxa"/>
            <w:tcBorders>
              <w:top w:val="nil"/>
              <w:left w:val="nil"/>
              <w:bottom w:val="single" w:sz="2" w:space="0" w:color="181717"/>
              <w:right w:val="nil"/>
            </w:tcBorders>
          </w:tcPr>
          <w:p w14:paraId="7D8EFCA1" w14:textId="77777777" w:rsidR="00634D60" w:rsidRDefault="00FD5CBC" w:rsidP="003764D1">
            <w:r>
              <w:t xml:space="preserve">25 </w:t>
            </w:r>
          </w:p>
        </w:tc>
        <w:tc>
          <w:tcPr>
            <w:tcW w:w="461" w:type="dxa"/>
            <w:tcBorders>
              <w:top w:val="nil"/>
              <w:left w:val="nil"/>
              <w:bottom w:val="single" w:sz="2" w:space="0" w:color="181717"/>
              <w:right w:val="nil"/>
            </w:tcBorders>
          </w:tcPr>
          <w:p w14:paraId="717E9B4E" w14:textId="77777777" w:rsidR="00634D60" w:rsidRDefault="00FD5CBC" w:rsidP="003764D1">
            <w:r>
              <w:t xml:space="preserve">28 </w:t>
            </w:r>
          </w:p>
        </w:tc>
        <w:tc>
          <w:tcPr>
            <w:tcW w:w="463" w:type="dxa"/>
            <w:tcBorders>
              <w:top w:val="nil"/>
              <w:left w:val="nil"/>
              <w:bottom w:val="single" w:sz="2" w:space="0" w:color="181717"/>
              <w:right w:val="nil"/>
            </w:tcBorders>
          </w:tcPr>
          <w:p w14:paraId="2118F20E" w14:textId="77777777" w:rsidR="00634D60" w:rsidRDefault="00FD5CBC" w:rsidP="003764D1">
            <w:r>
              <w:t xml:space="preserve">32 </w:t>
            </w:r>
          </w:p>
        </w:tc>
        <w:tc>
          <w:tcPr>
            <w:tcW w:w="461" w:type="dxa"/>
            <w:tcBorders>
              <w:top w:val="nil"/>
              <w:left w:val="nil"/>
              <w:bottom w:val="single" w:sz="2" w:space="0" w:color="181717"/>
              <w:right w:val="nil"/>
            </w:tcBorders>
          </w:tcPr>
          <w:p w14:paraId="550ABA28" w14:textId="77777777" w:rsidR="00634D60" w:rsidRDefault="00FD5CBC" w:rsidP="003764D1">
            <w:r>
              <w:t xml:space="preserve">35 </w:t>
            </w:r>
          </w:p>
        </w:tc>
        <w:tc>
          <w:tcPr>
            <w:tcW w:w="1676" w:type="dxa"/>
            <w:tcBorders>
              <w:top w:val="nil"/>
              <w:left w:val="nil"/>
              <w:bottom w:val="single" w:sz="2" w:space="0" w:color="181717"/>
              <w:right w:val="nil"/>
            </w:tcBorders>
          </w:tcPr>
          <w:p w14:paraId="17947DC8" w14:textId="77777777" w:rsidR="00634D60" w:rsidRDefault="00FD5CBC" w:rsidP="003764D1">
            <w:r>
              <w:t xml:space="preserve">39 </w:t>
            </w:r>
          </w:p>
        </w:tc>
        <w:tc>
          <w:tcPr>
            <w:tcW w:w="1399" w:type="dxa"/>
            <w:tcBorders>
              <w:top w:val="nil"/>
              <w:left w:val="nil"/>
              <w:bottom w:val="single" w:sz="2" w:space="0" w:color="181717"/>
              <w:right w:val="nil"/>
            </w:tcBorders>
          </w:tcPr>
          <w:p w14:paraId="36AA0EB0" w14:textId="77777777" w:rsidR="00634D60" w:rsidRDefault="00FD5CBC" w:rsidP="003764D1">
            <w:r>
              <w:t xml:space="preserve">    31.8 </w:t>
            </w:r>
          </w:p>
        </w:tc>
        <w:tc>
          <w:tcPr>
            <w:tcW w:w="915" w:type="dxa"/>
            <w:tcBorders>
              <w:top w:val="nil"/>
              <w:left w:val="nil"/>
              <w:bottom w:val="single" w:sz="2" w:space="0" w:color="181717"/>
              <w:right w:val="nil"/>
            </w:tcBorders>
          </w:tcPr>
          <w:p w14:paraId="35025625" w14:textId="77777777" w:rsidR="00634D60" w:rsidRDefault="00FD5CBC" w:rsidP="003764D1">
            <w:r>
              <w:t xml:space="preserve">II </w:t>
            </w:r>
          </w:p>
        </w:tc>
        <w:tc>
          <w:tcPr>
            <w:tcW w:w="1574" w:type="dxa"/>
            <w:tcBorders>
              <w:top w:val="nil"/>
              <w:left w:val="nil"/>
              <w:bottom w:val="single" w:sz="2" w:space="0" w:color="181717"/>
              <w:right w:val="nil"/>
            </w:tcBorders>
          </w:tcPr>
          <w:p w14:paraId="35AFABF9" w14:textId="77777777" w:rsidR="00634D60" w:rsidRDefault="00FD5CBC" w:rsidP="003764D1">
            <w:r>
              <w:t xml:space="preserve">Weakly </w:t>
            </w:r>
          </w:p>
          <w:p w14:paraId="2F6543D4" w14:textId="77777777" w:rsidR="00634D60" w:rsidRDefault="00FD5CBC" w:rsidP="003764D1">
            <w:r>
              <w:t xml:space="preserve">repellent </w:t>
            </w:r>
          </w:p>
        </w:tc>
      </w:tr>
    </w:tbl>
    <w:p w14:paraId="0D180388" w14:textId="77777777" w:rsidR="00634D60" w:rsidRPr="00753851" w:rsidRDefault="00FD5CBC" w:rsidP="003764D1">
      <w:pPr>
        <w:rPr>
          <w:sz w:val="20"/>
        </w:rPr>
      </w:pPr>
      <w:r w:rsidRPr="00753851">
        <w:rPr>
          <w:sz w:val="20"/>
        </w:rPr>
        <w:t xml:space="preserve">HEC: Solution based on </w:t>
      </w:r>
      <w:r w:rsidRPr="00753851">
        <w:rPr>
          <w:i/>
          <w:sz w:val="20"/>
        </w:rPr>
        <w:t xml:space="preserve">C. schoenanthus </w:t>
      </w:r>
      <w:r w:rsidRPr="00753851">
        <w:rPr>
          <w:sz w:val="20"/>
        </w:rPr>
        <w:t xml:space="preserve">essential oil; HVN: Solution based on </w:t>
      </w:r>
      <w:r w:rsidRPr="00753851">
        <w:rPr>
          <w:i/>
          <w:sz w:val="20"/>
        </w:rPr>
        <w:t>A. indica</w:t>
      </w:r>
      <w:r w:rsidRPr="00753851">
        <w:rPr>
          <w:sz w:val="20"/>
        </w:rPr>
        <w:t xml:space="preserve"> seed vegetable oil; HEC/HVN: Solution based on a mixture </w:t>
      </w:r>
      <w:r w:rsidRPr="00753851">
        <w:rPr>
          <w:i/>
          <w:sz w:val="20"/>
        </w:rPr>
        <w:t xml:space="preserve">of C. </w:t>
      </w:r>
      <w:r w:rsidRPr="00753851">
        <w:rPr>
          <w:sz w:val="20"/>
        </w:rPr>
        <w:t xml:space="preserve">schoenanthus and neem oils </w:t>
      </w:r>
    </w:p>
    <w:p w14:paraId="6D4C2B48" w14:textId="77777777" w:rsidR="00634D60" w:rsidRPr="00753851" w:rsidRDefault="00753851" w:rsidP="003764D1">
      <w:pPr>
        <w:rPr>
          <w:b/>
        </w:rPr>
      </w:pPr>
      <w:r>
        <w:rPr>
          <w:b/>
        </w:rPr>
        <w:t>3</w:t>
      </w:r>
      <w:r w:rsidR="00FD5CBC" w:rsidRPr="00753851">
        <w:rPr>
          <w:b/>
        </w:rPr>
        <w:t>.2</w:t>
      </w:r>
      <w:r w:rsidR="00FD5CBC" w:rsidRPr="00753851">
        <w:rPr>
          <w:rFonts w:ascii="Arial" w:eastAsia="Arial" w:hAnsi="Arial" w:cs="Arial"/>
          <w:b/>
        </w:rPr>
        <w:t xml:space="preserve"> </w:t>
      </w:r>
      <w:r w:rsidR="00FD5CBC" w:rsidRPr="00753851">
        <w:rPr>
          <w:b/>
        </w:rPr>
        <w:t xml:space="preserve">Discussion </w:t>
      </w:r>
    </w:p>
    <w:p w14:paraId="1E254FCF" w14:textId="77777777" w:rsidR="00634D60" w:rsidRDefault="00FD5CBC" w:rsidP="00753851">
      <w:pPr>
        <w:spacing w:line="360" w:lineRule="auto"/>
      </w:pPr>
      <w:r>
        <w:t xml:space="preserve">The three solutions tested showed varying toxicity to adult </w:t>
      </w:r>
      <w:r>
        <w:rPr>
          <w:i/>
        </w:rPr>
        <w:t>C. ochraceus</w:t>
      </w:r>
      <w:r>
        <w:t>. All concentrations evaluated resulted in significantly higher mortality rates than those of the absolute and reference controls. The highest concentrations resulted in significantly higher contact mortality. Similar trends were observed in C</w:t>
      </w:r>
      <w:r>
        <w:rPr>
          <w:i/>
        </w:rPr>
        <w:t xml:space="preserve">. ochraceus, </w:t>
      </w:r>
      <w:r>
        <w:t xml:space="preserve">except for the HVN-based solution, where increasing the concentration did not result in a significant increase in mortality. Many authors have reported the insecticidal activity of plant extracts. However, their effectiveness can be influenced by several factors, including the plant species used (Feng </w:t>
      </w:r>
      <w:r>
        <w:rPr>
          <w:i/>
        </w:rPr>
        <w:t>et al.,</w:t>
      </w:r>
      <w:r>
        <w:t xml:space="preserve"> 2012; Kolani </w:t>
      </w:r>
      <w:r>
        <w:rPr>
          <w:i/>
        </w:rPr>
        <w:t>et al.,</w:t>
      </w:r>
      <w:r>
        <w:t xml:space="preserve"> 2016), the part of the plant from which the extract is derived, the mode of action (Akhtar et al., 2008), and the species and developmental stages of the target pests (Liang </w:t>
      </w:r>
      <w:r>
        <w:rPr>
          <w:i/>
        </w:rPr>
        <w:t>et al.,</w:t>
      </w:r>
      <w:r>
        <w:t xml:space="preserve"> 2003). Comparison of the acute contact toxicity of the different solutions on C</w:t>
      </w:r>
      <w:r>
        <w:rPr>
          <w:i/>
        </w:rPr>
        <w:t>. ochraceus,</w:t>
      </w:r>
      <w:r>
        <w:t xml:space="preserve"> 24 hours after exposure (LC₅₀), reveals a significant difference in descending order: HEC &gt; HEC/HVN &gt; HVN. The contact toxicity of HEC had already been demonstrated on </w:t>
      </w:r>
      <w:r>
        <w:rPr>
          <w:i/>
        </w:rPr>
        <w:t xml:space="preserve">Dysdercus volkeri </w:t>
      </w:r>
      <w:r>
        <w:t xml:space="preserve">(Nadio </w:t>
      </w:r>
      <w:r>
        <w:rPr>
          <w:i/>
        </w:rPr>
        <w:t>et al.,</w:t>
      </w:r>
      <w:r>
        <w:t xml:space="preserve"> 2015) and </w:t>
      </w:r>
      <w:r>
        <w:rPr>
          <w:i/>
        </w:rPr>
        <w:t xml:space="preserve">Plutella xylostella </w:t>
      </w:r>
      <w:r>
        <w:t xml:space="preserve">(Sanda </w:t>
      </w:r>
      <w:r>
        <w:rPr>
          <w:i/>
        </w:rPr>
        <w:t>et al.,</w:t>
      </w:r>
      <w:r>
        <w:t xml:space="preserve"> 2006; Laba </w:t>
      </w:r>
      <w:r>
        <w:rPr>
          <w:i/>
        </w:rPr>
        <w:t>et al.,</w:t>
      </w:r>
      <w:r>
        <w:t xml:space="preserve"> 2012). The latter also observed, during contact tests on </w:t>
      </w:r>
      <w:r>
        <w:rPr>
          <w:i/>
        </w:rPr>
        <w:t xml:space="preserve">P. xylostella </w:t>
      </w:r>
      <w:r>
        <w:t xml:space="preserve">larvae (Kolani </w:t>
      </w:r>
      <w:r>
        <w:rPr>
          <w:i/>
        </w:rPr>
        <w:t>et al.,</w:t>
      </w:r>
      <w:r>
        <w:t xml:space="preserve"> 2016)</w:t>
      </w:r>
      <w:r>
        <w:rPr>
          <w:i/>
        </w:rPr>
        <w:t>,</w:t>
      </w:r>
      <w:r>
        <w:t xml:space="preserve"> a faster action of HEC compared to HVN. </w:t>
      </w:r>
    </w:p>
    <w:p w14:paraId="18738C59" w14:textId="5706A2C5" w:rsidR="00634D60" w:rsidRDefault="00FD5CBC" w:rsidP="00753851">
      <w:pPr>
        <w:spacing w:line="360" w:lineRule="auto"/>
      </w:pPr>
      <w:r>
        <w:rPr>
          <w:color w:val="231F20"/>
        </w:rPr>
        <w:t xml:space="preserve">Biological tests carried out with the different solutions revealed varying mortality rates depending on the concentrations tested. At the lowest concentration (10 µL·mL⁻¹), the </w:t>
      </w:r>
      <w:r w:rsidR="00875D8B">
        <w:rPr>
          <w:color w:val="231F20"/>
        </w:rPr>
        <w:t>HEC-based</w:t>
      </w:r>
      <w:r>
        <w:rPr>
          <w:color w:val="231F20"/>
        </w:rPr>
        <w:t xml:space="preserve"> solution caused 42.5% mortality in C. ochraceus, compared with 13% for the HVN-based solution and 16.5% for the HEC/HVN mixture. Total mortality (100%) was achieved with higher concentrations: 40 µL·mL⁻¹ for the HEC solution and 50 µL·mL⁻¹ for the HEC/HVN mixture. This difference could be explained by the exposure time. </w:t>
      </w:r>
      <w:r>
        <w:t xml:space="preserve">These </w:t>
      </w:r>
      <w:r>
        <w:rPr>
          <w:color w:val="231F20"/>
        </w:rPr>
        <w:t xml:space="preserve">results </w:t>
      </w:r>
      <w:r>
        <w:t xml:space="preserve">showed a direct relationship between the mortality rates of bugs and the concentration of the product on the one </w:t>
      </w:r>
      <w:r>
        <w:lastRenderedPageBreak/>
        <w:t xml:space="preserve">hand, and between the mortality rate and the exposure duration on the other. The evolution of the mortality rate shows that the toxic effects depend on factors such as the concentration of the product and the duration of exposure to these products. The work of Yaka (2007) showed that the toxic or repellent effects of an essential oil or plant extract depend on several factors, including its concentration, chemical composition, and the sensitivity level of the target insects, which confirms the results obtained. The results presented in Table 3 indicate that </w:t>
      </w:r>
      <w:r>
        <w:rPr>
          <w:i/>
        </w:rPr>
        <w:t>C. schoenanthus</w:t>
      </w:r>
      <w:r>
        <w:t xml:space="preserve"> essential oil and its combination with neem seed oil have a repellent effect on </w:t>
      </w:r>
      <w:r>
        <w:rPr>
          <w:i/>
        </w:rPr>
        <w:t xml:space="preserve">C. ochraceus </w:t>
      </w:r>
      <w:r>
        <w:t xml:space="preserve">adults, with average repellency rates of 82% and 65%, respectively, classifying them in categories V (very repellent) and IV (repellent) according to the classification of </w:t>
      </w:r>
      <w:r w:rsidR="00875D8B">
        <w:t>McDonald</w:t>
      </w:r>
      <w:r>
        <w:t xml:space="preserve"> </w:t>
      </w:r>
      <w:r>
        <w:rPr>
          <w:i/>
        </w:rPr>
        <w:t xml:space="preserve">et al. </w:t>
      </w:r>
      <w:r>
        <w:t xml:space="preserve">(1970). Pure </w:t>
      </w:r>
      <w:r>
        <w:rPr>
          <w:i/>
        </w:rPr>
        <w:t xml:space="preserve">C. schoenanthus </w:t>
      </w:r>
      <w:r>
        <w:t>essential oil has a strong repellent effect, followed by the combination with neem oil, while neem seed oil alone has only a weak repellent effect (31.8%). The moderate repellent effect observed with the combination could be attributed to the strong repellent activity of pure C</w:t>
      </w:r>
      <w:r>
        <w:rPr>
          <w:i/>
        </w:rPr>
        <w:t>. schoenanthus</w:t>
      </w:r>
      <w:r>
        <w:t xml:space="preserve">, highlighted in this study, and linked to the presence of major active compounds.  The decrease in repellent effect in the combination could be explained by the presence, in neem oil, of compounds that act as antagonists to those in the essential oil. </w:t>
      </w:r>
      <w:r>
        <w:rPr>
          <w:color w:val="231F20"/>
        </w:rPr>
        <w:t xml:space="preserve">Some studies have also shown the repellent effect of essential oils on insects. </w:t>
      </w:r>
      <w:r>
        <w:t xml:space="preserve">Indeed, the work of </w:t>
      </w:r>
      <w:proofErr w:type="spellStart"/>
      <w:r>
        <w:t>Aïboud</w:t>
      </w:r>
      <w:proofErr w:type="spellEnd"/>
      <w:r>
        <w:t xml:space="preserve"> </w:t>
      </w:r>
      <w:r>
        <w:rPr>
          <w:i/>
        </w:rPr>
        <w:t xml:space="preserve">et al. </w:t>
      </w:r>
      <w:r>
        <w:t xml:space="preserve">(2011) demonstrated a strong repellent effect of essential oils extracted from </w:t>
      </w:r>
      <w:r>
        <w:rPr>
          <w:i/>
        </w:rPr>
        <w:t>Syzygium aromaticum, Eucalyptus smithii</w:t>
      </w:r>
      <w:r>
        <w:t xml:space="preserve">, and </w:t>
      </w:r>
      <w:r>
        <w:rPr>
          <w:i/>
        </w:rPr>
        <w:t xml:space="preserve">Pimenta racemosa </w:t>
      </w:r>
      <w:r>
        <w:t xml:space="preserve">on </w:t>
      </w:r>
      <w:r>
        <w:rPr>
          <w:i/>
        </w:rPr>
        <w:t xml:space="preserve">Callosobruchus maculatus. </w:t>
      </w:r>
      <w:r>
        <w:t xml:space="preserve">Applied at doses of 5, 10, 15, and 20 </w:t>
      </w:r>
      <w:r>
        <w:rPr>
          <w:color w:val="231F20"/>
        </w:rPr>
        <w:t xml:space="preserve">µL </w:t>
      </w:r>
      <w:r>
        <w:t xml:space="preserve">diluted in 0.5 mL of acetone, these oils induced repellency rates of 86%, 86%, and 87% after only 30 minutes of exposure. </w:t>
      </w:r>
    </w:p>
    <w:p w14:paraId="761D1662" w14:textId="77777777" w:rsidR="00634D60" w:rsidRPr="00753851" w:rsidRDefault="00FD5CBC" w:rsidP="003764D1">
      <w:pPr>
        <w:rPr>
          <w:b/>
        </w:rPr>
      </w:pPr>
      <w:r w:rsidRPr="00753851">
        <w:rPr>
          <w:b/>
        </w:rPr>
        <w:t xml:space="preserve">5. CONCLUSION </w:t>
      </w:r>
    </w:p>
    <w:p w14:paraId="54F09ED1" w14:textId="77777777" w:rsidR="00634D60" w:rsidRDefault="00FD5CBC" w:rsidP="00753851">
      <w:pPr>
        <w:spacing w:line="360" w:lineRule="auto"/>
      </w:pPr>
      <w:commentRangeStart w:id="19"/>
      <w:r>
        <w:t xml:space="preserve">With the aim of finding </w:t>
      </w:r>
      <w:commentRangeEnd w:id="19"/>
      <w:r w:rsidR="003A02BE">
        <w:rPr>
          <w:rStyle w:val="CommentReference"/>
        </w:rPr>
        <w:commentReference w:id="19"/>
      </w:r>
      <w:r>
        <w:t xml:space="preserve">alternatives to synthetic chemicals, a project was carried out to evaluate the insecticidal and repellent efficacy of various natural solutions against adult </w:t>
      </w:r>
      <w:r>
        <w:rPr>
          <w:i/>
        </w:rPr>
        <w:t xml:space="preserve">Cletus ochraceus </w:t>
      </w:r>
      <w:r>
        <w:t xml:space="preserve">bugs. The results demonstrated notable efficacy for all the solutions tested. </w:t>
      </w:r>
      <w:r>
        <w:rPr>
          <w:i/>
        </w:rPr>
        <w:t xml:space="preserve">Cymbopogon schoenanthus </w:t>
      </w:r>
      <w:r>
        <w:t xml:space="preserve">essential oil </w:t>
      </w:r>
      <w:r>
        <w:rPr>
          <w:i/>
        </w:rPr>
        <w:t>(</w:t>
      </w:r>
      <w:r>
        <w:t xml:space="preserve">HEC) proved to be the most active, achieving 100% mortality at a concentration of 40 </w:t>
      </w:r>
      <w:r>
        <w:rPr>
          <w:color w:val="231F20"/>
        </w:rPr>
        <w:t>µL·mL⁻¹, with a median lethal concentration (LC</w:t>
      </w:r>
      <w:r w:rsidRPr="00753851">
        <w:rPr>
          <w:color w:val="231F20"/>
          <w:vertAlign w:val="subscript"/>
        </w:rPr>
        <w:t>50</w:t>
      </w:r>
      <w:r>
        <w:rPr>
          <w:color w:val="231F20"/>
        </w:rPr>
        <w:t xml:space="preserve">) of 11.6 µL·mL⁻¹. </w:t>
      </w:r>
      <w:r>
        <w:t xml:space="preserve">The mixture of HEC with neem oil (HEC/HVN) also showed good activity, requiring 50 </w:t>
      </w:r>
      <w:r>
        <w:rPr>
          <w:color w:val="231F20"/>
        </w:rPr>
        <w:t>µL·mL⁻¹ for 100% total mortality and presenting an LC</w:t>
      </w:r>
      <w:r w:rsidRPr="00753851">
        <w:rPr>
          <w:color w:val="231F20"/>
          <w:vertAlign w:val="subscript"/>
        </w:rPr>
        <w:t>50</w:t>
      </w:r>
      <w:r>
        <w:rPr>
          <w:color w:val="231F20"/>
        </w:rPr>
        <w:t xml:space="preserve"> of 20.7 µL·mL⁻¹. In contrast, neem seed oil alone was weakly active, requiring more than 70 </w:t>
      </w:r>
      <w:r>
        <w:t>µL·mL⁻¹ for complete mortality. In conclusion, HEC, alone or in combination, has high insecticidal and repellent potential against C</w:t>
      </w:r>
      <w:r>
        <w:rPr>
          <w:i/>
        </w:rPr>
        <w:t xml:space="preserve">. ochraceus, </w:t>
      </w:r>
      <w:r>
        <w:t xml:space="preserve">surpassing pure neem oil. These findings suggest that HEC could be a promising active ingredient for biopesticide formulation. Further research is underway to develop a stable and optimized formulation, which will be tested under field conditions on cashew tree plots. </w:t>
      </w:r>
    </w:p>
    <w:p w14:paraId="2E09A373" w14:textId="77777777" w:rsidR="00634D60" w:rsidRPr="00753851" w:rsidRDefault="00FD5CBC" w:rsidP="003764D1">
      <w:pPr>
        <w:rPr>
          <w:b/>
        </w:rPr>
      </w:pPr>
      <w:r w:rsidRPr="00753851">
        <w:rPr>
          <w:b/>
        </w:rPr>
        <w:lastRenderedPageBreak/>
        <w:t xml:space="preserve">References </w:t>
      </w:r>
    </w:p>
    <w:p w14:paraId="42D03F5B" w14:textId="77777777" w:rsidR="00634D60" w:rsidRDefault="00FD5CBC" w:rsidP="003764D1">
      <w:r>
        <w:t xml:space="preserve">Abdelgaleil, S. A. M., Mohamed, M. I. E., Badawy, M. E. I., &amp; El-Arami, S. A. A. (2009). Fumigant and contact toxicities of monoterpenes to Sitophilus oryzae (L.) and Tribolium castaneum (Herbst). </w:t>
      </w:r>
      <w:r>
        <w:rPr>
          <w:i/>
        </w:rPr>
        <w:t>Journal of Pest Science, 82(</w:t>
      </w:r>
      <w:r>
        <w:t xml:space="preserve">4), 243–251. </w:t>
      </w:r>
      <w:hyperlink r:id="rId11">
        <w:r>
          <w:rPr>
            <w:color w:val="0563C1"/>
            <w:u w:val="single" w:color="0563C1"/>
          </w:rPr>
          <w:t>https://doi.org/10.1007/s10340</w:t>
        </w:r>
      </w:hyperlink>
      <w:hyperlink r:id="rId12">
        <w:r>
          <w:rPr>
            <w:color w:val="0563C1"/>
            <w:u w:val="single" w:color="0563C1"/>
          </w:rPr>
          <w:t>-</w:t>
        </w:r>
      </w:hyperlink>
      <w:hyperlink r:id="rId13">
        <w:r>
          <w:rPr>
            <w:color w:val="0563C1"/>
            <w:u w:val="single" w:color="0563C1"/>
          </w:rPr>
          <w:t>009</w:t>
        </w:r>
      </w:hyperlink>
      <w:hyperlink r:id="rId14">
        <w:r>
          <w:rPr>
            <w:color w:val="0563C1"/>
            <w:u w:val="single" w:color="0563C1"/>
          </w:rPr>
          <w:t>-</w:t>
        </w:r>
      </w:hyperlink>
      <w:hyperlink r:id="rId15">
        <w:r>
          <w:rPr>
            <w:color w:val="0563C1"/>
            <w:u w:val="single" w:color="0563C1"/>
          </w:rPr>
          <w:t>0242</w:t>
        </w:r>
      </w:hyperlink>
      <w:hyperlink r:id="rId16">
        <w:r>
          <w:rPr>
            <w:color w:val="0563C1"/>
            <w:u w:val="single" w:color="0563C1"/>
          </w:rPr>
          <w:t>-</w:t>
        </w:r>
      </w:hyperlink>
      <w:hyperlink r:id="rId17">
        <w:r>
          <w:rPr>
            <w:color w:val="0563C1"/>
            <w:u w:val="single" w:color="0563C1"/>
          </w:rPr>
          <w:t>2</w:t>
        </w:r>
      </w:hyperlink>
      <w:hyperlink r:id="rId18">
        <w:r>
          <w:t xml:space="preserve"> </w:t>
        </w:r>
      </w:hyperlink>
    </w:p>
    <w:p w14:paraId="4A1B51F6" w14:textId="77777777" w:rsidR="00634D60" w:rsidRDefault="00FD5CBC" w:rsidP="003764D1">
      <w:proofErr w:type="spellStart"/>
      <w:r>
        <w:t>Adeigbe</w:t>
      </w:r>
      <w:proofErr w:type="spellEnd"/>
      <w:r>
        <w:t xml:space="preserve">, O. O., Olasupo, F. O., Adewale, B. D., &amp; Muyiwa, A. A., 2015. </w:t>
      </w:r>
      <w:r>
        <w:rPr>
          <w:i/>
        </w:rPr>
        <w:t>A review on cashew research and production in Nigeria in the last four decades</w:t>
      </w:r>
      <w:r>
        <w:t xml:space="preserve">. Scientific Research and Essays, 10(5), 196–209. </w:t>
      </w:r>
      <w:hyperlink r:id="rId19">
        <w:r>
          <w:rPr>
            <w:color w:val="0563C1"/>
            <w:u w:val="single" w:color="0563C1"/>
          </w:rPr>
          <w:t>https://doi.org/10.5897/SRE2014.5953.</w:t>
        </w:r>
      </w:hyperlink>
      <w:hyperlink r:id="rId20">
        <w:r>
          <w:t xml:space="preserve"> </w:t>
        </w:r>
      </w:hyperlink>
      <w:r>
        <w:t xml:space="preserve">Retrieved April 15, 2025.  </w:t>
      </w:r>
    </w:p>
    <w:p w14:paraId="15242449" w14:textId="77777777" w:rsidR="00634D60" w:rsidRPr="00BA7A03" w:rsidRDefault="00FD5CBC" w:rsidP="003764D1">
      <w:pPr>
        <w:rPr>
          <w:lang w:val="fr-FR"/>
        </w:rPr>
      </w:pPr>
      <w:proofErr w:type="spellStart"/>
      <w:r w:rsidRPr="00BA7A03">
        <w:rPr>
          <w:color w:val="231F20"/>
          <w:lang w:val="fr-FR"/>
        </w:rPr>
        <w:t>Afouda</w:t>
      </w:r>
      <w:proofErr w:type="spellEnd"/>
      <w:r w:rsidRPr="00BA7A03">
        <w:rPr>
          <w:color w:val="231F20"/>
          <w:lang w:val="fr-FR"/>
        </w:rPr>
        <w:t xml:space="preserve">, L. C. A., </w:t>
      </w:r>
      <w:proofErr w:type="spellStart"/>
      <w:r w:rsidRPr="00BA7A03">
        <w:rPr>
          <w:color w:val="231F20"/>
          <w:lang w:val="fr-FR"/>
        </w:rPr>
        <w:t>Zinsou</w:t>
      </w:r>
      <w:proofErr w:type="spellEnd"/>
      <w:r w:rsidRPr="00BA7A03">
        <w:rPr>
          <w:color w:val="231F20"/>
          <w:lang w:val="fr-FR"/>
        </w:rPr>
        <w:t xml:space="preserve">, V., </w:t>
      </w:r>
      <w:proofErr w:type="spellStart"/>
      <w:r w:rsidRPr="00BA7A03">
        <w:rPr>
          <w:color w:val="231F20"/>
          <w:lang w:val="fr-FR"/>
        </w:rPr>
        <w:t>Balogoun</w:t>
      </w:r>
      <w:proofErr w:type="spellEnd"/>
      <w:r w:rsidRPr="00BA7A03">
        <w:rPr>
          <w:color w:val="231F20"/>
          <w:lang w:val="fr-FR"/>
        </w:rPr>
        <w:t xml:space="preserve">, R. K., </w:t>
      </w:r>
      <w:proofErr w:type="spellStart"/>
      <w:r w:rsidRPr="00BA7A03">
        <w:rPr>
          <w:color w:val="231F20"/>
          <w:lang w:val="fr-FR"/>
        </w:rPr>
        <w:t>Onzo</w:t>
      </w:r>
      <w:proofErr w:type="spellEnd"/>
      <w:r w:rsidRPr="00BA7A03">
        <w:rPr>
          <w:color w:val="231F20"/>
          <w:lang w:val="fr-FR"/>
        </w:rPr>
        <w:t xml:space="preserve">, A., &amp; </w:t>
      </w:r>
      <w:proofErr w:type="spellStart"/>
      <w:r w:rsidRPr="00BA7A03">
        <w:rPr>
          <w:color w:val="231F20"/>
          <w:lang w:val="fr-FR"/>
        </w:rPr>
        <w:t>Ahohuendo</w:t>
      </w:r>
      <w:proofErr w:type="spellEnd"/>
      <w:r w:rsidRPr="00BA7A03">
        <w:rPr>
          <w:color w:val="231F20"/>
          <w:lang w:val="fr-FR"/>
        </w:rPr>
        <w:t xml:space="preserve">, B. C. (2013). </w:t>
      </w:r>
      <w:r>
        <w:rPr>
          <w:i/>
        </w:rPr>
        <w:t xml:space="preserve">Inventory of pathogens affecting the cashew tree (Anacardium occidentale L.). </w:t>
      </w:r>
      <w:r w:rsidRPr="00BA7A03">
        <w:rPr>
          <w:i/>
          <w:lang w:val="fr-FR"/>
        </w:rPr>
        <w:t xml:space="preserve">Bulletin de la Recherche Agronomique du Bénin (BRAB), No. </w:t>
      </w:r>
      <w:proofErr w:type="gramStart"/>
      <w:r w:rsidRPr="00BA7A03">
        <w:rPr>
          <w:i/>
          <w:lang w:val="fr-FR"/>
        </w:rPr>
        <w:t>73;</w:t>
      </w:r>
      <w:proofErr w:type="gramEnd"/>
      <w:r w:rsidRPr="00BA7A03">
        <w:rPr>
          <w:i/>
          <w:lang w:val="fr-FR"/>
        </w:rPr>
        <w:t xml:space="preserve"> 13–19</w:t>
      </w:r>
      <w:r w:rsidRPr="00BA7A03">
        <w:rPr>
          <w:lang w:val="fr-FR"/>
        </w:rPr>
        <w:t xml:space="preserve">.  </w:t>
      </w:r>
    </w:p>
    <w:p w14:paraId="2690B6CC" w14:textId="77777777" w:rsidR="00634D60" w:rsidRDefault="00FD5CBC" w:rsidP="003764D1">
      <w:r w:rsidRPr="00BA7A03">
        <w:rPr>
          <w:lang w:val="fr-FR"/>
        </w:rPr>
        <w:t xml:space="preserve"> </w:t>
      </w:r>
      <w:proofErr w:type="spellStart"/>
      <w:r w:rsidRPr="00BA7A03">
        <w:rPr>
          <w:lang w:val="fr-FR"/>
        </w:rPr>
        <w:t>Aïboud</w:t>
      </w:r>
      <w:proofErr w:type="spellEnd"/>
      <w:r w:rsidRPr="00BA7A03">
        <w:rPr>
          <w:lang w:val="fr-FR"/>
        </w:rPr>
        <w:t xml:space="preserve">, A., Soumya, F., </w:t>
      </w:r>
      <w:proofErr w:type="spellStart"/>
      <w:r w:rsidRPr="00BA7A03">
        <w:rPr>
          <w:lang w:val="fr-FR"/>
        </w:rPr>
        <w:t>Soltani</w:t>
      </w:r>
      <w:proofErr w:type="spellEnd"/>
      <w:r w:rsidRPr="00BA7A03">
        <w:rPr>
          <w:lang w:val="fr-FR"/>
        </w:rPr>
        <w:t xml:space="preserve">, N., &amp; </w:t>
      </w:r>
      <w:proofErr w:type="spellStart"/>
      <w:r w:rsidRPr="00BA7A03">
        <w:rPr>
          <w:lang w:val="fr-FR"/>
        </w:rPr>
        <w:t>Boudjella</w:t>
      </w:r>
      <w:proofErr w:type="spellEnd"/>
      <w:r w:rsidRPr="00BA7A03">
        <w:rPr>
          <w:lang w:val="fr-FR"/>
        </w:rPr>
        <w:t xml:space="preserve">, H. (2011). </w:t>
      </w:r>
      <w:r>
        <w:t xml:space="preserve">Repellent effect of essential oils from </w:t>
      </w:r>
      <w:r>
        <w:rPr>
          <w:i/>
        </w:rPr>
        <w:t>Syzygium aromaticum, Eucalyptus smithii</w:t>
      </w:r>
      <w:r>
        <w:t xml:space="preserve">, and </w:t>
      </w:r>
      <w:r>
        <w:rPr>
          <w:i/>
        </w:rPr>
        <w:t xml:space="preserve">Pimenta racemosa </w:t>
      </w:r>
      <w:r>
        <w:t xml:space="preserve">on </w:t>
      </w:r>
      <w:r>
        <w:rPr>
          <w:i/>
        </w:rPr>
        <w:t xml:space="preserve">Callosobruchus maculatus </w:t>
      </w:r>
      <w:r>
        <w:t xml:space="preserve">(Coleoptera: Bruchidae). </w:t>
      </w:r>
      <w:proofErr w:type="spellStart"/>
      <w:r>
        <w:rPr>
          <w:i/>
        </w:rPr>
        <w:t>Phytothérapie</w:t>
      </w:r>
      <w:proofErr w:type="spellEnd"/>
      <w:r>
        <w:rPr>
          <w:i/>
        </w:rPr>
        <w:t>,</w:t>
      </w:r>
      <w:r>
        <w:t xml:space="preserve"> 9(6), 342–347. </w:t>
      </w:r>
    </w:p>
    <w:p w14:paraId="18C18561" w14:textId="77777777" w:rsidR="00634D60" w:rsidRDefault="00FD5CBC" w:rsidP="003764D1">
      <w:hyperlink r:id="rId21">
        <w:r>
          <w:rPr>
            <w:color w:val="0563C1"/>
            <w:u w:val="single" w:color="0563C1"/>
          </w:rPr>
          <w:t>https://doi.org/10.1007/s10298</w:t>
        </w:r>
      </w:hyperlink>
      <w:hyperlink r:id="rId22">
        <w:r>
          <w:rPr>
            <w:color w:val="0563C1"/>
            <w:u w:val="single" w:color="0563C1"/>
          </w:rPr>
          <w:t>-</w:t>
        </w:r>
      </w:hyperlink>
      <w:hyperlink r:id="rId23">
        <w:r>
          <w:rPr>
            <w:color w:val="0563C1"/>
            <w:u w:val="single" w:color="0563C1"/>
          </w:rPr>
          <w:t>011</w:t>
        </w:r>
      </w:hyperlink>
      <w:hyperlink r:id="rId24">
        <w:r>
          <w:rPr>
            <w:color w:val="0563C1"/>
            <w:u w:val="single" w:color="0563C1"/>
          </w:rPr>
          <w:t>-</w:t>
        </w:r>
      </w:hyperlink>
      <w:hyperlink r:id="rId25">
        <w:r>
          <w:rPr>
            <w:color w:val="0563C1"/>
            <w:u w:val="single" w:color="0563C1"/>
          </w:rPr>
          <w:t>0655</w:t>
        </w:r>
      </w:hyperlink>
      <w:hyperlink r:id="rId26">
        <w:r>
          <w:rPr>
            <w:color w:val="0563C1"/>
            <w:u w:val="single" w:color="0563C1"/>
          </w:rPr>
          <w:t>-</w:t>
        </w:r>
      </w:hyperlink>
      <w:hyperlink r:id="rId27">
        <w:r>
          <w:rPr>
            <w:color w:val="0563C1"/>
            <w:u w:val="single" w:color="0563C1"/>
          </w:rPr>
          <w:t>5</w:t>
        </w:r>
      </w:hyperlink>
      <w:hyperlink r:id="rId28">
        <w:r>
          <w:t xml:space="preserve"> </w:t>
        </w:r>
      </w:hyperlink>
    </w:p>
    <w:p w14:paraId="5326A8D6" w14:textId="77777777" w:rsidR="00634D60" w:rsidRDefault="00FD5CBC" w:rsidP="003764D1">
      <w:r>
        <w:t xml:space="preserve">  Akhtar, Y., </w:t>
      </w:r>
      <w:proofErr w:type="spellStart"/>
      <w:r>
        <w:t>Yeoung</w:t>
      </w:r>
      <w:proofErr w:type="spellEnd"/>
      <w:r>
        <w:t xml:space="preserve">, Y. R., &amp; Isman, M. B. (2008). Comparative bioactivity of selected extracts from Meliaceae and some commercial botanical insecticides against two noctuid caterpillars, </w:t>
      </w:r>
      <w:proofErr w:type="spellStart"/>
      <w:r>
        <w:rPr>
          <w:i/>
        </w:rPr>
        <w:t>Trichoplusia</w:t>
      </w:r>
      <w:proofErr w:type="spellEnd"/>
      <w:r>
        <w:rPr>
          <w:i/>
        </w:rPr>
        <w:t xml:space="preserve"> ni </w:t>
      </w:r>
      <w:r>
        <w:t xml:space="preserve">and </w:t>
      </w:r>
      <w:proofErr w:type="spellStart"/>
      <w:r>
        <w:rPr>
          <w:i/>
        </w:rPr>
        <w:t>Pseudaletia</w:t>
      </w:r>
      <w:proofErr w:type="spellEnd"/>
      <w:r>
        <w:rPr>
          <w:i/>
        </w:rPr>
        <w:t xml:space="preserve"> </w:t>
      </w:r>
      <w:proofErr w:type="spellStart"/>
      <w:r>
        <w:rPr>
          <w:i/>
        </w:rPr>
        <w:t>unipuncta</w:t>
      </w:r>
      <w:proofErr w:type="spellEnd"/>
      <w:r>
        <w:rPr>
          <w:i/>
        </w:rPr>
        <w:t>. Phytochemistry Reviews,</w:t>
      </w:r>
      <w:r>
        <w:t xml:space="preserve"> 7(1), 77–88. </w:t>
      </w:r>
      <w:hyperlink r:id="rId29">
        <w:r>
          <w:rPr>
            <w:color w:val="0563C1"/>
            <w:u w:val="single" w:color="0563C1"/>
          </w:rPr>
          <w:t>https://doi.org/10.1007/s11101</w:t>
        </w:r>
      </w:hyperlink>
      <w:hyperlink r:id="rId30">
        <w:r>
          <w:rPr>
            <w:color w:val="0563C1"/>
            <w:u w:val="single" w:color="0563C1"/>
          </w:rPr>
          <w:t>-</w:t>
        </w:r>
      </w:hyperlink>
      <w:hyperlink r:id="rId31">
        <w:r>
          <w:rPr>
            <w:color w:val="0563C1"/>
            <w:u w:val="single" w:color="0563C1"/>
          </w:rPr>
          <w:t>006</w:t>
        </w:r>
      </w:hyperlink>
      <w:hyperlink r:id="rId32">
        <w:r>
          <w:rPr>
            <w:color w:val="0563C1"/>
            <w:u w:val="single" w:color="0563C1"/>
          </w:rPr>
          <w:t>-</w:t>
        </w:r>
      </w:hyperlink>
      <w:hyperlink r:id="rId33">
        <w:r>
          <w:rPr>
            <w:color w:val="0563C1"/>
            <w:u w:val="single" w:color="0563C1"/>
          </w:rPr>
          <w:t>9045</w:t>
        </w:r>
      </w:hyperlink>
      <w:hyperlink r:id="rId34">
        <w:r>
          <w:rPr>
            <w:color w:val="0563C1"/>
            <w:u w:val="single" w:color="0563C1"/>
          </w:rPr>
          <w:t>-</w:t>
        </w:r>
      </w:hyperlink>
      <w:hyperlink r:id="rId35">
        <w:r>
          <w:rPr>
            <w:color w:val="0563C1"/>
            <w:u w:val="single" w:color="0563C1"/>
          </w:rPr>
          <w:t>3</w:t>
        </w:r>
      </w:hyperlink>
      <w:hyperlink r:id="rId36">
        <w:r>
          <w:t xml:space="preserve"> </w:t>
        </w:r>
      </w:hyperlink>
    </w:p>
    <w:p w14:paraId="0D280857" w14:textId="77777777" w:rsidR="00634D60" w:rsidRDefault="00FD5CBC" w:rsidP="003764D1">
      <w:r>
        <w:t xml:space="preserve">Alcindor, E. (2006). </w:t>
      </w:r>
      <w:r>
        <w:rPr>
          <w:i/>
        </w:rPr>
        <w:t xml:space="preserve">Diagnosis of cashew nut preservation and processing methods in St </w:t>
      </w:r>
    </w:p>
    <w:p w14:paraId="53D4A8FA" w14:textId="77777777" w:rsidR="00634D60" w:rsidRDefault="00FD5CBC" w:rsidP="003764D1">
      <w:r>
        <w:rPr>
          <w:i/>
        </w:rPr>
        <w:t xml:space="preserve">Jean du Sud and proposals for improvement </w:t>
      </w:r>
      <w:r>
        <w:t xml:space="preserve">[Final thesis, State University of Haiti, </w:t>
      </w:r>
    </w:p>
    <w:p w14:paraId="20636194" w14:textId="77777777" w:rsidR="00634D60" w:rsidRDefault="00FD5CBC" w:rsidP="003764D1">
      <w:r>
        <w:t xml:space="preserve">Faculty </w:t>
      </w:r>
      <w:r>
        <w:tab/>
        <w:t xml:space="preserve">of </w:t>
      </w:r>
      <w:r>
        <w:tab/>
        <w:t xml:space="preserve">Agronomy </w:t>
      </w:r>
      <w:r>
        <w:tab/>
        <w:t xml:space="preserve">and </w:t>
      </w:r>
      <w:r>
        <w:tab/>
        <w:t xml:space="preserve">Veterinary </w:t>
      </w:r>
      <w:r>
        <w:tab/>
        <w:t xml:space="preserve">Medicine]. </w:t>
      </w:r>
      <w:r>
        <w:tab/>
        <w:t xml:space="preserve">Online </w:t>
      </w:r>
      <w:r>
        <w:tab/>
        <w:t xml:space="preserve">thesis. </w:t>
      </w:r>
      <w:hyperlink r:id="rId37">
        <w:r>
          <w:rPr>
            <w:color w:val="0563C1"/>
            <w:u w:val="single" w:color="0563C1"/>
          </w:rPr>
          <w:t>https://www.memoireonline.com/02/09/2006/Diagnostic</w:t>
        </w:r>
      </w:hyperlink>
      <w:hyperlink r:id="rId38">
        <w:r>
          <w:rPr>
            <w:color w:val="0563C1"/>
            <w:u w:val="single" w:color="0563C1"/>
          </w:rPr>
          <w:t>-</w:t>
        </w:r>
      </w:hyperlink>
      <w:hyperlink r:id="rId39">
        <w:r>
          <w:rPr>
            <w:color w:val="0563C1"/>
            <w:u w:val="single" w:color="0563C1"/>
          </w:rPr>
          <w:t>des</w:t>
        </w:r>
      </w:hyperlink>
      <w:hyperlink r:id="rId40">
        <w:r>
          <w:rPr>
            <w:color w:val="0563C1"/>
            <w:u w:val="single" w:color="0563C1"/>
          </w:rPr>
          <w:t>-</w:t>
        </w:r>
      </w:hyperlink>
      <w:hyperlink r:id="rId41">
        <w:r>
          <w:rPr>
            <w:color w:val="0563C1"/>
            <w:u w:val="single" w:color="0563C1"/>
          </w:rPr>
          <w:t>procedes</w:t>
        </w:r>
      </w:hyperlink>
      <w:hyperlink r:id="rId42">
        <w:r>
          <w:rPr>
            <w:color w:val="0563C1"/>
            <w:u w:val="single" w:color="0563C1"/>
          </w:rPr>
          <w:t>-</w:t>
        </w:r>
      </w:hyperlink>
      <w:hyperlink r:id="rId43">
        <w:r>
          <w:rPr>
            <w:color w:val="0563C1"/>
            <w:u w:val="single" w:color="0563C1"/>
          </w:rPr>
          <w:t>de</w:t>
        </w:r>
      </w:hyperlink>
      <w:hyperlink r:id="rId44"/>
      <w:hyperlink r:id="rId45">
        <w:r w:rsidRPr="003764D1">
          <w:rPr>
            <w:color w:val="0563C1"/>
            <w:u w:val="single" w:color="0563C1"/>
          </w:rPr>
          <w:t>con</w:t>
        </w:r>
        <w:proofErr w:type="spellStart"/>
        <w:r w:rsidRPr="003764D1">
          <w:rPr>
            <w:color w:val="0563C1"/>
            <w:u w:val="single" w:color="0563C1"/>
            <w:lang w:val="fr-FR"/>
          </w:rPr>
          <w:t>servation</w:t>
        </w:r>
        <w:proofErr w:type="spellEnd"/>
      </w:hyperlink>
      <w:hyperlink r:id="rId46">
        <w:r w:rsidRPr="003764D1">
          <w:rPr>
            <w:color w:val="0563C1"/>
            <w:u w:val="single" w:color="0563C1"/>
            <w:lang w:val="fr-FR"/>
          </w:rPr>
          <w:t>-</w:t>
        </w:r>
      </w:hyperlink>
      <w:hyperlink r:id="rId47">
        <w:r w:rsidRPr="003764D1">
          <w:rPr>
            <w:color w:val="0563C1"/>
            <w:u w:val="single" w:color="0563C1"/>
            <w:lang w:val="fr-FR"/>
          </w:rPr>
          <w:t>et</w:t>
        </w:r>
      </w:hyperlink>
      <w:hyperlink r:id="rId48">
        <w:r w:rsidRPr="003764D1">
          <w:rPr>
            <w:color w:val="0563C1"/>
            <w:u w:val="single" w:color="0563C1"/>
            <w:lang w:val="fr-FR"/>
          </w:rPr>
          <w:t>-</w:t>
        </w:r>
      </w:hyperlink>
      <w:hyperlink r:id="rId49">
        <w:r w:rsidRPr="003764D1">
          <w:rPr>
            <w:color w:val="0563C1"/>
            <w:u w:val="single" w:color="0563C1"/>
            <w:lang w:val="fr-FR"/>
          </w:rPr>
          <w:t>de</w:t>
        </w:r>
      </w:hyperlink>
      <w:hyperlink r:id="rId50">
        <w:r w:rsidRPr="003764D1">
          <w:rPr>
            <w:color w:val="0563C1"/>
            <w:u w:val="single" w:color="0563C1"/>
            <w:lang w:val="fr-FR"/>
          </w:rPr>
          <w:t>-</w:t>
        </w:r>
      </w:hyperlink>
      <w:hyperlink r:id="rId51">
        <w:r w:rsidRPr="003764D1">
          <w:rPr>
            <w:color w:val="0563C1"/>
            <w:u w:val="single" w:color="0563C1"/>
            <w:lang w:val="fr-FR"/>
          </w:rPr>
          <w:t>transformation</w:t>
        </w:r>
      </w:hyperlink>
      <w:hyperlink r:id="rId52">
        <w:r w:rsidRPr="003764D1">
          <w:rPr>
            <w:color w:val="0563C1"/>
            <w:u w:val="single" w:color="0563C1"/>
            <w:lang w:val="fr-FR"/>
          </w:rPr>
          <w:t>-</w:t>
        </w:r>
      </w:hyperlink>
      <w:hyperlink r:id="rId53">
        <w:r w:rsidRPr="003764D1">
          <w:rPr>
            <w:color w:val="0563C1"/>
            <w:u w:val="single" w:color="0563C1"/>
            <w:lang w:val="fr-FR"/>
          </w:rPr>
          <w:t>de</w:t>
        </w:r>
      </w:hyperlink>
      <w:hyperlink r:id="rId54">
        <w:r w:rsidRPr="00BA7A03">
          <w:rPr>
            <w:color w:val="0563C1"/>
            <w:u w:val="single" w:color="0563C1"/>
            <w:lang w:val="fr-FR"/>
          </w:rPr>
          <w:t>-</w:t>
        </w:r>
      </w:hyperlink>
      <w:hyperlink r:id="rId55">
        <w:r w:rsidRPr="003764D1">
          <w:rPr>
            <w:color w:val="0563C1"/>
            <w:u w:val="single" w:color="0563C1"/>
            <w:lang w:val="fr-FR"/>
          </w:rPr>
          <w:t>la</w:t>
        </w:r>
      </w:hyperlink>
      <w:hyperlink r:id="rId56">
        <w:r w:rsidRPr="003764D1">
          <w:rPr>
            <w:color w:val="0563C1"/>
            <w:u w:val="single" w:color="0563C1"/>
            <w:lang w:val="fr-FR"/>
          </w:rPr>
          <w:t>-</w:t>
        </w:r>
      </w:hyperlink>
      <w:hyperlink r:id="rId57">
        <w:r w:rsidRPr="003764D1">
          <w:rPr>
            <w:color w:val="0563C1"/>
            <w:u w:val="single" w:color="0563C1"/>
            <w:lang w:val="fr-FR"/>
          </w:rPr>
          <w:t>noix</w:t>
        </w:r>
      </w:hyperlink>
      <w:hyperlink r:id="rId58">
        <w:r w:rsidRPr="003764D1">
          <w:rPr>
            <w:color w:val="0563C1"/>
            <w:u w:val="single" w:color="0563C1"/>
            <w:lang w:val="fr-FR"/>
          </w:rPr>
          <w:t>-</w:t>
        </w:r>
      </w:hyperlink>
      <w:hyperlink r:id="rId59">
        <w:r w:rsidRPr="003764D1">
          <w:rPr>
            <w:color w:val="0563C1"/>
            <w:u w:val="single" w:color="0563C1"/>
            <w:lang w:val="fr-FR"/>
          </w:rPr>
          <w:t>de</w:t>
        </w:r>
      </w:hyperlink>
      <w:hyperlink r:id="rId60">
        <w:r w:rsidRPr="003764D1">
          <w:rPr>
            <w:color w:val="0563C1"/>
            <w:u w:val="single" w:color="0563C1"/>
            <w:lang w:val="fr-FR"/>
          </w:rPr>
          <w:t>-</w:t>
        </w:r>
      </w:hyperlink>
      <w:hyperlink r:id="rId61">
        <w:r w:rsidRPr="003764D1">
          <w:rPr>
            <w:color w:val="0563C1"/>
            <w:u w:val="single" w:color="0563C1"/>
            <w:lang w:val="fr-FR"/>
          </w:rPr>
          <w:t>cajou</w:t>
        </w:r>
      </w:hyperlink>
      <w:hyperlink r:id="rId62">
        <w:r w:rsidRPr="003764D1">
          <w:rPr>
            <w:color w:val="0563C1"/>
            <w:u w:val="single" w:color="0563C1"/>
            <w:lang w:val="fr-FR"/>
          </w:rPr>
          <w:t>-</w:t>
        </w:r>
      </w:hyperlink>
      <w:hyperlink r:id="rId63">
        <w:r w:rsidRPr="003764D1">
          <w:rPr>
            <w:color w:val="0563C1"/>
            <w:u w:val="single" w:color="0563C1"/>
            <w:lang w:val="fr-FR"/>
          </w:rPr>
          <w:t>a</w:t>
        </w:r>
      </w:hyperlink>
      <w:hyperlink r:id="rId64">
        <w:r>
          <w:rPr>
            <w:color w:val="0563C1"/>
            <w:u w:val="single" w:color="0563C1"/>
          </w:rPr>
          <w:t>-</w:t>
        </w:r>
      </w:hyperlink>
      <w:hyperlink r:id="rId65">
        <w:r>
          <w:rPr>
            <w:color w:val="0563C1"/>
            <w:u w:val="single" w:color="0563C1"/>
          </w:rPr>
          <w:t>St</w:t>
        </w:r>
      </w:hyperlink>
      <w:hyperlink r:id="rId66">
        <w:r>
          <w:rPr>
            <w:color w:val="0563C1"/>
            <w:u w:val="single" w:color="0563C1"/>
          </w:rPr>
          <w:t>-</w:t>
        </w:r>
      </w:hyperlink>
      <w:hyperlink r:id="rId67">
        <w:r>
          <w:rPr>
            <w:color w:val="0563C1"/>
            <w:u w:val="single" w:color="0563C1"/>
          </w:rPr>
          <w:t>Jean</w:t>
        </w:r>
      </w:hyperlink>
      <w:hyperlink r:id="rId68">
        <w:r>
          <w:rPr>
            <w:color w:val="0563C1"/>
            <w:u w:val="single" w:color="0563C1"/>
          </w:rPr>
          <w:t>-</w:t>
        </w:r>
      </w:hyperlink>
      <w:hyperlink r:id="rId69">
        <w:r>
          <w:rPr>
            <w:color w:val="0563C1"/>
            <w:u w:val="single" w:color="0563C1"/>
          </w:rPr>
          <w:t>du</w:t>
        </w:r>
      </w:hyperlink>
      <w:hyperlink r:id="rId70">
        <w:r>
          <w:rPr>
            <w:color w:val="0563C1"/>
            <w:u w:val="single" w:color="0563C1"/>
          </w:rPr>
          <w:t>-</w:t>
        </w:r>
      </w:hyperlink>
      <w:hyperlink r:id="rId71">
        <w:r>
          <w:rPr>
            <w:color w:val="0563C1"/>
            <w:u w:val="single" w:color="0563C1"/>
          </w:rPr>
          <w:t>Sud.html</w:t>
        </w:r>
      </w:hyperlink>
      <w:hyperlink r:id="rId72">
        <w:r>
          <w:t xml:space="preserve"> </w:t>
        </w:r>
      </w:hyperlink>
    </w:p>
    <w:p w14:paraId="1FA32DAE" w14:textId="77777777" w:rsidR="00634D60" w:rsidRDefault="00FD5CBC" w:rsidP="003764D1">
      <w:r>
        <w:t xml:space="preserve"> </w:t>
      </w:r>
      <w:proofErr w:type="spellStart"/>
      <w:r>
        <w:t>Chariandy</w:t>
      </w:r>
      <w:proofErr w:type="spellEnd"/>
      <w:r>
        <w:t xml:space="preserve">, C. M., Seaforth, C. E., Phelps, R. H., Pollard, G. V., &amp; </w:t>
      </w:r>
      <w:proofErr w:type="spellStart"/>
      <w:r>
        <w:t>Khambay</w:t>
      </w:r>
      <w:proofErr w:type="spellEnd"/>
      <w:r>
        <w:t xml:space="preserve">, B. P. S. (1999). Screening of medicinal plants from Trinidad and Tobago for antimicrobial and insecticidal properties. </w:t>
      </w:r>
      <w:r>
        <w:rPr>
          <w:i/>
        </w:rPr>
        <w:t>Journal of Ethnopharmacology,</w:t>
      </w:r>
      <w:r>
        <w:t xml:space="preserve"> 64(3), 265–270. </w:t>
      </w:r>
      <w:hyperlink r:id="rId73">
        <w:r>
          <w:rPr>
            <w:color w:val="0563C1"/>
            <w:u w:val="single" w:color="0563C1"/>
          </w:rPr>
          <w:t>https://doi.org/10.1016/S0378</w:t>
        </w:r>
      </w:hyperlink>
      <w:hyperlink r:id="rId74">
        <w:r>
          <w:rPr>
            <w:color w:val="0563C1"/>
            <w:u w:val="single" w:color="0563C1"/>
          </w:rPr>
          <w:t>-</w:t>
        </w:r>
      </w:hyperlink>
      <w:hyperlink r:id="rId75">
        <w:r>
          <w:rPr>
            <w:color w:val="0563C1"/>
            <w:u w:val="single" w:color="0563C1"/>
          </w:rPr>
          <w:t>8741(98)00142</w:t>
        </w:r>
      </w:hyperlink>
      <w:hyperlink r:id="rId76">
        <w:r>
          <w:rPr>
            <w:color w:val="0563C1"/>
            <w:u w:val="single" w:color="0563C1"/>
          </w:rPr>
          <w:t>-</w:t>
        </w:r>
      </w:hyperlink>
      <w:hyperlink r:id="rId77">
        <w:r>
          <w:rPr>
            <w:color w:val="0563C1"/>
            <w:u w:val="single" w:color="0563C1"/>
          </w:rPr>
          <w:t>5</w:t>
        </w:r>
      </w:hyperlink>
      <w:hyperlink r:id="rId78">
        <w:r>
          <w:t xml:space="preserve"> </w:t>
        </w:r>
      </w:hyperlink>
    </w:p>
    <w:p w14:paraId="521C278E" w14:textId="77777777" w:rsidR="00634D60" w:rsidRDefault="00FD5CBC" w:rsidP="003764D1">
      <w:r>
        <w:rPr>
          <w:color w:val="231F20"/>
        </w:rPr>
        <w:t xml:space="preserve">Djaha, A., N’da, A., Hala, N., Edo, K., &amp; </w:t>
      </w:r>
      <w:proofErr w:type="spellStart"/>
      <w:r>
        <w:rPr>
          <w:color w:val="231F20"/>
        </w:rPr>
        <w:t>N’guessan</w:t>
      </w:r>
      <w:proofErr w:type="spellEnd"/>
      <w:r>
        <w:rPr>
          <w:color w:val="231F20"/>
        </w:rPr>
        <w:t xml:space="preserve">, A. (2008). </w:t>
      </w:r>
      <w:r>
        <w:rPr>
          <w:i/>
        </w:rPr>
        <w:t xml:space="preserve">Growing cashew trees in Côte d’Ivoire. Technical data sheet, CNRA/CTA, 4 p. </w:t>
      </w:r>
    </w:p>
    <w:p w14:paraId="1D264708" w14:textId="77777777" w:rsidR="00634D60" w:rsidRDefault="00FD5CBC" w:rsidP="003764D1">
      <w:r>
        <w:t xml:space="preserve">FAO, 2002. FAO database 2002. http://faostat.fao.org. Accessed November 5, 2012.  </w:t>
      </w:r>
    </w:p>
    <w:p w14:paraId="607FCC94" w14:textId="77777777" w:rsidR="00634D60" w:rsidRPr="003764D1" w:rsidRDefault="00FD5CBC" w:rsidP="003764D1">
      <w:r>
        <w:t xml:space="preserve"> Feng, R., Isman, M. B., &amp; Bravo, J. (2012). Plant essential oils: New perspectives in pest control. </w:t>
      </w:r>
      <w:r>
        <w:rPr>
          <w:i/>
        </w:rPr>
        <w:t>Journal of Agricultural and Food Chemistry,</w:t>
      </w:r>
      <w:r>
        <w:t xml:space="preserve"> 60(44), 11361–11368. </w:t>
      </w:r>
      <w:hyperlink r:id="rId79">
        <w:r w:rsidRPr="003764D1">
          <w:rPr>
            <w:color w:val="0563C1"/>
            <w:u w:val="single" w:color="0563C1"/>
          </w:rPr>
          <w:t>https://doi.org/10.1021/jf302388g</w:t>
        </w:r>
      </w:hyperlink>
      <w:hyperlink r:id="rId80">
        <w:r w:rsidRPr="003764D1">
          <w:t xml:space="preserve"> </w:t>
        </w:r>
      </w:hyperlink>
    </w:p>
    <w:p w14:paraId="21D83F55" w14:textId="77777777" w:rsidR="00634D60" w:rsidRDefault="00FD5CBC" w:rsidP="003764D1">
      <w:r w:rsidRPr="003764D1">
        <w:t xml:space="preserve">Goujon, P., Lefebvre, A., </w:t>
      </w:r>
      <w:proofErr w:type="spellStart"/>
      <w:r w:rsidRPr="003764D1">
        <w:t>Leturcq</w:t>
      </w:r>
      <w:proofErr w:type="spellEnd"/>
      <w:r w:rsidRPr="003764D1">
        <w:t xml:space="preserve">, P., </w:t>
      </w:r>
      <w:proofErr w:type="spellStart"/>
      <w:r w:rsidRPr="003764D1">
        <w:t>Marcellesi</w:t>
      </w:r>
      <w:proofErr w:type="spellEnd"/>
      <w:r w:rsidRPr="003764D1">
        <w:t xml:space="preserve">, A., </w:t>
      </w:r>
      <w:proofErr w:type="spellStart"/>
      <w:r w:rsidRPr="003764D1">
        <w:t>Pralo</w:t>
      </w:r>
      <w:proofErr w:type="spellEnd"/>
      <w:r w:rsidRPr="003764D1">
        <w:t xml:space="preserve"> Ran, J., 1973. </w:t>
      </w:r>
      <w:r>
        <w:t xml:space="preserve">Studies on the cashew tree. Ecological regions favorable to cashew cultivation in French-speaking West Africa. Fruits 28, 217-225.  </w:t>
      </w:r>
    </w:p>
    <w:p w14:paraId="00025322" w14:textId="77777777" w:rsidR="00634D60" w:rsidRDefault="00FD5CBC" w:rsidP="003764D1">
      <w:r>
        <w:t xml:space="preserve">Huang, Y., Tan, J. M. W., Kini, R. M., Ho, S. H. (2007). Toxic and repellent effects of plant extracts on the cigarette beetle, </w:t>
      </w:r>
      <w:r>
        <w:rPr>
          <w:i/>
        </w:rPr>
        <w:t xml:space="preserve">Lasioderma serricorne </w:t>
      </w:r>
      <w:r>
        <w:t xml:space="preserve">(F.). </w:t>
      </w:r>
      <w:r>
        <w:rPr>
          <w:i/>
        </w:rPr>
        <w:t xml:space="preserve">Journal of Stored </w:t>
      </w:r>
    </w:p>
    <w:p w14:paraId="743BFC1E" w14:textId="77777777" w:rsidR="00634D60" w:rsidRDefault="00FD5CBC" w:rsidP="003764D1">
      <w:r>
        <w:rPr>
          <w:i/>
        </w:rPr>
        <w:lastRenderedPageBreak/>
        <w:t xml:space="preserve">Products </w:t>
      </w:r>
      <w:r>
        <w:rPr>
          <w:i/>
        </w:rPr>
        <w:tab/>
        <w:t>Research,</w:t>
      </w:r>
      <w:r>
        <w:t xml:space="preserve"> </w:t>
      </w:r>
      <w:r>
        <w:tab/>
        <w:t xml:space="preserve">33(4), </w:t>
      </w:r>
      <w:r>
        <w:tab/>
        <w:t xml:space="preserve">317–321. </w:t>
      </w:r>
      <w:r>
        <w:tab/>
      </w:r>
      <w:hyperlink r:id="rId81">
        <w:r>
          <w:rPr>
            <w:color w:val="0563C1"/>
            <w:u w:val="single" w:color="0563C1"/>
          </w:rPr>
          <w:t>https://doi.org/10.1016/S0022</w:t>
        </w:r>
      </w:hyperlink>
      <w:hyperlink r:id="rId82"/>
      <w:hyperlink r:id="rId83">
        <w:r>
          <w:rPr>
            <w:color w:val="0563C1"/>
            <w:u w:val="single" w:color="0563C1"/>
          </w:rPr>
          <w:t>474X(97)00010</w:t>
        </w:r>
      </w:hyperlink>
      <w:hyperlink r:id="rId84">
        <w:r>
          <w:rPr>
            <w:color w:val="0563C1"/>
            <w:u w:val="single" w:color="0563C1"/>
          </w:rPr>
          <w:t>-</w:t>
        </w:r>
      </w:hyperlink>
      <w:hyperlink r:id="rId85">
        <w:r>
          <w:rPr>
            <w:color w:val="0563C1"/>
            <w:u w:val="single" w:color="0563C1"/>
          </w:rPr>
          <w:t>3</w:t>
        </w:r>
      </w:hyperlink>
      <w:hyperlink r:id="rId86">
        <w:r>
          <w:t xml:space="preserve"> </w:t>
        </w:r>
      </w:hyperlink>
    </w:p>
    <w:p w14:paraId="3C43F0A7" w14:textId="77777777" w:rsidR="00634D60" w:rsidRDefault="00FD5CBC" w:rsidP="003764D1">
      <w:r>
        <w:t xml:space="preserve">Isman, M. B. (2006). Botanical insecticides, deterrents, and repellents in modern agriculture and an increasingly regulated world. </w:t>
      </w:r>
      <w:r>
        <w:rPr>
          <w:i/>
        </w:rPr>
        <w:t>Annual Review of Entomology, 51</w:t>
      </w:r>
      <w:r>
        <w:t xml:space="preserve">, 45–66. </w:t>
      </w:r>
      <w:hyperlink r:id="rId87">
        <w:r>
          <w:rPr>
            <w:color w:val="0563C1"/>
            <w:u w:val="single" w:color="0563C1"/>
          </w:rPr>
          <w:t>https://doi.org/10.1146/annurev.ento.51.110104.151146</w:t>
        </w:r>
      </w:hyperlink>
      <w:hyperlink r:id="rId88">
        <w:r>
          <w:t xml:space="preserve"> </w:t>
        </w:r>
      </w:hyperlink>
    </w:p>
    <w:p w14:paraId="157411B5" w14:textId="77777777" w:rsidR="00634D60" w:rsidRDefault="00FD5CBC" w:rsidP="003764D1">
      <w:r>
        <w:t xml:space="preserve">Kolani, L., </w:t>
      </w:r>
      <w:proofErr w:type="spellStart"/>
      <w:r>
        <w:t>Azoma</w:t>
      </w:r>
      <w:proofErr w:type="spellEnd"/>
      <w:r>
        <w:t xml:space="preserve">, K., &amp; </w:t>
      </w:r>
      <w:proofErr w:type="spellStart"/>
      <w:r>
        <w:t>Batawila</w:t>
      </w:r>
      <w:proofErr w:type="spellEnd"/>
      <w:r>
        <w:t xml:space="preserve">, K. (2016). Insecticidal activity of aqueous extracts of medicinal plants on </w:t>
      </w:r>
      <w:r>
        <w:rPr>
          <w:i/>
        </w:rPr>
        <w:t xml:space="preserve">Aedes aegypti </w:t>
      </w:r>
      <w:r>
        <w:t xml:space="preserve">larvae. </w:t>
      </w:r>
      <w:r>
        <w:rPr>
          <w:i/>
        </w:rPr>
        <w:t>International Journal of Biological and Chemical Sciences</w:t>
      </w:r>
      <w:r>
        <w:t xml:space="preserve">, 10(2), 764–774. </w:t>
      </w:r>
      <w:hyperlink r:id="rId89">
        <w:r>
          <w:rPr>
            <w:color w:val="0563C1"/>
            <w:u w:val="single" w:color="0563C1"/>
          </w:rPr>
          <w:t>https://doi.org/10.4314/ijbcs.v10i2.30</w:t>
        </w:r>
      </w:hyperlink>
      <w:hyperlink r:id="rId90">
        <w:r>
          <w:t xml:space="preserve"> </w:t>
        </w:r>
      </w:hyperlink>
    </w:p>
    <w:p w14:paraId="20D81AD5" w14:textId="77777777" w:rsidR="00634D60" w:rsidRDefault="00FD5CBC" w:rsidP="003764D1">
      <w:r>
        <w:t xml:space="preserve">Koul, O., &amp; Wahab, S. (Eds.). (2004). </w:t>
      </w:r>
      <w:r>
        <w:rPr>
          <w:i/>
        </w:rPr>
        <w:t>Neem: Today and in the new millennium</w:t>
      </w:r>
      <w:r>
        <w:t xml:space="preserve">. Kluwer Academic Publishers. </w:t>
      </w:r>
      <w:hyperlink r:id="rId91">
        <w:r>
          <w:rPr>
            <w:color w:val="0563C1"/>
            <w:u w:val="single" w:color="0563C1"/>
          </w:rPr>
          <w:t>https://doi.org/10.1007/978</w:t>
        </w:r>
      </w:hyperlink>
      <w:hyperlink r:id="rId92">
        <w:r>
          <w:rPr>
            <w:color w:val="0563C1"/>
            <w:u w:val="single" w:color="0563C1"/>
          </w:rPr>
          <w:t>-</w:t>
        </w:r>
      </w:hyperlink>
      <w:hyperlink r:id="rId93">
        <w:r>
          <w:rPr>
            <w:color w:val="0563C1"/>
            <w:u w:val="single" w:color="0563C1"/>
          </w:rPr>
          <w:t>94</w:t>
        </w:r>
      </w:hyperlink>
      <w:hyperlink r:id="rId94">
        <w:r>
          <w:rPr>
            <w:color w:val="0563C1"/>
            <w:u w:val="single" w:color="0563C1"/>
          </w:rPr>
          <w:t>-</w:t>
        </w:r>
      </w:hyperlink>
      <w:hyperlink r:id="rId95">
        <w:r>
          <w:rPr>
            <w:color w:val="0563C1"/>
            <w:u w:val="single" w:color="0563C1"/>
          </w:rPr>
          <w:t>007</w:t>
        </w:r>
      </w:hyperlink>
      <w:hyperlink r:id="rId96">
        <w:r>
          <w:rPr>
            <w:color w:val="0563C1"/>
            <w:u w:val="single" w:color="0563C1"/>
          </w:rPr>
          <w:t>-</w:t>
        </w:r>
      </w:hyperlink>
      <w:hyperlink r:id="rId97">
        <w:r>
          <w:rPr>
            <w:color w:val="0563C1"/>
            <w:u w:val="single" w:color="0563C1"/>
          </w:rPr>
          <w:t>0884</w:t>
        </w:r>
      </w:hyperlink>
      <w:hyperlink r:id="rId98">
        <w:r>
          <w:rPr>
            <w:color w:val="0563C1"/>
            <w:u w:val="single" w:color="0563C1"/>
          </w:rPr>
          <w:t>-</w:t>
        </w:r>
      </w:hyperlink>
      <w:hyperlink r:id="rId99">
        <w:r>
          <w:rPr>
            <w:color w:val="0563C1"/>
            <w:u w:val="single" w:color="0563C1"/>
          </w:rPr>
          <w:t>6</w:t>
        </w:r>
      </w:hyperlink>
      <w:hyperlink r:id="rId100">
        <w:r>
          <w:t xml:space="preserve"> </w:t>
        </w:r>
      </w:hyperlink>
    </w:p>
    <w:p w14:paraId="1D8A1B32" w14:textId="77777777" w:rsidR="00634D60" w:rsidRDefault="00FD5CBC" w:rsidP="003764D1">
      <w:r>
        <w:t xml:space="preserve">Laba, T. N., Djiba, S., Ndiaye, M., &amp; Diop, A. (2012). Insecticidal efficacy of local plant extracts on </w:t>
      </w:r>
      <w:r>
        <w:rPr>
          <w:i/>
        </w:rPr>
        <w:t xml:space="preserve">Plutella xylostella </w:t>
      </w:r>
      <w:r>
        <w:t xml:space="preserve">L. (Lepidoptera: Plutellidae) in Senegal. </w:t>
      </w:r>
      <w:r>
        <w:rPr>
          <w:i/>
        </w:rPr>
        <w:t>International Journal of Biological and Chemical Sciences</w:t>
      </w:r>
      <w:r>
        <w:t xml:space="preserve">, 6(3), 1083–1092. </w:t>
      </w:r>
      <w:hyperlink r:id="rId101">
        <w:r>
          <w:rPr>
            <w:color w:val="0563C1"/>
            <w:u w:val="single" w:color="0563C1"/>
          </w:rPr>
          <w:t>https://doi.org/10.4314/ijbcs.v6i3.29</w:t>
        </w:r>
      </w:hyperlink>
      <w:hyperlink r:id="rId102">
        <w:r>
          <w:t xml:space="preserve"> </w:t>
        </w:r>
      </w:hyperlink>
    </w:p>
    <w:p w14:paraId="56422162" w14:textId="77777777" w:rsidR="00634D60" w:rsidRPr="00BA7A03" w:rsidRDefault="00FD5CBC" w:rsidP="003764D1">
      <w:pPr>
        <w:rPr>
          <w:lang w:val="fr-FR"/>
        </w:rPr>
      </w:pPr>
      <w:r>
        <w:t xml:space="preserve">Liang, G. M., Chen, W., Liu, T. X. (2003). Effects of neem seed kernel extracts on the growth and development of </w:t>
      </w:r>
      <w:r>
        <w:rPr>
          <w:i/>
        </w:rPr>
        <w:t xml:space="preserve">Plutella xylostella </w:t>
      </w:r>
      <w:r>
        <w:t xml:space="preserve">(L.) larvae. </w:t>
      </w:r>
      <w:proofErr w:type="spellStart"/>
      <w:r w:rsidRPr="00BA7A03">
        <w:rPr>
          <w:i/>
          <w:lang w:val="fr-FR"/>
        </w:rPr>
        <w:t>Crop</w:t>
      </w:r>
      <w:proofErr w:type="spellEnd"/>
      <w:r w:rsidRPr="00BA7A03">
        <w:rPr>
          <w:i/>
          <w:lang w:val="fr-FR"/>
        </w:rPr>
        <w:t xml:space="preserve"> Protection</w:t>
      </w:r>
      <w:r w:rsidRPr="00BA7A03">
        <w:rPr>
          <w:lang w:val="fr-FR"/>
        </w:rPr>
        <w:t xml:space="preserve">, 22(1), </w:t>
      </w:r>
    </w:p>
    <w:p w14:paraId="42078CBC" w14:textId="77777777" w:rsidR="00634D60" w:rsidRPr="00BA7A03" w:rsidRDefault="00FD5CBC" w:rsidP="003764D1">
      <w:pPr>
        <w:rPr>
          <w:lang w:val="fr-FR"/>
        </w:rPr>
      </w:pPr>
      <w:r w:rsidRPr="00BA7A03">
        <w:rPr>
          <w:lang w:val="fr-FR"/>
        </w:rPr>
        <w:t xml:space="preserve">15–20. </w:t>
      </w:r>
      <w:hyperlink r:id="rId103">
        <w:r w:rsidRPr="00BA7A03">
          <w:rPr>
            <w:color w:val="0563C1"/>
            <w:u w:val="single" w:color="0563C1"/>
            <w:lang w:val="fr-FR"/>
          </w:rPr>
          <w:t>https://doi.org/10.1016/S0261</w:t>
        </w:r>
      </w:hyperlink>
      <w:hyperlink r:id="rId104">
        <w:r w:rsidRPr="00BA7A03">
          <w:rPr>
            <w:color w:val="0563C1"/>
            <w:u w:val="single" w:color="0563C1"/>
            <w:lang w:val="fr-FR"/>
          </w:rPr>
          <w:t>-</w:t>
        </w:r>
      </w:hyperlink>
      <w:hyperlink r:id="rId105">
        <w:r w:rsidRPr="00BA7A03">
          <w:rPr>
            <w:color w:val="0563C1"/>
            <w:u w:val="single" w:color="0563C1"/>
            <w:lang w:val="fr-FR"/>
          </w:rPr>
          <w:t>2194(02)00098</w:t>
        </w:r>
      </w:hyperlink>
      <w:hyperlink r:id="rId106">
        <w:r w:rsidRPr="00BA7A03">
          <w:rPr>
            <w:color w:val="0563C1"/>
            <w:u w:val="single" w:color="0563C1"/>
            <w:lang w:val="fr-FR"/>
          </w:rPr>
          <w:t>-</w:t>
        </w:r>
      </w:hyperlink>
      <w:hyperlink r:id="rId107">
        <w:r w:rsidRPr="00BA7A03">
          <w:rPr>
            <w:color w:val="0563C1"/>
            <w:u w:val="single" w:color="0563C1"/>
            <w:lang w:val="fr-FR"/>
          </w:rPr>
          <w:t>7</w:t>
        </w:r>
      </w:hyperlink>
      <w:hyperlink r:id="rId108">
        <w:r w:rsidRPr="00BA7A03">
          <w:rPr>
            <w:lang w:val="fr-FR"/>
          </w:rPr>
          <w:t xml:space="preserve"> </w:t>
        </w:r>
      </w:hyperlink>
    </w:p>
    <w:p w14:paraId="36AEE3DC" w14:textId="77777777" w:rsidR="00634D60" w:rsidRDefault="00FD5CBC" w:rsidP="003764D1">
      <w:r w:rsidRPr="00BA7A03">
        <w:rPr>
          <w:lang w:val="fr-FR"/>
        </w:rPr>
        <w:t xml:space="preserve">Liu, Z. L., Chu, S. S., &amp; Jiang, G. H. (2007). </w:t>
      </w:r>
      <w:r>
        <w:t xml:space="preserve">Insecticidal activity and chemical composition of the essential oil of </w:t>
      </w:r>
      <w:r>
        <w:rPr>
          <w:i/>
        </w:rPr>
        <w:t xml:space="preserve">Valeriana </w:t>
      </w:r>
      <w:proofErr w:type="spellStart"/>
      <w:r>
        <w:rPr>
          <w:i/>
        </w:rPr>
        <w:t>jatamansi</w:t>
      </w:r>
      <w:proofErr w:type="spellEnd"/>
      <w:r>
        <w:rPr>
          <w:i/>
        </w:rPr>
        <w:t xml:space="preserve"> </w:t>
      </w:r>
      <w:r>
        <w:t xml:space="preserve">Jones from China. </w:t>
      </w:r>
      <w:r>
        <w:rPr>
          <w:i/>
        </w:rPr>
        <w:t>Natural Product Communications</w:t>
      </w:r>
      <w:r>
        <w:t xml:space="preserve">, 2(4), 381–384. </w:t>
      </w:r>
    </w:p>
    <w:p w14:paraId="6E684769" w14:textId="77777777" w:rsidR="00634D60" w:rsidRDefault="00FD5CBC" w:rsidP="003764D1">
      <w:r>
        <w:t xml:space="preserve">McDonald, L. L., Guy, R. H., &amp; Speirs, R. D. (1970). Preliminary evaluation of new candidate materials as toxicants, repellents and attractants against stored-product insects. </w:t>
      </w:r>
      <w:r>
        <w:rPr>
          <w:i/>
        </w:rPr>
        <w:t>Marketing Research Report</w:t>
      </w:r>
      <w:r>
        <w:t xml:space="preserve">, 882, U.S. Department of Agriculture. </w:t>
      </w:r>
    </w:p>
    <w:p w14:paraId="318874D7" w14:textId="77777777" w:rsidR="00634D60" w:rsidRDefault="00FD5CBC" w:rsidP="003764D1">
      <w:r>
        <w:t xml:space="preserve">Nadio, S., </w:t>
      </w:r>
      <w:proofErr w:type="spellStart"/>
      <w:r>
        <w:t>Badii</w:t>
      </w:r>
      <w:proofErr w:type="spellEnd"/>
      <w:r>
        <w:t xml:space="preserve">, K., &amp; Douamba, Z. (2015). Insecticidal effect of local plants against </w:t>
      </w:r>
      <w:r>
        <w:rPr>
          <w:i/>
        </w:rPr>
        <w:t xml:space="preserve">Dysdercus volkeri </w:t>
      </w:r>
      <w:r>
        <w:t xml:space="preserve">Schmidt (Heteroptera: Pyrrhocoridae), a cotton pest in Burkina Faso. </w:t>
      </w:r>
      <w:r>
        <w:rPr>
          <w:i/>
        </w:rPr>
        <w:t>Journal of Applied Biosciences</w:t>
      </w:r>
      <w:r>
        <w:t xml:space="preserve">, 87, 8055–8063. </w:t>
      </w:r>
    </w:p>
    <w:p w14:paraId="5AF732F2" w14:textId="77777777" w:rsidR="00634D60" w:rsidRDefault="00FD5CBC" w:rsidP="003764D1">
      <w:r>
        <w:t xml:space="preserve">Pavela, R., &amp; Benelli, G. (2016). Essential oils as ecofriendly biopesticides? Challenges and constraints. </w:t>
      </w:r>
      <w:r>
        <w:rPr>
          <w:i/>
        </w:rPr>
        <w:t>Trends in Plant Science, 21</w:t>
      </w:r>
      <w:r>
        <w:t xml:space="preserve">(12), 1000–1007. </w:t>
      </w:r>
      <w:hyperlink r:id="rId109">
        <w:r>
          <w:rPr>
            <w:color w:val="0563C1"/>
            <w:u w:val="single" w:color="0563C1"/>
          </w:rPr>
          <w:t>https://doi.org/10.1016/j.tplants.2016.10.005</w:t>
        </w:r>
      </w:hyperlink>
      <w:hyperlink r:id="rId110">
        <w:r>
          <w:t xml:space="preserve"> </w:t>
        </w:r>
      </w:hyperlink>
    </w:p>
    <w:p w14:paraId="586A5BC2" w14:textId="77777777" w:rsidR="00634D60" w:rsidRDefault="00FD5CBC" w:rsidP="003764D1">
      <w:r>
        <w:t xml:space="preserve">Regnault-Roger, C., Vincent, C., &amp; Arnason, J. T. (2012). </w:t>
      </w:r>
      <w:r>
        <w:rPr>
          <w:i/>
        </w:rPr>
        <w:t xml:space="preserve">Essential oils in insect control: </w:t>
      </w:r>
    </w:p>
    <w:p w14:paraId="034F0642" w14:textId="77777777" w:rsidR="00634D60" w:rsidRDefault="00FD5CBC" w:rsidP="003764D1">
      <w:r>
        <w:rPr>
          <w:i/>
        </w:rPr>
        <w:t>Low-risk products in a high-stakes world</w:t>
      </w:r>
      <w:r>
        <w:t>. Annual Review of Entomology, 57, 405–</w:t>
      </w:r>
    </w:p>
    <w:p w14:paraId="09AFD138" w14:textId="77777777" w:rsidR="00634D60" w:rsidRDefault="00FD5CBC" w:rsidP="003764D1">
      <w:r>
        <w:t xml:space="preserve">424. </w:t>
      </w:r>
      <w:hyperlink r:id="rId111">
        <w:r>
          <w:rPr>
            <w:color w:val="0563C1"/>
            <w:u w:val="single" w:color="0563C1"/>
          </w:rPr>
          <w:t>https://doi.org/10.1146/annurev</w:t>
        </w:r>
      </w:hyperlink>
      <w:hyperlink r:id="rId112">
        <w:r>
          <w:rPr>
            <w:color w:val="0563C1"/>
            <w:u w:val="single" w:color="0563C1"/>
          </w:rPr>
          <w:t>-</w:t>
        </w:r>
      </w:hyperlink>
      <w:hyperlink r:id="rId113">
        <w:r>
          <w:rPr>
            <w:color w:val="0563C1"/>
            <w:u w:val="single" w:color="0563C1"/>
          </w:rPr>
          <w:t>ento</w:t>
        </w:r>
      </w:hyperlink>
      <w:hyperlink r:id="rId114">
        <w:r>
          <w:rPr>
            <w:color w:val="0563C1"/>
            <w:u w:val="single" w:color="0563C1"/>
          </w:rPr>
          <w:t>-</w:t>
        </w:r>
      </w:hyperlink>
      <w:hyperlink r:id="rId115">
        <w:r>
          <w:rPr>
            <w:color w:val="0563C1"/>
            <w:u w:val="single" w:color="0563C1"/>
          </w:rPr>
          <w:t>120710</w:t>
        </w:r>
      </w:hyperlink>
      <w:hyperlink r:id="rId116">
        <w:r>
          <w:rPr>
            <w:color w:val="0563C1"/>
            <w:u w:val="single" w:color="0563C1"/>
          </w:rPr>
          <w:t>-</w:t>
        </w:r>
      </w:hyperlink>
      <w:hyperlink r:id="rId117">
        <w:r>
          <w:rPr>
            <w:color w:val="0563C1"/>
            <w:u w:val="single" w:color="0563C1"/>
          </w:rPr>
          <w:t>100554</w:t>
        </w:r>
      </w:hyperlink>
      <w:hyperlink r:id="rId118">
        <w:r>
          <w:t xml:space="preserve"> </w:t>
        </w:r>
      </w:hyperlink>
    </w:p>
    <w:p w14:paraId="38FA1083" w14:textId="77777777" w:rsidR="00634D60" w:rsidRPr="00BA7A03" w:rsidRDefault="00FD5CBC" w:rsidP="003764D1">
      <w:pPr>
        <w:rPr>
          <w:lang w:val="fr-FR"/>
        </w:rPr>
      </w:pPr>
      <w:proofErr w:type="spellStart"/>
      <w:r w:rsidRPr="00BA7A03">
        <w:rPr>
          <w:lang w:val="fr-FR"/>
        </w:rPr>
        <w:t>Sanda</w:t>
      </w:r>
      <w:proofErr w:type="spellEnd"/>
      <w:r w:rsidRPr="00BA7A03">
        <w:rPr>
          <w:lang w:val="fr-FR"/>
        </w:rPr>
        <w:t xml:space="preserve">, K., Amadou, L., &amp; </w:t>
      </w:r>
      <w:proofErr w:type="spellStart"/>
      <w:r w:rsidRPr="00BA7A03">
        <w:rPr>
          <w:lang w:val="fr-FR"/>
        </w:rPr>
        <w:t>Baoua</w:t>
      </w:r>
      <w:proofErr w:type="spellEnd"/>
      <w:r w:rsidRPr="00BA7A03">
        <w:rPr>
          <w:lang w:val="fr-FR"/>
        </w:rPr>
        <w:t xml:space="preserve">, I. B. (2006). </w:t>
      </w:r>
      <w:r>
        <w:t xml:space="preserve">Insecticidal effects of some plant extracts on </w:t>
      </w:r>
      <w:r>
        <w:rPr>
          <w:i/>
        </w:rPr>
        <w:t xml:space="preserve">Plutella xylostella </w:t>
      </w:r>
      <w:r>
        <w:t xml:space="preserve">(L.) (Lepidoptera: </w:t>
      </w:r>
      <w:proofErr w:type="spellStart"/>
      <w:r>
        <w:t>Yponomeutidae</w:t>
      </w:r>
      <w:proofErr w:type="spellEnd"/>
      <w:r>
        <w:t xml:space="preserve">), a pest of cabbage s in Niger. </w:t>
      </w:r>
      <w:r w:rsidRPr="00BA7A03">
        <w:rPr>
          <w:i/>
          <w:lang w:val="fr-FR"/>
        </w:rPr>
        <w:t>Science et Technique, Sciences Naturelles et Agronomie,</w:t>
      </w:r>
      <w:r w:rsidRPr="00BA7A03">
        <w:rPr>
          <w:lang w:val="fr-FR"/>
        </w:rPr>
        <w:t xml:space="preserve"> 29(1–2), 41–48. </w:t>
      </w:r>
    </w:p>
    <w:p w14:paraId="6C5840C7" w14:textId="77777777" w:rsidR="00634D60" w:rsidRDefault="00FD5CBC" w:rsidP="003764D1">
      <w:proofErr w:type="spellStart"/>
      <w:r w:rsidRPr="00BA7A03">
        <w:rPr>
          <w:lang w:val="fr-FR"/>
        </w:rPr>
        <w:t>Yabi</w:t>
      </w:r>
      <w:proofErr w:type="spellEnd"/>
      <w:r w:rsidRPr="00BA7A03">
        <w:rPr>
          <w:lang w:val="fr-FR"/>
        </w:rPr>
        <w:t xml:space="preserve"> I., </w:t>
      </w:r>
      <w:proofErr w:type="spellStart"/>
      <w:r w:rsidRPr="00BA7A03">
        <w:rPr>
          <w:lang w:val="fr-FR"/>
        </w:rPr>
        <w:t>Yabi</w:t>
      </w:r>
      <w:proofErr w:type="spellEnd"/>
      <w:r w:rsidRPr="00BA7A03">
        <w:rPr>
          <w:lang w:val="fr-FR"/>
        </w:rPr>
        <w:t xml:space="preserve"> </w:t>
      </w:r>
      <w:proofErr w:type="spellStart"/>
      <w:r w:rsidRPr="00BA7A03">
        <w:rPr>
          <w:lang w:val="fr-FR"/>
        </w:rPr>
        <w:t>Biaou</w:t>
      </w:r>
      <w:proofErr w:type="spellEnd"/>
      <w:r w:rsidRPr="00BA7A03">
        <w:rPr>
          <w:lang w:val="fr-FR"/>
        </w:rPr>
        <w:t xml:space="preserve"> F., and S. </w:t>
      </w:r>
      <w:proofErr w:type="spellStart"/>
      <w:r w:rsidRPr="00BA7A03">
        <w:rPr>
          <w:lang w:val="fr-FR"/>
        </w:rPr>
        <w:t>Dadegnon</w:t>
      </w:r>
      <w:proofErr w:type="spellEnd"/>
      <w:r w:rsidRPr="00BA7A03">
        <w:rPr>
          <w:lang w:val="fr-FR"/>
        </w:rPr>
        <w:t xml:space="preserve">. </w:t>
      </w:r>
      <w:r>
        <w:t xml:space="preserve">2013. Diversity of plant species in cashew-based agroforests in the commune of </w:t>
      </w:r>
      <w:proofErr w:type="spellStart"/>
      <w:r>
        <w:t>Savalou</w:t>
      </w:r>
      <w:proofErr w:type="spellEnd"/>
      <w:r>
        <w:t xml:space="preserve">, Benin. Int. J. Biol. Chem. Sci. 7(2): 696– 706.  </w:t>
      </w:r>
    </w:p>
    <w:p w14:paraId="10BA02FD" w14:textId="77777777" w:rsidR="00634D60" w:rsidRDefault="00FD5CBC" w:rsidP="003764D1">
      <w:r>
        <w:t xml:space="preserve">Yaka, P. (2007). </w:t>
      </w:r>
      <w:r>
        <w:rPr>
          <w:i/>
        </w:rPr>
        <w:t xml:space="preserve">Insecticidal and repellent effects of certain plant extracts on storage pests in Togo </w:t>
      </w:r>
      <w:r>
        <w:t xml:space="preserve">(Master's thesis, University of Lomé). </w:t>
      </w:r>
    </w:p>
    <w:p w14:paraId="4B115E94" w14:textId="77777777" w:rsidR="00634D60" w:rsidRDefault="00FD5CBC" w:rsidP="003764D1">
      <w:r>
        <w:t xml:space="preserve"> </w:t>
      </w:r>
    </w:p>
    <w:sectPr w:rsidR="00634D60">
      <w:headerReference w:type="even" r:id="rId119"/>
      <w:headerReference w:type="default" r:id="rId120"/>
      <w:footerReference w:type="even" r:id="rId121"/>
      <w:footerReference w:type="default" r:id="rId122"/>
      <w:headerReference w:type="first" r:id="rId123"/>
      <w:footerReference w:type="first" r:id="rId124"/>
      <w:pgSz w:w="11906" w:h="16838"/>
      <w:pgMar w:top="1460" w:right="1236" w:bottom="1489" w:left="140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n AlSalihi" w:date="2025-11-06T15:15:00Z" w:initials="MA">
    <w:p w14:paraId="11FA77BC" w14:textId="61EE5AAD" w:rsidR="007D7CCD" w:rsidRDefault="007D7CCD">
      <w:pPr>
        <w:pStyle w:val="CommentText"/>
      </w:pPr>
      <w:r>
        <w:rPr>
          <w:rStyle w:val="CommentReference"/>
        </w:rPr>
        <w:annotationRef/>
      </w:r>
      <w:r w:rsidRPr="007D7CCD">
        <w:t>Delete and replace with</w:t>
      </w:r>
      <w:r>
        <w:t xml:space="preserve"> (to)</w:t>
      </w:r>
    </w:p>
  </w:comment>
  <w:comment w:id="1" w:author="Maan AlSalihi" w:date="2025-11-06T15:50:00Z" w:initials="MA">
    <w:p w14:paraId="16D8CB65" w14:textId="15ACF532" w:rsidR="00FB4BA3" w:rsidRDefault="00FB4BA3" w:rsidP="008C7E3B">
      <w:pPr>
        <w:pStyle w:val="CommentText"/>
      </w:pPr>
      <w:r>
        <w:rPr>
          <w:rStyle w:val="CommentReference"/>
        </w:rPr>
        <w:annotationRef/>
      </w:r>
      <w:r w:rsidRPr="00FB4BA3">
        <w:t>Delete and replace with</w:t>
      </w:r>
      <w:r>
        <w:t xml:space="preserve"> (</w:t>
      </w:r>
      <w:r w:rsidR="008C7E3B" w:rsidRPr="008C7E3B">
        <w:t>After preliminary tests of each oil and their combination, five concentrations of these oils and their equivalent volume mixture were selected and prepared, with four replicates per concentration.</w:t>
      </w:r>
      <w:r w:rsidR="008C7E3B">
        <w:t>)</w:t>
      </w:r>
    </w:p>
  </w:comment>
  <w:comment w:id="3" w:author="Maan AlSalihi" w:date="2025-11-06T15:18:00Z" w:initials="MA">
    <w:p w14:paraId="4521132D" w14:textId="7D4B9869" w:rsidR="000917ED" w:rsidRDefault="000917ED">
      <w:pPr>
        <w:pStyle w:val="CommentText"/>
      </w:pPr>
      <w:r>
        <w:rPr>
          <w:rStyle w:val="CommentReference"/>
        </w:rPr>
        <w:annotationRef/>
      </w:r>
      <w:r w:rsidRPr="000917ED">
        <w:t>Delete and replace with</w:t>
      </w:r>
      <w:r>
        <w:t xml:space="preserve"> (the d</w:t>
      </w:r>
    </w:p>
  </w:comment>
  <w:comment w:id="2" w:author="Maan AlSalihi" w:date="2025-11-06T15:53:00Z" w:initials="MA">
    <w:p w14:paraId="67824E3E" w14:textId="253BDC23" w:rsidR="00BC35D2" w:rsidRDefault="00BC35D2" w:rsidP="00ED19E9">
      <w:pPr>
        <w:pStyle w:val="CommentText"/>
      </w:pPr>
      <w:r>
        <w:rPr>
          <w:rStyle w:val="CommentReference"/>
        </w:rPr>
        <w:annotationRef/>
      </w:r>
      <w:r w:rsidRPr="00BC35D2">
        <w:t>Delete and replace with</w:t>
      </w:r>
      <w:r>
        <w:t xml:space="preserve"> (</w:t>
      </w:r>
      <w:bookmarkStart w:id="4" w:name="_Hlk213336799"/>
      <w:r w:rsidR="00ED19E9" w:rsidRPr="00ED19E9">
        <w:t xml:space="preserve">The insecticide tests were carried out by spraying the solutions directly onto the insects. The repellence test was conducted using the preferred area method on filter paper, followed by the determination of the percentage of </w:t>
      </w:r>
      <w:r w:rsidR="00ED19E9" w:rsidRPr="00ED19E9">
        <w:rPr>
          <w:i/>
        </w:rPr>
        <w:t xml:space="preserve">Cletus </w:t>
      </w:r>
      <w:r w:rsidR="00ED19E9" w:rsidRPr="00ED19E9">
        <w:t>present in the treated area.</w:t>
      </w:r>
      <w:bookmarkEnd w:id="4"/>
      <w:r w:rsidR="00ED19E9">
        <w:t>)</w:t>
      </w:r>
    </w:p>
  </w:comment>
  <w:comment w:id="5" w:author="Maan AlSalihi" w:date="2025-11-06T15:57:00Z" w:initials="MA">
    <w:p w14:paraId="4868AE36" w14:textId="369E4E5D" w:rsidR="00404289" w:rsidRDefault="00404289" w:rsidP="00404289">
      <w:pPr>
        <w:pStyle w:val="CommentText"/>
      </w:pPr>
      <w:r>
        <w:rPr>
          <w:rStyle w:val="CommentReference"/>
        </w:rPr>
        <w:annotationRef/>
      </w:r>
      <w:r w:rsidRPr="00404289">
        <w:t>Delete and replace with</w:t>
      </w:r>
      <w:r>
        <w:t xml:space="preserve"> (</w:t>
      </w:r>
      <w:r w:rsidRPr="00404289">
        <w:t xml:space="preserve">to curb deforestation and combat soil </w:t>
      </w:r>
      <w:proofErr w:type="gramStart"/>
      <w:r w:rsidRPr="00404289">
        <w:t xml:space="preserve">erosion </w:t>
      </w:r>
      <w:r>
        <w:t>)</w:t>
      </w:r>
      <w:proofErr w:type="gramEnd"/>
    </w:p>
  </w:comment>
  <w:comment w:id="6" w:author="Maan AlSalihi" w:date="2025-11-06T16:14:00Z" w:initials="MA">
    <w:p w14:paraId="644A479E" w14:textId="64758F1F" w:rsidR="00DE47B0" w:rsidRDefault="00DE47B0">
      <w:pPr>
        <w:pStyle w:val="CommentText"/>
      </w:pPr>
      <w:r>
        <w:rPr>
          <w:rStyle w:val="CommentReference"/>
        </w:rPr>
        <w:annotationRef/>
      </w:r>
      <w:r w:rsidRPr="00DE47B0">
        <w:t>Delete and replace with</w:t>
      </w:r>
      <w:r>
        <w:t xml:space="preserve"> (environment)</w:t>
      </w:r>
    </w:p>
  </w:comment>
  <w:comment w:id="7" w:author="Maan AlSalihi" w:date="2025-11-06T15:58:00Z" w:initials="MA">
    <w:p w14:paraId="0476AB1A" w14:textId="6B233A0F" w:rsidR="00922B17" w:rsidRDefault="00922B17">
      <w:pPr>
        <w:pStyle w:val="CommentText"/>
      </w:pPr>
      <w:r>
        <w:rPr>
          <w:rStyle w:val="CommentReference"/>
        </w:rPr>
        <w:annotationRef/>
      </w:r>
      <w:r w:rsidRPr="00922B17">
        <w:t>Delete and replace with</w:t>
      </w:r>
      <w:r>
        <w:t xml:space="preserve"> (</w:t>
      </w:r>
      <w:r w:rsidR="00111B57">
        <w:t>the ecological)</w:t>
      </w:r>
    </w:p>
  </w:comment>
  <w:comment w:id="8" w:author="Maan AlSalihi" w:date="2025-11-06T15:59:00Z" w:initials="MA">
    <w:p w14:paraId="185952DE" w14:textId="72C1ABDA" w:rsidR="00111B57" w:rsidRDefault="00111B57">
      <w:pPr>
        <w:pStyle w:val="CommentText"/>
      </w:pPr>
      <w:r>
        <w:rPr>
          <w:rStyle w:val="CommentReference"/>
        </w:rPr>
        <w:annotationRef/>
      </w:r>
      <w:r w:rsidRPr="00111B57">
        <w:t>Delete and replace with</w:t>
      </w:r>
      <w:r>
        <w:t xml:space="preserve"> (The collection)</w:t>
      </w:r>
    </w:p>
  </w:comment>
  <w:comment w:id="9" w:author="Maan AlSalihi" w:date="2025-11-06T16:00:00Z" w:initials="MA">
    <w:p w14:paraId="67830CC0" w14:textId="4F481130" w:rsidR="00CB54B6" w:rsidRDefault="00CB54B6">
      <w:pPr>
        <w:pStyle w:val="CommentText"/>
      </w:pPr>
      <w:r>
        <w:rPr>
          <w:rStyle w:val="CommentReference"/>
        </w:rPr>
        <w:annotationRef/>
      </w:r>
      <w:r w:rsidRPr="00CB54B6">
        <w:t>Delete and replace with</w:t>
      </w:r>
      <w:r>
        <w:t xml:space="preserve"> (a very)</w:t>
      </w:r>
    </w:p>
  </w:comment>
  <w:comment w:id="10" w:author="Maan AlSalihi" w:date="2025-11-06T16:01:00Z" w:initials="MA">
    <w:p w14:paraId="0F279BC8" w14:textId="11E88B4C" w:rsidR="003B4C80" w:rsidRDefault="003B4C80">
      <w:pPr>
        <w:pStyle w:val="CommentText"/>
      </w:pPr>
      <w:r>
        <w:rPr>
          <w:rStyle w:val="CommentReference"/>
        </w:rPr>
        <w:annotationRef/>
      </w:r>
      <w:r w:rsidRPr="003B4C80">
        <w:t>Delete and replace with</w:t>
      </w:r>
      <w:r>
        <w:t xml:space="preserve"> (Clevenger type)</w:t>
      </w:r>
    </w:p>
  </w:comment>
  <w:comment w:id="11" w:author="Maan AlSalihi" w:date="2025-11-06T16:02:00Z" w:initials="MA">
    <w:p w14:paraId="31829E99" w14:textId="403A0F10" w:rsidR="002E5593" w:rsidRDefault="002E5593">
      <w:pPr>
        <w:pStyle w:val="CommentText"/>
      </w:pPr>
      <w:r>
        <w:rPr>
          <w:rStyle w:val="CommentReference"/>
        </w:rPr>
        <w:annotationRef/>
      </w:r>
      <w:r w:rsidRPr="002E5593">
        <w:t>Delete and replace with</w:t>
      </w:r>
      <w:r>
        <w:t xml:space="preserve"> (was)</w:t>
      </w:r>
    </w:p>
  </w:comment>
  <w:comment w:id="12" w:author="Maan AlSalihi" w:date="2025-11-06T16:06:00Z" w:initials="MA">
    <w:p w14:paraId="1266F3C2" w14:textId="79D30FE6" w:rsidR="00D86C45" w:rsidRDefault="00D86C45">
      <w:pPr>
        <w:pStyle w:val="CommentText"/>
      </w:pPr>
      <w:r>
        <w:rPr>
          <w:rStyle w:val="CommentReference"/>
        </w:rPr>
        <w:annotationRef/>
      </w:r>
      <w:r w:rsidRPr="00D86C45">
        <w:t>Delete and replace with</w:t>
      </w:r>
      <w:r>
        <w:t xml:space="preserve"> (repellency)</w:t>
      </w:r>
    </w:p>
  </w:comment>
  <w:comment w:id="13" w:author="Maan AlSalihi" w:date="2025-11-06T16:04:00Z" w:initials="MA">
    <w:p w14:paraId="5C252D42" w14:textId="5857CDF7" w:rsidR="00D86C45" w:rsidRDefault="00D86C45">
      <w:pPr>
        <w:pStyle w:val="CommentText"/>
      </w:pPr>
      <w:r>
        <w:rPr>
          <w:rStyle w:val="CommentReference"/>
        </w:rPr>
        <w:annotationRef/>
      </w:r>
      <w:r w:rsidRPr="00D86C45">
        <w:t>Delete and replace with</w:t>
      </w:r>
      <w:r>
        <w:t xml:space="preserve"> (calculated)</w:t>
      </w:r>
    </w:p>
  </w:comment>
  <w:comment w:id="14" w:author="Maan AlSalihi" w:date="2025-11-06T16:05:00Z" w:initials="MA">
    <w:p w14:paraId="2C3654B0" w14:textId="500975D7" w:rsidR="00D86C45" w:rsidRDefault="00D86C45">
      <w:pPr>
        <w:pStyle w:val="CommentText"/>
      </w:pPr>
      <w:r>
        <w:rPr>
          <w:rStyle w:val="CommentReference"/>
        </w:rPr>
        <w:annotationRef/>
      </w:r>
      <w:r w:rsidRPr="00D86C45">
        <w:t>Delete and replace with</w:t>
      </w:r>
      <w:r>
        <w:t xml:space="preserve"> (using)</w:t>
      </w:r>
    </w:p>
  </w:comment>
  <w:comment w:id="15" w:author="Maan AlSalihi" w:date="2025-11-06T16:06:00Z" w:initials="MA">
    <w:p w14:paraId="3CC56189" w14:textId="2A39CE0E" w:rsidR="00DF7469" w:rsidRDefault="00DF7469">
      <w:pPr>
        <w:pStyle w:val="CommentText"/>
      </w:pPr>
      <w:r>
        <w:rPr>
          <w:rStyle w:val="CommentReference"/>
        </w:rPr>
        <w:annotationRef/>
      </w:r>
      <w:r w:rsidRPr="00DF7469">
        <w:t>Delete and replace with</w:t>
      </w:r>
      <w:r>
        <w:t xml:space="preserve"> (RP)</w:t>
      </w:r>
    </w:p>
  </w:comment>
  <w:comment w:id="16" w:author="Maan AlSalihi" w:date="2025-11-06T16:07:00Z" w:initials="MA">
    <w:p w14:paraId="2A799D83" w14:textId="5275B692" w:rsidR="00DF7469" w:rsidRPr="005951DA" w:rsidRDefault="00DF7469">
      <w:pPr>
        <w:pStyle w:val="CommentText"/>
      </w:pPr>
      <w:r>
        <w:rPr>
          <w:rStyle w:val="CommentReference"/>
        </w:rPr>
        <w:annotationRef/>
      </w:r>
      <w:r w:rsidRPr="00DF7469">
        <w:t>Delete and replace with</w:t>
      </w:r>
      <w:r>
        <w:t xml:space="preserve"> (</w:t>
      </w:r>
      <w:r w:rsidRPr="005951DA">
        <w:t>LC</w:t>
      </w:r>
      <w:r w:rsidR="005951DA">
        <w:t>50</w:t>
      </w:r>
      <w:r w:rsidR="005951DA" w:rsidRPr="005951DA">
        <w:t>s</w:t>
      </w:r>
      <w:r w:rsidR="005951DA">
        <w:t>)</w:t>
      </w:r>
    </w:p>
  </w:comment>
  <w:comment w:id="17" w:author="Maan AlSalihi" w:date="2025-11-06T16:09:00Z" w:initials="MA">
    <w:p w14:paraId="40A00A9F" w14:textId="2BD9389C" w:rsidR="00745478" w:rsidRDefault="00745478">
      <w:pPr>
        <w:pStyle w:val="CommentText"/>
      </w:pPr>
      <w:r>
        <w:rPr>
          <w:rStyle w:val="CommentReference"/>
        </w:rPr>
        <w:annotationRef/>
      </w:r>
      <w:r w:rsidRPr="00745478">
        <w:t>Delete and replace with</w:t>
      </w:r>
      <w:r>
        <w:t xml:space="preserve"> (mortality)</w:t>
      </w:r>
    </w:p>
  </w:comment>
  <w:comment w:id="18" w:author="Maan AlSalihi" w:date="2025-11-06T16:10:00Z" w:initials="MA">
    <w:p w14:paraId="6AE4882C" w14:textId="10149214" w:rsidR="00875D8B" w:rsidRDefault="00875D8B">
      <w:pPr>
        <w:pStyle w:val="CommentText"/>
      </w:pPr>
      <w:r>
        <w:rPr>
          <w:rStyle w:val="CommentReference"/>
        </w:rPr>
        <w:annotationRef/>
      </w:r>
      <w:r w:rsidRPr="00875D8B">
        <w:t>Delete and replace with</w:t>
      </w:r>
      <w:r>
        <w:t xml:space="preserve"> (mixture based)</w:t>
      </w:r>
    </w:p>
  </w:comment>
  <w:comment w:id="19" w:author="Maan AlSalihi" w:date="2025-11-06T16:12:00Z" w:initials="MA">
    <w:p w14:paraId="6214628A" w14:textId="21881E2A" w:rsidR="003A02BE" w:rsidRDefault="003A02BE">
      <w:pPr>
        <w:pStyle w:val="CommentText"/>
      </w:pPr>
      <w:r>
        <w:rPr>
          <w:rStyle w:val="CommentReference"/>
        </w:rPr>
        <w:annotationRef/>
      </w:r>
      <w:r w:rsidRPr="003A02BE">
        <w:t>Delete and replace with</w:t>
      </w:r>
      <w:r>
        <w:t xml:space="preserve"> (To find)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FA77BC" w15:done="0"/>
  <w15:commentEx w15:paraId="16D8CB65" w15:done="0"/>
  <w15:commentEx w15:paraId="4521132D" w15:done="0"/>
  <w15:commentEx w15:paraId="67824E3E" w15:done="0"/>
  <w15:commentEx w15:paraId="4868AE36" w15:done="0"/>
  <w15:commentEx w15:paraId="644A479E" w15:done="0"/>
  <w15:commentEx w15:paraId="0476AB1A" w15:done="0"/>
  <w15:commentEx w15:paraId="185952DE" w15:done="0"/>
  <w15:commentEx w15:paraId="67830CC0" w15:done="0"/>
  <w15:commentEx w15:paraId="0F279BC8" w15:done="0"/>
  <w15:commentEx w15:paraId="31829E99" w15:done="0"/>
  <w15:commentEx w15:paraId="1266F3C2" w15:done="0"/>
  <w15:commentEx w15:paraId="5C252D42" w15:done="0"/>
  <w15:commentEx w15:paraId="2C3654B0" w15:done="0"/>
  <w15:commentEx w15:paraId="3CC56189" w15:done="0"/>
  <w15:commentEx w15:paraId="2A799D83" w15:done="0"/>
  <w15:commentEx w15:paraId="40A00A9F" w15:done="0"/>
  <w15:commentEx w15:paraId="6AE4882C" w15:done="0"/>
  <w15:commentEx w15:paraId="621462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C36ABB" w16cex:dateUtc="2025-11-06T12:15:00Z"/>
  <w16cex:commentExtensible w16cex:durableId="1D9B47E9" w16cex:dateUtc="2025-11-06T12:50:00Z"/>
  <w16cex:commentExtensible w16cex:durableId="00221BDF" w16cex:dateUtc="2025-11-06T12:18:00Z"/>
  <w16cex:commentExtensible w16cex:durableId="48447BD9" w16cex:dateUtc="2025-11-06T12:53:00Z"/>
  <w16cex:commentExtensible w16cex:durableId="03046132" w16cex:dateUtc="2025-11-06T12:57:00Z"/>
  <w16cex:commentExtensible w16cex:durableId="791038F0" w16cex:dateUtc="2025-11-06T13:14:00Z"/>
  <w16cex:commentExtensible w16cex:durableId="6A5EF364" w16cex:dateUtc="2025-11-06T12:58:00Z"/>
  <w16cex:commentExtensible w16cex:durableId="6A9529FB" w16cex:dateUtc="2025-11-06T12:59:00Z"/>
  <w16cex:commentExtensible w16cex:durableId="43AE7D15" w16cex:dateUtc="2025-11-06T13:00:00Z"/>
  <w16cex:commentExtensible w16cex:durableId="433D1E62" w16cex:dateUtc="2025-11-06T13:01:00Z"/>
  <w16cex:commentExtensible w16cex:durableId="5E1CA0DB" w16cex:dateUtc="2025-11-06T13:02:00Z"/>
  <w16cex:commentExtensible w16cex:durableId="651C79A8" w16cex:dateUtc="2025-11-06T13:06:00Z"/>
  <w16cex:commentExtensible w16cex:durableId="7D3AE01A" w16cex:dateUtc="2025-11-06T13:04:00Z"/>
  <w16cex:commentExtensible w16cex:durableId="54391685" w16cex:dateUtc="2025-11-06T13:05:00Z"/>
  <w16cex:commentExtensible w16cex:durableId="7878DBF3" w16cex:dateUtc="2025-11-06T13:06:00Z"/>
  <w16cex:commentExtensible w16cex:durableId="204E76DA" w16cex:dateUtc="2025-11-06T13:07:00Z"/>
  <w16cex:commentExtensible w16cex:durableId="6724F7E8" w16cex:dateUtc="2025-11-06T13:09:00Z"/>
  <w16cex:commentExtensible w16cex:durableId="5CE94FEF" w16cex:dateUtc="2025-11-06T13:10:00Z"/>
  <w16cex:commentExtensible w16cex:durableId="5247F9B9" w16cex:dateUtc="2025-11-06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FA77BC" w16cid:durableId="66C36ABB"/>
  <w16cid:commentId w16cid:paraId="16D8CB65" w16cid:durableId="1D9B47E9"/>
  <w16cid:commentId w16cid:paraId="4521132D" w16cid:durableId="00221BDF"/>
  <w16cid:commentId w16cid:paraId="67824E3E" w16cid:durableId="48447BD9"/>
  <w16cid:commentId w16cid:paraId="4868AE36" w16cid:durableId="03046132"/>
  <w16cid:commentId w16cid:paraId="644A479E" w16cid:durableId="791038F0"/>
  <w16cid:commentId w16cid:paraId="0476AB1A" w16cid:durableId="6A5EF364"/>
  <w16cid:commentId w16cid:paraId="185952DE" w16cid:durableId="6A9529FB"/>
  <w16cid:commentId w16cid:paraId="67830CC0" w16cid:durableId="43AE7D15"/>
  <w16cid:commentId w16cid:paraId="0F279BC8" w16cid:durableId="433D1E62"/>
  <w16cid:commentId w16cid:paraId="31829E99" w16cid:durableId="5E1CA0DB"/>
  <w16cid:commentId w16cid:paraId="1266F3C2" w16cid:durableId="651C79A8"/>
  <w16cid:commentId w16cid:paraId="5C252D42" w16cid:durableId="7D3AE01A"/>
  <w16cid:commentId w16cid:paraId="2C3654B0" w16cid:durableId="54391685"/>
  <w16cid:commentId w16cid:paraId="3CC56189" w16cid:durableId="7878DBF3"/>
  <w16cid:commentId w16cid:paraId="2A799D83" w16cid:durableId="204E76DA"/>
  <w16cid:commentId w16cid:paraId="40A00A9F" w16cid:durableId="6724F7E8"/>
  <w16cid:commentId w16cid:paraId="6AE4882C" w16cid:durableId="5CE94FEF"/>
  <w16cid:commentId w16cid:paraId="6214628A" w16cid:durableId="5247F9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BE1A" w14:textId="77777777" w:rsidR="0023546E" w:rsidRDefault="0023546E" w:rsidP="00E41F0C">
      <w:pPr>
        <w:spacing w:after="0" w:line="240" w:lineRule="auto"/>
      </w:pPr>
      <w:r>
        <w:separator/>
      </w:r>
    </w:p>
  </w:endnote>
  <w:endnote w:type="continuationSeparator" w:id="0">
    <w:p w14:paraId="700A32E4" w14:textId="77777777" w:rsidR="0023546E" w:rsidRDefault="0023546E" w:rsidP="00E4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91C8" w14:textId="77777777" w:rsidR="00E41F0C" w:rsidRDefault="00E41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54EC" w14:textId="77777777" w:rsidR="00E41F0C" w:rsidRDefault="00E41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12BF" w14:textId="77777777" w:rsidR="00E41F0C" w:rsidRDefault="00E41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406D" w14:textId="77777777" w:rsidR="0023546E" w:rsidRDefault="0023546E" w:rsidP="00E41F0C">
      <w:pPr>
        <w:spacing w:after="0" w:line="240" w:lineRule="auto"/>
      </w:pPr>
      <w:r>
        <w:separator/>
      </w:r>
    </w:p>
  </w:footnote>
  <w:footnote w:type="continuationSeparator" w:id="0">
    <w:p w14:paraId="282A5E4E" w14:textId="77777777" w:rsidR="0023546E" w:rsidRDefault="0023546E" w:rsidP="00E41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1406" w14:textId="525A03F4" w:rsidR="00E41F0C" w:rsidRDefault="00000000">
    <w:pPr>
      <w:pStyle w:val="Header"/>
    </w:pPr>
    <w:r>
      <w:rPr>
        <w:noProof/>
      </w:rPr>
      <w:pict w14:anchorId="7453E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2" o:spid="_x0000_s1026" type="#_x0000_t136" style="position:absolute;left:0;text-align:left;margin-left:0;margin-top:0;width:587.1pt;height:66.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8D6B" w14:textId="1D2AADD0" w:rsidR="00E41F0C" w:rsidRDefault="00000000">
    <w:pPr>
      <w:pStyle w:val="Header"/>
    </w:pPr>
    <w:r>
      <w:rPr>
        <w:noProof/>
      </w:rPr>
      <w:pict w14:anchorId="6D20C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3" o:spid="_x0000_s1027" type="#_x0000_t136" style="position:absolute;left:0;text-align:left;margin-left:0;margin-top:0;width:587.1pt;height:66.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0D73" w14:textId="1950D246" w:rsidR="00E41F0C" w:rsidRDefault="00000000">
    <w:pPr>
      <w:pStyle w:val="Header"/>
    </w:pPr>
    <w:r>
      <w:rPr>
        <w:noProof/>
      </w:rPr>
      <w:pict w14:anchorId="16320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531" o:spid="_x0000_s1025" type="#_x0000_t136" style="position:absolute;left:0;text-align:left;margin-left:0;margin-top:0;width:587.1pt;height:66.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60"/>
    <w:rsid w:val="0000724E"/>
    <w:rsid w:val="000917ED"/>
    <w:rsid w:val="001018D5"/>
    <w:rsid w:val="00111B57"/>
    <w:rsid w:val="0023546E"/>
    <w:rsid w:val="002C50AB"/>
    <w:rsid w:val="002E5593"/>
    <w:rsid w:val="00355759"/>
    <w:rsid w:val="003764D1"/>
    <w:rsid w:val="003804C9"/>
    <w:rsid w:val="003A02BE"/>
    <w:rsid w:val="003A1FCA"/>
    <w:rsid w:val="003B4C80"/>
    <w:rsid w:val="00404289"/>
    <w:rsid w:val="00447D61"/>
    <w:rsid w:val="005951DA"/>
    <w:rsid w:val="005A4475"/>
    <w:rsid w:val="00634D60"/>
    <w:rsid w:val="006914A5"/>
    <w:rsid w:val="00725FC8"/>
    <w:rsid w:val="00732F1E"/>
    <w:rsid w:val="00745478"/>
    <w:rsid w:val="00753851"/>
    <w:rsid w:val="007D7CCD"/>
    <w:rsid w:val="00844A17"/>
    <w:rsid w:val="00875D8B"/>
    <w:rsid w:val="008852B8"/>
    <w:rsid w:val="008C7E3B"/>
    <w:rsid w:val="008F19D2"/>
    <w:rsid w:val="00922B17"/>
    <w:rsid w:val="009E26C2"/>
    <w:rsid w:val="00BA7A03"/>
    <w:rsid w:val="00BC35D2"/>
    <w:rsid w:val="00BE624F"/>
    <w:rsid w:val="00BF76F6"/>
    <w:rsid w:val="00C03F0B"/>
    <w:rsid w:val="00C24CB6"/>
    <w:rsid w:val="00CB54B6"/>
    <w:rsid w:val="00D5227F"/>
    <w:rsid w:val="00D53598"/>
    <w:rsid w:val="00D86C45"/>
    <w:rsid w:val="00DE47B0"/>
    <w:rsid w:val="00DF7469"/>
    <w:rsid w:val="00E41F0C"/>
    <w:rsid w:val="00ED19E9"/>
    <w:rsid w:val="00FB1CFA"/>
    <w:rsid w:val="00FB4BA3"/>
    <w:rsid w:val="00FD5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C2CA7"/>
  <w15:docId w15:val="{440D0CCA-1038-4129-B60A-D84BA676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2" w:line="249" w:lineRule="auto"/>
      <w:ind w:left="2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214"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after="274" w:line="259" w:lineRule="auto"/>
      <w:ind w:left="24"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74" w:line="259" w:lineRule="auto"/>
      <w:ind w:left="24"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74" w:line="259" w:lineRule="auto"/>
      <w:ind w:left="24"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link w:val="NormalWebChar"/>
    <w:uiPriority w:val="99"/>
    <w:unhideWhenUsed/>
    <w:rsid w:val="00844A17"/>
    <w:pPr>
      <w:spacing w:before="100" w:beforeAutospacing="1" w:after="100" w:afterAutospacing="1" w:line="240" w:lineRule="auto"/>
      <w:ind w:left="0" w:firstLine="0"/>
      <w:jc w:val="left"/>
    </w:pPr>
    <w:rPr>
      <w:color w:val="auto"/>
      <w:kern w:val="0"/>
      <w:lang w:val="fr-FR" w:eastAsia="fr-FR"/>
      <w14:ligatures w14:val="none"/>
    </w:rPr>
  </w:style>
  <w:style w:type="character" w:customStyle="1" w:styleId="NormalWebChar">
    <w:name w:val="Normal (Web) Char"/>
    <w:basedOn w:val="DefaultParagraphFont"/>
    <w:link w:val="NormalWeb"/>
    <w:uiPriority w:val="99"/>
    <w:qFormat/>
    <w:rsid w:val="00844A17"/>
    <w:rPr>
      <w:rFonts w:ascii="Times New Roman" w:eastAsia="Times New Roman" w:hAnsi="Times New Roman" w:cs="Times New Roman"/>
      <w:kern w:val="0"/>
      <w:lang w:val="fr-FR" w:eastAsia="fr-FR"/>
      <w14:ligatures w14:val="none"/>
    </w:rPr>
  </w:style>
  <w:style w:type="paragraph" w:styleId="NoSpacing">
    <w:name w:val="No Spacing"/>
    <w:uiPriority w:val="1"/>
    <w:qFormat/>
    <w:rsid w:val="00D53598"/>
    <w:pPr>
      <w:spacing w:after="0" w:line="240" w:lineRule="auto"/>
    </w:pPr>
    <w:rPr>
      <w:rFonts w:eastAsiaTheme="minorHAnsi"/>
      <w:kern w:val="0"/>
      <w:sz w:val="22"/>
      <w:szCs w:val="22"/>
      <w:lang w:val="fr-FR"/>
      <w14:ligatures w14:val="none"/>
    </w:rPr>
  </w:style>
  <w:style w:type="character" w:styleId="Hyperlink">
    <w:name w:val="Hyperlink"/>
    <w:basedOn w:val="DefaultParagraphFont"/>
    <w:uiPriority w:val="99"/>
    <w:unhideWhenUsed/>
    <w:rsid w:val="00732F1E"/>
    <w:rPr>
      <w:color w:val="0563C1" w:themeColor="hyperlink"/>
      <w:u w:val="single"/>
    </w:rPr>
  </w:style>
  <w:style w:type="character" w:styleId="UnresolvedMention">
    <w:name w:val="Unresolved Mention"/>
    <w:basedOn w:val="DefaultParagraphFont"/>
    <w:uiPriority w:val="99"/>
    <w:semiHidden/>
    <w:unhideWhenUsed/>
    <w:rsid w:val="00732F1E"/>
    <w:rPr>
      <w:color w:val="605E5C"/>
      <w:shd w:val="clear" w:color="auto" w:fill="E1DFDD"/>
    </w:rPr>
  </w:style>
  <w:style w:type="paragraph" w:styleId="Header">
    <w:name w:val="header"/>
    <w:basedOn w:val="Normal"/>
    <w:link w:val="HeaderChar"/>
    <w:uiPriority w:val="99"/>
    <w:unhideWhenUsed/>
    <w:rsid w:val="00E41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F0C"/>
    <w:rPr>
      <w:rFonts w:ascii="Times New Roman" w:eastAsia="Times New Roman" w:hAnsi="Times New Roman" w:cs="Times New Roman"/>
      <w:color w:val="000000"/>
    </w:rPr>
  </w:style>
  <w:style w:type="paragraph" w:styleId="Footer">
    <w:name w:val="footer"/>
    <w:basedOn w:val="Normal"/>
    <w:link w:val="FooterChar"/>
    <w:uiPriority w:val="99"/>
    <w:unhideWhenUsed/>
    <w:rsid w:val="00E41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F0C"/>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D7CCD"/>
    <w:rPr>
      <w:sz w:val="16"/>
      <w:szCs w:val="16"/>
    </w:rPr>
  </w:style>
  <w:style w:type="paragraph" w:styleId="CommentText">
    <w:name w:val="annotation text"/>
    <w:basedOn w:val="Normal"/>
    <w:link w:val="CommentTextChar"/>
    <w:uiPriority w:val="99"/>
    <w:semiHidden/>
    <w:unhideWhenUsed/>
    <w:rsid w:val="007D7CCD"/>
    <w:pPr>
      <w:spacing w:line="240" w:lineRule="auto"/>
    </w:pPr>
    <w:rPr>
      <w:sz w:val="20"/>
      <w:szCs w:val="20"/>
    </w:rPr>
  </w:style>
  <w:style w:type="character" w:customStyle="1" w:styleId="CommentTextChar">
    <w:name w:val="Comment Text Char"/>
    <w:basedOn w:val="DefaultParagraphFont"/>
    <w:link w:val="CommentText"/>
    <w:uiPriority w:val="99"/>
    <w:semiHidden/>
    <w:rsid w:val="007D7CC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D7CCD"/>
    <w:rPr>
      <w:b/>
      <w:bCs/>
    </w:rPr>
  </w:style>
  <w:style w:type="character" w:customStyle="1" w:styleId="CommentSubjectChar">
    <w:name w:val="Comment Subject Char"/>
    <w:basedOn w:val="CommentTextChar"/>
    <w:link w:val="CommentSubject"/>
    <w:uiPriority w:val="99"/>
    <w:semiHidden/>
    <w:rsid w:val="007D7CC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07/s10298-011-0655-5" TargetMode="External"/><Relationship Id="rId117" Type="http://schemas.openxmlformats.org/officeDocument/2006/relationships/hyperlink" Target="https://doi.org/10.1146/annurev-ento-120710-100554" TargetMode="External"/><Relationship Id="rId21" Type="http://schemas.openxmlformats.org/officeDocument/2006/relationships/hyperlink" Target="https://doi.org/10.1007/s10298-011-0655-5" TargetMode="External"/><Relationship Id="rId42" Type="http://schemas.openxmlformats.org/officeDocument/2006/relationships/hyperlink" Target="https://www.memoireonline.com/02/09/2006/Diagnostic-des-procedes-de-conservation-et-de-transformation-de-la-noix-de-cajou-a-St-Jean-du-Sud.html" TargetMode="External"/><Relationship Id="rId47" Type="http://schemas.openxmlformats.org/officeDocument/2006/relationships/hyperlink" Target="https://www.memoireonline.com/02/09/2006/Diagnostic-des-procedes-de-conservation-et-de-transformation-de-la-noix-de-cajou-a-St-Jean-du-Sud.html" TargetMode="External"/><Relationship Id="rId63" Type="http://schemas.openxmlformats.org/officeDocument/2006/relationships/hyperlink" Target="https://www.memoireonline.com/02/09/2006/Diagnostic-des-procedes-de-conservation-et-de-transformation-de-la-noix-de-cajou-a-St-Jean-du-Sud.html" TargetMode="External"/><Relationship Id="rId68" Type="http://schemas.openxmlformats.org/officeDocument/2006/relationships/hyperlink" Target="https://www.memoireonline.com/02/09/2006/Diagnostic-des-procedes-de-conservation-et-de-transformation-de-la-noix-de-cajou-a-St-Jean-du-Sud.html" TargetMode="External"/><Relationship Id="rId84" Type="http://schemas.openxmlformats.org/officeDocument/2006/relationships/hyperlink" Target="https://doi.org/10.1016/S0022-474X(97)00010-3" TargetMode="External"/><Relationship Id="rId89" Type="http://schemas.openxmlformats.org/officeDocument/2006/relationships/hyperlink" Target="https://doi.org/10.4314/ijbcs.v10i2.30" TargetMode="External"/><Relationship Id="rId112" Type="http://schemas.openxmlformats.org/officeDocument/2006/relationships/hyperlink" Target="https://doi.org/10.1146/annurev-ento-120710-100554" TargetMode="External"/><Relationship Id="rId16" Type="http://schemas.openxmlformats.org/officeDocument/2006/relationships/hyperlink" Target="https://doi.org/10.1007/s10340-009-0242-2" TargetMode="External"/><Relationship Id="rId107" Type="http://schemas.openxmlformats.org/officeDocument/2006/relationships/hyperlink" Target="https://doi.org/10.1016/S0261-2194(02)00098-7" TargetMode="External"/><Relationship Id="rId11" Type="http://schemas.openxmlformats.org/officeDocument/2006/relationships/hyperlink" Target="https://doi.org/10.1007/s10340-009-0242-2" TargetMode="External"/><Relationship Id="rId32" Type="http://schemas.openxmlformats.org/officeDocument/2006/relationships/hyperlink" Target="https://doi.org/10.1007/s11101-006-9045-3" TargetMode="External"/><Relationship Id="rId37" Type="http://schemas.openxmlformats.org/officeDocument/2006/relationships/hyperlink" Target="https://www.memoireonline.com/02/09/2006/Diagnostic-des-procedes-de-conservation-et-de-transformation-de-la-noix-de-cajou-a-St-Jean-du-Sud.html" TargetMode="External"/><Relationship Id="rId53" Type="http://schemas.openxmlformats.org/officeDocument/2006/relationships/hyperlink" Target="https://www.memoireonline.com/02/09/2006/Diagnostic-des-procedes-de-conservation-et-de-transformation-de-la-noix-de-cajou-a-St-Jean-du-Sud.html" TargetMode="External"/><Relationship Id="rId58" Type="http://schemas.openxmlformats.org/officeDocument/2006/relationships/hyperlink" Target="https://www.memoireonline.com/02/09/2006/Diagnostic-des-procedes-de-conservation-et-de-transformation-de-la-noix-de-cajou-a-St-Jean-du-Sud.html" TargetMode="External"/><Relationship Id="rId74" Type="http://schemas.openxmlformats.org/officeDocument/2006/relationships/hyperlink" Target="https://doi.org/10.1016/S0378-8741(98)00142-5" TargetMode="External"/><Relationship Id="rId79" Type="http://schemas.openxmlformats.org/officeDocument/2006/relationships/hyperlink" Target="https://doi.org/10.1021/jf302388g" TargetMode="External"/><Relationship Id="rId102" Type="http://schemas.openxmlformats.org/officeDocument/2006/relationships/hyperlink" Target="https://doi.org/10.4314/ijbcs.v6i3.29" TargetMode="External"/><Relationship Id="rId123" Type="http://schemas.openxmlformats.org/officeDocument/2006/relationships/header" Target="header3.xml"/><Relationship Id="rId5" Type="http://schemas.openxmlformats.org/officeDocument/2006/relationships/footnotes" Target="footnotes.xml"/><Relationship Id="rId90" Type="http://schemas.openxmlformats.org/officeDocument/2006/relationships/hyperlink" Target="https://doi.org/10.4314/ijbcs.v10i2.30" TargetMode="External"/><Relationship Id="rId95" Type="http://schemas.openxmlformats.org/officeDocument/2006/relationships/hyperlink" Target="https://doi.org/10.1007/978-94-007-0884-6" TargetMode="External"/><Relationship Id="rId22" Type="http://schemas.openxmlformats.org/officeDocument/2006/relationships/hyperlink" Target="https://doi.org/10.1007/s10298-011-0655-5" TargetMode="External"/><Relationship Id="rId27" Type="http://schemas.openxmlformats.org/officeDocument/2006/relationships/hyperlink" Target="https://doi.org/10.1007/s10298-011-0655-5" TargetMode="External"/><Relationship Id="rId43" Type="http://schemas.openxmlformats.org/officeDocument/2006/relationships/hyperlink" Target="https://www.memoireonline.com/02/09/2006/Diagnostic-des-procedes-de-conservation-et-de-transformation-de-la-noix-de-cajou-a-St-Jean-du-Sud.html" TargetMode="External"/><Relationship Id="rId48" Type="http://schemas.openxmlformats.org/officeDocument/2006/relationships/hyperlink" Target="https://www.memoireonline.com/02/09/2006/Diagnostic-des-procedes-de-conservation-et-de-transformation-de-la-noix-de-cajou-a-St-Jean-du-Sud.html" TargetMode="External"/><Relationship Id="rId64" Type="http://schemas.openxmlformats.org/officeDocument/2006/relationships/hyperlink" Target="https://www.memoireonline.com/02/09/2006/Diagnostic-des-procedes-de-conservation-et-de-transformation-de-la-noix-de-cajou-a-St-Jean-du-Sud.html" TargetMode="External"/><Relationship Id="rId69" Type="http://schemas.openxmlformats.org/officeDocument/2006/relationships/hyperlink" Target="https://www.memoireonline.com/02/09/2006/Diagnostic-des-procedes-de-conservation-et-de-transformation-de-la-noix-de-cajou-a-St-Jean-du-Sud.html" TargetMode="External"/><Relationship Id="rId113" Type="http://schemas.openxmlformats.org/officeDocument/2006/relationships/hyperlink" Target="https://doi.org/10.1146/annurev-ento-120710-100554" TargetMode="External"/><Relationship Id="rId118" Type="http://schemas.openxmlformats.org/officeDocument/2006/relationships/hyperlink" Target="https://doi.org/10.1146/annurev-ento-120710-100554" TargetMode="External"/><Relationship Id="rId80" Type="http://schemas.openxmlformats.org/officeDocument/2006/relationships/hyperlink" Target="https://doi.org/10.1021/jf302388g" TargetMode="External"/><Relationship Id="rId85" Type="http://schemas.openxmlformats.org/officeDocument/2006/relationships/hyperlink" Target="https://doi.org/10.1016/S0022-474X(97)00010-3" TargetMode="External"/><Relationship Id="rId12" Type="http://schemas.openxmlformats.org/officeDocument/2006/relationships/hyperlink" Target="https://doi.org/10.1007/s10340-009-0242-2" TargetMode="External"/><Relationship Id="rId17" Type="http://schemas.openxmlformats.org/officeDocument/2006/relationships/hyperlink" Target="https://doi.org/10.1007/s10340-009-0242-2" TargetMode="External"/><Relationship Id="rId33" Type="http://schemas.openxmlformats.org/officeDocument/2006/relationships/hyperlink" Target="https://doi.org/10.1007/s11101-006-9045-3" TargetMode="External"/><Relationship Id="rId38" Type="http://schemas.openxmlformats.org/officeDocument/2006/relationships/hyperlink" Target="https://www.memoireonline.com/02/09/2006/Diagnostic-des-procedes-de-conservation-et-de-transformation-de-la-noix-de-cajou-a-St-Jean-du-Sud.html" TargetMode="External"/><Relationship Id="rId59" Type="http://schemas.openxmlformats.org/officeDocument/2006/relationships/hyperlink" Target="https://www.memoireonline.com/02/09/2006/Diagnostic-des-procedes-de-conservation-et-de-transformation-de-la-noix-de-cajou-a-St-Jean-du-Sud.html" TargetMode="External"/><Relationship Id="rId103" Type="http://schemas.openxmlformats.org/officeDocument/2006/relationships/hyperlink" Target="https://doi.org/10.1016/S0261-2194(02)00098-7" TargetMode="External"/><Relationship Id="rId108" Type="http://schemas.openxmlformats.org/officeDocument/2006/relationships/hyperlink" Target="https://doi.org/10.1016/S0261-2194(02)00098-7" TargetMode="External"/><Relationship Id="rId124" Type="http://schemas.openxmlformats.org/officeDocument/2006/relationships/footer" Target="footer3.xml"/><Relationship Id="rId54" Type="http://schemas.openxmlformats.org/officeDocument/2006/relationships/hyperlink" Target="https://www.memoireonline.com/02/09/2006/Diagnostic-des-procedes-de-conservation-et-de-transformation-de-la-noix-de-cajou-a-St-Jean-du-Sud.html" TargetMode="External"/><Relationship Id="rId70" Type="http://schemas.openxmlformats.org/officeDocument/2006/relationships/hyperlink" Target="https://www.memoireonline.com/02/09/2006/Diagnostic-des-procedes-de-conservation-et-de-transformation-de-la-noix-de-cajou-a-St-Jean-du-Sud.html" TargetMode="External"/><Relationship Id="rId75" Type="http://schemas.openxmlformats.org/officeDocument/2006/relationships/hyperlink" Target="https://doi.org/10.1016/S0378-8741(98)00142-5" TargetMode="External"/><Relationship Id="rId91" Type="http://schemas.openxmlformats.org/officeDocument/2006/relationships/hyperlink" Target="https://doi.org/10.1007/978-94-007-0884-6" TargetMode="External"/><Relationship Id="rId96" Type="http://schemas.openxmlformats.org/officeDocument/2006/relationships/hyperlink" Target="https://doi.org/10.1007/978-94-007-0884-6"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doi.org/10.1007/s10298-011-0655-5" TargetMode="External"/><Relationship Id="rId28" Type="http://schemas.openxmlformats.org/officeDocument/2006/relationships/hyperlink" Target="https://doi.org/10.1007/s10298-011-0655-5" TargetMode="External"/><Relationship Id="rId49" Type="http://schemas.openxmlformats.org/officeDocument/2006/relationships/hyperlink" Target="https://www.memoireonline.com/02/09/2006/Diagnostic-des-procedes-de-conservation-et-de-transformation-de-la-noix-de-cajou-a-St-Jean-du-Sud.html" TargetMode="External"/><Relationship Id="rId114" Type="http://schemas.openxmlformats.org/officeDocument/2006/relationships/hyperlink" Target="https://doi.org/10.1146/annurev-ento-120710-100554" TargetMode="External"/><Relationship Id="rId119" Type="http://schemas.openxmlformats.org/officeDocument/2006/relationships/header" Target="header1.xml"/><Relationship Id="rId44" Type="http://schemas.openxmlformats.org/officeDocument/2006/relationships/hyperlink" Target="https://www.memoireonline.com/02/09/2006/Diagnostic-des-procedes-de-conservation-et-de-transformation-de-la-noix-de-cajou-a-St-Jean-du-Sud.html" TargetMode="External"/><Relationship Id="rId60" Type="http://schemas.openxmlformats.org/officeDocument/2006/relationships/hyperlink" Target="https://www.memoireonline.com/02/09/2006/Diagnostic-des-procedes-de-conservation-et-de-transformation-de-la-noix-de-cajou-a-St-Jean-du-Sud.html" TargetMode="External"/><Relationship Id="rId65" Type="http://schemas.openxmlformats.org/officeDocument/2006/relationships/hyperlink" Target="https://www.memoireonline.com/02/09/2006/Diagnostic-des-procedes-de-conservation-et-de-transformation-de-la-noix-de-cajou-a-St-Jean-du-Sud.html" TargetMode="External"/><Relationship Id="rId81" Type="http://schemas.openxmlformats.org/officeDocument/2006/relationships/hyperlink" Target="https://doi.org/10.1016/S0022-474X(97)00010-3" TargetMode="External"/><Relationship Id="rId86" Type="http://schemas.openxmlformats.org/officeDocument/2006/relationships/hyperlink" Target="https://doi.org/10.1016/S0022-474X(97)00010-3" TargetMode="External"/><Relationship Id="rId13" Type="http://schemas.openxmlformats.org/officeDocument/2006/relationships/hyperlink" Target="https://doi.org/10.1007/s10340-009-0242-2" TargetMode="External"/><Relationship Id="rId18" Type="http://schemas.openxmlformats.org/officeDocument/2006/relationships/hyperlink" Target="https://doi.org/10.1007/s10340-009-0242-2" TargetMode="External"/><Relationship Id="rId39" Type="http://schemas.openxmlformats.org/officeDocument/2006/relationships/hyperlink" Target="https://www.memoireonline.com/02/09/2006/Diagnostic-des-procedes-de-conservation-et-de-transformation-de-la-noix-de-cajou-a-St-Jean-du-Sud.html" TargetMode="External"/><Relationship Id="rId109" Type="http://schemas.openxmlformats.org/officeDocument/2006/relationships/hyperlink" Target="https://doi.org/10.1016/j.tplants.2016.10.005" TargetMode="External"/><Relationship Id="rId34" Type="http://schemas.openxmlformats.org/officeDocument/2006/relationships/hyperlink" Target="https://doi.org/10.1007/s11101-006-9045-3" TargetMode="External"/><Relationship Id="rId50" Type="http://schemas.openxmlformats.org/officeDocument/2006/relationships/hyperlink" Target="https://www.memoireonline.com/02/09/2006/Diagnostic-des-procedes-de-conservation-et-de-transformation-de-la-noix-de-cajou-a-St-Jean-du-Sud.html" TargetMode="External"/><Relationship Id="rId55" Type="http://schemas.openxmlformats.org/officeDocument/2006/relationships/hyperlink" Target="https://www.memoireonline.com/02/09/2006/Diagnostic-des-procedes-de-conservation-et-de-transformation-de-la-noix-de-cajou-a-St-Jean-du-Sud.html" TargetMode="External"/><Relationship Id="rId76" Type="http://schemas.openxmlformats.org/officeDocument/2006/relationships/hyperlink" Target="https://doi.org/10.1016/S0378-8741(98)00142-5" TargetMode="External"/><Relationship Id="rId97" Type="http://schemas.openxmlformats.org/officeDocument/2006/relationships/hyperlink" Target="https://doi.org/10.1007/978-94-007-0884-6" TargetMode="External"/><Relationship Id="rId104" Type="http://schemas.openxmlformats.org/officeDocument/2006/relationships/hyperlink" Target="https://doi.org/10.1016/S0261-2194(02)00098-7" TargetMode="External"/><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comments" Target="comments.xml"/><Relationship Id="rId71" Type="http://schemas.openxmlformats.org/officeDocument/2006/relationships/hyperlink" Target="https://www.memoireonline.com/02/09/2006/Diagnostic-des-procedes-de-conservation-et-de-transformation-de-la-noix-de-cajou-a-St-Jean-du-Sud.html" TargetMode="External"/><Relationship Id="rId92" Type="http://schemas.openxmlformats.org/officeDocument/2006/relationships/hyperlink" Target="https://doi.org/10.1007/978-94-007-0884-6" TargetMode="External"/><Relationship Id="rId2" Type="http://schemas.openxmlformats.org/officeDocument/2006/relationships/styles" Target="styles.xml"/><Relationship Id="rId29" Type="http://schemas.openxmlformats.org/officeDocument/2006/relationships/hyperlink" Target="https://doi.org/10.1007/s11101-006-9045-3" TargetMode="External"/><Relationship Id="rId24" Type="http://schemas.openxmlformats.org/officeDocument/2006/relationships/hyperlink" Target="https://doi.org/10.1007/s10298-011-0655-5" TargetMode="External"/><Relationship Id="rId40" Type="http://schemas.openxmlformats.org/officeDocument/2006/relationships/hyperlink" Target="https://www.memoireonline.com/02/09/2006/Diagnostic-des-procedes-de-conservation-et-de-transformation-de-la-noix-de-cajou-a-St-Jean-du-Sud.html" TargetMode="External"/><Relationship Id="rId45" Type="http://schemas.openxmlformats.org/officeDocument/2006/relationships/hyperlink" Target="https://www.memoireonline.com/02/09/2006/Diagnostic-des-procedes-de-conservation-et-de-transformation-de-la-noix-de-cajou-a-St-Jean-du-Sud.html" TargetMode="External"/><Relationship Id="rId66" Type="http://schemas.openxmlformats.org/officeDocument/2006/relationships/hyperlink" Target="https://www.memoireonline.com/02/09/2006/Diagnostic-des-procedes-de-conservation-et-de-transformation-de-la-noix-de-cajou-a-St-Jean-du-Sud.html" TargetMode="External"/><Relationship Id="rId87" Type="http://schemas.openxmlformats.org/officeDocument/2006/relationships/hyperlink" Target="https://doi.org/10.1146/annurev.ento.51.110104.151146" TargetMode="External"/><Relationship Id="rId110" Type="http://schemas.openxmlformats.org/officeDocument/2006/relationships/hyperlink" Target="https://doi.org/10.1016/j.tplants.2016.10.005" TargetMode="External"/><Relationship Id="rId115" Type="http://schemas.openxmlformats.org/officeDocument/2006/relationships/hyperlink" Target="https://doi.org/10.1146/annurev-ento-120710-100554" TargetMode="External"/><Relationship Id="rId61" Type="http://schemas.openxmlformats.org/officeDocument/2006/relationships/hyperlink" Target="https://www.memoireonline.com/02/09/2006/Diagnostic-des-procedes-de-conservation-et-de-transformation-de-la-noix-de-cajou-a-St-Jean-du-Sud.html" TargetMode="External"/><Relationship Id="rId82" Type="http://schemas.openxmlformats.org/officeDocument/2006/relationships/hyperlink" Target="https://doi.org/10.1016/S0022-474X(97)00010-3" TargetMode="External"/><Relationship Id="rId19" Type="http://schemas.openxmlformats.org/officeDocument/2006/relationships/hyperlink" Target="https://doi.org/10.5897/SRE2014.5953" TargetMode="External"/><Relationship Id="rId14" Type="http://schemas.openxmlformats.org/officeDocument/2006/relationships/hyperlink" Target="https://doi.org/10.1007/s10340-009-0242-2" TargetMode="External"/><Relationship Id="rId30" Type="http://schemas.openxmlformats.org/officeDocument/2006/relationships/hyperlink" Target="https://doi.org/10.1007/s11101-006-9045-3" TargetMode="External"/><Relationship Id="rId35" Type="http://schemas.openxmlformats.org/officeDocument/2006/relationships/hyperlink" Target="https://doi.org/10.1007/s11101-006-9045-3" TargetMode="External"/><Relationship Id="rId56" Type="http://schemas.openxmlformats.org/officeDocument/2006/relationships/hyperlink" Target="https://www.memoireonline.com/02/09/2006/Diagnostic-des-procedes-de-conservation-et-de-transformation-de-la-noix-de-cajou-a-St-Jean-du-Sud.html" TargetMode="External"/><Relationship Id="rId77" Type="http://schemas.openxmlformats.org/officeDocument/2006/relationships/hyperlink" Target="https://doi.org/10.1016/S0378-8741(98)00142-5" TargetMode="External"/><Relationship Id="rId100" Type="http://schemas.openxmlformats.org/officeDocument/2006/relationships/hyperlink" Target="https://doi.org/10.1007/978-94-007-0884-6" TargetMode="External"/><Relationship Id="rId105" Type="http://schemas.openxmlformats.org/officeDocument/2006/relationships/hyperlink" Target="https://doi.org/10.1016/S0261-2194(02)00098-7" TargetMode="External"/><Relationship Id="rId126" Type="http://schemas.microsoft.com/office/2011/relationships/people" Target="people.xml"/><Relationship Id="rId8" Type="http://schemas.microsoft.com/office/2011/relationships/commentsExtended" Target="commentsExtended.xml"/><Relationship Id="rId51" Type="http://schemas.openxmlformats.org/officeDocument/2006/relationships/hyperlink" Target="https://www.memoireonline.com/02/09/2006/Diagnostic-des-procedes-de-conservation-et-de-transformation-de-la-noix-de-cajou-a-St-Jean-du-Sud.html" TargetMode="External"/><Relationship Id="rId72" Type="http://schemas.openxmlformats.org/officeDocument/2006/relationships/hyperlink" Target="https://www.memoireonline.com/02/09/2006/Diagnostic-des-procedes-de-conservation-et-de-transformation-de-la-noix-de-cajou-a-St-Jean-du-Sud.html" TargetMode="External"/><Relationship Id="rId93" Type="http://schemas.openxmlformats.org/officeDocument/2006/relationships/hyperlink" Target="https://doi.org/10.1007/978-94-007-0884-6" TargetMode="External"/><Relationship Id="rId98" Type="http://schemas.openxmlformats.org/officeDocument/2006/relationships/hyperlink" Target="https://doi.org/10.1007/978-94-007-0884-6" TargetMode="External"/><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doi.org/10.1007/s10298-011-0655-5" TargetMode="External"/><Relationship Id="rId46" Type="http://schemas.openxmlformats.org/officeDocument/2006/relationships/hyperlink" Target="https://www.memoireonline.com/02/09/2006/Diagnostic-des-procedes-de-conservation-et-de-transformation-de-la-noix-de-cajou-a-St-Jean-du-Sud.html" TargetMode="External"/><Relationship Id="rId67" Type="http://schemas.openxmlformats.org/officeDocument/2006/relationships/hyperlink" Target="https://www.memoireonline.com/02/09/2006/Diagnostic-des-procedes-de-conservation-et-de-transformation-de-la-noix-de-cajou-a-St-Jean-du-Sud.html" TargetMode="External"/><Relationship Id="rId116" Type="http://schemas.openxmlformats.org/officeDocument/2006/relationships/hyperlink" Target="https://doi.org/10.1146/annurev-ento-120710-100554" TargetMode="External"/><Relationship Id="rId20" Type="http://schemas.openxmlformats.org/officeDocument/2006/relationships/hyperlink" Target="https://doi.org/10.5897/SRE2014.5953" TargetMode="External"/><Relationship Id="rId41" Type="http://schemas.openxmlformats.org/officeDocument/2006/relationships/hyperlink" Target="https://www.memoireonline.com/02/09/2006/Diagnostic-des-procedes-de-conservation-et-de-transformation-de-la-noix-de-cajou-a-St-Jean-du-Sud.html" TargetMode="External"/><Relationship Id="rId62" Type="http://schemas.openxmlformats.org/officeDocument/2006/relationships/hyperlink" Target="https://www.memoireonline.com/02/09/2006/Diagnostic-des-procedes-de-conservation-et-de-transformation-de-la-noix-de-cajou-a-St-Jean-du-Sud.html" TargetMode="External"/><Relationship Id="rId83" Type="http://schemas.openxmlformats.org/officeDocument/2006/relationships/hyperlink" Target="https://doi.org/10.1016/S0022-474X(97)00010-3" TargetMode="External"/><Relationship Id="rId88" Type="http://schemas.openxmlformats.org/officeDocument/2006/relationships/hyperlink" Target="https://doi.org/10.1146/annurev.ento.51.110104.151146" TargetMode="External"/><Relationship Id="rId111" Type="http://schemas.openxmlformats.org/officeDocument/2006/relationships/hyperlink" Target="https://doi.org/10.1146/annurev-ento-120710-100554" TargetMode="External"/><Relationship Id="rId15" Type="http://schemas.openxmlformats.org/officeDocument/2006/relationships/hyperlink" Target="https://doi.org/10.1007/s10340-009-0242-2" TargetMode="External"/><Relationship Id="rId36" Type="http://schemas.openxmlformats.org/officeDocument/2006/relationships/hyperlink" Target="https://doi.org/10.1007/s11101-006-9045-3" TargetMode="External"/><Relationship Id="rId57" Type="http://schemas.openxmlformats.org/officeDocument/2006/relationships/hyperlink" Target="https://www.memoireonline.com/02/09/2006/Diagnostic-des-procedes-de-conservation-et-de-transformation-de-la-noix-de-cajou-a-St-Jean-du-Sud.html" TargetMode="External"/><Relationship Id="rId106" Type="http://schemas.openxmlformats.org/officeDocument/2006/relationships/hyperlink" Target="https://doi.org/10.1016/S0261-2194(02)00098-7" TargetMode="External"/><Relationship Id="rId127" Type="http://schemas.openxmlformats.org/officeDocument/2006/relationships/theme" Target="theme/theme1.xml"/><Relationship Id="rId10" Type="http://schemas.microsoft.com/office/2018/08/relationships/commentsExtensible" Target="commentsExtensible.xml"/><Relationship Id="rId31" Type="http://schemas.openxmlformats.org/officeDocument/2006/relationships/hyperlink" Target="https://doi.org/10.1007/s11101-006-9045-3" TargetMode="External"/><Relationship Id="rId52" Type="http://schemas.openxmlformats.org/officeDocument/2006/relationships/hyperlink" Target="https://www.memoireonline.com/02/09/2006/Diagnostic-des-procedes-de-conservation-et-de-transformation-de-la-noix-de-cajou-a-St-Jean-du-Sud.html" TargetMode="External"/><Relationship Id="rId73" Type="http://schemas.openxmlformats.org/officeDocument/2006/relationships/hyperlink" Target="https://doi.org/10.1016/S0378-8741(98)00142-5" TargetMode="External"/><Relationship Id="rId78" Type="http://schemas.openxmlformats.org/officeDocument/2006/relationships/hyperlink" Target="https://doi.org/10.1016/S0378-8741(98)00142-5" TargetMode="External"/><Relationship Id="rId94" Type="http://schemas.openxmlformats.org/officeDocument/2006/relationships/hyperlink" Target="https://doi.org/10.1007/978-94-007-0884-6" TargetMode="External"/><Relationship Id="rId99" Type="http://schemas.openxmlformats.org/officeDocument/2006/relationships/hyperlink" Target="https://doi.org/10.1007/978-94-007-0884-6" TargetMode="External"/><Relationship Id="rId101" Type="http://schemas.openxmlformats.org/officeDocument/2006/relationships/hyperlink" Target="https://doi.org/10.4314/ijbcs.v6i3.29" TargetMode="External"/><Relationship Id="rId122"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6D87-330E-45D3-B401-805EC22F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5369</Words>
  <Characters>29909</Characters>
  <Application>Microsoft Office Word</Application>
  <DocSecurity>0</DocSecurity>
  <Lines>610</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docId:30C8BC504BD1ECAB3C425C2197301563</cp:keywords>
  <cp:lastModifiedBy>Maan AlSalihi</cp:lastModifiedBy>
  <cp:revision>3</cp:revision>
  <dcterms:created xsi:type="dcterms:W3CDTF">2025-11-06T12:03:00Z</dcterms:created>
  <dcterms:modified xsi:type="dcterms:W3CDTF">2025-11-06T13:16:00Z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1890e329-224c-44ff-9018-2e0b67eda357</vt:lpwstr>
  </property>
</Properties>
</file>