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2556" w:rsidRPr="00952556" w:rsidRDefault="00952556">
      <w:pPr>
        <w:spacing w:line="360" w:lineRule="auto"/>
        <w:jc w:val="both"/>
        <w:rPr>
          <w:rFonts w:ascii="Times New Roman" w:hAnsi="Times New Roman"/>
          <w:b/>
          <w:bCs/>
          <w:sz w:val="24"/>
          <w:szCs w:val="24"/>
          <w:u w:val="single"/>
        </w:rPr>
      </w:pPr>
      <w:r w:rsidRPr="00952556">
        <w:rPr>
          <w:rFonts w:ascii="Times New Roman" w:hAnsi="Times New Roman"/>
          <w:b/>
          <w:bCs/>
          <w:sz w:val="24"/>
          <w:szCs w:val="24"/>
          <w:u w:val="single"/>
        </w:rPr>
        <w:t>Original Research Article</w:t>
      </w:r>
    </w:p>
    <w:p w:rsidR="003E48F9" w:rsidRPr="00316ECD" w:rsidRDefault="00677B0D">
      <w:pPr>
        <w:spacing w:line="360" w:lineRule="auto"/>
        <w:jc w:val="both"/>
        <w:rPr>
          <w:rFonts w:ascii="Times New Roman" w:hAnsi="Times New Roman"/>
          <w:b/>
          <w:bCs/>
        </w:rPr>
      </w:pPr>
      <w:r w:rsidRPr="00316ECD">
        <w:rPr>
          <w:rFonts w:ascii="Times New Roman" w:hAnsi="Times New Roman"/>
          <w:b/>
          <w:bCs/>
          <w:sz w:val="24"/>
          <w:szCs w:val="24"/>
        </w:rPr>
        <w:t xml:space="preserve">Does </w:t>
      </w:r>
      <w:r w:rsidRPr="00316ECD">
        <w:rPr>
          <w:rFonts w:ascii="Times New Roman" w:hAnsi="Times New Roman"/>
          <w:b/>
          <w:bCs/>
          <w:sz w:val="24"/>
          <w:szCs w:val="24"/>
          <w:lang w:val="en-GB"/>
        </w:rPr>
        <w:t>belongin</w:t>
      </w:r>
      <w:r w:rsidRPr="00316ECD">
        <w:rPr>
          <w:rFonts w:ascii="Times New Roman" w:hAnsi="Times New Roman"/>
          <w:b/>
          <w:bCs/>
          <w:sz w:val="24"/>
          <w:szCs w:val="24"/>
        </w:rPr>
        <w:t>g to a Farmer Organization Improve Extension Access? A Study of Cocoa Farmers in Fako Division, Cameroon</w:t>
      </w:r>
    </w:p>
    <w:p w:rsidR="002336E0" w:rsidRDefault="002336E0" w:rsidP="002336E0">
      <w:pPr>
        <w:spacing w:after="0" w:line="360" w:lineRule="auto"/>
        <w:jc w:val="both"/>
        <w:rPr>
          <w:rFonts w:ascii="Times New Roman" w:hAnsi="Times New Roman"/>
          <w:lang w:val="en-GB"/>
        </w:rPr>
      </w:pPr>
      <w:r w:rsidRPr="002336E0">
        <w:rPr>
          <w:rFonts w:ascii="Times New Roman" w:hAnsi="Times New Roman"/>
          <w:lang w:val="en-GB"/>
        </w:rPr>
        <w:tab/>
      </w:r>
    </w:p>
    <w:p w:rsidR="00E74169" w:rsidRPr="002C1949" w:rsidRDefault="00E74169" w:rsidP="00316ECD">
      <w:pPr>
        <w:spacing w:after="0" w:line="360" w:lineRule="auto"/>
        <w:jc w:val="both"/>
        <w:rPr>
          <w:rFonts w:ascii="Times New Roman" w:hAnsi="Times New Roman"/>
          <w:lang w:val="en-GB"/>
        </w:rPr>
      </w:pPr>
    </w:p>
    <w:p w:rsidR="003E48F9" w:rsidRPr="002C1949" w:rsidRDefault="00281FC4">
      <w:pPr>
        <w:spacing w:line="360" w:lineRule="auto"/>
        <w:jc w:val="both"/>
        <w:rPr>
          <w:rFonts w:ascii="Arial" w:hAnsi="Arial" w:cs="Arial"/>
          <w:lang w:val="en-GB"/>
        </w:rPr>
      </w:pPr>
      <w:r w:rsidRPr="002C1949">
        <w:rPr>
          <w:rFonts w:ascii="Arial" w:hAnsi="Arial" w:cs="Arial"/>
          <w:b/>
          <w:bCs/>
          <w:lang w:val="en-GB"/>
        </w:rPr>
        <w:t>ABSTRACT</w:t>
      </w:r>
    </w:p>
    <w:p w:rsidR="003E48F9" w:rsidRPr="002C1949" w:rsidRDefault="00677B0D">
      <w:pPr>
        <w:spacing w:line="360" w:lineRule="auto"/>
        <w:jc w:val="both"/>
        <w:rPr>
          <w:rFonts w:ascii="Times New Roman" w:hAnsi="Times New Roman"/>
          <w:lang w:val="en-GB"/>
        </w:rPr>
      </w:pPr>
      <w:r w:rsidRPr="002C1949">
        <w:rPr>
          <w:rFonts w:ascii="Times New Roman" w:hAnsi="Times New Roman"/>
        </w:rPr>
        <w:t>The literature on farmer-organization membership and access to agricultural extension services (AES) reports mixed findings, motivating further empirical study. This paper examines whether membership in farmer organizations (FOs) improves access to AES among cocoa farmers in Fako Division, Cameroon. Using structured questionnaires, primary data were collected from 396 randomly selected cocoa farmers. Descriptive statistics were first used to summarise sample characteristics (including FO membership status and gender) and the distribution of AES access. To address the specific objectives, a chi-square test was used to evaluate the bivariate association between FO membership and AES access</w:t>
      </w:r>
      <w:r w:rsidRPr="002C1949">
        <w:rPr>
          <w:rFonts w:ascii="Times New Roman" w:hAnsi="Times New Roman"/>
          <w:lang w:val="en-GB"/>
        </w:rPr>
        <w:t>,</w:t>
      </w:r>
      <w:r w:rsidRPr="002C1949">
        <w:rPr>
          <w:rFonts w:ascii="Times New Roman" w:hAnsi="Times New Roman"/>
        </w:rPr>
        <w:t xml:space="preserve"> and a binary logistic regression was used to assess the effect of FO membership on AES access while controlling for education, farm size, age, and </w:t>
      </w:r>
      <w:r w:rsidRPr="00DA1267">
        <w:rPr>
          <w:rFonts w:ascii="Times New Roman" w:hAnsi="Times New Roman"/>
          <w:b/>
          <w:color w:val="FF0000"/>
          <w:u w:val="single"/>
        </w:rPr>
        <w:t>gender.Results</w:t>
      </w:r>
      <w:r w:rsidRPr="002C1949">
        <w:rPr>
          <w:rFonts w:ascii="Times New Roman" w:hAnsi="Times New Roman"/>
        </w:rPr>
        <w:t xml:space="preserve"> show a large disparity in AES access: 83.5% of FO members reported access to extension services compared to 34.8% of non-members (difference ≈ 49 percentage points). The chi-square test confirmed a strong association between FO membership and AES access (χ² = 57.82, p &lt; .001). The logistic regression model was statistically significant, χ²(5) = 116.45, p &lt; .001, with a Nagelkerke R² of 0.42, indicating that the predictors explained about 42% of the variance in AES access. FO membership was the strongest predictor (B = 1.84, SE = 0.28, OR = 6.30, p &lt; .001), meaning members were over six times more likely to access AES than non-members. Years of education also had a positive and significant effect on AES access (B = 0.11, SE = 0.04, OR = 1.12, p = .008), while farm size showed a marginal effect (B = 0.07, SE = 0.03, OR = 1.07, p = .089). Age (B = –0.01, p = .215) and gender (coded 1 = Male; B = 0.15, p = .495) were not significant predictors</w:t>
      </w:r>
      <w:r w:rsidRPr="002C1949">
        <w:rPr>
          <w:rFonts w:ascii="Times New Roman" w:hAnsi="Times New Roman"/>
          <w:lang w:val="en-GB"/>
        </w:rPr>
        <w:t xml:space="preserve">. </w:t>
      </w:r>
      <w:r w:rsidRPr="002C1949">
        <w:rPr>
          <w:rFonts w:ascii="Times New Roman" w:hAnsi="Times New Roman"/>
        </w:rPr>
        <w:t xml:space="preserve">The Conclusion was that membership in farmer organizations substantially increases cocoa farmers’ likelihood of accessing agricultural extension services in Fako Division, and education further improves farmers’ ability to obtain those services. Based on these findings, we recommend strengthening </w:t>
      </w:r>
      <w:r w:rsidR="00DA1267" w:rsidRPr="00DA1267">
        <w:rPr>
          <w:rFonts w:ascii="Times New Roman" w:hAnsi="Times New Roman"/>
          <w:b/>
          <w:color w:val="FF0000"/>
        </w:rPr>
        <w:t>of</w:t>
      </w:r>
      <w:r w:rsidR="00DA1267">
        <w:rPr>
          <w:rFonts w:ascii="Times New Roman" w:hAnsi="Times New Roman"/>
        </w:rPr>
        <w:t xml:space="preserve"> </w:t>
      </w:r>
      <w:r w:rsidRPr="002C1949">
        <w:rPr>
          <w:rFonts w:ascii="Times New Roman" w:hAnsi="Times New Roman"/>
        </w:rPr>
        <w:t>farmer organizations, promoting inclusive membership, and formally integrating FOs into extension delivery systems to improve the equity and effectiveness of service access.</w:t>
      </w:r>
    </w:p>
    <w:p w:rsidR="003E48F9" w:rsidRDefault="00677B0D">
      <w:pPr>
        <w:spacing w:line="360" w:lineRule="auto"/>
        <w:jc w:val="both"/>
        <w:rPr>
          <w:rFonts w:ascii="Times New Roman" w:hAnsi="Times New Roman"/>
        </w:rPr>
      </w:pPr>
      <w:r w:rsidRPr="002C1949">
        <w:rPr>
          <w:rFonts w:ascii="Times New Roman" w:hAnsi="Times New Roman"/>
          <w:b/>
          <w:bCs/>
        </w:rPr>
        <w:t xml:space="preserve">Keywords: </w:t>
      </w:r>
      <w:r w:rsidRPr="002C1949">
        <w:rPr>
          <w:rFonts w:ascii="Times New Roman" w:hAnsi="Times New Roman"/>
        </w:rPr>
        <w:t>Farmer organizations, agricultural extension services, cocoa farmers</w:t>
      </w:r>
      <w:r w:rsidR="00B34789">
        <w:rPr>
          <w:rFonts w:ascii="Times New Roman" w:hAnsi="Times New Roman"/>
        </w:rPr>
        <w:t>, Livelihood outcomes</w:t>
      </w:r>
    </w:p>
    <w:p w:rsidR="00084209" w:rsidRDefault="00084209">
      <w:pPr>
        <w:spacing w:line="360" w:lineRule="auto"/>
        <w:jc w:val="both"/>
        <w:rPr>
          <w:rFonts w:ascii="Times New Roman" w:hAnsi="Times New Roman"/>
        </w:rPr>
      </w:pPr>
    </w:p>
    <w:p w:rsidR="00084209" w:rsidRPr="002C1949" w:rsidRDefault="00084209">
      <w:pPr>
        <w:spacing w:line="360" w:lineRule="auto"/>
        <w:jc w:val="both"/>
        <w:rPr>
          <w:rFonts w:ascii="Times New Roman" w:hAnsi="Times New Roman"/>
        </w:rPr>
      </w:pPr>
    </w:p>
    <w:p w:rsidR="003E48F9" w:rsidRPr="002C1949" w:rsidRDefault="00281FC4">
      <w:pPr>
        <w:spacing w:line="360" w:lineRule="auto"/>
        <w:jc w:val="both"/>
        <w:rPr>
          <w:rFonts w:ascii="Arial" w:hAnsi="Arial" w:cs="Arial"/>
        </w:rPr>
      </w:pPr>
      <w:r w:rsidRPr="002C1949">
        <w:rPr>
          <w:rFonts w:ascii="Arial" w:hAnsi="Arial" w:cs="Arial"/>
          <w:b/>
          <w:bCs/>
        </w:rPr>
        <w:t>1. INTRODUCTION</w:t>
      </w:r>
    </w:p>
    <w:p w:rsidR="003E48F9" w:rsidRPr="002C1949" w:rsidRDefault="00677B0D">
      <w:pPr>
        <w:spacing w:line="360" w:lineRule="auto"/>
        <w:jc w:val="both"/>
        <w:rPr>
          <w:rFonts w:ascii="Times New Roman" w:hAnsi="Times New Roman"/>
        </w:rPr>
      </w:pPr>
      <w:r w:rsidRPr="002C1949">
        <w:rPr>
          <w:rFonts w:ascii="Times New Roman" w:hAnsi="Times New Roman"/>
        </w:rPr>
        <w:t>Agriculture remains the backbone of many low- and middle-income economies, serving as the main source of livelihood for millions of rural households (</w:t>
      </w:r>
      <w:r w:rsidRPr="00527F16">
        <w:rPr>
          <w:rFonts w:ascii="Times New Roman" w:hAnsi="Times New Roman"/>
          <w:b/>
          <w:color w:val="00B050"/>
        </w:rPr>
        <w:t>Todaro &amp; Smith</w:t>
      </w:r>
      <w:r w:rsidRPr="002C1949">
        <w:rPr>
          <w:rFonts w:ascii="Times New Roman" w:hAnsi="Times New Roman"/>
        </w:rPr>
        <w:t>, 2020). Globally, the agricultural sector including forestry and fishing employed about 916 millio</w:t>
      </w:r>
      <w:bookmarkStart w:id="0" w:name="_GoBack"/>
      <w:bookmarkEnd w:id="0"/>
      <w:r w:rsidRPr="002C1949">
        <w:rPr>
          <w:rFonts w:ascii="Times New Roman" w:hAnsi="Times New Roman"/>
        </w:rPr>
        <w:t>n people in 2023, representing 26.1 percent of total employment (</w:t>
      </w:r>
      <w:r w:rsidRPr="00527F16">
        <w:rPr>
          <w:rFonts w:ascii="Times New Roman" w:hAnsi="Times New Roman"/>
          <w:color w:val="00B050"/>
        </w:rPr>
        <w:t>FAO, 2024</w:t>
      </w:r>
      <w:r w:rsidRPr="002C1949">
        <w:rPr>
          <w:rFonts w:ascii="Times New Roman" w:hAnsi="Times New Roman"/>
        </w:rPr>
        <w:t>). Africa recorded the highest regional share, with nearly 46 percent of its labour force engaged in agriculture (</w:t>
      </w:r>
      <w:r w:rsidRPr="00126AFF">
        <w:rPr>
          <w:rFonts w:ascii="Times New Roman" w:hAnsi="Times New Roman"/>
          <w:color w:val="00B050"/>
        </w:rPr>
        <w:t>FAO, 2025</w:t>
      </w:r>
      <w:r w:rsidRPr="002C1949">
        <w:rPr>
          <w:rFonts w:ascii="Times New Roman" w:hAnsi="Times New Roman"/>
        </w:rPr>
        <w:t>). Despite this centrality, agricultural productivity across much of Sub-Saharan Africa remains low, constrained by limited access to inputs, credit, technology, and extension services (</w:t>
      </w:r>
      <w:r w:rsidRPr="00126AFF">
        <w:rPr>
          <w:rFonts w:ascii="Times New Roman" w:hAnsi="Times New Roman"/>
          <w:color w:val="00B050"/>
        </w:rPr>
        <w:t>Abebaw, Birru and Alemu, 2022;</w:t>
      </w:r>
      <w:r w:rsidRPr="002C1949">
        <w:rPr>
          <w:rFonts w:ascii="Times New Roman" w:hAnsi="Times New Roman"/>
        </w:rPr>
        <w:t xml:space="preserve"> </w:t>
      </w:r>
      <w:r w:rsidRPr="00126AFF">
        <w:rPr>
          <w:rFonts w:ascii="Times New Roman" w:hAnsi="Times New Roman"/>
          <w:color w:val="00B050"/>
        </w:rPr>
        <w:t>Magakwe and Olorunfemi, 2024</w:t>
      </w:r>
      <w:r w:rsidRPr="002C1949">
        <w:rPr>
          <w:rFonts w:ascii="Times New Roman" w:hAnsi="Times New Roman"/>
        </w:rPr>
        <w:t xml:space="preserve">). Improving farmers’ access to agricultural extension services is therefore critical for agricultural transformation and food security </w:t>
      </w:r>
      <w:r w:rsidRPr="00372A96">
        <w:rPr>
          <w:rFonts w:ascii="Times New Roman" w:hAnsi="Times New Roman"/>
          <w:b/>
          <w:strike/>
          <w:color w:val="FF0000"/>
        </w:rPr>
        <w:t>on</w:t>
      </w:r>
      <w:r w:rsidR="00DA1267">
        <w:rPr>
          <w:rFonts w:ascii="Times New Roman" w:hAnsi="Times New Roman"/>
        </w:rPr>
        <w:t xml:space="preserve"> </w:t>
      </w:r>
      <w:r w:rsidR="00DA1267" w:rsidRPr="00DA1267">
        <w:rPr>
          <w:rFonts w:ascii="Times New Roman" w:hAnsi="Times New Roman"/>
          <w:b/>
          <w:color w:val="FF0000"/>
        </w:rPr>
        <w:t>in</w:t>
      </w:r>
      <w:r w:rsidRPr="002C1949">
        <w:rPr>
          <w:rFonts w:ascii="Times New Roman" w:hAnsi="Times New Roman"/>
        </w:rPr>
        <w:t xml:space="preserve"> the continent.</w:t>
      </w:r>
    </w:p>
    <w:p w:rsidR="00126AFF" w:rsidRDefault="00677B0D">
      <w:pPr>
        <w:spacing w:line="360" w:lineRule="auto"/>
        <w:jc w:val="both"/>
        <w:rPr>
          <w:rFonts w:ascii="Times New Roman" w:hAnsi="Times New Roman"/>
          <w:color w:val="00B050"/>
        </w:rPr>
      </w:pPr>
      <w:r w:rsidRPr="002C1949">
        <w:rPr>
          <w:rFonts w:ascii="Times New Roman" w:hAnsi="Times New Roman"/>
        </w:rPr>
        <w:t>Agricultural extension services are widely recognized as key mechanisms for promoting technology adoption, improving farm management, and strengthening rural livelihoods (</w:t>
      </w:r>
      <w:r w:rsidRPr="00126AFF">
        <w:rPr>
          <w:rFonts w:ascii="Times New Roman" w:hAnsi="Times New Roman"/>
          <w:color w:val="00B050"/>
        </w:rPr>
        <w:t>Mensah and Boamah, 2023</w:t>
      </w:r>
    </w:p>
    <w:p w:rsidR="003E48F9" w:rsidRPr="002C1949" w:rsidRDefault="00677B0D">
      <w:pPr>
        <w:spacing w:line="360" w:lineRule="auto"/>
        <w:jc w:val="both"/>
        <w:rPr>
          <w:rFonts w:ascii="Times New Roman" w:hAnsi="Times New Roman"/>
        </w:rPr>
      </w:pPr>
      <w:r w:rsidRPr="002C1949">
        <w:rPr>
          <w:rFonts w:ascii="Times New Roman" w:hAnsi="Times New Roman"/>
        </w:rPr>
        <w:t>). Through training, information dissemination, and technical advice, extension agents bridge the gap between research and farmers, helping them adopt innovations that increase yields and resilience. Yet, in most African contexts, the reach and inclusiveness of extension systems remain limited, particularly among smallholder farmers who operate in fragmented and resource-poor settings (Lee et al., 2023).</w:t>
      </w:r>
    </w:p>
    <w:p w:rsidR="003E48F9" w:rsidRPr="002C1949" w:rsidRDefault="00677B0D">
      <w:pPr>
        <w:spacing w:line="360" w:lineRule="auto"/>
        <w:jc w:val="both"/>
        <w:rPr>
          <w:rFonts w:ascii="Times New Roman" w:hAnsi="Times New Roman"/>
        </w:rPr>
      </w:pPr>
      <w:r w:rsidRPr="002C1949">
        <w:rPr>
          <w:rFonts w:ascii="Times New Roman" w:hAnsi="Times New Roman"/>
        </w:rPr>
        <w:t>Weak institutional coordination, underfunding, and limited farmer organization often constrain the effectiveness of extension delivery to farmers (Abebaw et al., 2022). These challenges have led to growing interest in the role of farmer organizations as institutional forms that can facilitate collective access to information, inputs, and extension services. Farmer organisations such as cooperatives, associations, and producer groups, are increasingly viewed as vital instruments for strengthening smallholder participation in agricultural development (Mwangi, 2024). By pooling resources and coordinating production, they reduce transaction costs, enhance bargaining power, and attract the attention of service providers who prefer working with organized groups rather than dispersed individuals (</w:t>
      </w:r>
      <w:r w:rsidRPr="00126AFF">
        <w:rPr>
          <w:rFonts w:ascii="Times New Roman" w:hAnsi="Times New Roman"/>
          <w:color w:val="00B050"/>
        </w:rPr>
        <w:t>Magakwe and Olorunfemi, 2024</w:t>
      </w:r>
      <w:r w:rsidRPr="002C1949">
        <w:rPr>
          <w:rFonts w:ascii="Times New Roman" w:hAnsi="Times New Roman"/>
        </w:rPr>
        <w:t>). Farmer organizations can serve as effective conduits for the dissemination of agricultural technologies, financial services, and market information, thereby improving productivity and rural livelihoods (</w:t>
      </w:r>
      <w:r w:rsidRPr="00126AFF">
        <w:rPr>
          <w:rFonts w:ascii="Times New Roman" w:hAnsi="Times New Roman"/>
          <w:color w:val="00B050"/>
        </w:rPr>
        <w:t>Kongor et al., 2024</w:t>
      </w:r>
      <w:r w:rsidRPr="002C1949">
        <w:rPr>
          <w:rFonts w:ascii="Times New Roman" w:hAnsi="Times New Roman"/>
        </w:rPr>
        <w:t>). These institutional benefits are particularly relevant in cash crop sectors such as cocoa, where knowledge intensive production practices and quality standards require continuous technical support from extension systems.</w:t>
      </w:r>
    </w:p>
    <w:p w:rsidR="003E48F9" w:rsidRPr="002C1949" w:rsidRDefault="00677B0D">
      <w:pPr>
        <w:spacing w:line="360" w:lineRule="auto"/>
        <w:jc w:val="both"/>
        <w:rPr>
          <w:rFonts w:ascii="Times New Roman" w:hAnsi="Times New Roman"/>
        </w:rPr>
      </w:pPr>
      <w:r w:rsidRPr="002C1949">
        <w:rPr>
          <w:rFonts w:ascii="Times New Roman" w:hAnsi="Times New Roman"/>
        </w:rPr>
        <w:lastRenderedPageBreak/>
        <w:t xml:space="preserve">Cocoa remains one of the most valuable tropical export commodities and an important source of income </w:t>
      </w:r>
      <w:r w:rsidRPr="00372A96">
        <w:rPr>
          <w:rFonts w:ascii="Times New Roman" w:hAnsi="Times New Roman"/>
          <w:b/>
          <w:color w:val="FF0000"/>
          <w:u w:val="single"/>
        </w:rPr>
        <w:t>forfarmers</w:t>
      </w:r>
      <w:r w:rsidRPr="002C1949">
        <w:rPr>
          <w:rFonts w:ascii="Times New Roman" w:hAnsi="Times New Roman"/>
        </w:rPr>
        <w:t xml:space="preserve"> across West and Central Africa, for which access to extension services remain a top priority. Global production for the 2022 to 2023 season stood at approximately 4.996 million metric tons, with Côte d’Ivoire and Ghana accounting for over half of the total output (</w:t>
      </w:r>
      <w:r w:rsidRPr="00126AFF">
        <w:rPr>
          <w:rFonts w:ascii="Times New Roman" w:hAnsi="Times New Roman"/>
          <w:color w:val="00B050"/>
        </w:rPr>
        <w:t>Anim-Kwapong&amp; Frimpong, 2024).</w:t>
      </w:r>
      <w:r w:rsidRPr="002C1949">
        <w:rPr>
          <w:rFonts w:ascii="Times New Roman" w:hAnsi="Times New Roman"/>
        </w:rPr>
        <w:t xml:space="preserve"> However, productivity levels across the region remain low due to structural barriers such as ageing tree stocks, pest and disease incidence, limited access to improved planting materials, and inadequate technical support (</w:t>
      </w:r>
      <w:r w:rsidRPr="00126AFF">
        <w:rPr>
          <w:rFonts w:ascii="Times New Roman" w:hAnsi="Times New Roman"/>
          <w:color w:val="00B050"/>
        </w:rPr>
        <w:t>Afoakwa, 2023; Effah&amp; Addai, 2024</w:t>
      </w:r>
      <w:r w:rsidRPr="002C1949">
        <w:rPr>
          <w:rFonts w:ascii="Times New Roman" w:hAnsi="Times New Roman"/>
        </w:rPr>
        <w:t xml:space="preserve">). Individual cocoa farmers often struggle to adopt recommended practices in the absence of regular contact with extension agents, and those who are not members of organized groups are particularly disadvantaged (Obeng Agyei et al., 2023; Aidoo &amp; Fromm, </w:t>
      </w:r>
      <w:r w:rsidRPr="00372A96">
        <w:rPr>
          <w:rFonts w:ascii="Times New Roman" w:hAnsi="Times New Roman"/>
          <w:b/>
          <w:color w:val="FF0000"/>
          <w:u w:val="single"/>
        </w:rPr>
        <w:t>2024).Consequently</w:t>
      </w:r>
      <w:r w:rsidRPr="002C1949">
        <w:rPr>
          <w:rFonts w:ascii="Times New Roman" w:hAnsi="Times New Roman"/>
        </w:rPr>
        <w:t>, the functioning of farmer organizations as potential bridges to extension systems has become a subject of growing policy and research interest.</w:t>
      </w:r>
    </w:p>
    <w:p w:rsidR="003E48F9" w:rsidRPr="002C1949" w:rsidRDefault="00677B0D">
      <w:pPr>
        <w:spacing w:line="360" w:lineRule="auto"/>
        <w:jc w:val="both"/>
        <w:rPr>
          <w:rFonts w:ascii="Times New Roman" w:hAnsi="Times New Roman"/>
        </w:rPr>
      </w:pPr>
      <w:r w:rsidRPr="002C1949">
        <w:rPr>
          <w:rFonts w:ascii="Times New Roman" w:hAnsi="Times New Roman"/>
        </w:rPr>
        <w:t xml:space="preserve">In Cameroon, cocoa is both an economic and livelihood commodity. The country produced an estimated 309,518 metric tons in the 2024 to 2025 season, with domestic processing reaching over 109,000 metric tons </w:t>
      </w:r>
      <w:r w:rsidRPr="00126AFF">
        <w:rPr>
          <w:rFonts w:ascii="Times New Roman" w:hAnsi="Times New Roman"/>
          <w:color w:val="00B050"/>
        </w:rPr>
        <w:t>(Ecofin Agency, 2025</w:t>
      </w:r>
      <w:r w:rsidRPr="002C1949">
        <w:rPr>
          <w:rFonts w:ascii="Times New Roman" w:hAnsi="Times New Roman"/>
        </w:rPr>
        <w:t>). The crop supports more than 600,000 smallholder households and contributes significantly to agricultural GDP and export earnings (</w:t>
      </w:r>
      <w:r w:rsidRPr="00126AFF">
        <w:rPr>
          <w:rFonts w:ascii="Times New Roman" w:hAnsi="Times New Roman"/>
          <w:color w:val="00B050"/>
        </w:rPr>
        <w:t>International Cocoa Organization, 2024</w:t>
      </w:r>
      <w:r w:rsidRPr="002C1949">
        <w:rPr>
          <w:rFonts w:ascii="Times New Roman" w:hAnsi="Times New Roman"/>
        </w:rPr>
        <w:t>). Within this context, the government and development partners have increasingly promoted the formation of farmer cooperatives and common initiative groups as vehicles for improving productivity, extension access, and market inclusion (</w:t>
      </w:r>
      <w:r w:rsidRPr="00126AFF">
        <w:rPr>
          <w:rFonts w:ascii="Times New Roman" w:hAnsi="Times New Roman"/>
          <w:color w:val="00B050"/>
        </w:rPr>
        <w:t>MINADER, 2021</w:t>
      </w:r>
      <w:r w:rsidRPr="002C1949">
        <w:rPr>
          <w:rFonts w:ascii="Times New Roman" w:hAnsi="Times New Roman"/>
        </w:rPr>
        <w:t>). However, the performance of these organizations varies widely. Many remain weak in governance and resource mobilization, and the extent to which they actually enhance members’ access to agricultural extension services is not well understood (</w:t>
      </w:r>
      <w:r w:rsidRPr="00126AFF">
        <w:rPr>
          <w:rFonts w:ascii="Times New Roman" w:hAnsi="Times New Roman"/>
          <w:color w:val="00B050"/>
        </w:rPr>
        <w:t>Ngong &amp;Kimengsi, 2022</w:t>
      </w:r>
      <w:r w:rsidRPr="002C1949">
        <w:rPr>
          <w:rFonts w:ascii="Times New Roman" w:hAnsi="Times New Roman"/>
        </w:rPr>
        <w:t xml:space="preserve">; </w:t>
      </w:r>
      <w:r w:rsidRPr="00126AFF">
        <w:rPr>
          <w:rFonts w:ascii="Times New Roman" w:hAnsi="Times New Roman"/>
          <w:color w:val="00B050"/>
        </w:rPr>
        <w:t>Essougong et al., 2023</w:t>
      </w:r>
      <w:r w:rsidRPr="002C1949">
        <w:rPr>
          <w:rFonts w:ascii="Times New Roman" w:hAnsi="Times New Roman"/>
        </w:rPr>
        <w:t>).</w:t>
      </w:r>
    </w:p>
    <w:p w:rsidR="003E48F9" w:rsidRPr="002C1949" w:rsidRDefault="00677B0D">
      <w:pPr>
        <w:spacing w:line="360" w:lineRule="auto"/>
        <w:jc w:val="both"/>
        <w:rPr>
          <w:rFonts w:ascii="Times New Roman" w:hAnsi="Times New Roman"/>
        </w:rPr>
      </w:pPr>
      <w:r w:rsidRPr="002C1949">
        <w:rPr>
          <w:rFonts w:ascii="Times New Roman" w:hAnsi="Times New Roman"/>
        </w:rPr>
        <w:t>Fako Division in the South West Region of Cameroon presents a relevant case for examining this relationship. The region accounts for nearly 40 percent of the country’s cocoa production, with Fako contributing about 11 percent of the cultivated area (</w:t>
      </w:r>
      <w:r w:rsidRPr="00126AFF">
        <w:rPr>
          <w:rFonts w:ascii="Times New Roman" w:hAnsi="Times New Roman"/>
          <w:color w:val="00B050"/>
        </w:rPr>
        <w:t>ONCC, 2023</w:t>
      </w:r>
      <w:r w:rsidRPr="002C1949">
        <w:rPr>
          <w:rFonts w:ascii="Times New Roman" w:hAnsi="Times New Roman"/>
        </w:rPr>
        <w:t>). Cocoa is the primary source of income for most rural households in Fako division, and several development initiatives such as the Meveo Cultural and Development Assembly (MEVCUDA) and Agroproduce Management Services have sought to provide AES to farmers aimed at improving farmers’ access to planting materials, equipment, and training (</w:t>
      </w:r>
      <w:r w:rsidRPr="00126AFF">
        <w:rPr>
          <w:rFonts w:ascii="Times New Roman" w:hAnsi="Times New Roman"/>
          <w:color w:val="00B050"/>
        </w:rPr>
        <w:t>The Guardian Post, 2024</w:t>
      </w:r>
      <w:r w:rsidRPr="002C1949">
        <w:rPr>
          <w:rFonts w:ascii="Times New Roman" w:hAnsi="Times New Roman"/>
        </w:rPr>
        <w:t xml:space="preserve">). Despite these interventions, many farmers still report limited or irregular contact with extension agents, especially non-members of farmer organizations. The uneven coverage and functionality of both farmer organizations and extension structures within Fako Division therefore raise critical questions about institutional inclusiveness and the effectiveness of existing agricultural support systems. However, not much research exists on the actual effects of access to </w:t>
      </w:r>
      <w:r w:rsidRPr="002C1949">
        <w:rPr>
          <w:rFonts w:ascii="Times New Roman" w:hAnsi="Times New Roman"/>
        </w:rPr>
        <w:lastRenderedPageBreak/>
        <w:t>agricultural extension services (AES) on farmers, particularly in terms of how farmer-organization membership shapes such access within the cocoa sector of Fako Division.</w:t>
      </w:r>
    </w:p>
    <w:p w:rsidR="003E48F9" w:rsidRPr="002C1949" w:rsidRDefault="00677B0D">
      <w:pPr>
        <w:spacing w:line="360" w:lineRule="auto"/>
        <w:jc w:val="both"/>
        <w:rPr>
          <w:rFonts w:ascii="Times New Roman" w:hAnsi="Times New Roman"/>
        </w:rPr>
      </w:pPr>
      <w:r w:rsidRPr="002C1949">
        <w:rPr>
          <w:rFonts w:ascii="Times New Roman" w:hAnsi="Times New Roman"/>
        </w:rPr>
        <w:t>Empirical evidence suggests that membership in farmer organizations tends to improve access to inputs, credit, and training (</w:t>
      </w:r>
      <w:r w:rsidRPr="00126AFF">
        <w:rPr>
          <w:rFonts w:ascii="Times New Roman" w:hAnsi="Times New Roman"/>
          <w:color w:val="00B050"/>
        </w:rPr>
        <w:t>Francesconi&amp;Heerink, 2010</w:t>
      </w:r>
      <w:r w:rsidRPr="002C1949">
        <w:rPr>
          <w:rFonts w:ascii="Times New Roman" w:hAnsi="Times New Roman"/>
        </w:rPr>
        <w:t>; Taku et al., 2020). At the same time, there is evidence that organizational weaknesses, elite capture, and uneven participation constrain their potential impact (Mwambi et al., 2020; Tumenta et al., 2021). In fact, some studies even suggest no strong or consistent link between membership in organizations and access to extension services (Somanje et al., 2021; Hailu</w:t>
      </w:r>
      <w:r w:rsidRPr="002C1949">
        <w:rPr>
          <w:rFonts w:ascii="Times New Roman" w:hAnsi="Times New Roman"/>
          <w:lang w:val="en-GB"/>
        </w:rPr>
        <w:t xml:space="preserve"> et al </w:t>
      </w:r>
      <w:r w:rsidRPr="00F257CF">
        <w:rPr>
          <w:rFonts w:ascii="Times New Roman" w:hAnsi="Times New Roman"/>
          <w:b/>
          <w:color w:val="FF0000"/>
          <w:u w:val="single"/>
        </w:rPr>
        <w:t>2015)Mixed</w:t>
      </w:r>
      <w:r w:rsidRPr="002C1949">
        <w:rPr>
          <w:rFonts w:ascii="Times New Roman" w:hAnsi="Times New Roman"/>
        </w:rPr>
        <w:t xml:space="preserve"> evidence creates a gap that limits the design of evidence-based policies to strengthen institutional delivery of extension services and improve equity among farmers over space and time.</w:t>
      </w:r>
    </w:p>
    <w:p w:rsidR="003E48F9" w:rsidRPr="002C1949" w:rsidRDefault="00677B0D">
      <w:pPr>
        <w:spacing w:line="360" w:lineRule="auto"/>
        <w:jc w:val="both"/>
        <w:rPr>
          <w:rFonts w:ascii="Times New Roman" w:hAnsi="Times New Roman"/>
        </w:rPr>
      </w:pPr>
      <w:r w:rsidRPr="002C1949">
        <w:rPr>
          <w:rFonts w:ascii="Times New Roman" w:hAnsi="Times New Roman"/>
        </w:rPr>
        <w:t>Against this backdrop, the present study seeks to examine the extent to which membership in farmer organizations influences access to agricultural extension services among cocoa farmers in Fako Division in the Southwest Region of Cameroon. Specifically, the study pursues two objectives. To examine the association between farmer organization membership and access to agricultural extension services, and to assess how farmer organization membership, together with socio-demographic and farm characteristics (education, farm size, age, and gender), affects the likelihood of accessing extension services. Understanding this linkage is essential for identifying institutional pathways that enhance the effectiveness of extension systems and for informing strategies to improve cocoa productivity and rural welfare.</w:t>
      </w:r>
    </w:p>
    <w:p w:rsidR="003E48F9" w:rsidRPr="002C1949" w:rsidRDefault="00677B0D">
      <w:pPr>
        <w:pStyle w:val="p1"/>
        <w:spacing w:line="360" w:lineRule="auto"/>
        <w:jc w:val="both"/>
        <w:rPr>
          <w:rFonts w:ascii="Times New Roman" w:hAnsi="Times New Roman"/>
        </w:rPr>
      </w:pPr>
      <w:r w:rsidRPr="002C1949">
        <w:rPr>
          <w:rFonts w:ascii="Times New Roman" w:hAnsi="Times New Roman"/>
        </w:rPr>
        <w:t xml:space="preserve">The study is justified on both theoretical and policy grounds. Theoretically, it contributes to understanding how institutional affiliation shapes farmers’ engagement with extension systems, drawing from diffusion and institutional perspectives that highlight the role of social networks and legitimacy in service delivery. From a policy standpoint, it provides evidence to support Cameroon’s agricultural modernization agenda, which emphasizes farmer empowerment and knowledge-based intensification (MINADER, 2021). By situating the analysis within Fako Division, a major cocoa-producing area characterized by active but uneven farmer organization structures, the study generates context-specific insights that can guide the design of inclusive and effective extension programs. Strengthening farmer organizations as credible partners in extension delivery has the potential not only to improve productivity but also to advance equitable and sustainable livelihood outcomes among cocoa farmers in </w:t>
      </w:r>
      <w:r w:rsidRPr="00D231FD">
        <w:rPr>
          <w:rFonts w:ascii="Times New Roman" w:hAnsi="Times New Roman"/>
          <w:b/>
          <w:color w:val="FF0000"/>
          <w:u w:val="single"/>
        </w:rPr>
        <w:t>Cameroon.</w:t>
      </w:r>
      <w:r w:rsidRPr="00D231FD">
        <w:rPr>
          <w:rStyle w:val="s1"/>
          <w:rFonts w:ascii="Times New Roman" w:eastAsia="Times New Roman" w:hAnsi="Times New Roman" w:cs="Times New Roman"/>
          <w:b/>
          <w:color w:val="FF0000"/>
          <w:u w:val="single"/>
        </w:rPr>
        <w:t>Globally</w:t>
      </w:r>
      <w:r w:rsidRPr="002C1949">
        <w:rPr>
          <w:rStyle w:val="s1"/>
          <w:rFonts w:ascii="Times New Roman" w:eastAsia="Times New Roman" w:hAnsi="Times New Roman" w:cs="Times New Roman"/>
        </w:rPr>
        <w:t xml:space="preserve">, it contributes to reducing the nuances in the topical literature on the role of membership in farmer organizations and </w:t>
      </w:r>
      <w:r w:rsidRPr="002C1949">
        <w:rPr>
          <w:rStyle w:val="s1"/>
          <w:rFonts w:ascii="Times New Roman" w:eastAsia="Times New Roman" w:hAnsi="Times New Roman" w:cs="Times New Roman"/>
          <w:lang w:val="en-GB"/>
        </w:rPr>
        <w:t>Agricultural Extension Services.</w:t>
      </w:r>
    </w:p>
    <w:p w:rsidR="003E48F9" w:rsidRPr="002C1949" w:rsidRDefault="00677B0D">
      <w:pPr>
        <w:spacing w:line="360" w:lineRule="auto"/>
        <w:jc w:val="both"/>
        <w:rPr>
          <w:rFonts w:ascii="Times New Roman" w:hAnsi="Times New Roman"/>
        </w:rPr>
      </w:pPr>
      <w:r w:rsidRPr="002C1949">
        <w:rPr>
          <w:rFonts w:ascii="Times New Roman" w:hAnsi="Times New Roman"/>
        </w:rPr>
        <w:t>The next section presents the theoretical and conceptual framework, highlighting the key concepts and models that guide the study.</w:t>
      </w:r>
    </w:p>
    <w:p w:rsidR="003E48F9" w:rsidRPr="002C1949" w:rsidRDefault="00281FC4">
      <w:pPr>
        <w:spacing w:line="360" w:lineRule="auto"/>
        <w:jc w:val="both"/>
        <w:rPr>
          <w:rFonts w:ascii="Arial" w:hAnsi="Arial" w:cs="Arial"/>
          <w:b/>
          <w:bCs/>
        </w:rPr>
      </w:pPr>
      <w:r w:rsidRPr="002C1949">
        <w:rPr>
          <w:rFonts w:ascii="Arial" w:hAnsi="Arial" w:cs="Arial"/>
          <w:b/>
          <w:bCs/>
        </w:rPr>
        <w:lastRenderedPageBreak/>
        <w:t>2. THEORETICAL AND CONCEPTUAL FRAMEWORK</w:t>
      </w:r>
    </w:p>
    <w:p w:rsidR="003E48F9" w:rsidRPr="002C1949" w:rsidRDefault="00677B0D">
      <w:pPr>
        <w:spacing w:line="360" w:lineRule="auto"/>
        <w:jc w:val="both"/>
        <w:rPr>
          <w:rFonts w:ascii="Times New Roman" w:hAnsi="Times New Roman"/>
        </w:rPr>
      </w:pPr>
      <w:r w:rsidRPr="002C1949">
        <w:rPr>
          <w:rFonts w:ascii="Times New Roman" w:hAnsi="Times New Roman"/>
        </w:rPr>
        <w:t>The relationship between membership in farmer organizations and access to agricultural extension services can be explained through a synthesis of three complementary perspectives: Social Capital Theory, Cooperative Theory, and Human Capital Theory. Together, these theories provide a multidimensional understanding of how institutional affiliation, collective action, and individual capacity interact to influence farmers’ ability to obtain and benefit from agricultural support systems.</w:t>
      </w:r>
    </w:p>
    <w:p w:rsidR="003E48F9" w:rsidRPr="00B72BE0" w:rsidRDefault="00677B0D">
      <w:pPr>
        <w:spacing w:line="360" w:lineRule="auto"/>
        <w:jc w:val="both"/>
        <w:rPr>
          <w:rFonts w:ascii="Times New Roman" w:hAnsi="Times New Roman"/>
          <w:color w:val="00B050"/>
        </w:rPr>
      </w:pPr>
      <w:r w:rsidRPr="002C1949">
        <w:rPr>
          <w:rFonts w:ascii="Times New Roman" w:hAnsi="Times New Roman"/>
          <w:i/>
        </w:rPr>
        <w:t>Social Capital Theory</w:t>
      </w:r>
      <w:r w:rsidRPr="002C1949">
        <w:rPr>
          <w:rFonts w:ascii="Times New Roman" w:hAnsi="Times New Roman"/>
        </w:rPr>
        <w:t xml:space="preserve"> emphasizes the value of social networks, trust, and shared norms in facilitating cooperation and the exchange of information (</w:t>
      </w:r>
      <w:r w:rsidRPr="00126AFF">
        <w:rPr>
          <w:rFonts w:ascii="Times New Roman" w:hAnsi="Times New Roman"/>
          <w:color w:val="00B050"/>
        </w:rPr>
        <w:t>Grootaert&amp; van Bastelaer, 2002;</w:t>
      </w:r>
      <w:r w:rsidRPr="002C1949">
        <w:rPr>
          <w:rFonts w:ascii="Times New Roman" w:hAnsi="Times New Roman"/>
        </w:rPr>
        <w:t xml:space="preserve"> Balgah et al., 2025). The idea that farmers who belong to strong networks are better positioned to access agricultural knowledge has been widely supported in recent studies (</w:t>
      </w:r>
      <w:r w:rsidRPr="00126AFF">
        <w:rPr>
          <w:rFonts w:ascii="Times New Roman" w:hAnsi="Times New Roman"/>
          <w:color w:val="00B050"/>
        </w:rPr>
        <w:t>Pretty, 2003;</w:t>
      </w:r>
      <w:r w:rsidRPr="002C1949">
        <w:rPr>
          <w:rFonts w:ascii="Times New Roman" w:hAnsi="Times New Roman"/>
        </w:rPr>
        <w:t xml:space="preserve"> </w:t>
      </w:r>
      <w:r w:rsidRPr="00126AFF">
        <w:rPr>
          <w:rFonts w:ascii="Times New Roman" w:hAnsi="Times New Roman"/>
          <w:color w:val="00B050"/>
        </w:rPr>
        <w:t>Grootaert&amp; van Bastelaer, 2002;</w:t>
      </w:r>
      <w:r w:rsidRPr="002C1949">
        <w:rPr>
          <w:rFonts w:ascii="Times New Roman" w:hAnsi="Times New Roman"/>
        </w:rPr>
        <w:t xml:space="preserve"> </w:t>
      </w:r>
      <w:r w:rsidRPr="00126AFF">
        <w:rPr>
          <w:rFonts w:ascii="Times New Roman" w:hAnsi="Times New Roman"/>
          <w:color w:val="00B050"/>
        </w:rPr>
        <w:t>KenfackEssougong et al., 2024</w:t>
      </w:r>
      <w:r w:rsidRPr="002C1949">
        <w:rPr>
          <w:rFonts w:ascii="Times New Roman" w:hAnsi="Times New Roman"/>
        </w:rPr>
        <w:t xml:space="preserve">). Within the context of farmer organizations, social capital manifests through interpersonal connections that enable collective learning, joint problem solving, and rapid diffusion of innovations. </w:t>
      </w:r>
      <w:r w:rsidRPr="00B72BE0">
        <w:rPr>
          <w:rFonts w:ascii="Times New Roman" w:hAnsi="Times New Roman"/>
          <w:color w:val="00B050"/>
        </w:rPr>
        <w:t>Kouassi et al. (2023) and Chen, Yi and Zhao (2023)</w:t>
      </w:r>
      <w:r w:rsidRPr="002C1949">
        <w:rPr>
          <w:rFonts w:ascii="Times New Roman" w:hAnsi="Times New Roman"/>
        </w:rPr>
        <w:t xml:space="preserve"> observed that high levels of social capital enhance the flow of technical information and improve adoption rates of new technologies among organized farmers. The structural form of social capital links individual producers to institutional actors such as extension officers and input suppliers, while the relational dimension fosters trust, mutual support, and cooperation (Balu &amp; Singh, 2015). Cognitive social capital, which reflects shared goals and a collective identity, motivates members to participate in group-based training and demonstrations (</w:t>
      </w:r>
      <w:r w:rsidRPr="00B72BE0">
        <w:rPr>
          <w:rFonts w:ascii="Times New Roman" w:hAnsi="Times New Roman"/>
          <w:color w:val="00B050"/>
        </w:rPr>
        <w:t>Wambugu, 2017</w:t>
      </w:r>
      <w:r w:rsidRPr="002C1949">
        <w:rPr>
          <w:rFonts w:ascii="Times New Roman" w:hAnsi="Times New Roman"/>
        </w:rPr>
        <w:t xml:space="preserve">). Through these mechanisms, social capital theory explains why members of farmer organizations are more likely to be reached by extension agents and to share new knowledge with their peers (Balu &amp; Singh, 2015; </w:t>
      </w:r>
      <w:r w:rsidRPr="00B72BE0">
        <w:rPr>
          <w:rFonts w:ascii="Times New Roman" w:hAnsi="Times New Roman"/>
          <w:color w:val="00B050"/>
        </w:rPr>
        <w:t>Wambugu, 2017).</w:t>
      </w:r>
    </w:p>
    <w:p w:rsidR="003E48F9" w:rsidRPr="002C1949" w:rsidRDefault="00677B0D">
      <w:pPr>
        <w:spacing w:line="360" w:lineRule="auto"/>
        <w:jc w:val="both"/>
        <w:rPr>
          <w:rFonts w:ascii="Times New Roman" w:hAnsi="Times New Roman"/>
        </w:rPr>
      </w:pPr>
      <w:r w:rsidRPr="002C1949">
        <w:rPr>
          <w:rFonts w:ascii="Times New Roman" w:hAnsi="Times New Roman"/>
          <w:i/>
        </w:rPr>
        <w:t>Cooperative Theory</w:t>
      </w:r>
      <w:r w:rsidRPr="002C1949">
        <w:rPr>
          <w:rFonts w:ascii="Times New Roman" w:hAnsi="Times New Roman"/>
        </w:rPr>
        <w:t xml:space="preserve"> complements this view by highlighting the institutional foundations of collective action. Cooperatives and farmer groups serve as intermediaries between individual producers and the broader agricultural support ecosystem. The theory holds that when farmers pool their resources and act collectively, they overcome the limitations of scale, information asymmetry, and market exclusion that often constrain smallholders (</w:t>
      </w:r>
      <w:r w:rsidRPr="00B72BE0">
        <w:rPr>
          <w:rFonts w:ascii="Times New Roman" w:hAnsi="Times New Roman"/>
          <w:color w:val="00B050"/>
        </w:rPr>
        <w:t>Birchall, 2011</w:t>
      </w:r>
      <w:r w:rsidRPr="002C1949">
        <w:rPr>
          <w:rFonts w:ascii="Times New Roman" w:hAnsi="Times New Roman"/>
        </w:rPr>
        <w:t>; Bijman, 2016). Cooperative principles such as voluntary participation, democratic governance, and continuous education promote inclusion, accountability, and knowledge building among members (</w:t>
      </w:r>
      <w:r w:rsidRPr="00B72BE0">
        <w:rPr>
          <w:rFonts w:ascii="Times New Roman" w:hAnsi="Times New Roman"/>
          <w:color w:val="00B050"/>
        </w:rPr>
        <w:t>ILO, 2017; ICA, 2018</w:t>
      </w:r>
      <w:r w:rsidRPr="002C1949">
        <w:rPr>
          <w:rFonts w:ascii="Times New Roman" w:hAnsi="Times New Roman"/>
        </w:rPr>
        <w:t>). Recent evidence from Sub-Saharan Africa shows that organized groups attract more consistent engagement from extension officers and development agencies because they offer a cost-effective channel for disseminating innovations and mobilizing farmers (</w:t>
      </w:r>
      <w:r w:rsidRPr="00B72BE0">
        <w:rPr>
          <w:rFonts w:ascii="Times New Roman" w:hAnsi="Times New Roman"/>
          <w:color w:val="00B050"/>
        </w:rPr>
        <w:t>Kouassi et al., 2023; KenfackEssougong et al., 2024</w:t>
      </w:r>
      <w:r w:rsidRPr="002C1949">
        <w:rPr>
          <w:rFonts w:ascii="Times New Roman" w:hAnsi="Times New Roman"/>
        </w:rPr>
        <w:t xml:space="preserve">). In Fako Division, this theoretical perspective </w:t>
      </w:r>
      <w:r w:rsidRPr="002C1949">
        <w:rPr>
          <w:rFonts w:ascii="Times New Roman" w:hAnsi="Times New Roman"/>
        </w:rPr>
        <w:lastRenderedPageBreak/>
        <w:t>suggests that farmer organizations reduce coordination costs for extension agents, making service delivery more efficient and improving farmers’ access to timely technical guidance.</w:t>
      </w:r>
    </w:p>
    <w:p w:rsidR="003E48F9" w:rsidRPr="002C1949" w:rsidRDefault="00677B0D">
      <w:pPr>
        <w:spacing w:line="360" w:lineRule="auto"/>
        <w:jc w:val="both"/>
        <w:rPr>
          <w:rFonts w:ascii="Times New Roman" w:hAnsi="Times New Roman"/>
        </w:rPr>
      </w:pPr>
      <w:r w:rsidRPr="002C1949">
        <w:rPr>
          <w:rFonts w:ascii="Times New Roman" w:hAnsi="Times New Roman"/>
          <w:i/>
        </w:rPr>
        <w:t>Human Capital Theory</w:t>
      </w:r>
      <w:r w:rsidRPr="002C1949">
        <w:rPr>
          <w:rFonts w:ascii="Times New Roman" w:hAnsi="Times New Roman"/>
        </w:rPr>
        <w:t xml:space="preserve"> provides an individual-level perspective that explains how education, training, and accumulated skills shape a farmer’s ability to benefit from extension services. As proposed by </w:t>
      </w:r>
      <w:r w:rsidRPr="00B72BE0">
        <w:rPr>
          <w:rFonts w:ascii="Times New Roman" w:hAnsi="Times New Roman"/>
          <w:color w:val="00B050"/>
        </w:rPr>
        <w:t>Becker (1993) and Schultz (1961),</w:t>
      </w:r>
      <w:r w:rsidRPr="002C1949">
        <w:rPr>
          <w:rFonts w:ascii="Times New Roman" w:hAnsi="Times New Roman"/>
        </w:rPr>
        <w:t xml:space="preserve"> human capital represents the knowledge and competencies that increase productivity and adaptive capacity. In agricultural contexts, formal education and experiential learning enhance farmers’ ability to understand technical information, communicate with extension </w:t>
      </w:r>
      <w:r w:rsidR="00D231FD" w:rsidRPr="00D231FD">
        <w:rPr>
          <w:rFonts w:ascii="Times New Roman" w:hAnsi="Times New Roman"/>
          <w:b/>
          <w:color w:val="FF0000"/>
        </w:rPr>
        <w:t>service</w:t>
      </w:r>
      <w:r w:rsidR="00D231FD">
        <w:rPr>
          <w:rFonts w:ascii="Times New Roman" w:hAnsi="Times New Roman"/>
        </w:rPr>
        <w:t xml:space="preserve"> </w:t>
      </w:r>
      <w:r w:rsidRPr="002C1949">
        <w:rPr>
          <w:rFonts w:ascii="Times New Roman" w:hAnsi="Times New Roman"/>
        </w:rPr>
        <w:t>providers, and apply improved methods on their farms (</w:t>
      </w:r>
      <w:r w:rsidRPr="00B72BE0">
        <w:rPr>
          <w:rFonts w:ascii="Times New Roman" w:hAnsi="Times New Roman"/>
          <w:color w:val="00B050"/>
        </w:rPr>
        <w:t>Psacharopoulos&amp;Patrinos, 2018; Bello, Robinson &amp; Ouedraogo, 2021</w:t>
      </w:r>
      <w:r w:rsidRPr="002C1949">
        <w:rPr>
          <w:rFonts w:ascii="Times New Roman" w:hAnsi="Times New Roman"/>
        </w:rPr>
        <w:t>). Literature has shown that better-educated farmers are more likely to seek advice, attend trainings, and adopt innovations (</w:t>
      </w:r>
      <w:r w:rsidRPr="00B72BE0">
        <w:rPr>
          <w:rFonts w:ascii="Times New Roman" w:hAnsi="Times New Roman"/>
          <w:color w:val="00B050"/>
        </w:rPr>
        <w:t>Gezahegn et al., 2019</w:t>
      </w:r>
      <w:r w:rsidRPr="002C1949">
        <w:rPr>
          <w:rFonts w:ascii="Times New Roman" w:hAnsi="Times New Roman"/>
        </w:rPr>
        <w:t xml:space="preserve">; </w:t>
      </w:r>
      <w:r w:rsidRPr="00B72BE0">
        <w:rPr>
          <w:rFonts w:ascii="Times New Roman" w:hAnsi="Times New Roman"/>
          <w:color w:val="00B050"/>
        </w:rPr>
        <w:t>Manda et al., 2021</w:t>
      </w:r>
      <w:r w:rsidRPr="002C1949">
        <w:rPr>
          <w:rFonts w:ascii="Times New Roman" w:hAnsi="Times New Roman"/>
        </w:rPr>
        <w:t>). Farmer organizations reinforce this process by providing structured opportunities for capacity development, leadership training, and collective experimentation. The interaction between human and social capital thus strengthens farmers’ readiness to engage with extension systems and to translate knowledge into practice.</w:t>
      </w:r>
    </w:p>
    <w:p w:rsidR="003E48F9" w:rsidRPr="002C1949" w:rsidRDefault="00677B0D">
      <w:pPr>
        <w:spacing w:line="360" w:lineRule="auto"/>
        <w:jc w:val="both"/>
        <w:rPr>
          <w:rFonts w:ascii="Times New Roman" w:hAnsi="Times New Roman"/>
          <w:b/>
          <w:bCs/>
        </w:rPr>
      </w:pPr>
      <w:r w:rsidRPr="002C1949">
        <w:rPr>
          <w:rFonts w:ascii="Times New Roman" w:hAnsi="Times New Roman"/>
        </w:rPr>
        <w:t>Integrating these perspectives offers a coherent conceptual explanation of how farmer organizations improve access to agricultural extension services. Social capital explains the relational and network advantages of belonging to a group, cooperative theory highlights the institutional and organizational mechanisms that make collective access possible, and human capital theory underscores the cognitive and educational capacities that enable farmers to utilize these opportunities effectively. In combination, these frameworks suggest that organized farmers not only have greater access to extension services but also possess the social and intellectual tools necessary to transform that access into tangible livelihood gains (</w:t>
      </w:r>
      <w:r w:rsidRPr="00B72BE0">
        <w:rPr>
          <w:rFonts w:ascii="Times New Roman" w:hAnsi="Times New Roman"/>
          <w:color w:val="00B050"/>
        </w:rPr>
        <w:t>Birchall, 2011; Kouassi et al., 2023; KenfackEssougong et al., 2024</w:t>
      </w:r>
      <w:r w:rsidRPr="002C1949">
        <w:rPr>
          <w:rFonts w:ascii="Times New Roman" w:hAnsi="Times New Roman"/>
        </w:rPr>
        <w:t>). In the context of Fako Division, where many smallholders remain isolated and under-served, this integrated framework provides a powerful lens for understanding why farmer organizations function as catalysts for inclusion, knowledge dissemination, and agricultural transformation.</w:t>
      </w:r>
    </w:p>
    <w:p w:rsidR="003E48F9" w:rsidRPr="002C1949" w:rsidRDefault="00677B0D">
      <w:pPr>
        <w:spacing w:line="360" w:lineRule="auto"/>
        <w:jc w:val="both"/>
        <w:rPr>
          <w:rFonts w:ascii="Times New Roman" w:hAnsi="Times New Roman"/>
        </w:rPr>
      </w:pPr>
      <w:r w:rsidRPr="002C1949">
        <w:rPr>
          <w:rFonts w:ascii="Times New Roman" w:hAnsi="Times New Roman"/>
        </w:rPr>
        <w:t>The conceptual framework guiding this study links membership in farmer organizations to access to agricultural extension services among cocoa farmers in Fako Division. It integrates ideas from social capital, cooperative, and human capital theories to explain the mechanisms through which organizational participation shapes farmers’ ability to obtain technical support and improve livelihoods.</w:t>
      </w:r>
    </w:p>
    <w:p w:rsidR="003E48F9" w:rsidRPr="002C1949" w:rsidRDefault="00677B0D">
      <w:pPr>
        <w:spacing w:line="360" w:lineRule="auto"/>
        <w:jc w:val="both"/>
        <w:rPr>
          <w:rFonts w:ascii="Times New Roman" w:hAnsi="Times New Roman"/>
        </w:rPr>
      </w:pPr>
      <w:r w:rsidRPr="002C1949">
        <w:rPr>
          <w:rFonts w:ascii="Times New Roman" w:hAnsi="Times New Roman"/>
        </w:rPr>
        <w:t>Farmer organizations function as platforms that mobilize social relationships and collective agency, enabling members to share information, pool resources, and engage jointly with extension institutions. This logic aligns with social capital theory, which emphasizes that networks of trust, reciprocity, and shared norms enhance cooperation and access to resources (</w:t>
      </w:r>
      <w:r w:rsidRPr="00B72BE0">
        <w:rPr>
          <w:rFonts w:ascii="Times New Roman" w:hAnsi="Times New Roman"/>
          <w:color w:val="00B050"/>
        </w:rPr>
        <w:t>Bourdieu, 1986</w:t>
      </w:r>
      <w:r w:rsidRPr="002C1949">
        <w:rPr>
          <w:rFonts w:ascii="Times New Roman" w:hAnsi="Times New Roman"/>
        </w:rPr>
        <w:t xml:space="preserve">; </w:t>
      </w:r>
      <w:r w:rsidRPr="00B72BE0">
        <w:rPr>
          <w:rFonts w:ascii="Times New Roman" w:hAnsi="Times New Roman"/>
          <w:color w:val="00B050"/>
        </w:rPr>
        <w:t xml:space="preserve">Coleman, 1988; Putnam, </w:t>
      </w:r>
      <w:r w:rsidRPr="00B72BE0">
        <w:rPr>
          <w:rFonts w:ascii="Times New Roman" w:hAnsi="Times New Roman"/>
          <w:color w:val="00B050"/>
        </w:rPr>
        <w:lastRenderedPageBreak/>
        <w:t>1995; Nahapiet&amp; Ghoshal, 1998</w:t>
      </w:r>
      <w:r w:rsidRPr="002C1949">
        <w:rPr>
          <w:rFonts w:ascii="Times New Roman" w:hAnsi="Times New Roman"/>
        </w:rPr>
        <w:t>). Through participation in meetings, training sessions, and joint marketing, cocoa farmers build relationships that facilitate information flow and mutual support (</w:t>
      </w:r>
      <w:r w:rsidRPr="00B72BE0">
        <w:rPr>
          <w:rFonts w:ascii="Times New Roman" w:hAnsi="Times New Roman"/>
          <w:color w:val="00B050"/>
        </w:rPr>
        <w:t>Pretty, 2003; KenfackEssougong et al., 2024</w:t>
      </w:r>
      <w:r w:rsidRPr="002C1949">
        <w:rPr>
          <w:rFonts w:ascii="Times New Roman" w:hAnsi="Times New Roman"/>
        </w:rPr>
        <w:t>). These ties increase farmers’ likelihood of being informed about extension opportunities and innovations.</w:t>
      </w:r>
    </w:p>
    <w:p w:rsidR="003E48F9" w:rsidRPr="00B72BE0" w:rsidRDefault="00677B0D">
      <w:pPr>
        <w:spacing w:line="360" w:lineRule="auto"/>
        <w:jc w:val="both"/>
        <w:rPr>
          <w:rFonts w:ascii="Times New Roman" w:hAnsi="Times New Roman"/>
          <w:color w:val="00B050"/>
        </w:rPr>
      </w:pPr>
      <w:r w:rsidRPr="002C1949">
        <w:rPr>
          <w:rFonts w:ascii="Times New Roman" w:hAnsi="Times New Roman"/>
        </w:rPr>
        <w:t>The cooperative dimension of the framework highlights the structural and institutional advantages that collective organizations provide. Cooperative theory posits that shared ownership, democratic participation, and collective action enable smallholders to overcome market and institutional barriers (</w:t>
      </w:r>
      <w:r w:rsidRPr="00B72BE0">
        <w:rPr>
          <w:rFonts w:ascii="Times New Roman" w:hAnsi="Times New Roman"/>
          <w:color w:val="00B050"/>
        </w:rPr>
        <w:t>Ortmann &amp; King, 2007; Birchall, 2011; Chambo, 2009</w:t>
      </w:r>
      <w:r w:rsidRPr="002C1949">
        <w:rPr>
          <w:rFonts w:ascii="Times New Roman" w:hAnsi="Times New Roman"/>
        </w:rPr>
        <w:t>;). Extension agents prefer to work with organized groups because they offer logistical efficiency and a ready audience for technology transfer (</w:t>
      </w:r>
      <w:r w:rsidRPr="00B72BE0">
        <w:rPr>
          <w:rFonts w:ascii="Times New Roman" w:hAnsi="Times New Roman"/>
          <w:color w:val="00B050"/>
        </w:rPr>
        <w:t>Develtere et al., 2008</w:t>
      </w:r>
      <w:r w:rsidRPr="002C1949">
        <w:rPr>
          <w:rFonts w:ascii="Times New Roman" w:hAnsi="Times New Roman"/>
        </w:rPr>
        <w:t>). This institutional visibility ensures that members of farmer organizations are more frequently targeted for training and capacity-building programs compared to non-members (</w:t>
      </w:r>
      <w:r w:rsidRPr="00B72BE0">
        <w:rPr>
          <w:rFonts w:ascii="Times New Roman" w:hAnsi="Times New Roman"/>
          <w:color w:val="00B050"/>
        </w:rPr>
        <w:t>Galli et al., 2015; Manda et al., 2021).</w:t>
      </w:r>
    </w:p>
    <w:p w:rsidR="003E48F9" w:rsidRPr="002C1949" w:rsidRDefault="00677B0D">
      <w:pPr>
        <w:spacing w:line="360" w:lineRule="auto"/>
        <w:jc w:val="both"/>
        <w:rPr>
          <w:rFonts w:ascii="Times New Roman" w:hAnsi="Times New Roman"/>
        </w:rPr>
      </w:pPr>
      <w:r w:rsidRPr="002C1949">
        <w:rPr>
          <w:rFonts w:ascii="Times New Roman" w:hAnsi="Times New Roman"/>
        </w:rPr>
        <w:t>Human capital theory provides the third component of the framework by emphasizing the role of knowledge, education, and training in improving productivity and decision-making (</w:t>
      </w:r>
      <w:r w:rsidRPr="00B72BE0">
        <w:rPr>
          <w:rFonts w:ascii="Times New Roman" w:hAnsi="Times New Roman"/>
          <w:color w:val="00B050"/>
        </w:rPr>
        <w:t>Becker, 1964; Schultz, 1961)</w:t>
      </w:r>
      <w:r w:rsidRPr="002C1949">
        <w:rPr>
          <w:rFonts w:ascii="Times New Roman" w:hAnsi="Times New Roman"/>
        </w:rPr>
        <w:t>. Within farmer organizations, exposure to group-based learning, technical demonstrations, and peer mentorship enhances farmers’ capacity to understand and apply extension recommendations (</w:t>
      </w:r>
      <w:r w:rsidRPr="00B72BE0">
        <w:rPr>
          <w:rFonts w:ascii="Times New Roman" w:hAnsi="Times New Roman"/>
          <w:color w:val="00B050"/>
        </w:rPr>
        <w:t>Bello, Robinson, &amp; Ouedraogo, 2021; Smith et al., 2022</w:t>
      </w:r>
      <w:r w:rsidRPr="002C1949">
        <w:rPr>
          <w:rFonts w:ascii="Times New Roman" w:hAnsi="Times New Roman"/>
        </w:rPr>
        <w:t>). Members who actively engage in these learning processes accumulate both technical and cognitive skills that improve adoption outcomes.</w:t>
      </w:r>
    </w:p>
    <w:p w:rsidR="003E48F9" w:rsidRPr="002C1949" w:rsidRDefault="00677B0D">
      <w:pPr>
        <w:spacing w:line="360" w:lineRule="auto"/>
        <w:jc w:val="both"/>
        <w:rPr>
          <w:rFonts w:ascii="Times New Roman" w:hAnsi="Times New Roman"/>
        </w:rPr>
      </w:pPr>
      <w:r w:rsidRPr="002C1949">
        <w:rPr>
          <w:rFonts w:ascii="Times New Roman" w:hAnsi="Times New Roman"/>
        </w:rPr>
        <w:t>Together, these three theoretical perspectives converge to explain the causal pathway proposed in this study: membership in farmer organizations enhances access to agricultural extension services by strengthening farmers’ social networks (social capital), improving organizational visibility and bargaining capacity (cooperative advantage), and developing farmers’ competencies for effective utilization of knowledge (human capital). In the context of Fako Division, where smallholder cocoa farmers face challenges of limited information and institutional support</w:t>
      </w:r>
      <w:r w:rsidRPr="002C1949">
        <w:rPr>
          <w:rFonts w:ascii="Times New Roman" w:hAnsi="Times New Roman"/>
          <w:lang w:val="en-GB"/>
        </w:rPr>
        <w:t xml:space="preserve">, </w:t>
      </w:r>
      <w:r w:rsidRPr="002C1949">
        <w:rPr>
          <w:rFonts w:ascii="Times New Roman" w:hAnsi="Times New Roman"/>
        </w:rPr>
        <w:t>(Meriki</w:t>
      </w:r>
      <w:r w:rsidRPr="002C1949">
        <w:rPr>
          <w:rFonts w:ascii="Times New Roman" w:hAnsi="Times New Roman"/>
          <w:lang w:val="en-GB"/>
        </w:rPr>
        <w:t xml:space="preserve"> et al 2015)</w:t>
      </w:r>
      <w:r w:rsidRPr="002C1949">
        <w:rPr>
          <w:rFonts w:ascii="Times New Roman" w:hAnsi="Times New Roman"/>
        </w:rPr>
        <w:t>, the framework predicts that group membership significantly increases the probability of receiving extension assistance and adopting improved farming practices (</w:t>
      </w:r>
      <w:r w:rsidRPr="00B72BE0">
        <w:rPr>
          <w:rFonts w:ascii="Times New Roman" w:hAnsi="Times New Roman"/>
          <w:color w:val="00B050"/>
        </w:rPr>
        <w:t>Kenfacket al., 2024; Kouassi et al., 2023; Anang&amp; Tetteh, 2024).</w:t>
      </w:r>
    </w:p>
    <w:p w:rsidR="003E48F9" w:rsidRPr="002C1949" w:rsidRDefault="00677B0D">
      <w:pPr>
        <w:spacing w:line="360" w:lineRule="auto"/>
        <w:jc w:val="both"/>
        <w:rPr>
          <w:rFonts w:ascii="Times New Roman" w:hAnsi="Times New Roman"/>
        </w:rPr>
      </w:pPr>
      <w:r w:rsidRPr="002C1949">
        <w:rPr>
          <w:rFonts w:ascii="Times New Roman" w:hAnsi="Times New Roman"/>
        </w:rPr>
        <w:t>This framework therefore provides a logically consistent and empirically grounded basis for analysing how farmer organizations serve as conduits between rural producers and the formal extension system, contributing to improved livelihood outcomes among cocoa farmers in the study area. Given that some studies report the opposite, for instance, one recent study found no clear or consistent linkage between producer‑membership networks and extension access (</w:t>
      </w:r>
      <w:r w:rsidRPr="00B72BE0">
        <w:rPr>
          <w:rFonts w:ascii="Times New Roman" w:hAnsi="Times New Roman"/>
          <w:color w:val="00B050"/>
        </w:rPr>
        <w:t>Ampofo et al. 2024</w:t>
      </w:r>
      <w:r w:rsidRPr="00B72BE0">
        <w:rPr>
          <w:rFonts w:ascii="Times New Roman" w:hAnsi="Times New Roman"/>
          <w:color w:val="00B050"/>
          <w:lang w:val="en-GB"/>
        </w:rPr>
        <w:t>;</w:t>
      </w:r>
      <w:r w:rsidRPr="00B72BE0">
        <w:rPr>
          <w:rFonts w:hint="eastAsia"/>
          <w:color w:val="00B050"/>
        </w:rPr>
        <w:t>Nyawo&amp;Olorunfemi 2023</w:t>
      </w:r>
      <w:r w:rsidRPr="002C1949">
        <w:rPr>
          <w:lang w:val="en-GB"/>
        </w:rPr>
        <w:t xml:space="preserve">) </w:t>
      </w:r>
      <w:r w:rsidRPr="002C1949">
        <w:rPr>
          <w:rFonts w:ascii="Times New Roman" w:hAnsi="Times New Roman"/>
        </w:rPr>
        <w:t xml:space="preserve">and another reported that extension services delivered via farmer‑based organisations did not always translate </w:t>
      </w:r>
      <w:r w:rsidRPr="002C1949">
        <w:rPr>
          <w:rFonts w:ascii="Times New Roman" w:hAnsi="Times New Roman"/>
        </w:rPr>
        <w:lastRenderedPageBreak/>
        <w:t>into welfare improvements (</w:t>
      </w:r>
      <w:r w:rsidRPr="00B72BE0">
        <w:rPr>
          <w:rFonts w:ascii="Times New Roman" w:hAnsi="Times New Roman"/>
          <w:color w:val="00B050"/>
        </w:rPr>
        <w:t>Aremu 2025</w:t>
      </w:r>
      <w:r w:rsidRPr="00B72BE0">
        <w:rPr>
          <w:rFonts w:ascii="Times New Roman" w:hAnsi="Times New Roman"/>
          <w:color w:val="00B050"/>
          <w:lang w:val="en-GB"/>
        </w:rPr>
        <w:t xml:space="preserve">; </w:t>
      </w:r>
      <w:r w:rsidRPr="00B72BE0">
        <w:rPr>
          <w:rFonts w:hint="eastAsia"/>
          <w:color w:val="00B050"/>
        </w:rPr>
        <w:t>Chapman 2015</w:t>
      </w:r>
      <w:r w:rsidRPr="002C1949">
        <w:rPr>
          <w:lang w:val="en-GB"/>
        </w:rPr>
        <w:t xml:space="preserve">; </w:t>
      </w:r>
      <w:r w:rsidRPr="002C1949">
        <w:rPr>
          <w:rFonts w:hint="eastAsia"/>
        </w:rPr>
        <w:t>Somanje et al. 2021)</w:t>
      </w:r>
      <w:r w:rsidRPr="002C1949">
        <w:rPr>
          <w:lang w:val="en-GB"/>
        </w:rPr>
        <w:t>.</w:t>
      </w:r>
      <w:r w:rsidRPr="002C1949">
        <w:rPr>
          <w:rFonts w:ascii="Times New Roman" w:hAnsi="Times New Roman"/>
        </w:rPr>
        <w:t xml:space="preserve"> The contribution of the study lies in its capacity to reduce the scholarly tension between opponents and proponents of the role of farmer organizations with respect to agricultural extension services, while providing results that are contextually relevant for informed policy‑making.</w:t>
      </w:r>
    </w:p>
    <w:p w:rsidR="003E48F9" w:rsidRPr="002C1949" w:rsidRDefault="002C1949">
      <w:pPr>
        <w:spacing w:line="360" w:lineRule="auto"/>
        <w:jc w:val="both"/>
        <w:rPr>
          <w:rFonts w:ascii="Arial" w:hAnsi="Arial" w:cs="Arial"/>
          <w:b/>
          <w:bCs/>
        </w:rPr>
      </w:pPr>
      <w:r w:rsidRPr="002C1949">
        <w:rPr>
          <w:rFonts w:ascii="Arial" w:hAnsi="Arial" w:cs="Arial"/>
          <w:b/>
          <w:bCs/>
        </w:rPr>
        <w:t>3. METHODOLOGY</w:t>
      </w:r>
    </w:p>
    <w:p w:rsidR="003E48F9" w:rsidRPr="002C1949" w:rsidRDefault="00677B0D">
      <w:pPr>
        <w:spacing w:line="360" w:lineRule="auto"/>
        <w:jc w:val="both"/>
        <w:rPr>
          <w:rFonts w:ascii="Times New Roman" w:hAnsi="Times New Roman"/>
        </w:rPr>
      </w:pPr>
      <w:r w:rsidRPr="002C1949">
        <w:rPr>
          <w:rFonts w:ascii="Times New Roman" w:hAnsi="Times New Roman"/>
        </w:rPr>
        <w:t>The study was conducted in Fako Division of the South West Region of Cameroon, which covers about 2,093 km² and lies between latitudes 3°57′–4°27′N and longitudes 8°58′–9°24′E. It shares boundaries with Meme, Ndian, Kupe Muanenguba Divisions, and the Atlantic Ocean (</w:t>
      </w:r>
      <w:r w:rsidRPr="00B72BE0">
        <w:rPr>
          <w:rFonts w:ascii="Times New Roman" w:hAnsi="Times New Roman"/>
          <w:color w:val="00B050"/>
        </w:rPr>
        <w:t>Ewane, 2021; Dibaba et al., 2020</w:t>
      </w:r>
      <w:r w:rsidRPr="002C1949">
        <w:rPr>
          <w:rFonts w:ascii="Times New Roman" w:hAnsi="Times New Roman"/>
        </w:rPr>
        <w:t>). Fako</w:t>
      </w:r>
      <w:r w:rsidRPr="002C1949">
        <w:rPr>
          <w:rFonts w:ascii="Times New Roman" w:hAnsi="Times New Roman"/>
          <w:lang w:val="en-GB"/>
        </w:rPr>
        <w:t xml:space="preserve"> Division</w:t>
      </w:r>
      <w:r w:rsidRPr="002C1949">
        <w:rPr>
          <w:rFonts w:ascii="Times New Roman" w:hAnsi="Times New Roman"/>
        </w:rPr>
        <w:t xml:space="preserve"> has six subdivisions</w:t>
      </w:r>
      <w:r w:rsidRPr="002C1949">
        <w:rPr>
          <w:rFonts w:ascii="Times New Roman" w:hAnsi="Times New Roman"/>
          <w:lang w:val="en-GB"/>
        </w:rPr>
        <w:t xml:space="preserve"> - </w:t>
      </w:r>
      <w:r w:rsidRPr="002C1949">
        <w:rPr>
          <w:rFonts w:ascii="Times New Roman" w:hAnsi="Times New Roman"/>
        </w:rPr>
        <w:t>Buea, Limbe I–III, Muyuka, Tiko, and West Coast (Idenau), and an estimated 534,854 inhabitants with a growth rate of 2.8 percent (</w:t>
      </w:r>
      <w:r w:rsidRPr="00B72BE0">
        <w:rPr>
          <w:rFonts w:ascii="Times New Roman" w:hAnsi="Times New Roman"/>
          <w:color w:val="00B050"/>
        </w:rPr>
        <w:t>Njong, 2022</w:t>
      </w:r>
      <w:r w:rsidRPr="002C1949">
        <w:rPr>
          <w:rFonts w:ascii="Times New Roman" w:hAnsi="Times New Roman"/>
        </w:rPr>
        <w:t>).</w:t>
      </w:r>
    </w:p>
    <w:p w:rsidR="003E48F9" w:rsidRPr="002C1949" w:rsidRDefault="00677B0D">
      <w:pPr>
        <w:spacing w:line="360" w:lineRule="auto"/>
        <w:jc w:val="both"/>
        <w:rPr>
          <w:rFonts w:ascii="Times New Roman" w:eastAsia="Times New Roman" w:hAnsi="Times New Roman"/>
          <w:lang w:eastAsia="en-US"/>
        </w:rPr>
      </w:pPr>
      <w:r w:rsidRPr="002C1949">
        <w:rPr>
          <w:rFonts w:ascii="Times New Roman" w:eastAsia="Times New Roman" w:hAnsi="Times New Roman"/>
          <w:noProof/>
          <w:lang w:eastAsia="en-US"/>
        </w:rPr>
        <w:drawing>
          <wp:inline distT="0" distB="0" distL="0" distR="0">
            <wp:extent cx="6049010" cy="3429000"/>
            <wp:effectExtent l="0" t="0" r="1270" b="0"/>
            <wp:docPr id="1062" name="Picture 26" descr="/private/var/mobile/Containers/Data/Application/D90FE09E-7F63-4A68-889D-26C46383FBB5/tmp/insert_image_tmp_dir/2025-11-14 1:09:29.427000 pm.png2025-11-14 1:09:29.427000 pm"/>
            <wp:cNvGraphicFramePr/>
            <a:graphic xmlns:a="http://schemas.openxmlformats.org/drawingml/2006/main">
              <a:graphicData uri="http://schemas.openxmlformats.org/drawingml/2006/picture">
                <pic:pic xmlns:pic="http://schemas.openxmlformats.org/drawingml/2006/picture">
                  <pic:nvPicPr>
                    <pic:cNvPr id="1062" name="Picture 26" descr="/private/var/mobile/Containers/Data/Application/D90FE09E-7F63-4A68-889D-26C46383FBB5/tmp/insert_image_tmp_dir/2025-11-14 1:09:29.427000 pm.png2025-11-14 1:09:29.427000 pm"/>
                    <pic:cNvPicPr/>
                  </pic:nvPicPr>
                  <pic:blipFill>
                    <a:blip r:embed="rId8"/>
                    <a:srcRect/>
                    <a:stretch>
                      <a:fillRect/>
                    </a:stretch>
                  </pic:blipFill>
                  <pic:spPr>
                    <a:xfrm>
                      <a:off x="0" y="0"/>
                      <a:ext cx="6049010" cy="3429000"/>
                    </a:xfrm>
                    <a:prstGeom prst="rect">
                      <a:avLst/>
                    </a:prstGeom>
                  </pic:spPr>
                </pic:pic>
              </a:graphicData>
            </a:graphic>
          </wp:inline>
        </w:drawing>
      </w:r>
    </w:p>
    <w:p w:rsidR="003E48F9" w:rsidRPr="002C1949" w:rsidRDefault="00677B0D">
      <w:pPr>
        <w:spacing w:line="360" w:lineRule="auto"/>
        <w:rPr>
          <w:rFonts w:ascii="Times New Roman" w:eastAsia="Times New Roman" w:hAnsi="Times New Roman"/>
        </w:rPr>
      </w:pPr>
      <w:r w:rsidRPr="002C1949">
        <w:rPr>
          <w:rFonts w:ascii="Times New Roman" w:eastAsia="Times New Roman" w:hAnsi="Times New Roman"/>
          <w:b/>
          <w:bCs/>
        </w:rPr>
        <w:t xml:space="preserve">Figure 1: </w:t>
      </w:r>
      <w:r w:rsidRPr="002C1949">
        <w:rPr>
          <w:rFonts w:ascii="Times New Roman" w:eastAsia="Times New Roman" w:hAnsi="Times New Roman"/>
        </w:rPr>
        <w:t>Map of Fako Division with Subdivisions indicated</w:t>
      </w:r>
    </w:p>
    <w:p w:rsidR="003E48F9" w:rsidRPr="002C1949" w:rsidRDefault="00677B0D">
      <w:pPr>
        <w:spacing w:line="360" w:lineRule="auto"/>
        <w:jc w:val="both"/>
        <w:rPr>
          <w:rFonts w:ascii="Times New Roman" w:eastAsia="Times New Roman" w:hAnsi="Times New Roman"/>
          <w:lang w:eastAsia="en-US"/>
        </w:rPr>
      </w:pPr>
      <w:r w:rsidRPr="002C1949">
        <w:rPr>
          <w:rFonts w:ascii="Times New Roman" w:eastAsia="Times New Roman" w:hAnsi="Times New Roman"/>
          <w:b/>
          <w:bCs/>
        </w:rPr>
        <w:t>Source</w:t>
      </w:r>
      <w:r w:rsidRPr="002C1949">
        <w:rPr>
          <w:rFonts w:ascii="Times New Roman" w:eastAsia="Times New Roman" w:hAnsi="Times New Roman"/>
        </w:rPr>
        <w:t xml:space="preserve">: </w:t>
      </w:r>
      <w:r w:rsidRPr="00B72BE0">
        <w:rPr>
          <w:rFonts w:ascii="Times New Roman" w:eastAsia="Times New Roman" w:hAnsi="Times New Roman"/>
          <w:color w:val="00B050"/>
        </w:rPr>
        <w:t>Enp and Fombe (2016)</w:t>
      </w:r>
    </w:p>
    <w:p w:rsidR="003E48F9" w:rsidRPr="00B72BE0" w:rsidRDefault="00677B0D">
      <w:pPr>
        <w:spacing w:line="360" w:lineRule="auto"/>
        <w:jc w:val="both"/>
        <w:rPr>
          <w:rFonts w:ascii="Times New Roman" w:hAnsi="Times New Roman"/>
          <w:color w:val="00B050"/>
        </w:rPr>
      </w:pPr>
      <w:r w:rsidRPr="002C1949">
        <w:rPr>
          <w:rFonts w:ascii="Times New Roman" w:hAnsi="Times New Roman"/>
        </w:rPr>
        <w:t>The area’s topography is dominated by Mount Cameroon, whose fertile volcanic soils and abundant rainfall exceeding 2,500 mm annually create ideal conditions for cocoa, oil palm, banana, and rubber cultivation (</w:t>
      </w:r>
      <w:r w:rsidRPr="00B72BE0">
        <w:rPr>
          <w:rFonts w:ascii="Times New Roman" w:hAnsi="Times New Roman"/>
          <w:color w:val="00B050"/>
        </w:rPr>
        <w:t>Ewane, 2021</w:t>
      </w:r>
      <w:r w:rsidRPr="002C1949">
        <w:rPr>
          <w:rFonts w:ascii="Times New Roman" w:hAnsi="Times New Roman"/>
        </w:rPr>
        <w:t>). More than 65 percent of the active population depends on agriculture, with cocoa serving as the main cash crop (</w:t>
      </w:r>
      <w:r w:rsidRPr="00B72BE0">
        <w:rPr>
          <w:rFonts w:ascii="Times New Roman" w:hAnsi="Times New Roman"/>
          <w:color w:val="00B050"/>
        </w:rPr>
        <w:t>Ngwang&amp;Meliko, 2021</w:t>
      </w:r>
      <w:r w:rsidRPr="002C1949">
        <w:rPr>
          <w:rFonts w:ascii="Times New Roman" w:hAnsi="Times New Roman"/>
        </w:rPr>
        <w:t>). Average cocoa yields range between 450–</w:t>
      </w:r>
      <w:r w:rsidRPr="002C1949">
        <w:rPr>
          <w:rFonts w:ascii="Times New Roman" w:hAnsi="Times New Roman"/>
        </w:rPr>
        <w:lastRenderedPageBreak/>
        <w:t>600 kg/ha, well below the potential 1.5–2 tons/ha achievable under optimal conditions (</w:t>
      </w:r>
      <w:r w:rsidRPr="00B72BE0">
        <w:rPr>
          <w:rFonts w:ascii="Times New Roman" w:hAnsi="Times New Roman"/>
          <w:color w:val="00B050"/>
        </w:rPr>
        <w:t>Mukete et al., 2018; Sounigo et al., 2023</w:t>
      </w:r>
      <w:r w:rsidRPr="002C1949">
        <w:rPr>
          <w:rFonts w:ascii="Times New Roman" w:hAnsi="Times New Roman"/>
        </w:rPr>
        <w:t xml:space="preserve">). The division contributes about 8–10 percent of Cameroon’s total cocoa output </w:t>
      </w:r>
      <w:r w:rsidRPr="00B72BE0">
        <w:rPr>
          <w:rFonts w:ascii="Times New Roman" w:hAnsi="Times New Roman"/>
          <w:color w:val="00B050"/>
        </w:rPr>
        <w:t>(Ngwang&amp;Meliko</w:t>
      </w:r>
      <w:r w:rsidRPr="002C1949">
        <w:rPr>
          <w:rFonts w:ascii="Times New Roman" w:hAnsi="Times New Roman"/>
        </w:rPr>
        <w:t xml:space="preserve">, </w:t>
      </w:r>
      <w:r w:rsidRPr="00B72BE0">
        <w:rPr>
          <w:rFonts w:ascii="Times New Roman" w:hAnsi="Times New Roman"/>
          <w:color w:val="00B050"/>
        </w:rPr>
        <w:t>2021; Shillie et al., 2024).</w:t>
      </w:r>
    </w:p>
    <w:p w:rsidR="003E48F9" w:rsidRPr="002C1949" w:rsidRDefault="00677B0D">
      <w:pPr>
        <w:spacing w:line="360" w:lineRule="auto"/>
        <w:jc w:val="both"/>
        <w:rPr>
          <w:rFonts w:ascii="Times New Roman" w:hAnsi="Times New Roman"/>
        </w:rPr>
      </w:pPr>
      <w:r w:rsidRPr="002C1949">
        <w:rPr>
          <w:rFonts w:ascii="Times New Roman" w:hAnsi="Times New Roman"/>
        </w:rPr>
        <w:t>Despite favourable conditions, farmers face declining yields due to aging trees, pests, diseases, and weak extension support (</w:t>
      </w:r>
      <w:r w:rsidRPr="00C8227A">
        <w:rPr>
          <w:rFonts w:ascii="Times New Roman" w:hAnsi="Times New Roman"/>
          <w:color w:val="00B050"/>
        </w:rPr>
        <w:t>Bomdzele&amp;Molua, 2023</w:t>
      </w:r>
      <w:r w:rsidRPr="002C1949">
        <w:rPr>
          <w:rFonts w:ascii="Times New Roman" w:hAnsi="Times New Roman"/>
        </w:rPr>
        <w:t xml:space="preserve">). In response, farmer organizations, including cooperatives and producer associations, have emerged as key institutions for input access, training, and collective marketing (Tumenta et al., 2021; </w:t>
      </w:r>
      <w:r w:rsidRPr="00C8227A">
        <w:rPr>
          <w:rFonts w:ascii="Times New Roman" w:hAnsi="Times New Roman"/>
          <w:color w:val="00B050"/>
        </w:rPr>
        <w:t>World Bank, 2023).</w:t>
      </w:r>
      <w:r w:rsidRPr="002C1949">
        <w:rPr>
          <w:rFonts w:ascii="Times New Roman" w:hAnsi="Times New Roman"/>
        </w:rPr>
        <w:t xml:space="preserve"> However, their effectiveness varies across communities, making Fako Division an appropriate setting for examining how membership in such organizations affects access to agricultural extension services among cocoa farmers.</w:t>
      </w:r>
    </w:p>
    <w:p w:rsidR="003E48F9" w:rsidRPr="002C1949" w:rsidRDefault="00677B0D">
      <w:pPr>
        <w:spacing w:line="360" w:lineRule="auto"/>
        <w:jc w:val="both"/>
        <w:rPr>
          <w:rFonts w:ascii="Times New Roman" w:hAnsi="Times New Roman"/>
        </w:rPr>
      </w:pPr>
      <w:r w:rsidRPr="002C1949">
        <w:rPr>
          <w:rFonts w:ascii="Times New Roman" w:hAnsi="Times New Roman"/>
        </w:rPr>
        <w:t>The study employed a quantitative cross-sectional survey design, appropriate for analyzing relationships between farmer organization membership and access to agricultural extension services. This design allows for systematic data collection from a large sample at a single point in time and supports hypothesis testing using inferential statistics (</w:t>
      </w:r>
      <w:r w:rsidRPr="00C8227A">
        <w:rPr>
          <w:rFonts w:ascii="Times New Roman" w:hAnsi="Times New Roman"/>
          <w:color w:val="00B050"/>
        </w:rPr>
        <w:t>Creswell &amp; Creswell, 2018</w:t>
      </w:r>
      <w:r w:rsidRPr="002C1949">
        <w:rPr>
          <w:rFonts w:ascii="Times New Roman" w:hAnsi="Times New Roman"/>
        </w:rPr>
        <w:t>). Data were gathered through structured questionnaires administered to cocoa farmers across the division.</w:t>
      </w:r>
    </w:p>
    <w:p w:rsidR="003E48F9" w:rsidRPr="002C1949" w:rsidRDefault="00677B0D">
      <w:pPr>
        <w:spacing w:line="360" w:lineRule="auto"/>
        <w:jc w:val="both"/>
        <w:rPr>
          <w:rFonts w:ascii="Times New Roman" w:hAnsi="Times New Roman"/>
        </w:rPr>
      </w:pPr>
      <w:r w:rsidRPr="002C1949">
        <w:rPr>
          <w:rFonts w:ascii="Times New Roman" w:hAnsi="Times New Roman"/>
        </w:rPr>
        <w:t>The study population comprised all cocoa farmers in Fako Division, estimated at approximately 20,000 (</w:t>
      </w:r>
      <w:r w:rsidRPr="00C8227A">
        <w:rPr>
          <w:rFonts w:ascii="Times New Roman" w:hAnsi="Times New Roman"/>
          <w:color w:val="00B050"/>
        </w:rPr>
        <w:t>Ngwang&amp;Meliko, 2021</w:t>
      </w:r>
      <w:r w:rsidRPr="002C1949">
        <w:rPr>
          <w:rFonts w:ascii="Times New Roman" w:hAnsi="Times New Roman"/>
        </w:rPr>
        <w:t>). These farmers are predominantly smallholders cultivating between 2 and 5 hectares and differ in terms of farmer organization membership, production scale, and market engagement (</w:t>
      </w:r>
      <w:r w:rsidRPr="00C8227A">
        <w:rPr>
          <w:rFonts w:ascii="Times New Roman" w:hAnsi="Times New Roman"/>
          <w:color w:val="00B050"/>
        </w:rPr>
        <w:t>Bomdzele&amp;Molua</w:t>
      </w:r>
      <w:r w:rsidRPr="002C1949">
        <w:rPr>
          <w:rFonts w:ascii="Times New Roman" w:hAnsi="Times New Roman"/>
        </w:rPr>
        <w:t xml:space="preserve">, </w:t>
      </w:r>
      <w:r w:rsidRPr="005A0B5B">
        <w:rPr>
          <w:rFonts w:ascii="Times New Roman" w:hAnsi="Times New Roman"/>
          <w:b/>
          <w:color w:val="FF0000"/>
          <w:u w:val="single"/>
        </w:rPr>
        <w:t>2023).A</w:t>
      </w:r>
      <w:r w:rsidRPr="002C1949">
        <w:rPr>
          <w:rFonts w:ascii="Times New Roman" w:hAnsi="Times New Roman"/>
        </w:rPr>
        <w:t xml:space="preserve"> multi-stage stratified random sampling approach was employed to ensure a representative sample of both farmer organization (FO) members and non-members. First</w:t>
      </w:r>
      <w:r w:rsidRPr="002C1949">
        <w:rPr>
          <w:rFonts w:ascii="Times New Roman" w:hAnsi="Times New Roman"/>
          <w:lang w:val="en-GB"/>
        </w:rPr>
        <w:t>ly</w:t>
      </w:r>
      <w:r w:rsidRPr="002C1949">
        <w:rPr>
          <w:rFonts w:ascii="Times New Roman" w:hAnsi="Times New Roman"/>
        </w:rPr>
        <w:t>, Fako Division was selected as the study area due to its status as a major cocoa-producing region in Cameroon. It represents high-density cocoa production zones and a diversity of farming practices, and it has an active presence of farmer organizations, making it suitable for assessing the effect of FO membership on access to agricultural extension services.</w:t>
      </w:r>
    </w:p>
    <w:p w:rsidR="003E48F9" w:rsidRPr="002C1949" w:rsidRDefault="00677B0D">
      <w:pPr>
        <w:spacing w:line="360" w:lineRule="auto"/>
        <w:jc w:val="both"/>
        <w:rPr>
          <w:rFonts w:ascii="Times New Roman" w:hAnsi="Times New Roman"/>
        </w:rPr>
      </w:pPr>
      <w:r w:rsidRPr="002C1949">
        <w:rPr>
          <w:rFonts w:ascii="Times New Roman" w:hAnsi="Times New Roman"/>
        </w:rPr>
        <w:t xml:space="preserve">In the second stage, the seven administrative subdivisions of Fako Division </w:t>
      </w:r>
      <w:r w:rsidRPr="002C1949">
        <w:rPr>
          <w:rFonts w:ascii="Times New Roman" w:hAnsi="Times New Roman"/>
          <w:lang w:val="en-GB"/>
        </w:rPr>
        <w:t xml:space="preserve">that is; Buea, Limbe 1, 2 and 3, Tiko, Muyuka and Idenau Sub Divisions </w:t>
      </w:r>
      <w:r w:rsidRPr="002C1949">
        <w:rPr>
          <w:rFonts w:ascii="Times New Roman" w:hAnsi="Times New Roman"/>
        </w:rPr>
        <w:t>were treated as primary strata to capture geographic diversity and differences in extension service provision. Communities within each subdivision were selected proportionally based on cocoa farming density. Selection criteria included the number of registered cocoa farmers, presence of farmer organizations, and accessibility for fieldwork. This proportional allocation ensured that larger cocoa-producing communities contributed more respondents, while smaller communities were still represented, maintaining balance and reducing sampling bias.</w:t>
      </w:r>
    </w:p>
    <w:p w:rsidR="003E48F9" w:rsidRPr="002C1949" w:rsidRDefault="00677B0D">
      <w:pPr>
        <w:spacing w:line="360" w:lineRule="auto"/>
        <w:jc w:val="both"/>
        <w:rPr>
          <w:rFonts w:ascii="Times New Roman" w:hAnsi="Times New Roman"/>
        </w:rPr>
      </w:pPr>
      <w:r w:rsidRPr="002C1949">
        <w:rPr>
          <w:rFonts w:ascii="Times New Roman" w:hAnsi="Times New Roman"/>
        </w:rPr>
        <w:lastRenderedPageBreak/>
        <w:t xml:space="preserve">In the third stage, a list of cocoa farmers was compiled in each selected community with the assistance of local extension agents and community leaders. Farmers were categorized as either members of farmer organizations or non-members, allowing for direct comparison of extension access between the two groups. The final respondents were randomly selected from these lists using simple random sampling, giving each eligible farmer an equal chance of being included. </w:t>
      </w:r>
    </w:p>
    <w:p w:rsidR="003E48F9" w:rsidRPr="002C1949" w:rsidRDefault="00677B0D">
      <w:pPr>
        <w:spacing w:line="360" w:lineRule="auto"/>
        <w:jc w:val="both"/>
        <w:rPr>
          <w:rFonts w:ascii="Times New Roman" w:hAnsi="Times New Roman"/>
          <w:color w:val="000000"/>
        </w:rPr>
      </w:pPr>
      <w:r w:rsidRPr="005D5D31">
        <w:rPr>
          <w:rFonts w:ascii="Times New Roman" w:hAnsi="Times New Roman"/>
          <w:b/>
          <w:strike/>
          <w:color w:val="FF0000"/>
        </w:rPr>
        <w:t>The sample size was calculated using Yamane’s (1967) formula for finite populations</w:t>
      </w:r>
      <w:r w:rsidRPr="005D5D31">
        <w:rPr>
          <w:rFonts w:ascii="Times New Roman" w:hAnsi="Times New Roman"/>
          <w:b/>
          <w:strike/>
          <w:color w:val="FF0000"/>
          <w:lang w:val="en-GB"/>
        </w:rPr>
        <w:t xml:space="preserve">. </w:t>
      </w:r>
      <w:r w:rsidRPr="005D5D31">
        <w:rPr>
          <w:rFonts w:ascii="Times New Roman" w:hAnsi="Times New Roman"/>
          <w:b/>
          <w:strike/>
          <w:color w:val="FF0000"/>
        </w:rPr>
        <w:t>The calculation of an appropriate sample size is important for ensuring the statistical power of the study and the reliability of its findings. Determining sample size is not merely a mechanical procedure but rather a process that balances statistical requirements with practical considerations, such as fieldwork feasibility and expected response rates (Cohen, 1988).</w:t>
      </w:r>
      <w:r w:rsidRPr="002C1949">
        <w:rPr>
          <w:rFonts w:ascii="Times New Roman" w:hAnsi="Times New Roman"/>
          <w:color w:val="000000"/>
        </w:rPr>
        <w:t xml:space="preserve"> In this study, the required sample size was calculated using Yamane’s (1967) formula for finite populations:</w:t>
      </w:r>
    </w:p>
    <w:p w:rsidR="003E48F9" w:rsidRPr="002C1949" w:rsidRDefault="00677B0D">
      <w:pPr>
        <w:pStyle w:val="NormalWeb"/>
        <w:spacing w:after="150" w:line="360" w:lineRule="auto"/>
        <w:jc w:val="both"/>
        <w:rPr>
          <w:rFonts w:ascii="Times New Roman" w:hAnsi="Times New Roman"/>
          <w:color w:val="000000"/>
          <w:sz w:val="22"/>
          <w:szCs w:val="22"/>
        </w:rPr>
      </w:pPr>
      <w:r w:rsidRPr="002C1949">
        <w:rPr>
          <w:rFonts w:ascii="Times New Roman" w:hAnsi="Times New Roman"/>
          <w:color w:val="000000"/>
          <w:sz w:val="22"/>
          <w:szCs w:val="22"/>
        </w:rPr>
        <w:t>n= N/(1+N(e)^2) …………………………………………………………….1</w:t>
      </w:r>
    </w:p>
    <w:p w:rsidR="003E48F9" w:rsidRPr="002C1949" w:rsidRDefault="00677B0D">
      <w:pPr>
        <w:pStyle w:val="NormalWeb"/>
        <w:spacing w:after="150" w:line="360" w:lineRule="auto"/>
        <w:jc w:val="both"/>
        <w:rPr>
          <w:rFonts w:ascii="Times New Roman" w:hAnsi="Times New Roman"/>
          <w:color w:val="000000"/>
          <w:sz w:val="22"/>
          <w:szCs w:val="22"/>
        </w:rPr>
      </w:pPr>
      <w:r w:rsidRPr="002C1949">
        <w:rPr>
          <w:rFonts w:ascii="Times New Roman" w:hAnsi="Times New Roman"/>
          <w:color w:val="000000"/>
          <w:sz w:val="22"/>
          <w:szCs w:val="22"/>
        </w:rPr>
        <w:t>Where:</w:t>
      </w:r>
    </w:p>
    <w:p w:rsidR="003E48F9" w:rsidRPr="002C1949" w:rsidRDefault="00677B0D">
      <w:pPr>
        <w:pStyle w:val="NormalWeb"/>
        <w:spacing w:after="150" w:line="360" w:lineRule="auto"/>
        <w:jc w:val="both"/>
        <w:rPr>
          <w:rFonts w:ascii="Times New Roman" w:hAnsi="Times New Roman"/>
          <w:color w:val="000000"/>
          <w:sz w:val="22"/>
          <w:szCs w:val="22"/>
        </w:rPr>
      </w:pPr>
      <w:r w:rsidRPr="002C1949">
        <w:rPr>
          <w:rFonts w:ascii="Times New Roman" w:hAnsi="Times New Roman"/>
          <w:color w:val="000000"/>
          <w:sz w:val="22"/>
          <w:szCs w:val="22"/>
        </w:rPr>
        <w:t>​•​n = sample size</w:t>
      </w:r>
    </w:p>
    <w:p w:rsidR="003E48F9" w:rsidRPr="002C1949" w:rsidRDefault="00677B0D">
      <w:pPr>
        <w:pStyle w:val="NormalWeb"/>
        <w:spacing w:after="150" w:line="360" w:lineRule="auto"/>
        <w:jc w:val="both"/>
        <w:rPr>
          <w:rFonts w:ascii="Times New Roman" w:hAnsi="Times New Roman"/>
          <w:color w:val="000000"/>
          <w:sz w:val="22"/>
          <w:szCs w:val="22"/>
        </w:rPr>
      </w:pPr>
      <w:r w:rsidRPr="002C1949">
        <w:rPr>
          <w:rFonts w:ascii="Times New Roman" w:hAnsi="Times New Roman"/>
          <w:color w:val="000000"/>
          <w:sz w:val="22"/>
          <w:szCs w:val="22"/>
        </w:rPr>
        <w:t>​•​N = total population of cocoa farmers (20,000)</w:t>
      </w:r>
    </w:p>
    <w:p w:rsidR="003E48F9" w:rsidRPr="002C1949" w:rsidRDefault="00677B0D">
      <w:pPr>
        <w:pStyle w:val="NormalWeb"/>
        <w:spacing w:after="150" w:line="360" w:lineRule="auto"/>
        <w:jc w:val="both"/>
        <w:rPr>
          <w:rFonts w:ascii="Times New Roman" w:hAnsi="Times New Roman"/>
          <w:color w:val="000000"/>
          <w:sz w:val="22"/>
          <w:szCs w:val="22"/>
        </w:rPr>
      </w:pPr>
      <w:r w:rsidRPr="002C1949">
        <w:rPr>
          <w:rFonts w:ascii="Times New Roman" w:hAnsi="Times New Roman"/>
          <w:color w:val="000000"/>
          <w:sz w:val="22"/>
          <w:szCs w:val="22"/>
        </w:rPr>
        <w:t>​•​e = margin of error (0.05 at 95% confidence level)</w:t>
      </w:r>
    </w:p>
    <w:p w:rsidR="003E48F9" w:rsidRPr="002C1949" w:rsidRDefault="00677B0D">
      <w:pPr>
        <w:pStyle w:val="NormalWeb"/>
        <w:spacing w:after="150" w:line="360" w:lineRule="auto"/>
        <w:jc w:val="both"/>
        <w:rPr>
          <w:rFonts w:ascii="Times New Roman" w:hAnsi="Times New Roman"/>
          <w:color w:val="000000"/>
          <w:sz w:val="22"/>
          <w:szCs w:val="22"/>
        </w:rPr>
      </w:pPr>
      <w:r w:rsidRPr="002C1949">
        <w:rPr>
          <w:rFonts w:ascii="Times New Roman" w:hAnsi="Times New Roman"/>
          <w:color w:val="000000"/>
          <w:sz w:val="22"/>
          <w:szCs w:val="22"/>
        </w:rPr>
        <w:t>Substituting into the formula:</w:t>
      </w:r>
    </w:p>
    <w:p w:rsidR="003E48F9" w:rsidRPr="002C1949" w:rsidRDefault="00677B0D">
      <w:pPr>
        <w:pStyle w:val="NormalWeb"/>
        <w:spacing w:after="150" w:line="360" w:lineRule="auto"/>
        <w:jc w:val="both"/>
        <w:rPr>
          <w:rFonts w:ascii="Times New Roman" w:hAnsi="Times New Roman"/>
          <w:color w:val="000000"/>
          <w:sz w:val="22"/>
          <w:szCs w:val="22"/>
        </w:rPr>
      </w:pPr>
      <w:r w:rsidRPr="002C1949">
        <w:rPr>
          <w:rFonts w:ascii="Times New Roman" w:hAnsi="Times New Roman"/>
          <w:color w:val="000000"/>
          <w:sz w:val="22"/>
          <w:szCs w:val="22"/>
        </w:rPr>
        <w:t>n = 20,000/{1 + 20,000(0.05)^2} = (20,000)(1 + 50) = (20,000)(51) =392</w:t>
      </w:r>
    </w:p>
    <w:p w:rsidR="003E48F9" w:rsidRPr="002C1949" w:rsidRDefault="00677B0D">
      <w:pPr>
        <w:pStyle w:val="NormalWeb"/>
        <w:spacing w:after="150" w:line="360" w:lineRule="auto"/>
        <w:jc w:val="both"/>
        <w:rPr>
          <w:rFonts w:ascii="Times New Roman" w:hAnsi="Times New Roman"/>
          <w:color w:val="000000"/>
          <w:sz w:val="22"/>
          <w:szCs w:val="22"/>
        </w:rPr>
      </w:pPr>
      <w:r w:rsidRPr="002C1949">
        <w:rPr>
          <w:rFonts w:ascii="Times New Roman" w:hAnsi="Times New Roman"/>
          <w:color w:val="000000"/>
          <w:sz w:val="22"/>
          <w:szCs w:val="22"/>
        </w:rPr>
        <w:t>To account for potential non-response, the sample size was rounded up to 396 cocoa farmers. This figure was judged adequate to detect differences between members and non-members of farmer organisations, given the study’s design based on stratified random sampling and the assumption of unequal variances between groups (</w:t>
      </w:r>
      <w:r w:rsidRPr="00C8227A">
        <w:rPr>
          <w:rFonts w:ascii="Times New Roman" w:hAnsi="Times New Roman"/>
          <w:color w:val="00B050"/>
          <w:sz w:val="22"/>
          <w:szCs w:val="22"/>
        </w:rPr>
        <w:t>Cochran, 1977</w:t>
      </w:r>
      <w:r w:rsidRPr="002C1949">
        <w:rPr>
          <w:rFonts w:ascii="Times New Roman" w:hAnsi="Times New Roman"/>
          <w:color w:val="000000"/>
          <w:sz w:val="22"/>
          <w:szCs w:val="22"/>
        </w:rPr>
        <w:t>).</w:t>
      </w:r>
    </w:p>
    <w:p w:rsidR="003E48F9" w:rsidRPr="002C1949" w:rsidRDefault="00677B0D">
      <w:pPr>
        <w:pStyle w:val="NormalWeb"/>
        <w:spacing w:after="150" w:line="360" w:lineRule="auto"/>
        <w:jc w:val="both"/>
        <w:rPr>
          <w:rFonts w:ascii="Times New Roman" w:hAnsi="Times New Roman"/>
          <w:color w:val="000000"/>
          <w:sz w:val="22"/>
          <w:szCs w:val="22"/>
        </w:rPr>
      </w:pPr>
      <w:r w:rsidRPr="002C1949">
        <w:rPr>
          <w:rFonts w:ascii="Times New Roman" w:hAnsi="Times New Roman"/>
          <w:color w:val="000000"/>
          <w:sz w:val="22"/>
          <w:szCs w:val="22"/>
        </w:rPr>
        <w:t xml:space="preserve">The distribution of the sample across the study area followed a proportional allocation approach, ensuring that the number of respondents selected from each subdivision corresponded to its share of the cocoa farming population. Estimates of farmer populations in each subdivision were obtained from records provided by the Fako Divisional Delegation of Agriculture and Rural Development (2024) and corroborated with cooperative registers and extension officer reports. Buea subdivision, which hosts approximately 25% of the division’s cocoa farmers, was allocated 99 respondents, while Muyuka, with about 20% of the cocoa farming population, was allocated 79 respondents. Similarly, Tiko received 69 respondents (≈17%), Limbe I 39 (≈10%), Limbe II 34 (≈9%), Limbe III 31 (≈8%), and West Coast </w:t>
      </w:r>
      <w:r w:rsidRPr="002C1949">
        <w:rPr>
          <w:rFonts w:ascii="Times New Roman" w:hAnsi="Times New Roman"/>
          <w:color w:val="000000"/>
          <w:sz w:val="22"/>
          <w:szCs w:val="22"/>
        </w:rPr>
        <w:lastRenderedPageBreak/>
        <w:t>(Idenau) 45 (≈11%). This proportional allocation ensured that the relative weight of each subdivision in cocoa farming was reflected in the study sample.</w:t>
      </w:r>
    </w:p>
    <w:p w:rsidR="003E48F9" w:rsidRPr="002C1949" w:rsidRDefault="00677B0D">
      <w:pPr>
        <w:pStyle w:val="NormalWeb"/>
        <w:spacing w:after="150" w:line="360" w:lineRule="auto"/>
        <w:jc w:val="both"/>
        <w:rPr>
          <w:rFonts w:ascii="Times New Roman" w:hAnsi="Times New Roman"/>
          <w:sz w:val="22"/>
          <w:szCs w:val="22"/>
          <w:lang w:val="en-GB"/>
        </w:rPr>
      </w:pPr>
      <w:r w:rsidRPr="002C1949">
        <w:rPr>
          <w:rFonts w:ascii="Times New Roman" w:hAnsi="Times New Roman"/>
          <w:color w:val="000000"/>
          <w:sz w:val="22"/>
          <w:szCs w:val="22"/>
        </w:rPr>
        <w:t>Within each subdivision, the allocated sample was further stratified into members and non-members of farmer organisations. The proportion of members to non-members varied by subdivision: Buea and Tiko, cooperative membership was relatively high (about 60%), while in Limbe III and West Coast, a larger proportion of farmers operated independently. Thus, the subdivision quotas were divided according to these membership ratios, and simple random sampling was applied within each stratum to select individual farmers. Finally, to minimise non-response bias, replacement procedures were defined. If an identified farmer declined participation, the next farmer was contacted.</w:t>
      </w:r>
    </w:p>
    <w:p w:rsidR="003E48F9" w:rsidRPr="002C1949" w:rsidRDefault="00677B0D">
      <w:pPr>
        <w:spacing w:line="360" w:lineRule="auto"/>
        <w:jc w:val="both"/>
        <w:rPr>
          <w:rFonts w:ascii="Times New Roman" w:hAnsi="Times New Roman"/>
        </w:rPr>
      </w:pPr>
      <w:r w:rsidRPr="002C1949">
        <w:rPr>
          <w:rFonts w:ascii="Times New Roman" w:hAnsi="Times New Roman"/>
        </w:rPr>
        <w:t xml:space="preserve"> This included 252 FO members and 144 non-members, distributed proportionally across subdivisions according to their cocoa farming populations (Table 1).</w:t>
      </w:r>
    </w:p>
    <w:p w:rsidR="003E48F9" w:rsidRPr="002C1949" w:rsidRDefault="00677B0D">
      <w:pPr>
        <w:spacing w:after="160" w:line="259" w:lineRule="auto"/>
        <w:rPr>
          <w:rFonts w:ascii="Times New Roman" w:eastAsia="MS Gothic" w:hAnsi="Times New Roman"/>
          <w:b/>
          <w:bCs/>
          <w:color w:val="36363D"/>
          <w:lang w:eastAsia="en-US"/>
        </w:rPr>
      </w:pPr>
      <w:r w:rsidRPr="002C1949">
        <w:rPr>
          <w:rFonts w:ascii="Times New Roman" w:eastAsia="MS Gothic" w:hAnsi="Times New Roman"/>
          <w:b/>
          <w:bCs/>
          <w:color w:val="36363D"/>
          <w:lang w:eastAsia="en-US"/>
        </w:rPr>
        <w:br w:type="page"/>
      </w:r>
    </w:p>
    <w:p w:rsidR="003E48F9" w:rsidRPr="002C1949" w:rsidRDefault="00677B0D">
      <w:pPr>
        <w:keepNext/>
        <w:keepLines/>
        <w:spacing w:before="200" w:line="360" w:lineRule="auto"/>
        <w:jc w:val="both"/>
        <w:outlineLvl w:val="1"/>
        <w:rPr>
          <w:rFonts w:ascii="Times New Roman" w:hAnsi="Times New Roman"/>
          <w:color w:val="36363D"/>
        </w:rPr>
      </w:pPr>
      <w:r w:rsidRPr="002C1949">
        <w:rPr>
          <w:rFonts w:ascii="Times New Roman" w:eastAsia="MS Gothic" w:hAnsi="Times New Roman"/>
          <w:b/>
          <w:bCs/>
          <w:color w:val="36363D"/>
          <w:lang w:eastAsia="en-US"/>
        </w:rPr>
        <w:lastRenderedPageBreak/>
        <w:t xml:space="preserve">Table </w:t>
      </w:r>
      <w:r w:rsidRPr="002C1949">
        <w:rPr>
          <w:rFonts w:ascii="Times New Roman" w:eastAsia="MS Gothic" w:hAnsi="Times New Roman"/>
          <w:b/>
          <w:bCs/>
          <w:color w:val="36363D"/>
          <w:lang w:val="en-GB" w:eastAsia="en-US"/>
        </w:rPr>
        <w:t xml:space="preserve">1 </w:t>
      </w:r>
      <w:r w:rsidRPr="002C1949">
        <w:rPr>
          <w:rFonts w:ascii="Times New Roman" w:eastAsia="MS Gothic" w:hAnsi="Times New Roman"/>
          <w:b/>
          <w:bCs/>
          <w:color w:val="36363D"/>
          <w:lang w:eastAsia="en-US"/>
        </w:rPr>
        <w:t>Sampling within Different Strata</w:t>
      </w:r>
    </w:p>
    <w:tbl>
      <w:tblPr>
        <w:tblStyle w:val="GridTable1Light1"/>
        <w:tblW w:w="5000" w:type="pct"/>
        <w:tblLayout w:type="fixed"/>
        <w:tblLook w:val="04A0"/>
      </w:tblPr>
      <w:tblGrid>
        <w:gridCol w:w="2760"/>
        <w:gridCol w:w="3441"/>
        <w:gridCol w:w="1651"/>
        <w:gridCol w:w="1724"/>
      </w:tblGrid>
      <w:tr w:rsidR="003E48F9" w:rsidRPr="002C1949" w:rsidTr="003E48F9">
        <w:trPr>
          <w:cnfStyle w:val="100000000000"/>
        </w:trPr>
        <w:tc>
          <w:tcPr>
            <w:cnfStyle w:val="001000000000"/>
            <w:tcW w:w="2695" w:type="dxa"/>
          </w:tcPr>
          <w:p w:rsidR="003E48F9" w:rsidRPr="002C1949" w:rsidRDefault="00677B0D">
            <w:pPr>
              <w:spacing w:line="240" w:lineRule="auto"/>
              <w:jc w:val="both"/>
              <w:rPr>
                <w:rFonts w:ascii="Times New Roman" w:hAnsi="Times New Roman"/>
              </w:rPr>
            </w:pPr>
            <w:r w:rsidRPr="002C1949">
              <w:rPr>
                <w:rFonts w:ascii="Times New Roman" w:eastAsia="MS Mincho" w:hAnsi="Times New Roman"/>
                <w:lang w:eastAsia="en-US"/>
              </w:rPr>
              <w:t>Subdivision</w:t>
            </w:r>
          </w:p>
        </w:tc>
        <w:tc>
          <w:tcPr>
            <w:tcW w:w="3360" w:type="dxa"/>
          </w:tcPr>
          <w:p w:rsidR="003E48F9" w:rsidRPr="002C1949" w:rsidRDefault="00677B0D">
            <w:pPr>
              <w:spacing w:line="240" w:lineRule="auto"/>
              <w:jc w:val="both"/>
              <w:cnfStyle w:val="100000000000"/>
              <w:rPr>
                <w:rFonts w:ascii="Times New Roman" w:hAnsi="Times New Roman"/>
              </w:rPr>
            </w:pPr>
            <w:r w:rsidRPr="002C1949">
              <w:rPr>
                <w:rFonts w:ascii="Times New Roman" w:eastAsia="MS Mincho" w:hAnsi="Times New Roman"/>
                <w:lang w:eastAsia="en-US"/>
              </w:rPr>
              <w:t>Estimated Cocoa Farmers</w:t>
            </w:r>
          </w:p>
        </w:tc>
        <w:tc>
          <w:tcPr>
            <w:tcW w:w="1612" w:type="dxa"/>
          </w:tcPr>
          <w:p w:rsidR="003E48F9" w:rsidRPr="002C1949" w:rsidRDefault="00677B0D">
            <w:pPr>
              <w:spacing w:line="240" w:lineRule="auto"/>
              <w:jc w:val="both"/>
              <w:cnfStyle w:val="100000000000"/>
              <w:rPr>
                <w:rFonts w:ascii="Times New Roman" w:hAnsi="Times New Roman"/>
              </w:rPr>
            </w:pPr>
            <w:r w:rsidRPr="002C1949">
              <w:rPr>
                <w:rFonts w:ascii="Times New Roman" w:eastAsia="MS Mincho" w:hAnsi="Times New Roman"/>
                <w:lang w:eastAsia="en-US"/>
              </w:rPr>
              <w:t xml:space="preserve">% </w:t>
            </w:r>
            <w:r w:rsidRPr="005D5D31">
              <w:rPr>
                <w:rFonts w:ascii="Times New Roman" w:eastAsia="MS Mincho" w:hAnsi="Times New Roman"/>
                <w:b w:val="0"/>
                <w:strike/>
                <w:color w:val="FF0000"/>
                <w:lang w:eastAsia="en-US"/>
              </w:rPr>
              <w:t>Of</w:t>
            </w:r>
            <w:r w:rsidR="005D5D31">
              <w:rPr>
                <w:rFonts w:ascii="Times New Roman" w:eastAsia="MS Mincho" w:hAnsi="Times New Roman"/>
                <w:lang w:eastAsia="en-US"/>
              </w:rPr>
              <w:t xml:space="preserve"> </w:t>
            </w:r>
            <w:r w:rsidR="005D5D31" w:rsidRPr="005D5D31">
              <w:rPr>
                <w:rFonts w:ascii="Times New Roman" w:eastAsia="MS Mincho" w:hAnsi="Times New Roman"/>
                <w:color w:val="FF0000"/>
                <w:lang w:eastAsia="en-US"/>
              </w:rPr>
              <w:t>of</w:t>
            </w:r>
            <w:r w:rsidRPr="002C1949">
              <w:rPr>
                <w:rFonts w:ascii="Times New Roman" w:eastAsia="MS Mincho" w:hAnsi="Times New Roman"/>
                <w:lang w:eastAsia="en-US"/>
              </w:rPr>
              <w:t xml:space="preserve"> Total</w:t>
            </w:r>
          </w:p>
        </w:tc>
        <w:tc>
          <w:tcPr>
            <w:tcW w:w="1683" w:type="dxa"/>
          </w:tcPr>
          <w:p w:rsidR="003E48F9" w:rsidRPr="002C1949" w:rsidRDefault="00677B0D">
            <w:pPr>
              <w:spacing w:line="240" w:lineRule="auto"/>
              <w:jc w:val="both"/>
              <w:cnfStyle w:val="100000000000"/>
              <w:rPr>
                <w:rFonts w:ascii="Times New Roman" w:hAnsi="Times New Roman"/>
              </w:rPr>
            </w:pPr>
            <w:r w:rsidRPr="002C1949">
              <w:rPr>
                <w:rFonts w:ascii="Times New Roman" w:eastAsia="MS Mincho" w:hAnsi="Times New Roman"/>
                <w:lang w:eastAsia="en-US"/>
              </w:rPr>
              <w:t>Sample Size</w:t>
            </w:r>
          </w:p>
        </w:tc>
      </w:tr>
      <w:tr w:rsidR="003E48F9" w:rsidRPr="002C1949" w:rsidTr="003E48F9">
        <w:tc>
          <w:tcPr>
            <w:cnfStyle w:val="001000000000"/>
            <w:tcW w:w="2695" w:type="dxa"/>
          </w:tcPr>
          <w:p w:rsidR="003E48F9" w:rsidRPr="002C1949" w:rsidRDefault="00677B0D">
            <w:pPr>
              <w:spacing w:line="240" w:lineRule="auto"/>
              <w:jc w:val="both"/>
              <w:rPr>
                <w:rFonts w:ascii="Times New Roman" w:hAnsi="Times New Roman"/>
              </w:rPr>
            </w:pPr>
            <w:r w:rsidRPr="002C1949">
              <w:rPr>
                <w:rFonts w:ascii="Times New Roman" w:eastAsia="MS Mincho" w:hAnsi="Times New Roman"/>
                <w:lang w:eastAsia="en-US"/>
              </w:rPr>
              <w:t>Buea</w:t>
            </w:r>
          </w:p>
        </w:tc>
        <w:tc>
          <w:tcPr>
            <w:tcW w:w="3360" w:type="dxa"/>
          </w:tcPr>
          <w:p w:rsidR="003E48F9" w:rsidRPr="002C1949" w:rsidRDefault="00677B0D">
            <w:pPr>
              <w:spacing w:line="240" w:lineRule="auto"/>
              <w:jc w:val="both"/>
              <w:cnfStyle w:val="000000000000"/>
              <w:rPr>
                <w:rFonts w:ascii="Times New Roman" w:hAnsi="Times New Roman"/>
              </w:rPr>
            </w:pPr>
            <w:r w:rsidRPr="002C1949">
              <w:rPr>
                <w:rFonts w:ascii="Times New Roman" w:eastAsia="MS Mincho" w:hAnsi="Times New Roman"/>
                <w:lang w:eastAsia="en-US"/>
              </w:rPr>
              <w:t>5,000</w:t>
            </w:r>
          </w:p>
        </w:tc>
        <w:tc>
          <w:tcPr>
            <w:tcW w:w="1612" w:type="dxa"/>
          </w:tcPr>
          <w:p w:rsidR="003E48F9" w:rsidRPr="002C1949" w:rsidRDefault="00677B0D">
            <w:pPr>
              <w:spacing w:line="240" w:lineRule="auto"/>
              <w:jc w:val="both"/>
              <w:cnfStyle w:val="000000000000"/>
              <w:rPr>
                <w:rFonts w:ascii="Times New Roman" w:hAnsi="Times New Roman"/>
              </w:rPr>
            </w:pPr>
            <w:r w:rsidRPr="002C1949">
              <w:rPr>
                <w:rFonts w:ascii="Times New Roman" w:eastAsia="MS Mincho" w:hAnsi="Times New Roman"/>
                <w:lang w:eastAsia="en-US"/>
              </w:rPr>
              <w:t>25%</w:t>
            </w:r>
          </w:p>
        </w:tc>
        <w:tc>
          <w:tcPr>
            <w:tcW w:w="1683" w:type="dxa"/>
          </w:tcPr>
          <w:p w:rsidR="003E48F9" w:rsidRPr="002C1949" w:rsidRDefault="00677B0D">
            <w:pPr>
              <w:spacing w:line="240" w:lineRule="auto"/>
              <w:jc w:val="both"/>
              <w:cnfStyle w:val="000000000000"/>
              <w:rPr>
                <w:rFonts w:ascii="Times New Roman" w:hAnsi="Times New Roman"/>
              </w:rPr>
            </w:pPr>
            <w:r w:rsidRPr="002C1949">
              <w:rPr>
                <w:rFonts w:ascii="Times New Roman" w:eastAsia="MS Mincho" w:hAnsi="Times New Roman"/>
                <w:lang w:eastAsia="en-US"/>
              </w:rPr>
              <w:t>99</w:t>
            </w:r>
          </w:p>
        </w:tc>
      </w:tr>
      <w:tr w:rsidR="003E48F9" w:rsidRPr="002C1949" w:rsidTr="003E48F9">
        <w:tc>
          <w:tcPr>
            <w:cnfStyle w:val="001000000000"/>
            <w:tcW w:w="2695" w:type="dxa"/>
          </w:tcPr>
          <w:p w:rsidR="003E48F9" w:rsidRPr="002C1949" w:rsidRDefault="00677B0D">
            <w:pPr>
              <w:spacing w:line="240" w:lineRule="auto"/>
              <w:jc w:val="both"/>
              <w:rPr>
                <w:rFonts w:ascii="Times New Roman" w:hAnsi="Times New Roman"/>
              </w:rPr>
            </w:pPr>
            <w:r w:rsidRPr="002C1949">
              <w:rPr>
                <w:rFonts w:ascii="Times New Roman" w:eastAsia="MS Mincho" w:hAnsi="Times New Roman"/>
                <w:lang w:eastAsia="en-US"/>
              </w:rPr>
              <w:t>Tiko</w:t>
            </w:r>
          </w:p>
        </w:tc>
        <w:tc>
          <w:tcPr>
            <w:tcW w:w="3360" w:type="dxa"/>
          </w:tcPr>
          <w:p w:rsidR="003E48F9" w:rsidRPr="002C1949" w:rsidRDefault="00677B0D">
            <w:pPr>
              <w:spacing w:line="240" w:lineRule="auto"/>
              <w:jc w:val="both"/>
              <w:cnfStyle w:val="000000000000"/>
              <w:rPr>
                <w:rFonts w:ascii="Times New Roman" w:hAnsi="Times New Roman"/>
              </w:rPr>
            </w:pPr>
            <w:r w:rsidRPr="002C1949">
              <w:rPr>
                <w:rFonts w:ascii="Times New Roman" w:eastAsia="MS Mincho" w:hAnsi="Times New Roman"/>
                <w:lang w:eastAsia="en-US"/>
              </w:rPr>
              <w:t>4,000</w:t>
            </w:r>
          </w:p>
        </w:tc>
        <w:tc>
          <w:tcPr>
            <w:tcW w:w="1612" w:type="dxa"/>
          </w:tcPr>
          <w:p w:rsidR="003E48F9" w:rsidRPr="002C1949" w:rsidRDefault="00677B0D">
            <w:pPr>
              <w:spacing w:line="240" w:lineRule="auto"/>
              <w:jc w:val="both"/>
              <w:cnfStyle w:val="000000000000"/>
              <w:rPr>
                <w:rFonts w:ascii="Times New Roman" w:hAnsi="Times New Roman"/>
              </w:rPr>
            </w:pPr>
            <w:r w:rsidRPr="002C1949">
              <w:rPr>
                <w:rFonts w:ascii="Times New Roman" w:eastAsia="MS Mincho" w:hAnsi="Times New Roman"/>
                <w:lang w:eastAsia="en-US"/>
              </w:rPr>
              <w:t>20%</w:t>
            </w:r>
          </w:p>
        </w:tc>
        <w:tc>
          <w:tcPr>
            <w:tcW w:w="1683" w:type="dxa"/>
          </w:tcPr>
          <w:p w:rsidR="003E48F9" w:rsidRPr="002C1949" w:rsidRDefault="00677B0D">
            <w:pPr>
              <w:spacing w:line="240" w:lineRule="auto"/>
              <w:jc w:val="both"/>
              <w:cnfStyle w:val="000000000000"/>
              <w:rPr>
                <w:rFonts w:ascii="Times New Roman" w:hAnsi="Times New Roman"/>
              </w:rPr>
            </w:pPr>
            <w:r w:rsidRPr="002C1949">
              <w:rPr>
                <w:rFonts w:ascii="Times New Roman" w:eastAsia="MS Mincho" w:hAnsi="Times New Roman"/>
                <w:lang w:eastAsia="en-US"/>
              </w:rPr>
              <w:t>79</w:t>
            </w:r>
          </w:p>
        </w:tc>
      </w:tr>
      <w:tr w:rsidR="003E48F9" w:rsidRPr="002C1949" w:rsidTr="003E48F9">
        <w:tc>
          <w:tcPr>
            <w:cnfStyle w:val="001000000000"/>
            <w:tcW w:w="2695" w:type="dxa"/>
          </w:tcPr>
          <w:p w:rsidR="003E48F9" w:rsidRPr="002C1949" w:rsidRDefault="00677B0D">
            <w:pPr>
              <w:spacing w:line="240" w:lineRule="auto"/>
              <w:jc w:val="both"/>
              <w:rPr>
                <w:rFonts w:ascii="Times New Roman" w:hAnsi="Times New Roman"/>
              </w:rPr>
            </w:pPr>
            <w:r w:rsidRPr="002C1949">
              <w:rPr>
                <w:rFonts w:ascii="Times New Roman" w:eastAsia="MS Mincho" w:hAnsi="Times New Roman"/>
                <w:lang w:eastAsia="en-US"/>
              </w:rPr>
              <w:t>Muyuka</w:t>
            </w:r>
          </w:p>
        </w:tc>
        <w:tc>
          <w:tcPr>
            <w:tcW w:w="3360" w:type="dxa"/>
          </w:tcPr>
          <w:p w:rsidR="003E48F9" w:rsidRPr="002C1949" w:rsidRDefault="00677B0D">
            <w:pPr>
              <w:spacing w:line="240" w:lineRule="auto"/>
              <w:jc w:val="both"/>
              <w:cnfStyle w:val="000000000000"/>
              <w:rPr>
                <w:rFonts w:ascii="Times New Roman" w:hAnsi="Times New Roman"/>
              </w:rPr>
            </w:pPr>
            <w:r w:rsidRPr="002C1949">
              <w:rPr>
                <w:rFonts w:ascii="Times New Roman" w:eastAsia="MS Mincho" w:hAnsi="Times New Roman"/>
                <w:lang w:eastAsia="en-US"/>
              </w:rPr>
              <w:t>3,000</w:t>
            </w:r>
          </w:p>
        </w:tc>
        <w:tc>
          <w:tcPr>
            <w:tcW w:w="1612" w:type="dxa"/>
          </w:tcPr>
          <w:p w:rsidR="003E48F9" w:rsidRPr="002C1949" w:rsidRDefault="00677B0D">
            <w:pPr>
              <w:spacing w:line="240" w:lineRule="auto"/>
              <w:jc w:val="both"/>
              <w:cnfStyle w:val="000000000000"/>
              <w:rPr>
                <w:rFonts w:ascii="Times New Roman" w:hAnsi="Times New Roman"/>
              </w:rPr>
            </w:pPr>
            <w:r w:rsidRPr="002C1949">
              <w:rPr>
                <w:rFonts w:ascii="Times New Roman" w:eastAsia="MS Mincho" w:hAnsi="Times New Roman"/>
                <w:lang w:eastAsia="en-US"/>
              </w:rPr>
              <w:t>15%</w:t>
            </w:r>
          </w:p>
        </w:tc>
        <w:tc>
          <w:tcPr>
            <w:tcW w:w="1683" w:type="dxa"/>
          </w:tcPr>
          <w:p w:rsidR="003E48F9" w:rsidRPr="002C1949" w:rsidRDefault="00677B0D">
            <w:pPr>
              <w:spacing w:line="240" w:lineRule="auto"/>
              <w:jc w:val="both"/>
              <w:cnfStyle w:val="000000000000"/>
              <w:rPr>
                <w:rFonts w:ascii="Times New Roman" w:hAnsi="Times New Roman"/>
              </w:rPr>
            </w:pPr>
            <w:r w:rsidRPr="002C1949">
              <w:rPr>
                <w:rFonts w:ascii="Times New Roman" w:eastAsia="MS Mincho" w:hAnsi="Times New Roman"/>
                <w:lang w:eastAsia="en-US"/>
              </w:rPr>
              <w:t>59</w:t>
            </w:r>
          </w:p>
        </w:tc>
      </w:tr>
      <w:tr w:rsidR="003E48F9" w:rsidRPr="002C1949" w:rsidTr="003E48F9">
        <w:tc>
          <w:tcPr>
            <w:cnfStyle w:val="001000000000"/>
            <w:tcW w:w="2695" w:type="dxa"/>
          </w:tcPr>
          <w:p w:rsidR="003E48F9" w:rsidRPr="002C1949" w:rsidRDefault="00677B0D">
            <w:pPr>
              <w:spacing w:line="240" w:lineRule="auto"/>
              <w:jc w:val="both"/>
              <w:rPr>
                <w:rFonts w:ascii="Times New Roman" w:hAnsi="Times New Roman"/>
              </w:rPr>
            </w:pPr>
            <w:r w:rsidRPr="002C1949">
              <w:rPr>
                <w:rFonts w:ascii="Times New Roman" w:eastAsia="MS Mincho" w:hAnsi="Times New Roman"/>
                <w:lang w:eastAsia="en-US"/>
              </w:rPr>
              <w:t>Limbe I</w:t>
            </w:r>
          </w:p>
        </w:tc>
        <w:tc>
          <w:tcPr>
            <w:tcW w:w="3360" w:type="dxa"/>
          </w:tcPr>
          <w:p w:rsidR="003E48F9" w:rsidRPr="002C1949" w:rsidRDefault="00677B0D">
            <w:pPr>
              <w:spacing w:line="240" w:lineRule="auto"/>
              <w:jc w:val="both"/>
              <w:cnfStyle w:val="000000000000"/>
              <w:rPr>
                <w:rFonts w:ascii="Times New Roman" w:hAnsi="Times New Roman"/>
              </w:rPr>
            </w:pPr>
            <w:r w:rsidRPr="002C1949">
              <w:rPr>
                <w:rFonts w:ascii="Times New Roman" w:eastAsia="MS Mincho" w:hAnsi="Times New Roman"/>
                <w:lang w:eastAsia="en-US"/>
              </w:rPr>
              <w:t>2,000</w:t>
            </w:r>
          </w:p>
        </w:tc>
        <w:tc>
          <w:tcPr>
            <w:tcW w:w="1612" w:type="dxa"/>
          </w:tcPr>
          <w:p w:rsidR="003E48F9" w:rsidRPr="002C1949" w:rsidRDefault="00677B0D">
            <w:pPr>
              <w:spacing w:line="240" w:lineRule="auto"/>
              <w:jc w:val="both"/>
              <w:cnfStyle w:val="000000000000"/>
              <w:rPr>
                <w:rFonts w:ascii="Times New Roman" w:hAnsi="Times New Roman"/>
              </w:rPr>
            </w:pPr>
            <w:r w:rsidRPr="002C1949">
              <w:rPr>
                <w:rFonts w:ascii="Times New Roman" w:eastAsia="MS Mincho" w:hAnsi="Times New Roman"/>
                <w:lang w:eastAsia="en-US"/>
              </w:rPr>
              <w:t>10%</w:t>
            </w:r>
          </w:p>
        </w:tc>
        <w:tc>
          <w:tcPr>
            <w:tcW w:w="1683" w:type="dxa"/>
          </w:tcPr>
          <w:p w:rsidR="003E48F9" w:rsidRPr="002C1949" w:rsidRDefault="00677B0D">
            <w:pPr>
              <w:spacing w:line="240" w:lineRule="auto"/>
              <w:jc w:val="both"/>
              <w:cnfStyle w:val="000000000000"/>
              <w:rPr>
                <w:rFonts w:ascii="Times New Roman" w:hAnsi="Times New Roman"/>
              </w:rPr>
            </w:pPr>
            <w:r w:rsidRPr="002C1949">
              <w:rPr>
                <w:rFonts w:ascii="Times New Roman" w:eastAsia="MS Mincho" w:hAnsi="Times New Roman"/>
                <w:lang w:eastAsia="en-US"/>
              </w:rPr>
              <w:t>40</w:t>
            </w:r>
          </w:p>
        </w:tc>
      </w:tr>
      <w:tr w:rsidR="003E48F9" w:rsidRPr="002C1949" w:rsidTr="003E48F9">
        <w:tc>
          <w:tcPr>
            <w:cnfStyle w:val="001000000000"/>
            <w:tcW w:w="2695" w:type="dxa"/>
          </w:tcPr>
          <w:p w:rsidR="003E48F9" w:rsidRPr="002C1949" w:rsidRDefault="00677B0D">
            <w:pPr>
              <w:spacing w:line="240" w:lineRule="auto"/>
              <w:jc w:val="both"/>
              <w:rPr>
                <w:rFonts w:ascii="Times New Roman" w:hAnsi="Times New Roman"/>
              </w:rPr>
            </w:pPr>
            <w:r w:rsidRPr="002C1949">
              <w:rPr>
                <w:rFonts w:ascii="Times New Roman" w:eastAsia="MS Mincho" w:hAnsi="Times New Roman"/>
                <w:lang w:eastAsia="en-US"/>
              </w:rPr>
              <w:t>Limbe II</w:t>
            </w:r>
          </w:p>
        </w:tc>
        <w:tc>
          <w:tcPr>
            <w:tcW w:w="3360" w:type="dxa"/>
          </w:tcPr>
          <w:p w:rsidR="003E48F9" w:rsidRPr="002C1949" w:rsidRDefault="00677B0D">
            <w:pPr>
              <w:spacing w:line="240" w:lineRule="auto"/>
              <w:jc w:val="both"/>
              <w:cnfStyle w:val="000000000000"/>
              <w:rPr>
                <w:rFonts w:ascii="Times New Roman" w:hAnsi="Times New Roman"/>
              </w:rPr>
            </w:pPr>
            <w:r w:rsidRPr="002C1949">
              <w:rPr>
                <w:rFonts w:ascii="Times New Roman" w:eastAsia="MS Mincho" w:hAnsi="Times New Roman"/>
                <w:lang w:eastAsia="en-US"/>
              </w:rPr>
              <w:t>1,500</w:t>
            </w:r>
          </w:p>
        </w:tc>
        <w:tc>
          <w:tcPr>
            <w:tcW w:w="1612" w:type="dxa"/>
          </w:tcPr>
          <w:p w:rsidR="003E48F9" w:rsidRPr="002C1949" w:rsidRDefault="00677B0D">
            <w:pPr>
              <w:spacing w:line="240" w:lineRule="auto"/>
              <w:jc w:val="both"/>
              <w:cnfStyle w:val="000000000000"/>
              <w:rPr>
                <w:rFonts w:ascii="Times New Roman" w:hAnsi="Times New Roman"/>
              </w:rPr>
            </w:pPr>
            <w:r w:rsidRPr="002C1949">
              <w:rPr>
                <w:rFonts w:ascii="Times New Roman" w:eastAsia="MS Mincho" w:hAnsi="Times New Roman"/>
                <w:lang w:eastAsia="en-US"/>
              </w:rPr>
              <w:t>7.5%</w:t>
            </w:r>
          </w:p>
        </w:tc>
        <w:tc>
          <w:tcPr>
            <w:tcW w:w="1683" w:type="dxa"/>
          </w:tcPr>
          <w:p w:rsidR="003E48F9" w:rsidRPr="002C1949" w:rsidRDefault="00677B0D">
            <w:pPr>
              <w:spacing w:line="240" w:lineRule="auto"/>
              <w:jc w:val="both"/>
              <w:cnfStyle w:val="000000000000"/>
              <w:rPr>
                <w:rFonts w:ascii="Times New Roman" w:hAnsi="Times New Roman"/>
              </w:rPr>
            </w:pPr>
            <w:r w:rsidRPr="002C1949">
              <w:rPr>
                <w:rFonts w:ascii="Times New Roman" w:eastAsia="MS Mincho" w:hAnsi="Times New Roman"/>
                <w:lang w:eastAsia="en-US"/>
              </w:rPr>
              <w:t>30</w:t>
            </w:r>
          </w:p>
        </w:tc>
      </w:tr>
      <w:tr w:rsidR="003E48F9" w:rsidRPr="002C1949" w:rsidTr="003E48F9">
        <w:tc>
          <w:tcPr>
            <w:cnfStyle w:val="001000000000"/>
            <w:tcW w:w="2695" w:type="dxa"/>
          </w:tcPr>
          <w:p w:rsidR="003E48F9" w:rsidRPr="002C1949" w:rsidRDefault="00677B0D">
            <w:pPr>
              <w:spacing w:line="240" w:lineRule="auto"/>
              <w:jc w:val="both"/>
              <w:rPr>
                <w:rFonts w:ascii="Times New Roman" w:hAnsi="Times New Roman"/>
              </w:rPr>
            </w:pPr>
            <w:r w:rsidRPr="002C1949">
              <w:rPr>
                <w:rFonts w:ascii="Times New Roman" w:eastAsia="MS Mincho" w:hAnsi="Times New Roman"/>
                <w:lang w:eastAsia="en-US"/>
              </w:rPr>
              <w:t>Limbe III</w:t>
            </w:r>
          </w:p>
        </w:tc>
        <w:tc>
          <w:tcPr>
            <w:tcW w:w="3360" w:type="dxa"/>
          </w:tcPr>
          <w:p w:rsidR="003E48F9" w:rsidRPr="002C1949" w:rsidRDefault="00677B0D">
            <w:pPr>
              <w:spacing w:line="240" w:lineRule="auto"/>
              <w:jc w:val="both"/>
              <w:cnfStyle w:val="000000000000"/>
              <w:rPr>
                <w:rFonts w:ascii="Times New Roman" w:hAnsi="Times New Roman"/>
              </w:rPr>
            </w:pPr>
            <w:r w:rsidRPr="002C1949">
              <w:rPr>
                <w:rFonts w:ascii="Times New Roman" w:eastAsia="MS Mincho" w:hAnsi="Times New Roman"/>
                <w:lang w:eastAsia="en-US"/>
              </w:rPr>
              <w:t>1,500</w:t>
            </w:r>
          </w:p>
        </w:tc>
        <w:tc>
          <w:tcPr>
            <w:tcW w:w="1612" w:type="dxa"/>
          </w:tcPr>
          <w:p w:rsidR="003E48F9" w:rsidRPr="002C1949" w:rsidRDefault="00677B0D">
            <w:pPr>
              <w:spacing w:line="240" w:lineRule="auto"/>
              <w:jc w:val="both"/>
              <w:cnfStyle w:val="000000000000"/>
              <w:rPr>
                <w:rFonts w:ascii="Times New Roman" w:hAnsi="Times New Roman"/>
              </w:rPr>
            </w:pPr>
            <w:r w:rsidRPr="002C1949">
              <w:rPr>
                <w:rFonts w:ascii="Times New Roman" w:eastAsia="MS Mincho" w:hAnsi="Times New Roman"/>
                <w:lang w:eastAsia="en-US"/>
              </w:rPr>
              <w:t>7.5%</w:t>
            </w:r>
          </w:p>
        </w:tc>
        <w:tc>
          <w:tcPr>
            <w:tcW w:w="1683" w:type="dxa"/>
          </w:tcPr>
          <w:p w:rsidR="003E48F9" w:rsidRPr="002C1949" w:rsidRDefault="00677B0D">
            <w:pPr>
              <w:spacing w:line="240" w:lineRule="auto"/>
              <w:jc w:val="both"/>
              <w:cnfStyle w:val="000000000000"/>
              <w:rPr>
                <w:rFonts w:ascii="Times New Roman" w:hAnsi="Times New Roman"/>
              </w:rPr>
            </w:pPr>
            <w:r w:rsidRPr="002C1949">
              <w:rPr>
                <w:rFonts w:ascii="Times New Roman" w:eastAsia="MS Mincho" w:hAnsi="Times New Roman"/>
                <w:lang w:eastAsia="en-US"/>
              </w:rPr>
              <w:t>30</w:t>
            </w:r>
          </w:p>
        </w:tc>
      </w:tr>
      <w:tr w:rsidR="003E48F9" w:rsidRPr="002C1949" w:rsidTr="003E48F9">
        <w:tc>
          <w:tcPr>
            <w:cnfStyle w:val="001000000000"/>
            <w:tcW w:w="2695" w:type="dxa"/>
          </w:tcPr>
          <w:p w:rsidR="003E48F9" w:rsidRPr="002C1949" w:rsidRDefault="00677B0D">
            <w:pPr>
              <w:spacing w:line="240" w:lineRule="auto"/>
              <w:jc w:val="both"/>
              <w:rPr>
                <w:rFonts w:ascii="Times New Roman" w:hAnsi="Times New Roman"/>
              </w:rPr>
            </w:pPr>
            <w:r w:rsidRPr="002C1949">
              <w:rPr>
                <w:rFonts w:ascii="Times New Roman" w:eastAsia="MS Mincho" w:hAnsi="Times New Roman"/>
                <w:lang w:eastAsia="en-US"/>
              </w:rPr>
              <w:t>West Coast (Idenau)</w:t>
            </w:r>
          </w:p>
        </w:tc>
        <w:tc>
          <w:tcPr>
            <w:tcW w:w="3360" w:type="dxa"/>
          </w:tcPr>
          <w:p w:rsidR="003E48F9" w:rsidRPr="002C1949" w:rsidRDefault="00677B0D">
            <w:pPr>
              <w:spacing w:line="240" w:lineRule="auto"/>
              <w:jc w:val="both"/>
              <w:cnfStyle w:val="000000000000"/>
              <w:rPr>
                <w:rFonts w:ascii="Times New Roman" w:hAnsi="Times New Roman"/>
              </w:rPr>
            </w:pPr>
            <w:r w:rsidRPr="002C1949">
              <w:rPr>
                <w:rFonts w:ascii="Times New Roman" w:eastAsia="MS Mincho" w:hAnsi="Times New Roman"/>
                <w:lang w:eastAsia="en-US"/>
              </w:rPr>
              <w:t>3,000</w:t>
            </w:r>
          </w:p>
        </w:tc>
        <w:tc>
          <w:tcPr>
            <w:tcW w:w="1612" w:type="dxa"/>
          </w:tcPr>
          <w:p w:rsidR="003E48F9" w:rsidRPr="002C1949" w:rsidRDefault="00677B0D">
            <w:pPr>
              <w:spacing w:line="240" w:lineRule="auto"/>
              <w:jc w:val="both"/>
              <w:cnfStyle w:val="000000000000"/>
              <w:rPr>
                <w:rFonts w:ascii="Times New Roman" w:hAnsi="Times New Roman"/>
              </w:rPr>
            </w:pPr>
            <w:r w:rsidRPr="002C1949">
              <w:rPr>
                <w:rFonts w:ascii="Times New Roman" w:eastAsia="MS Mincho" w:hAnsi="Times New Roman"/>
                <w:lang w:eastAsia="en-US"/>
              </w:rPr>
              <w:t>15%</w:t>
            </w:r>
          </w:p>
        </w:tc>
        <w:tc>
          <w:tcPr>
            <w:tcW w:w="1683" w:type="dxa"/>
          </w:tcPr>
          <w:p w:rsidR="003E48F9" w:rsidRPr="002C1949" w:rsidRDefault="00677B0D">
            <w:pPr>
              <w:spacing w:line="240" w:lineRule="auto"/>
              <w:jc w:val="both"/>
              <w:cnfStyle w:val="000000000000"/>
              <w:rPr>
                <w:rFonts w:ascii="Times New Roman" w:hAnsi="Times New Roman"/>
              </w:rPr>
            </w:pPr>
            <w:r w:rsidRPr="002C1949">
              <w:rPr>
                <w:rFonts w:ascii="Times New Roman" w:eastAsia="MS Mincho" w:hAnsi="Times New Roman"/>
                <w:lang w:eastAsia="en-US"/>
              </w:rPr>
              <w:t>59</w:t>
            </w:r>
          </w:p>
        </w:tc>
      </w:tr>
      <w:tr w:rsidR="003E48F9" w:rsidRPr="002C1949" w:rsidTr="003E48F9">
        <w:tc>
          <w:tcPr>
            <w:cnfStyle w:val="001000000000"/>
            <w:tcW w:w="2695" w:type="dxa"/>
          </w:tcPr>
          <w:p w:rsidR="003E48F9" w:rsidRPr="002C1949" w:rsidRDefault="00677B0D">
            <w:pPr>
              <w:spacing w:line="240" w:lineRule="auto"/>
              <w:jc w:val="both"/>
              <w:rPr>
                <w:rFonts w:ascii="Times New Roman" w:hAnsi="Times New Roman"/>
              </w:rPr>
            </w:pPr>
            <w:r w:rsidRPr="002C1949">
              <w:rPr>
                <w:rFonts w:ascii="Times New Roman" w:eastAsia="MS Mincho" w:hAnsi="Times New Roman"/>
                <w:lang w:eastAsia="en-US"/>
              </w:rPr>
              <w:t>Total</w:t>
            </w:r>
          </w:p>
        </w:tc>
        <w:tc>
          <w:tcPr>
            <w:tcW w:w="3360" w:type="dxa"/>
          </w:tcPr>
          <w:p w:rsidR="003E48F9" w:rsidRPr="002C1949" w:rsidRDefault="00677B0D">
            <w:pPr>
              <w:spacing w:line="240" w:lineRule="auto"/>
              <w:jc w:val="both"/>
              <w:cnfStyle w:val="000000000000"/>
              <w:rPr>
                <w:rFonts w:ascii="Times New Roman" w:hAnsi="Times New Roman"/>
              </w:rPr>
            </w:pPr>
            <w:r w:rsidRPr="002C1949">
              <w:rPr>
                <w:rFonts w:ascii="Times New Roman" w:eastAsia="MS Mincho" w:hAnsi="Times New Roman"/>
                <w:lang w:eastAsia="en-US"/>
              </w:rPr>
              <w:t>20,000</w:t>
            </w:r>
          </w:p>
        </w:tc>
        <w:tc>
          <w:tcPr>
            <w:tcW w:w="1612" w:type="dxa"/>
          </w:tcPr>
          <w:p w:rsidR="003E48F9" w:rsidRPr="002C1949" w:rsidRDefault="00677B0D">
            <w:pPr>
              <w:spacing w:line="240" w:lineRule="auto"/>
              <w:jc w:val="both"/>
              <w:cnfStyle w:val="000000000000"/>
              <w:rPr>
                <w:rFonts w:ascii="Times New Roman" w:hAnsi="Times New Roman"/>
              </w:rPr>
            </w:pPr>
            <w:r w:rsidRPr="002C1949">
              <w:rPr>
                <w:rFonts w:ascii="Times New Roman" w:eastAsia="MS Mincho" w:hAnsi="Times New Roman"/>
                <w:lang w:eastAsia="en-US"/>
              </w:rPr>
              <w:t>100%</w:t>
            </w:r>
          </w:p>
        </w:tc>
        <w:tc>
          <w:tcPr>
            <w:tcW w:w="1683" w:type="dxa"/>
          </w:tcPr>
          <w:p w:rsidR="003E48F9" w:rsidRPr="002C1949" w:rsidRDefault="00677B0D">
            <w:pPr>
              <w:spacing w:line="240" w:lineRule="auto"/>
              <w:jc w:val="both"/>
              <w:cnfStyle w:val="000000000000"/>
              <w:rPr>
                <w:rFonts w:ascii="Times New Roman" w:hAnsi="Times New Roman"/>
              </w:rPr>
            </w:pPr>
            <w:r w:rsidRPr="002C1949">
              <w:rPr>
                <w:rFonts w:ascii="Times New Roman" w:eastAsia="MS Mincho" w:hAnsi="Times New Roman"/>
                <w:lang w:eastAsia="en-US"/>
              </w:rPr>
              <w:t>396</w:t>
            </w:r>
          </w:p>
        </w:tc>
      </w:tr>
    </w:tbl>
    <w:p w:rsidR="003E48F9" w:rsidRPr="002C1949" w:rsidRDefault="00677B0D">
      <w:pPr>
        <w:spacing w:line="360" w:lineRule="auto"/>
        <w:jc w:val="both"/>
        <w:rPr>
          <w:rFonts w:ascii="Times New Roman" w:hAnsi="Times New Roman"/>
        </w:rPr>
      </w:pPr>
      <w:r w:rsidRPr="002C1949">
        <w:rPr>
          <w:rFonts w:ascii="Times New Roman" w:eastAsia="Times New Roman" w:hAnsi="Times New Roman"/>
          <w:b/>
          <w:bCs/>
          <w:kern w:val="2"/>
        </w:rPr>
        <w:t xml:space="preserve">Source: </w:t>
      </w:r>
      <w:r w:rsidRPr="002C1949">
        <w:rPr>
          <w:rFonts w:ascii="Times New Roman" w:eastAsia="Times New Roman" w:hAnsi="Times New Roman"/>
          <w:b/>
          <w:bCs/>
          <w:kern w:val="2"/>
          <w:lang w:val="en-GB"/>
        </w:rPr>
        <w:t xml:space="preserve"> The author</w:t>
      </w:r>
      <w:r w:rsidRPr="002C1949">
        <w:rPr>
          <w:rFonts w:ascii="Times New Roman" w:eastAsia="Times New Roman" w:hAnsi="Times New Roman"/>
          <w:b/>
          <w:bCs/>
          <w:kern w:val="2"/>
        </w:rPr>
        <w:t>, 2025</w:t>
      </w:r>
    </w:p>
    <w:p w:rsidR="003E48F9" w:rsidRPr="002C1949" w:rsidRDefault="00677B0D">
      <w:pPr>
        <w:spacing w:line="360" w:lineRule="auto"/>
        <w:jc w:val="both"/>
        <w:rPr>
          <w:rFonts w:ascii="Times New Roman" w:hAnsi="Times New Roman"/>
        </w:rPr>
      </w:pPr>
      <w:r w:rsidRPr="002C1949">
        <w:rPr>
          <w:rFonts w:ascii="Times New Roman" w:hAnsi="Times New Roman"/>
        </w:rPr>
        <w:t>Within each subdivision, respondents were randomly selected, ensuring representation of both FO members and non-members.</w:t>
      </w:r>
    </w:p>
    <w:p w:rsidR="003E48F9" w:rsidRPr="002C1949" w:rsidRDefault="00677B0D">
      <w:pPr>
        <w:spacing w:line="360" w:lineRule="auto"/>
        <w:jc w:val="both"/>
        <w:rPr>
          <w:rFonts w:ascii="Times New Roman" w:hAnsi="Times New Roman"/>
        </w:rPr>
      </w:pPr>
      <w:r w:rsidRPr="002C1949">
        <w:rPr>
          <w:rFonts w:ascii="Times New Roman" w:hAnsi="Times New Roman"/>
        </w:rPr>
        <w:t xml:space="preserve">Primary data were collected using a structured questionnaire designed in line with the study objectives and validated through expert review and pretesting. The questionnaire captured farmers’ socio-demographic characteristics, organizational membership, access to extension services, and control variables such as age, education, gender, and farm size. </w:t>
      </w:r>
    </w:p>
    <w:p w:rsidR="003E48F9" w:rsidRPr="002C1949" w:rsidRDefault="00677B0D">
      <w:pPr>
        <w:spacing w:line="360" w:lineRule="auto"/>
        <w:jc w:val="both"/>
        <w:rPr>
          <w:rFonts w:ascii="Times New Roman" w:hAnsi="Times New Roman"/>
        </w:rPr>
      </w:pPr>
      <w:r w:rsidRPr="002C1949">
        <w:rPr>
          <w:rFonts w:ascii="Times New Roman" w:hAnsi="Times New Roman"/>
        </w:rPr>
        <w:t>Access to Agricultural Extension Services (AES) was measured using a binary variable, that is, whether a farmer had received technical advice or training in the past year (Yes/No). Membership in a Farmer Organization was also coded as a binary variable (Yes/No). The instrument was administered in the field with support from local enumerators and validated through discussions with extension officers and farmer group leaders.</w:t>
      </w:r>
    </w:p>
    <w:p w:rsidR="003E48F9" w:rsidRPr="002C1949" w:rsidRDefault="00677B0D">
      <w:pPr>
        <w:spacing w:line="360" w:lineRule="auto"/>
        <w:jc w:val="both"/>
        <w:rPr>
          <w:rFonts w:ascii="Times New Roman" w:hAnsi="Times New Roman"/>
        </w:rPr>
      </w:pPr>
      <w:r w:rsidRPr="002C1949">
        <w:rPr>
          <w:rFonts w:ascii="Times New Roman" w:hAnsi="Times New Roman"/>
        </w:rPr>
        <w:t xml:space="preserve">The relationship between membership in farmer organizations and access to agricultural extension services was modelled using a binary logistic regression, given the dichotomous nature of the dependent variable (Access to AES = 1 if farmer has access, 0 otherwise). </w:t>
      </w:r>
    </w:p>
    <w:p w:rsidR="003E48F9" w:rsidRPr="002C1949" w:rsidRDefault="00677B0D">
      <w:pPr>
        <w:spacing w:line="360" w:lineRule="auto"/>
        <w:jc w:val="both"/>
        <w:rPr>
          <w:rFonts w:ascii="Times New Roman" w:hAnsi="Times New Roman"/>
        </w:rPr>
      </w:pPr>
      <w:r w:rsidRPr="002C1949">
        <w:rPr>
          <w:rFonts w:ascii="Times New Roman" w:hAnsi="Times New Roman"/>
        </w:rPr>
        <w:t>The model is specified as follows:</w:t>
      </w:r>
    </w:p>
    <w:p w:rsidR="003E48F9" w:rsidRPr="002C1949" w:rsidRDefault="00677B0D">
      <w:pPr>
        <w:spacing w:line="360" w:lineRule="auto"/>
        <w:jc w:val="both"/>
        <w:rPr>
          <w:rFonts w:ascii="Times New Roman" w:hAnsi="Times New Roman"/>
        </w:rPr>
      </w:pPr>
      <w:r w:rsidRPr="002C1949">
        <w:rPr>
          <w:rFonts w:ascii="Times New Roman" w:hAnsi="Times New Roman"/>
        </w:rPr>
        <w:t>Logit(Pi) = ln(Pi / (1 - Pi)) = β₀ + β₁X₁ + β₂X₂ + β₃X₃ + β₄X₄ + β₅X₅ + ε ……………</w:t>
      </w:r>
      <w:r w:rsidRPr="002C1949">
        <w:rPr>
          <w:rFonts w:ascii="Times New Roman" w:hAnsi="Times New Roman"/>
          <w:lang w:val="en-GB"/>
        </w:rPr>
        <w:t>2</w:t>
      </w:r>
    </w:p>
    <w:p w:rsidR="003E48F9" w:rsidRPr="002C1949" w:rsidRDefault="00677B0D">
      <w:pPr>
        <w:spacing w:line="360" w:lineRule="auto"/>
        <w:jc w:val="both"/>
        <w:rPr>
          <w:rFonts w:ascii="Times New Roman" w:hAnsi="Times New Roman"/>
        </w:rPr>
      </w:pPr>
      <w:r w:rsidRPr="002C1949">
        <w:rPr>
          <w:rFonts w:ascii="Times New Roman" w:hAnsi="Times New Roman"/>
        </w:rPr>
        <w:t>Where:</w:t>
      </w:r>
    </w:p>
    <w:p w:rsidR="003E48F9" w:rsidRPr="002C1949" w:rsidRDefault="00677B0D">
      <w:pPr>
        <w:spacing w:line="360" w:lineRule="auto"/>
        <w:jc w:val="both"/>
        <w:rPr>
          <w:rFonts w:ascii="Times New Roman" w:hAnsi="Times New Roman"/>
        </w:rPr>
      </w:pPr>
      <w:r w:rsidRPr="002C1949">
        <w:rPr>
          <w:rFonts w:ascii="Times New Roman" w:hAnsi="Times New Roman"/>
        </w:rPr>
        <w:lastRenderedPageBreak/>
        <w:t>Pi = Probability of accessing Agricultural Extension Services (AES)</w:t>
      </w:r>
    </w:p>
    <w:p w:rsidR="003E48F9" w:rsidRPr="002C1949" w:rsidRDefault="00677B0D">
      <w:pPr>
        <w:spacing w:line="360" w:lineRule="auto"/>
        <w:jc w:val="both"/>
        <w:rPr>
          <w:rFonts w:ascii="Times New Roman" w:hAnsi="Times New Roman"/>
        </w:rPr>
      </w:pPr>
      <w:r w:rsidRPr="002C1949">
        <w:rPr>
          <w:rFonts w:ascii="Times New Roman" w:hAnsi="Times New Roman"/>
        </w:rPr>
        <w:t>β₀ = Constant term</w:t>
      </w:r>
    </w:p>
    <w:p w:rsidR="003E48F9" w:rsidRPr="002C1949" w:rsidRDefault="00677B0D">
      <w:pPr>
        <w:spacing w:line="360" w:lineRule="auto"/>
        <w:jc w:val="both"/>
        <w:rPr>
          <w:rFonts w:ascii="Times New Roman" w:hAnsi="Times New Roman"/>
        </w:rPr>
      </w:pPr>
      <w:r w:rsidRPr="002C1949">
        <w:rPr>
          <w:rFonts w:ascii="Times New Roman" w:hAnsi="Times New Roman"/>
        </w:rPr>
        <w:t>β₁–β₅ = Estimated coefficients of explanatory variables</w:t>
      </w:r>
    </w:p>
    <w:p w:rsidR="003E48F9" w:rsidRPr="002C1949" w:rsidRDefault="00677B0D">
      <w:pPr>
        <w:spacing w:line="360" w:lineRule="auto"/>
        <w:jc w:val="both"/>
        <w:rPr>
          <w:rFonts w:ascii="Times New Roman" w:hAnsi="Times New Roman"/>
        </w:rPr>
      </w:pPr>
      <w:r w:rsidRPr="002C1949">
        <w:rPr>
          <w:rFonts w:ascii="Times New Roman" w:hAnsi="Times New Roman"/>
        </w:rPr>
        <w:t>X₁ = Farmer organization membership (1 = member, 0 = non-member)</w:t>
      </w:r>
    </w:p>
    <w:p w:rsidR="003E48F9" w:rsidRPr="002C1949" w:rsidRDefault="00677B0D">
      <w:pPr>
        <w:spacing w:line="360" w:lineRule="auto"/>
        <w:jc w:val="both"/>
        <w:rPr>
          <w:rFonts w:ascii="Times New Roman" w:hAnsi="Times New Roman"/>
        </w:rPr>
      </w:pPr>
      <w:r w:rsidRPr="002C1949">
        <w:rPr>
          <w:rFonts w:ascii="Times New Roman" w:hAnsi="Times New Roman"/>
        </w:rPr>
        <w:t>X₂ = Age of farmer (years)</w:t>
      </w:r>
    </w:p>
    <w:p w:rsidR="003E48F9" w:rsidRPr="002C1949" w:rsidRDefault="00677B0D">
      <w:pPr>
        <w:spacing w:line="360" w:lineRule="auto"/>
        <w:jc w:val="both"/>
        <w:rPr>
          <w:rFonts w:ascii="Times New Roman" w:hAnsi="Times New Roman"/>
        </w:rPr>
      </w:pPr>
      <w:r w:rsidRPr="002C1949">
        <w:rPr>
          <w:rFonts w:ascii="Times New Roman" w:hAnsi="Times New Roman"/>
        </w:rPr>
        <w:t>X₃ = Education level (years of schooling)</w:t>
      </w:r>
    </w:p>
    <w:p w:rsidR="003E48F9" w:rsidRPr="002C1949" w:rsidRDefault="00677B0D">
      <w:pPr>
        <w:spacing w:line="360" w:lineRule="auto"/>
        <w:jc w:val="both"/>
        <w:rPr>
          <w:rFonts w:ascii="Times New Roman" w:hAnsi="Times New Roman"/>
        </w:rPr>
      </w:pPr>
      <w:r w:rsidRPr="002C1949">
        <w:rPr>
          <w:rFonts w:ascii="Times New Roman" w:hAnsi="Times New Roman"/>
        </w:rPr>
        <w:t>X₄ = Farm size (hectares)</w:t>
      </w:r>
    </w:p>
    <w:p w:rsidR="003E48F9" w:rsidRPr="002C1949" w:rsidRDefault="00677B0D">
      <w:pPr>
        <w:spacing w:line="360" w:lineRule="auto"/>
        <w:jc w:val="both"/>
        <w:rPr>
          <w:rFonts w:ascii="Times New Roman" w:hAnsi="Times New Roman"/>
        </w:rPr>
      </w:pPr>
      <w:r w:rsidRPr="002C1949">
        <w:rPr>
          <w:rFonts w:ascii="Times New Roman" w:hAnsi="Times New Roman"/>
        </w:rPr>
        <w:t>X₅ = Gender (1 = male, 0 = female)</w:t>
      </w:r>
    </w:p>
    <w:p w:rsidR="003E48F9" w:rsidRPr="002C1949" w:rsidRDefault="00677B0D">
      <w:pPr>
        <w:spacing w:line="360" w:lineRule="auto"/>
        <w:jc w:val="both"/>
        <w:rPr>
          <w:rFonts w:ascii="Times New Roman" w:hAnsi="Times New Roman"/>
        </w:rPr>
      </w:pPr>
      <w:r w:rsidRPr="002C1949">
        <w:rPr>
          <w:rFonts w:ascii="Times New Roman" w:hAnsi="Times New Roman"/>
        </w:rPr>
        <w:t>ε = Error term</w:t>
      </w:r>
    </w:p>
    <w:p w:rsidR="003E48F9" w:rsidRPr="002C1949" w:rsidRDefault="00677B0D">
      <w:pPr>
        <w:spacing w:line="360" w:lineRule="auto"/>
        <w:jc w:val="both"/>
        <w:rPr>
          <w:rFonts w:ascii="Times New Roman" w:hAnsi="Times New Roman"/>
        </w:rPr>
      </w:pPr>
      <w:r w:rsidRPr="002C1949">
        <w:rPr>
          <w:rFonts w:ascii="Times New Roman" w:hAnsi="Times New Roman"/>
        </w:rPr>
        <w:t>Data were analyzed using both descriptive and inferential statistical techniques. Descriptive statistics were first used to summarize the socio-demographic characteristics of the cocoa farmers, farm-related attributes, and patterns of access to agricultural extension services (AES) across membership categories. This included percentages, means, and standard deviations, providing a clear overview of the sample and highlighting differences between farmer organization (FO) members and non-members.</w:t>
      </w:r>
    </w:p>
    <w:p w:rsidR="003E48F9" w:rsidRPr="002C1949" w:rsidRDefault="00677B0D">
      <w:pPr>
        <w:spacing w:line="360" w:lineRule="auto"/>
        <w:jc w:val="both"/>
        <w:rPr>
          <w:rFonts w:ascii="Times New Roman" w:hAnsi="Times New Roman"/>
        </w:rPr>
      </w:pPr>
      <w:r w:rsidRPr="002C1949">
        <w:rPr>
          <w:rFonts w:ascii="Times New Roman" w:hAnsi="Times New Roman"/>
        </w:rPr>
        <w:t>To examine associations between variables, a chi-square test was applied to evaluate the relationship between FO membership and access to AES. This allowed for an initial assessment of whether membership status was significantly related to extension access.</w:t>
      </w:r>
    </w:p>
    <w:p w:rsidR="003E48F9" w:rsidRPr="002C1949" w:rsidRDefault="00677B0D">
      <w:pPr>
        <w:spacing w:line="360" w:lineRule="auto"/>
        <w:jc w:val="both"/>
        <w:rPr>
          <w:rFonts w:ascii="Times New Roman" w:hAnsi="Times New Roman"/>
        </w:rPr>
      </w:pPr>
      <w:r w:rsidRPr="002C1949">
        <w:rPr>
          <w:rFonts w:ascii="Times New Roman" w:hAnsi="Times New Roman"/>
        </w:rPr>
        <w:t>To identify the determinants of AES access while controlling for other factors, a binary logistic regression analysis was performed. FO membership was included as the main predictor, with age, education, farm size, and gender as control variables. Model fitness was assessed using the chi-square test for model significance, and the Nagelkerke R² was reported to indicate the proportion of variance in AES access explained by the model. Odds ratios were interpreted to determine the likelihood of accessing AES among FO members compared to non-members, as well as the influence of socio-demographic and farm-related factors.</w:t>
      </w:r>
    </w:p>
    <w:p w:rsidR="003E48F9" w:rsidRPr="002C1949" w:rsidRDefault="00677B0D">
      <w:pPr>
        <w:spacing w:line="360" w:lineRule="auto"/>
        <w:jc w:val="both"/>
        <w:rPr>
          <w:rFonts w:ascii="Times New Roman" w:hAnsi="Times New Roman"/>
        </w:rPr>
      </w:pPr>
      <w:r w:rsidRPr="002C1949">
        <w:rPr>
          <w:rFonts w:ascii="Times New Roman" w:hAnsi="Times New Roman"/>
        </w:rPr>
        <w:t>All statistical analyses were conducted using SPSS version 26. Results were presented in tables, accompanied by narrative interpretation, ensuring clarity and alignment with the study objectives.</w:t>
      </w:r>
    </w:p>
    <w:p w:rsidR="003E48F9" w:rsidRPr="002C1949" w:rsidRDefault="00677B0D">
      <w:pPr>
        <w:spacing w:line="360" w:lineRule="auto"/>
        <w:jc w:val="both"/>
        <w:rPr>
          <w:rFonts w:ascii="Times New Roman" w:hAnsi="Times New Roman"/>
          <w:i/>
        </w:rPr>
      </w:pPr>
      <w:r w:rsidRPr="002C1949">
        <w:rPr>
          <w:rFonts w:ascii="Times New Roman" w:hAnsi="Times New Roman"/>
          <w:i/>
        </w:rPr>
        <w:t>Ethical issues</w:t>
      </w:r>
    </w:p>
    <w:p w:rsidR="003E48F9" w:rsidRPr="002C1949" w:rsidRDefault="00677B0D">
      <w:pPr>
        <w:spacing w:line="360" w:lineRule="auto"/>
        <w:jc w:val="both"/>
        <w:rPr>
          <w:rFonts w:ascii="Times New Roman" w:hAnsi="Times New Roman"/>
        </w:rPr>
      </w:pPr>
      <w:r w:rsidRPr="002C1949">
        <w:rPr>
          <w:rFonts w:ascii="Times New Roman" w:hAnsi="Times New Roman"/>
        </w:rPr>
        <w:lastRenderedPageBreak/>
        <w:t>Participation in the study was entirely voluntary. Before administering the questionnaire, respondents were provided with a clear explanation of the study objectives, procedures, and their rights as participants. Informed consent was obtained verbally, with each respondent explicitly asked whether they agreed to participate; only those who gave consent proceeded to answer the survey questions. Confidentiality and anonymity were strictly maintained throughout the study. Respondents’ personal identifiers were not recorded on the questionnaires, and all data were coded and stored securely to prevent unauthorized access. Aggregate data were reported in the analysis, ensuring that no individual farmer could be identified.</w:t>
      </w:r>
    </w:p>
    <w:p w:rsidR="003E48F9" w:rsidRPr="002C1949" w:rsidRDefault="00677B0D">
      <w:pPr>
        <w:spacing w:line="360" w:lineRule="auto"/>
        <w:jc w:val="both"/>
        <w:rPr>
          <w:rFonts w:ascii="Times New Roman" w:hAnsi="Times New Roman"/>
        </w:rPr>
      </w:pPr>
      <w:r w:rsidRPr="002C1949">
        <w:rPr>
          <w:rFonts w:ascii="Times New Roman" w:hAnsi="Times New Roman"/>
        </w:rPr>
        <w:t>Ethical clearance for the study was obtained from the appropriate institutional review committee prior to fieldwork, ensuring that the research adhered to accepted ethical standards for studies involving human participants.</w:t>
      </w:r>
    </w:p>
    <w:p w:rsidR="003E48F9" w:rsidRPr="002C1949" w:rsidRDefault="002C1949">
      <w:pPr>
        <w:spacing w:line="360" w:lineRule="auto"/>
        <w:jc w:val="both"/>
        <w:rPr>
          <w:rFonts w:ascii="Arial" w:hAnsi="Arial" w:cs="Arial"/>
          <w:b/>
          <w:bCs/>
        </w:rPr>
      </w:pPr>
      <w:r w:rsidRPr="002C1949">
        <w:rPr>
          <w:rFonts w:ascii="Arial" w:hAnsi="Arial" w:cs="Arial"/>
          <w:b/>
          <w:bCs/>
          <w:lang w:val="en-GB"/>
        </w:rPr>
        <w:t xml:space="preserve">4, </w:t>
      </w:r>
      <w:r w:rsidRPr="002C1949">
        <w:rPr>
          <w:rFonts w:ascii="Arial" w:hAnsi="Arial" w:cs="Arial"/>
          <w:b/>
          <w:bCs/>
        </w:rPr>
        <w:t>RESULTS AND DISCUSSION</w:t>
      </w:r>
    </w:p>
    <w:p w:rsidR="003E48F9" w:rsidRPr="002C1949" w:rsidRDefault="00677B0D">
      <w:pPr>
        <w:spacing w:line="360" w:lineRule="auto"/>
        <w:jc w:val="both"/>
        <w:rPr>
          <w:rFonts w:ascii="Times New Roman" w:eastAsia="Times New Roman" w:hAnsi="Times New Roman"/>
          <w:b/>
          <w:bCs/>
          <w:kern w:val="2"/>
        </w:rPr>
      </w:pPr>
      <w:r w:rsidRPr="002C1949">
        <w:rPr>
          <w:rFonts w:ascii="Times New Roman" w:eastAsia="Times New Roman" w:hAnsi="Times New Roman"/>
          <w:b/>
          <w:bCs/>
          <w:kern w:val="2"/>
          <w:lang w:val="en-GB"/>
        </w:rPr>
        <w:t>4.</w:t>
      </w:r>
      <w:r w:rsidRPr="002C1949">
        <w:rPr>
          <w:rFonts w:ascii="Times New Roman" w:eastAsia="Times New Roman" w:hAnsi="Times New Roman"/>
          <w:b/>
          <w:bCs/>
          <w:kern w:val="2"/>
        </w:rPr>
        <w:t>1 Results</w:t>
      </w:r>
    </w:p>
    <w:p w:rsidR="003E48F9" w:rsidRPr="002C1949" w:rsidRDefault="00677B0D">
      <w:pPr>
        <w:spacing w:line="360" w:lineRule="auto"/>
        <w:jc w:val="both"/>
        <w:rPr>
          <w:rFonts w:ascii="Times New Roman" w:eastAsia="Times New Roman" w:hAnsi="Times New Roman"/>
          <w:b/>
          <w:bCs/>
          <w:kern w:val="2"/>
          <w:lang w:val="en-GB"/>
        </w:rPr>
      </w:pPr>
      <w:r w:rsidRPr="002C1949">
        <w:rPr>
          <w:rFonts w:ascii="Times New Roman" w:eastAsia="Times New Roman" w:hAnsi="Times New Roman"/>
          <w:b/>
          <w:bCs/>
          <w:kern w:val="2"/>
          <w:lang w:val="en-GB"/>
        </w:rPr>
        <w:t>4.1.1 Demographic Characteristics</w:t>
      </w:r>
    </w:p>
    <w:p w:rsidR="003E48F9" w:rsidRPr="002C1949" w:rsidRDefault="00677B0D">
      <w:pPr>
        <w:spacing w:line="360" w:lineRule="auto"/>
        <w:jc w:val="both"/>
        <w:rPr>
          <w:rFonts w:ascii="Times New Roman" w:hAnsi="Times New Roman"/>
        </w:rPr>
      </w:pPr>
      <w:r w:rsidRPr="002C1949">
        <w:rPr>
          <w:rFonts w:ascii="Times New Roman" w:eastAsia="Times New Roman" w:hAnsi="Times New Roman"/>
          <w:kern w:val="2"/>
        </w:rPr>
        <w:t>For clarity, results are presented for the entire sample and disaggregated by membership status in farmer organizations (members vs. non-members). This allows for meaningful comparison of demographic patterns that may influence participation in farmer organizations, access to extension services, and livelihood outcomes.</w:t>
      </w:r>
    </w:p>
    <w:p w:rsidR="003E48F9" w:rsidRPr="002C1949" w:rsidRDefault="00677B0D">
      <w:pPr>
        <w:spacing w:line="360" w:lineRule="auto"/>
        <w:jc w:val="both"/>
        <w:rPr>
          <w:rFonts w:ascii="Times New Roman" w:hAnsi="Times New Roman"/>
        </w:rPr>
      </w:pPr>
      <w:r w:rsidRPr="002C1949">
        <w:rPr>
          <w:rFonts w:ascii="Times New Roman" w:eastAsia="Times New Roman" w:hAnsi="Times New Roman"/>
          <w:kern w:val="2"/>
        </w:rPr>
        <w:t xml:space="preserve">The demographic characteristics of respondents provide important context for interpreting their livelihood outcomes. Table </w:t>
      </w:r>
      <w:r w:rsidRPr="002C1949">
        <w:rPr>
          <w:rFonts w:ascii="Times New Roman" w:eastAsia="Times New Roman" w:hAnsi="Times New Roman"/>
          <w:kern w:val="2"/>
          <w:lang w:val="en-GB"/>
        </w:rPr>
        <w:t xml:space="preserve">2 </w:t>
      </w:r>
      <w:r w:rsidRPr="002C1949">
        <w:rPr>
          <w:rFonts w:ascii="Times New Roman" w:eastAsia="Times New Roman" w:hAnsi="Times New Roman"/>
          <w:kern w:val="2"/>
        </w:rPr>
        <w:t xml:space="preserve">presents summary descriptive statistics. </w:t>
      </w:r>
    </w:p>
    <w:p w:rsidR="003E48F9" w:rsidRPr="002C1949" w:rsidRDefault="00677B0D">
      <w:pPr>
        <w:keepNext/>
        <w:keepLines/>
        <w:widowControl w:val="0"/>
        <w:spacing w:before="120" w:after="120" w:line="360" w:lineRule="auto"/>
        <w:jc w:val="both"/>
        <w:outlineLvl w:val="1"/>
        <w:rPr>
          <w:rFonts w:ascii="Times New Roman" w:hAnsi="Times New Roman"/>
          <w:b/>
          <w:bCs/>
          <w:kern w:val="2"/>
          <w:lang w:val="fr-FR"/>
        </w:rPr>
      </w:pPr>
      <w:r w:rsidRPr="002C1949">
        <w:rPr>
          <w:rFonts w:ascii="Times New Roman" w:hAnsi="Times New Roman"/>
          <w:b/>
          <w:bCs/>
          <w:kern w:val="2"/>
          <w:lang w:val="fr-FR"/>
        </w:rPr>
        <w:t xml:space="preserve">Table </w:t>
      </w:r>
      <w:r w:rsidRPr="002C1949">
        <w:rPr>
          <w:rFonts w:ascii="Times New Roman" w:hAnsi="Times New Roman"/>
          <w:b/>
          <w:bCs/>
          <w:kern w:val="2"/>
          <w:lang w:val="en-GB"/>
        </w:rPr>
        <w:t xml:space="preserve">2 </w:t>
      </w:r>
      <w:r w:rsidRPr="007316E8">
        <w:rPr>
          <w:rFonts w:ascii="Times New Roman" w:hAnsi="Times New Roman"/>
          <w:b/>
          <w:bCs/>
          <w:color w:val="FF0000"/>
          <w:kern w:val="2"/>
          <w:u w:val="single"/>
          <w:lang w:val="en-GB"/>
        </w:rPr>
        <w:t>D</w:t>
      </w:r>
      <w:r w:rsidRPr="007316E8">
        <w:rPr>
          <w:rFonts w:ascii="Times New Roman" w:hAnsi="Times New Roman"/>
          <w:b/>
          <w:bCs/>
          <w:color w:val="FF0000"/>
          <w:kern w:val="2"/>
          <w:u w:val="single"/>
          <w:lang w:val="fr-FR"/>
        </w:rPr>
        <w:t>emographicCharacteristics</w:t>
      </w:r>
      <w:r w:rsidRPr="002C1949">
        <w:rPr>
          <w:rFonts w:ascii="Times New Roman" w:hAnsi="Times New Roman"/>
          <w:b/>
          <w:bCs/>
          <w:kern w:val="2"/>
          <w:lang w:val="fr-FR"/>
        </w:rPr>
        <w:t xml:space="preserve"> of Respondents</w:t>
      </w:r>
      <w:r w:rsidRPr="002C1949">
        <w:rPr>
          <w:rFonts w:ascii="Times New Roman" w:hAnsi="Times New Roman"/>
          <w:b/>
          <w:bCs/>
          <w:kern w:val="2"/>
          <w:lang w:val="en-GB"/>
        </w:rPr>
        <w:t xml:space="preserve"> in Fako Division </w:t>
      </w:r>
    </w:p>
    <w:tbl>
      <w:tblPr>
        <w:tblStyle w:val="GridTable1Light1"/>
        <w:tblW w:w="5000" w:type="pct"/>
        <w:tblLayout w:type="fixed"/>
        <w:tblLook w:val="04A0"/>
      </w:tblPr>
      <w:tblGrid>
        <w:gridCol w:w="1719"/>
        <w:gridCol w:w="1435"/>
        <w:gridCol w:w="1461"/>
        <w:gridCol w:w="1590"/>
        <w:gridCol w:w="1164"/>
        <w:gridCol w:w="1188"/>
        <w:gridCol w:w="1019"/>
      </w:tblGrid>
      <w:tr w:rsidR="003E48F9" w:rsidRPr="002C1949" w:rsidTr="003E48F9">
        <w:trPr>
          <w:cnfStyle w:val="100000000000"/>
        </w:trPr>
        <w:tc>
          <w:tcPr>
            <w:cnfStyle w:val="001000000000"/>
            <w:tcW w:w="1680" w:type="dxa"/>
            <w:tcBorders>
              <w:top w:val="nil"/>
              <w:left w:val="nil"/>
              <w:right w:val="nil"/>
            </w:tcBorders>
          </w:tcPr>
          <w:p w:rsidR="003E48F9" w:rsidRPr="002C1949" w:rsidRDefault="00677B0D">
            <w:pPr>
              <w:widowControl w:val="0"/>
              <w:spacing w:line="240" w:lineRule="auto"/>
              <w:jc w:val="both"/>
              <w:rPr>
                <w:rFonts w:ascii="Times New Roman" w:hAnsi="Times New Roman"/>
                <w:kern w:val="2"/>
              </w:rPr>
            </w:pPr>
            <w:r w:rsidRPr="002C1949">
              <w:rPr>
                <w:rFonts w:ascii="Times New Roman" w:hAnsi="Times New Roman"/>
                <w:kern w:val="2"/>
              </w:rPr>
              <w:t>Variable</w:t>
            </w:r>
          </w:p>
        </w:tc>
        <w:tc>
          <w:tcPr>
            <w:tcW w:w="1403" w:type="dxa"/>
            <w:tcBorders>
              <w:top w:val="nil"/>
              <w:left w:val="nil"/>
              <w:right w:val="nil"/>
            </w:tcBorders>
          </w:tcPr>
          <w:p w:rsidR="003E48F9" w:rsidRPr="002C1949" w:rsidRDefault="00677B0D">
            <w:pPr>
              <w:widowControl w:val="0"/>
              <w:spacing w:line="240" w:lineRule="auto"/>
              <w:jc w:val="both"/>
              <w:cnfStyle w:val="100000000000"/>
              <w:rPr>
                <w:rFonts w:ascii="Times New Roman" w:hAnsi="Times New Roman"/>
                <w:b w:val="0"/>
                <w:bCs w:val="0"/>
                <w:kern w:val="2"/>
              </w:rPr>
            </w:pPr>
            <w:r w:rsidRPr="002C1949">
              <w:rPr>
                <w:rFonts w:ascii="Times New Roman" w:hAnsi="Times New Roman"/>
                <w:kern w:val="2"/>
              </w:rPr>
              <w:t xml:space="preserve">Entire Sample </w:t>
            </w:r>
          </w:p>
          <w:p w:rsidR="003E48F9" w:rsidRPr="002C1949" w:rsidRDefault="00677B0D">
            <w:pPr>
              <w:widowControl w:val="0"/>
              <w:spacing w:line="240" w:lineRule="auto"/>
              <w:jc w:val="both"/>
              <w:cnfStyle w:val="100000000000"/>
              <w:rPr>
                <w:rFonts w:ascii="Times New Roman" w:hAnsi="Times New Roman"/>
                <w:kern w:val="2"/>
              </w:rPr>
            </w:pPr>
            <w:r w:rsidRPr="002C1949">
              <w:rPr>
                <w:rFonts w:ascii="Times New Roman" w:hAnsi="Times New Roman"/>
                <w:kern w:val="2"/>
              </w:rPr>
              <w:t>(N = 396)</w:t>
            </w:r>
          </w:p>
        </w:tc>
        <w:tc>
          <w:tcPr>
            <w:tcW w:w="1428" w:type="dxa"/>
            <w:tcBorders>
              <w:top w:val="nil"/>
              <w:left w:val="nil"/>
              <w:right w:val="nil"/>
            </w:tcBorders>
          </w:tcPr>
          <w:p w:rsidR="003E48F9" w:rsidRPr="002C1949" w:rsidRDefault="00677B0D">
            <w:pPr>
              <w:widowControl w:val="0"/>
              <w:spacing w:line="240" w:lineRule="auto"/>
              <w:jc w:val="both"/>
              <w:cnfStyle w:val="100000000000"/>
              <w:rPr>
                <w:rFonts w:ascii="Times New Roman" w:hAnsi="Times New Roman"/>
                <w:kern w:val="2"/>
              </w:rPr>
            </w:pPr>
            <w:r w:rsidRPr="002C1949">
              <w:rPr>
                <w:rFonts w:ascii="Times New Roman" w:hAnsi="Times New Roman"/>
                <w:kern w:val="2"/>
              </w:rPr>
              <w:t>Members (n = 252)</w:t>
            </w:r>
          </w:p>
        </w:tc>
        <w:tc>
          <w:tcPr>
            <w:tcW w:w="1554" w:type="dxa"/>
            <w:tcBorders>
              <w:top w:val="nil"/>
              <w:left w:val="nil"/>
              <w:right w:val="nil"/>
            </w:tcBorders>
          </w:tcPr>
          <w:p w:rsidR="003E48F9" w:rsidRPr="002C1949" w:rsidRDefault="00677B0D">
            <w:pPr>
              <w:widowControl w:val="0"/>
              <w:spacing w:line="240" w:lineRule="auto"/>
              <w:jc w:val="both"/>
              <w:cnfStyle w:val="100000000000"/>
              <w:rPr>
                <w:rFonts w:ascii="Times New Roman" w:hAnsi="Times New Roman"/>
                <w:kern w:val="2"/>
              </w:rPr>
            </w:pPr>
            <w:r w:rsidRPr="002C1949">
              <w:rPr>
                <w:rFonts w:ascii="Times New Roman" w:hAnsi="Times New Roman"/>
                <w:kern w:val="2"/>
              </w:rPr>
              <w:t>Non-Members (n = 144)</w:t>
            </w:r>
          </w:p>
        </w:tc>
        <w:tc>
          <w:tcPr>
            <w:tcW w:w="1138" w:type="dxa"/>
            <w:tcBorders>
              <w:top w:val="nil"/>
              <w:left w:val="nil"/>
              <w:right w:val="nil"/>
            </w:tcBorders>
          </w:tcPr>
          <w:p w:rsidR="003E48F9" w:rsidRPr="002C1949" w:rsidRDefault="00677B0D">
            <w:pPr>
              <w:widowControl w:val="0"/>
              <w:spacing w:line="240" w:lineRule="auto"/>
              <w:jc w:val="both"/>
              <w:cnfStyle w:val="100000000000"/>
              <w:rPr>
                <w:rFonts w:ascii="Times New Roman" w:hAnsi="Times New Roman"/>
                <w:kern w:val="2"/>
              </w:rPr>
            </w:pPr>
            <w:r w:rsidRPr="002C1949">
              <w:rPr>
                <w:rFonts w:ascii="Times New Roman" w:hAnsi="Times New Roman"/>
                <w:kern w:val="2"/>
              </w:rPr>
              <w:t>Std. Dev / Min–Max</w:t>
            </w:r>
          </w:p>
        </w:tc>
        <w:tc>
          <w:tcPr>
            <w:tcW w:w="1161" w:type="dxa"/>
            <w:tcBorders>
              <w:top w:val="nil"/>
              <w:left w:val="nil"/>
              <w:right w:val="nil"/>
            </w:tcBorders>
          </w:tcPr>
          <w:p w:rsidR="003E48F9" w:rsidRPr="002C1949" w:rsidRDefault="00677B0D">
            <w:pPr>
              <w:widowControl w:val="0"/>
              <w:spacing w:line="240" w:lineRule="auto"/>
              <w:jc w:val="both"/>
              <w:cnfStyle w:val="100000000000"/>
              <w:rPr>
                <w:rFonts w:ascii="Times New Roman" w:hAnsi="Times New Roman"/>
                <w:kern w:val="2"/>
              </w:rPr>
            </w:pPr>
            <w:r w:rsidRPr="002C1949">
              <w:rPr>
                <w:rFonts w:ascii="Times New Roman" w:hAnsi="Times New Roman"/>
                <w:kern w:val="2"/>
              </w:rPr>
              <w:t>Test Statistic</w:t>
            </w:r>
          </w:p>
        </w:tc>
        <w:tc>
          <w:tcPr>
            <w:tcW w:w="996" w:type="dxa"/>
            <w:tcBorders>
              <w:top w:val="nil"/>
              <w:left w:val="nil"/>
              <w:right w:val="nil"/>
            </w:tcBorders>
          </w:tcPr>
          <w:p w:rsidR="003E48F9" w:rsidRPr="002C1949" w:rsidRDefault="00677B0D">
            <w:pPr>
              <w:widowControl w:val="0"/>
              <w:spacing w:line="240" w:lineRule="auto"/>
              <w:jc w:val="both"/>
              <w:cnfStyle w:val="100000000000"/>
              <w:rPr>
                <w:rFonts w:ascii="Times New Roman" w:hAnsi="Times New Roman"/>
                <w:kern w:val="2"/>
              </w:rPr>
            </w:pPr>
            <w:r w:rsidRPr="002C1949">
              <w:rPr>
                <w:rFonts w:ascii="Times New Roman" w:hAnsi="Times New Roman"/>
                <w:kern w:val="2"/>
              </w:rPr>
              <w:t>p-value</w:t>
            </w:r>
          </w:p>
        </w:tc>
      </w:tr>
      <w:tr w:rsidR="003E48F9" w:rsidRPr="002C1949" w:rsidTr="003E48F9">
        <w:tc>
          <w:tcPr>
            <w:cnfStyle w:val="001000000000"/>
            <w:tcW w:w="1680" w:type="dxa"/>
            <w:tcBorders>
              <w:left w:val="nil"/>
              <w:right w:val="nil"/>
            </w:tcBorders>
          </w:tcPr>
          <w:p w:rsidR="003E48F9" w:rsidRPr="002C1949" w:rsidRDefault="00677B0D">
            <w:pPr>
              <w:widowControl w:val="0"/>
              <w:spacing w:line="240" w:lineRule="auto"/>
              <w:jc w:val="both"/>
              <w:rPr>
                <w:rFonts w:ascii="Times New Roman" w:hAnsi="Times New Roman"/>
                <w:kern w:val="2"/>
              </w:rPr>
            </w:pPr>
            <w:r w:rsidRPr="002C1949">
              <w:rPr>
                <w:rFonts w:ascii="Times New Roman" w:hAnsi="Times New Roman"/>
                <w:b w:val="0"/>
                <w:kern w:val="2"/>
              </w:rPr>
              <w:t>Age (years)</w:t>
            </w:r>
          </w:p>
        </w:tc>
        <w:tc>
          <w:tcPr>
            <w:tcW w:w="1403" w:type="dxa"/>
            <w:tcBorders>
              <w:left w:val="nil"/>
              <w:right w:val="nil"/>
            </w:tcBorders>
          </w:tcPr>
          <w:p w:rsidR="003E48F9" w:rsidRPr="002C1949" w:rsidRDefault="00677B0D">
            <w:pPr>
              <w:widowControl w:val="0"/>
              <w:spacing w:line="240" w:lineRule="auto"/>
              <w:jc w:val="both"/>
              <w:cnfStyle w:val="000000000000"/>
              <w:rPr>
                <w:rFonts w:ascii="Times New Roman" w:hAnsi="Times New Roman"/>
                <w:kern w:val="2"/>
              </w:rPr>
            </w:pPr>
            <w:r w:rsidRPr="002C1949">
              <w:rPr>
                <w:rFonts w:ascii="Times New Roman" w:hAnsi="Times New Roman"/>
                <w:kern w:val="2"/>
              </w:rPr>
              <w:t>44.3</w:t>
            </w:r>
          </w:p>
        </w:tc>
        <w:tc>
          <w:tcPr>
            <w:tcW w:w="1428" w:type="dxa"/>
            <w:tcBorders>
              <w:left w:val="nil"/>
              <w:right w:val="nil"/>
            </w:tcBorders>
          </w:tcPr>
          <w:p w:rsidR="003E48F9" w:rsidRPr="002C1949" w:rsidRDefault="00677B0D">
            <w:pPr>
              <w:widowControl w:val="0"/>
              <w:spacing w:line="240" w:lineRule="auto"/>
              <w:jc w:val="both"/>
              <w:cnfStyle w:val="000000000000"/>
              <w:rPr>
                <w:rFonts w:ascii="Times New Roman" w:hAnsi="Times New Roman"/>
                <w:kern w:val="2"/>
              </w:rPr>
            </w:pPr>
            <w:r w:rsidRPr="002C1949">
              <w:rPr>
                <w:rFonts w:ascii="Times New Roman" w:hAnsi="Times New Roman"/>
                <w:kern w:val="2"/>
              </w:rPr>
              <w:t>45.6</w:t>
            </w:r>
          </w:p>
        </w:tc>
        <w:tc>
          <w:tcPr>
            <w:tcW w:w="1554" w:type="dxa"/>
            <w:tcBorders>
              <w:left w:val="nil"/>
              <w:right w:val="nil"/>
            </w:tcBorders>
          </w:tcPr>
          <w:p w:rsidR="003E48F9" w:rsidRPr="002C1949" w:rsidRDefault="00677B0D">
            <w:pPr>
              <w:widowControl w:val="0"/>
              <w:spacing w:line="240" w:lineRule="auto"/>
              <w:jc w:val="both"/>
              <w:cnfStyle w:val="000000000000"/>
              <w:rPr>
                <w:rFonts w:ascii="Times New Roman" w:hAnsi="Times New Roman"/>
                <w:kern w:val="2"/>
              </w:rPr>
            </w:pPr>
            <w:r w:rsidRPr="002C1949">
              <w:rPr>
                <w:rFonts w:ascii="Times New Roman" w:hAnsi="Times New Roman"/>
                <w:kern w:val="2"/>
              </w:rPr>
              <w:t>42.8</w:t>
            </w:r>
          </w:p>
        </w:tc>
        <w:tc>
          <w:tcPr>
            <w:tcW w:w="1138" w:type="dxa"/>
            <w:tcBorders>
              <w:left w:val="nil"/>
              <w:right w:val="nil"/>
            </w:tcBorders>
          </w:tcPr>
          <w:p w:rsidR="003E48F9" w:rsidRPr="002C1949" w:rsidRDefault="00677B0D">
            <w:pPr>
              <w:widowControl w:val="0"/>
              <w:spacing w:line="240" w:lineRule="auto"/>
              <w:jc w:val="both"/>
              <w:cnfStyle w:val="000000000000"/>
              <w:rPr>
                <w:rFonts w:ascii="Times New Roman" w:hAnsi="Times New Roman"/>
                <w:kern w:val="2"/>
              </w:rPr>
            </w:pPr>
            <w:r w:rsidRPr="002C1949">
              <w:rPr>
                <w:rFonts w:ascii="Times New Roman" w:hAnsi="Times New Roman"/>
                <w:kern w:val="2"/>
              </w:rPr>
              <w:t>10.8 / 21–80</w:t>
            </w:r>
          </w:p>
        </w:tc>
        <w:tc>
          <w:tcPr>
            <w:tcW w:w="1161" w:type="dxa"/>
            <w:tcBorders>
              <w:left w:val="nil"/>
              <w:right w:val="nil"/>
            </w:tcBorders>
          </w:tcPr>
          <w:p w:rsidR="003E48F9" w:rsidRPr="002C1949" w:rsidRDefault="00677B0D">
            <w:pPr>
              <w:widowControl w:val="0"/>
              <w:spacing w:line="240" w:lineRule="auto"/>
              <w:jc w:val="both"/>
              <w:cnfStyle w:val="000000000000"/>
              <w:rPr>
                <w:rFonts w:ascii="Times New Roman" w:hAnsi="Times New Roman"/>
                <w:kern w:val="2"/>
              </w:rPr>
            </w:pPr>
            <w:r w:rsidRPr="002C1949">
              <w:rPr>
                <w:rFonts w:ascii="Times New Roman" w:hAnsi="Times New Roman"/>
                <w:kern w:val="2"/>
              </w:rPr>
              <w:t>t = 1.76</w:t>
            </w:r>
          </w:p>
        </w:tc>
        <w:tc>
          <w:tcPr>
            <w:tcW w:w="996" w:type="dxa"/>
            <w:tcBorders>
              <w:left w:val="nil"/>
              <w:right w:val="nil"/>
            </w:tcBorders>
          </w:tcPr>
          <w:p w:rsidR="003E48F9" w:rsidRPr="002C1949" w:rsidRDefault="00677B0D">
            <w:pPr>
              <w:widowControl w:val="0"/>
              <w:spacing w:line="240" w:lineRule="auto"/>
              <w:jc w:val="both"/>
              <w:cnfStyle w:val="000000000000"/>
              <w:rPr>
                <w:rFonts w:ascii="Times New Roman" w:hAnsi="Times New Roman"/>
                <w:kern w:val="2"/>
              </w:rPr>
            </w:pPr>
            <w:r w:rsidRPr="002C1949">
              <w:rPr>
                <w:rFonts w:ascii="Times New Roman" w:hAnsi="Times New Roman"/>
                <w:kern w:val="2"/>
              </w:rPr>
              <w:t>0.081</w:t>
            </w:r>
          </w:p>
        </w:tc>
      </w:tr>
      <w:tr w:rsidR="003E48F9" w:rsidRPr="002C1949" w:rsidTr="003E48F9">
        <w:tc>
          <w:tcPr>
            <w:cnfStyle w:val="001000000000"/>
            <w:tcW w:w="1680" w:type="dxa"/>
            <w:tcBorders>
              <w:left w:val="nil"/>
              <w:right w:val="nil"/>
            </w:tcBorders>
          </w:tcPr>
          <w:p w:rsidR="003E48F9" w:rsidRPr="002C1949" w:rsidRDefault="00677B0D">
            <w:pPr>
              <w:widowControl w:val="0"/>
              <w:spacing w:line="240" w:lineRule="auto"/>
              <w:jc w:val="both"/>
              <w:rPr>
                <w:rFonts w:ascii="Times New Roman" w:hAnsi="Times New Roman"/>
                <w:kern w:val="2"/>
              </w:rPr>
            </w:pPr>
            <w:r w:rsidRPr="002C1949">
              <w:rPr>
                <w:rFonts w:ascii="Times New Roman" w:hAnsi="Times New Roman"/>
                <w:b w:val="0"/>
                <w:kern w:val="2"/>
              </w:rPr>
              <w:t>Gender (% male)</w:t>
            </w:r>
          </w:p>
        </w:tc>
        <w:tc>
          <w:tcPr>
            <w:tcW w:w="1403" w:type="dxa"/>
            <w:tcBorders>
              <w:left w:val="nil"/>
              <w:right w:val="nil"/>
            </w:tcBorders>
          </w:tcPr>
          <w:p w:rsidR="003E48F9" w:rsidRPr="002C1949" w:rsidRDefault="00677B0D">
            <w:pPr>
              <w:widowControl w:val="0"/>
              <w:spacing w:line="240" w:lineRule="auto"/>
              <w:jc w:val="both"/>
              <w:cnfStyle w:val="000000000000"/>
              <w:rPr>
                <w:rFonts w:ascii="Times New Roman" w:hAnsi="Times New Roman"/>
                <w:kern w:val="2"/>
              </w:rPr>
            </w:pPr>
            <w:r w:rsidRPr="002C1949">
              <w:rPr>
                <w:rFonts w:ascii="Times New Roman" w:hAnsi="Times New Roman"/>
                <w:kern w:val="2"/>
              </w:rPr>
              <w:t>74.1</w:t>
            </w:r>
          </w:p>
        </w:tc>
        <w:tc>
          <w:tcPr>
            <w:tcW w:w="1428" w:type="dxa"/>
            <w:tcBorders>
              <w:left w:val="nil"/>
              <w:right w:val="nil"/>
            </w:tcBorders>
          </w:tcPr>
          <w:p w:rsidR="003E48F9" w:rsidRPr="002C1949" w:rsidRDefault="00677B0D">
            <w:pPr>
              <w:widowControl w:val="0"/>
              <w:spacing w:line="240" w:lineRule="auto"/>
              <w:jc w:val="both"/>
              <w:cnfStyle w:val="000000000000"/>
              <w:rPr>
                <w:rFonts w:ascii="Times New Roman" w:hAnsi="Times New Roman"/>
                <w:kern w:val="2"/>
              </w:rPr>
            </w:pPr>
            <w:r w:rsidRPr="002C1949">
              <w:rPr>
                <w:rFonts w:ascii="Times New Roman" w:hAnsi="Times New Roman"/>
                <w:kern w:val="2"/>
              </w:rPr>
              <w:t>76.8</w:t>
            </w:r>
          </w:p>
        </w:tc>
        <w:tc>
          <w:tcPr>
            <w:tcW w:w="1554" w:type="dxa"/>
            <w:tcBorders>
              <w:left w:val="nil"/>
              <w:right w:val="nil"/>
            </w:tcBorders>
          </w:tcPr>
          <w:p w:rsidR="003E48F9" w:rsidRPr="002C1949" w:rsidRDefault="00677B0D">
            <w:pPr>
              <w:widowControl w:val="0"/>
              <w:spacing w:line="240" w:lineRule="auto"/>
              <w:jc w:val="both"/>
              <w:cnfStyle w:val="000000000000"/>
              <w:rPr>
                <w:rFonts w:ascii="Times New Roman" w:hAnsi="Times New Roman"/>
                <w:kern w:val="2"/>
              </w:rPr>
            </w:pPr>
            <w:r w:rsidRPr="002C1949">
              <w:rPr>
                <w:rFonts w:ascii="Times New Roman" w:hAnsi="Times New Roman"/>
                <w:kern w:val="2"/>
              </w:rPr>
              <w:t>71.3</w:t>
            </w:r>
          </w:p>
        </w:tc>
        <w:tc>
          <w:tcPr>
            <w:tcW w:w="1138" w:type="dxa"/>
            <w:tcBorders>
              <w:left w:val="nil"/>
              <w:right w:val="nil"/>
            </w:tcBorders>
          </w:tcPr>
          <w:p w:rsidR="003E48F9" w:rsidRPr="002C1949" w:rsidRDefault="00677B0D">
            <w:pPr>
              <w:widowControl w:val="0"/>
              <w:spacing w:line="240" w:lineRule="auto"/>
              <w:jc w:val="both"/>
              <w:cnfStyle w:val="000000000000"/>
              <w:rPr>
                <w:rFonts w:ascii="Times New Roman" w:hAnsi="Times New Roman"/>
                <w:kern w:val="2"/>
              </w:rPr>
            </w:pPr>
            <w:r w:rsidRPr="002C1949">
              <w:rPr>
                <w:rFonts w:ascii="Times New Roman" w:hAnsi="Times New Roman"/>
                <w:kern w:val="2"/>
              </w:rPr>
              <w:t>– / –</w:t>
            </w:r>
          </w:p>
        </w:tc>
        <w:tc>
          <w:tcPr>
            <w:tcW w:w="1161" w:type="dxa"/>
            <w:tcBorders>
              <w:left w:val="nil"/>
              <w:right w:val="nil"/>
            </w:tcBorders>
          </w:tcPr>
          <w:p w:rsidR="003E48F9" w:rsidRPr="002C1949" w:rsidRDefault="00677B0D">
            <w:pPr>
              <w:widowControl w:val="0"/>
              <w:spacing w:line="240" w:lineRule="auto"/>
              <w:jc w:val="both"/>
              <w:cnfStyle w:val="000000000000"/>
              <w:rPr>
                <w:rFonts w:ascii="Times New Roman" w:hAnsi="Times New Roman"/>
                <w:kern w:val="2"/>
              </w:rPr>
            </w:pPr>
            <w:r w:rsidRPr="002C1949">
              <w:rPr>
                <w:rFonts w:ascii="Times New Roman" w:hAnsi="Times New Roman"/>
                <w:kern w:val="2"/>
              </w:rPr>
              <w:t>χ² = 1.92</w:t>
            </w:r>
          </w:p>
        </w:tc>
        <w:tc>
          <w:tcPr>
            <w:tcW w:w="996" w:type="dxa"/>
            <w:tcBorders>
              <w:left w:val="nil"/>
              <w:right w:val="nil"/>
            </w:tcBorders>
          </w:tcPr>
          <w:p w:rsidR="003E48F9" w:rsidRPr="002C1949" w:rsidRDefault="00677B0D">
            <w:pPr>
              <w:widowControl w:val="0"/>
              <w:spacing w:line="240" w:lineRule="auto"/>
              <w:jc w:val="both"/>
              <w:cnfStyle w:val="000000000000"/>
              <w:rPr>
                <w:rFonts w:ascii="Times New Roman" w:hAnsi="Times New Roman"/>
                <w:kern w:val="2"/>
              </w:rPr>
            </w:pPr>
            <w:r w:rsidRPr="002C1949">
              <w:rPr>
                <w:rFonts w:ascii="Times New Roman" w:hAnsi="Times New Roman"/>
                <w:kern w:val="2"/>
              </w:rPr>
              <w:t>0.166</w:t>
            </w:r>
          </w:p>
        </w:tc>
      </w:tr>
      <w:tr w:rsidR="003E48F9" w:rsidRPr="002C1949" w:rsidTr="003E48F9">
        <w:tc>
          <w:tcPr>
            <w:cnfStyle w:val="001000000000"/>
            <w:tcW w:w="1680" w:type="dxa"/>
            <w:tcBorders>
              <w:left w:val="nil"/>
              <w:right w:val="nil"/>
            </w:tcBorders>
          </w:tcPr>
          <w:p w:rsidR="003E48F9" w:rsidRPr="002C1949" w:rsidRDefault="00677B0D">
            <w:pPr>
              <w:widowControl w:val="0"/>
              <w:spacing w:line="240" w:lineRule="auto"/>
              <w:jc w:val="both"/>
              <w:rPr>
                <w:rFonts w:ascii="Times New Roman" w:hAnsi="Times New Roman"/>
                <w:kern w:val="2"/>
              </w:rPr>
            </w:pPr>
            <w:r w:rsidRPr="002C1949">
              <w:rPr>
                <w:rFonts w:ascii="Times New Roman" w:hAnsi="Times New Roman"/>
                <w:b w:val="0"/>
                <w:kern w:val="2"/>
              </w:rPr>
              <w:t>Education (years)</w:t>
            </w:r>
          </w:p>
        </w:tc>
        <w:tc>
          <w:tcPr>
            <w:tcW w:w="1403" w:type="dxa"/>
            <w:tcBorders>
              <w:left w:val="nil"/>
              <w:right w:val="nil"/>
            </w:tcBorders>
          </w:tcPr>
          <w:p w:rsidR="003E48F9" w:rsidRPr="002C1949" w:rsidRDefault="00677B0D">
            <w:pPr>
              <w:widowControl w:val="0"/>
              <w:spacing w:line="240" w:lineRule="auto"/>
              <w:jc w:val="both"/>
              <w:cnfStyle w:val="000000000000"/>
              <w:rPr>
                <w:rFonts w:ascii="Times New Roman" w:hAnsi="Times New Roman"/>
                <w:kern w:val="2"/>
              </w:rPr>
            </w:pPr>
            <w:r w:rsidRPr="002C1949">
              <w:rPr>
                <w:rFonts w:ascii="Times New Roman" w:hAnsi="Times New Roman"/>
                <w:kern w:val="2"/>
              </w:rPr>
              <w:t>7.6</w:t>
            </w:r>
          </w:p>
        </w:tc>
        <w:tc>
          <w:tcPr>
            <w:tcW w:w="1428" w:type="dxa"/>
            <w:tcBorders>
              <w:left w:val="nil"/>
              <w:right w:val="nil"/>
            </w:tcBorders>
          </w:tcPr>
          <w:p w:rsidR="003E48F9" w:rsidRPr="002C1949" w:rsidRDefault="00677B0D">
            <w:pPr>
              <w:widowControl w:val="0"/>
              <w:spacing w:line="240" w:lineRule="auto"/>
              <w:jc w:val="both"/>
              <w:cnfStyle w:val="000000000000"/>
              <w:rPr>
                <w:rFonts w:ascii="Times New Roman" w:hAnsi="Times New Roman"/>
                <w:kern w:val="2"/>
              </w:rPr>
            </w:pPr>
            <w:r w:rsidRPr="002C1949">
              <w:rPr>
                <w:rFonts w:ascii="Times New Roman" w:hAnsi="Times New Roman"/>
                <w:kern w:val="2"/>
              </w:rPr>
              <w:t>8.2</w:t>
            </w:r>
          </w:p>
        </w:tc>
        <w:tc>
          <w:tcPr>
            <w:tcW w:w="1554" w:type="dxa"/>
            <w:tcBorders>
              <w:left w:val="nil"/>
              <w:right w:val="nil"/>
            </w:tcBorders>
          </w:tcPr>
          <w:p w:rsidR="003E48F9" w:rsidRPr="002C1949" w:rsidRDefault="00677B0D">
            <w:pPr>
              <w:widowControl w:val="0"/>
              <w:spacing w:line="240" w:lineRule="auto"/>
              <w:jc w:val="both"/>
              <w:cnfStyle w:val="000000000000"/>
              <w:rPr>
                <w:rFonts w:ascii="Times New Roman" w:hAnsi="Times New Roman"/>
                <w:kern w:val="2"/>
              </w:rPr>
            </w:pPr>
            <w:r w:rsidRPr="002C1949">
              <w:rPr>
                <w:rFonts w:ascii="Times New Roman" w:hAnsi="Times New Roman"/>
                <w:kern w:val="2"/>
              </w:rPr>
              <w:t>7.0</w:t>
            </w:r>
          </w:p>
        </w:tc>
        <w:tc>
          <w:tcPr>
            <w:tcW w:w="1138" w:type="dxa"/>
            <w:tcBorders>
              <w:left w:val="nil"/>
              <w:right w:val="nil"/>
            </w:tcBorders>
          </w:tcPr>
          <w:p w:rsidR="003E48F9" w:rsidRPr="002C1949" w:rsidRDefault="00677B0D">
            <w:pPr>
              <w:widowControl w:val="0"/>
              <w:spacing w:line="240" w:lineRule="auto"/>
              <w:jc w:val="both"/>
              <w:cnfStyle w:val="000000000000"/>
              <w:rPr>
                <w:rFonts w:ascii="Times New Roman" w:hAnsi="Times New Roman"/>
                <w:kern w:val="2"/>
              </w:rPr>
            </w:pPr>
            <w:r w:rsidRPr="002C1949">
              <w:rPr>
                <w:rFonts w:ascii="Times New Roman" w:hAnsi="Times New Roman"/>
                <w:kern w:val="2"/>
              </w:rPr>
              <w:t>3.2 / 0–16</w:t>
            </w:r>
          </w:p>
        </w:tc>
        <w:tc>
          <w:tcPr>
            <w:tcW w:w="1161" w:type="dxa"/>
            <w:tcBorders>
              <w:left w:val="nil"/>
              <w:right w:val="nil"/>
            </w:tcBorders>
          </w:tcPr>
          <w:p w:rsidR="003E48F9" w:rsidRPr="002C1949" w:rsidRDefault="00677B0D">
            <w:pPr>
              <w:widowControl w:val="0"/>
              <w:spacing w:line="240" w:lineRule="auto"/>
              <w:jc w:val="both"/>
              <w:cnfStyle w:val="000000000000"/>
              <w:rPr>
                <w:rFonts w:ascii="Times New Roman" w:hAnsi="Times New Roman"/>
                <w:kern w:val="2"/>
              </w:rPr>
            </w:pPr>
            <w:r w:rsidRPr="002C1949">
              <w:rPr>
                <w:rFonts w:ascii="Times New Roman" w:hAnsi="Times New Roman"/>
                <w:kern w:val="2"/>
              </w:rPr>
              <w:t>t = 2.17</w:t>
            </w:r>
          </w:p>
        </w:tc>
        <w:tc>
          <w:tcPr>
            <w:tcW w:w="996" w:type="dxa"/>
            <w:tcBorders>
              <w:left w:val="nil"/>
              <w:right w:val="nil"/>
            </w:tcBorders>
          </w:tcPr>
          <w:p w:rsidR="003E48F9" w:rsidRPr="002C1949" w:rsidRDefault="00677B0D">
            <w:pPr>
              <w:widowControl w:val="0"/>
              <w:spacing w:line="240" w:lineRule="auto"/>
              <w:jc w:val="both"/>
              <w:cnfStyle w:val="000000000000"/>
              <w:rPr>
                <w:rFonts w:ascii="Times New Roman" w:hAnsi="Times New Roman"/>
                <w:kern w:val="2"/>
              </w:rPr>
            </w:pPr>
            <w:r w:rsidRPr="002C1949">
              <w:rPr>
                <w:rFonts w:ascii="Times New Roman" w:hAnsi="Times New Roman"/>
                <w:kern w:val="2"/>
              </w:rPr>
              <w:t>0.031**</w:t>
            </w:r>
          </w:p>
        </w:tc>
      </w:tr>
      <w:tr w:rsidR="003E48F9" w:rsidRPr="002C1949" w:rsidTr="003E48F9">
        <w:tc>
          <w:tcPr>
            <w:cnfStyle w:val="001000000000"/>
            <w:tcW w:w="1680" w:type="dxa"/>
            <w:tcBorders>
              <w:left w:val="nil"/>
              <w:right w:val="nil"/>
            </w:tcBorders>
          </w:tcPr>
          <w:p w:rsidR="003E48F9" w:rsidRPr="002C1949" w:rsidRDefault="00677B0D">
            <w:pPr>
              <w:widowControl w:val="0"/>
              <w:spacing w:line="240" w:lineRule="auto"/>
              <w:jc w:val="both"/>
              <w:rPr>
                <w:rFonts w:ascii="Times New Roman" w:hAnsi="Times New Roman"/>
                <w:kern w:val="2"/>
              </w:rPr>
            </w:pPr>
            <w:r w:rsidRPr="002C1949">
              <w:rPr>
                <w:rFonts w:ascii="Times New Roman" w:hAnsi="Times New Roman"/>
                <w:b w:val="0"/>
                <w:kern w:val="2"/>
              </w:rPr>
              <w:lastRenderedPageBreak/>
              <w:t>Household size</w:t>
            </w:r>
          </w:p>
        </w:tc>
        <w:tc>
          <w:tcPr>
            <w:tcW w:w="1403" w:type="dxa"/>
            <w:tcBorders>
              <w:left w:val="nil"/>
              <w:right w:val="nil"/>
            </w:tcBorders>
          </w:tcPr>
          <w:p w:rsidR="003E48F9" w:rsidRPr="002C1949" w:rsidRDefault="00677B0D">
            <w:pPr>
              <w:widowControl w:val="0"/>
              <w:spacing w:line="240" w:lineRule="auto"/>
              <w:jc w:val="both"/>
              <w:cnfStyle w:val="000000000000"/>
              <w:rPr>
                <w:rFonts w:ascii="Times New Roman" w:hAnsi="Times New Roman"/>
                <w:kern w:val="2"/>
              </w:rPr>
            </w:pPr>
            <w:r w:rsidRPr="002C1949">
              <w:rPr>
                <w:rFonts w:ascii="Times New Roman" w:hAnsi="Times New Roman"/>
                <w:kern w:val="2"/>
              </w:rPr>
              <w:t>6.2</w:t>
            </w:r>
          </w:p>
        </w:tc>
        <w:tc>
          <w:tcPr>
            <w:tcW w:w="1428" w:type="dxa"/>
            <w:tcBorders>
              <w:left w:val="nil"/>
              <w:right w:val="nil"/>
            </w:tcBorders>
          </w:tcPr>
          <w:p w:rsidR="003E48F9" w:rsidRPr="002C1949" w:rsidRDefault="00677B0D">
            <w:pPr>
              <w:widowControl w:val="0"/>
              <w:spacing w:line="240" w:lineRule="auto"/>
              <w:jc w:val="both"/>
              <w:cnfStyle w:val="000000000000"/>
              <w:rPr>
                <w:rFonts w:ascii="Times New Roman" w:hAnsi="Times New Roman"/>
                <w:kern w:val="2"/>
              </w:rPr>
            </w:pPr>
            <w:r w:rsidRPr="002C1949">
              <w:rPr>
                <w:rFonts w:ascii="Times New Roman" w:hAnsi="Times New Roman"/>
                <w:kern w:val="2"/>
              </w:rPr>
              <w:t>6.5</w:t>
            </w:r>
          </w:p>
        </w:tc>
        <w:tc>
          <w:tcPr>
            <w:tcW w:w="1554" w:type="dxa"/>
            <w:tcBorders>
              <w:left w:val="nil"/>
              <w:right w:val="nil"/>
            </w:tcBorders>
          </w:tcPr>
          <w:p w:rsidR="003E48F9" w:rsidRPr="002C1949" w:rsidRDefault="00677B0D">
            <w:pPr>
              <w:widowControl w:val="0"/>
              <w:spacing w:line="240" w:lineRule="auto"/>
              <w:jc w:val="both"/>
              <w:cnfStyle w:val="000000000000"/>
              <w:rPr>
                <w:rFonts w:ascii="Times New Roman" w:hAnsi="Times New Roman"/>
                <w:kern w:val="2"/>
              </w:rPr>
            </w:pPr>
            <w:r w:rsidRPr="002C1949">
              <w:rPr>
                <w:rFonts w:ascii="Times New Roman" w:hAnsi="Times New Roman"/>
                <w:kern w:val="2"/>
              </w:rPr>
              <w:t>5.8</w:t>
            </w:r>
          </w:p>
        </w:tc>
        <w:tc>
          <w:tcPr>
            <w:tcW w:w="1138" w:type="dxa"/>
            <w:tcBorders>
              <w:left w:val="nil"/>
              <w:right w:val="nil"/>
            </w:tcBorders>
          </w:tcPr>
          <w:p w:rsidR="003E48F9" w:rsidRPr="002C1949" w:rsidRDefault="00677B0D">
            <w:pPr>
              <w:widowControl w:val="0"/>
              <w:spacing w:line="240" w:lineRule="auto"/>
              <w:jc w:val="both"/>
              <w:cnfStyle w:val="000000000000"/>
              <w:rPr>
                <w:rFonts w:ascii="Times New Roman" w:hAnsi="Times New Roman"/>
                <w:kern w:val="2"/>
              </w:rPr>
            </w:pPr>
            <w:r w:rsidRPr="002C1949">
              <w:rPr>
                <w:rFonts w:ascii="Times New Roman" w:hAnsi="Times New Roman"/>
                <w:kern w:val="2"/>
              </w:rPr>
              <w:t>2.4 / 2–14</w:t>
            </w:r>
          </w:p>
        </w:tc>
        <w:tc>
          <w:tcPr>
            <w:tcW w:w="1161" w:type="dxa"/>
            <w:tcBorders>
              <w:left w:val="nil"/>
              <w:right w:val="nil"/>
            </w:tcBorders>
          </w:tcPr>
          <w:p w:rsidR="003E48F9" w:rsidRPr="002C1949" w:rsidRDefault="00677B0D">
            <w:pPr>
              <w:widowControl w:val="0"/>
              <w:spacing w:line="240" w:lineRule="auto"/>
              <w:jc w:val="both"/>
              <w:cnfStyle w:val="000000000000"/>
              <w:rPr>
                <w:rFonts w:ascii="Times New Roman" w:hAnsi="Times New Roman"/>
                <w:kern w:val="2"/>
              </w:rPr>
            </w:pPr>
            <w:r w:rsidRPr="002C1949">
              <w:rPr>
                <w:rFonts w:ascii="Times New Roman" w:hAnsi="Times New Roman"/>
                <w:kern w:val="2"/>
              </w:rPr>
              <w:t>t = 1.43</w:t>
            </w:r>
          </w:p>
        </w:tc>
        <w:tc>
          <w:tcPr>
            <w:tcW w:w="996" w:type="dxa"/>
            <w:tcBorders>
              <w:left w:val="nil"/>
              <w:right w:val="nil"/>
            </w:tcBorders>
          </w:tcPr>
          <w:p w:rsidR="003E48F9" w:rsidRPr="002C1949" w:rsidRDefault="00677B0D">
            <w:pPr>
              <w:widowControl w:val="0"/>
              <w:spacing w:line="240" w:lineRule="auto"/>
              <w:jc w:val="both"/>
              <w:cnfStyle w:val="000000000000"/>
              <w:rPr>
                <w:rFonts w:ascii="Times New Roman" w:hAnsi="Times New Roman"/>
                <w:kern w:val="2"/>
              </w:rPr>
            </w:pPr>
            <w:r w:rsidRPr="002C1949">
              <w:rPr>
                <w:rFonts w:ascii="Times New Roman" w:hAnsi="Times New Roman"/>
                <w:kern w:val="2"/>
              </w:rPr>
              <w:t>0.154</w:t>
            </w:r>
          </w:p>
        </w:tc>
      </w:tr>
    </w:tbl>
    <w:p w:rsidR="003E48F9" w:rsidRPr="002C1949" w:rsidRDefault="00677B0D">
      <w:pPr>
        <w:widowControl w:val="0"/>
        <w:spacing w:line="360" w:lineRule="auto"/>
        <w:jc w:val="both"/>
        <w:rPr>
          <w:rFonts w:ascii="Times New Roman" w:hAnsi="Times New Roman"/>
          <w:kern w:val="2"/>
        </w:rPr>
      </w:pPr>
      <w:r w:rsidRPr="002C1949">
        <w:rPr>
          <w:rFonts w:ascii="Times New Roman" w:hAnsi="Times New Roman"/>
          <w:kern w:val="2"/>
        </w:rPr>
        <w:t>Note: t-values are reported for continuous variables (age, education, household size); χ²-values for categorical variables (gender).</w:t>
      </w:r>
    </w:p>
    <w:p w:rsidR="003E48F9" w:rsidRPr="002C1949" w:rsidRDefault="00677B0D">
      <w:pPr>
        <w:widowControl w:val="0"/>
        <w:spacing w:line="360" w:lineRule="auto"/>
        <w:jc w:val="both"/>
        <w:rPr>
          <w:rFonts w:ascii="Times New Roman" w:hAnsi="Times New Roman"/>
          <w:kern w:val="2"/>
        </w:rPr>
      </w:pPr>
      <w:r w:rsidRPr="002C1949">
        <w:rPr>
          <w:rFonts w:ascii="Times New Roman" w:hAnsi="Times New Roman"/>
          <w:kern w:val="2"/>
        </w:rPr>
        <w:t>Significance levels: p &lt; 0.05 (), p &lt; 0.01 (*).</w:t>
      </w:r>
    </w:p>
    <w:p w:rsidR="003E48F9" w:rsidRPr="002C1949" w:rsidRDefault="00677B0D">
      <w:pPr>
        <w:widowControl w:val="0"/>
        <w:spacing w:line="360" w:lineRule="auto"/>
        <w:jc w:val="both"/>
        <w:rPr>
          <w:rFonts w:ascii="Times New Roman" w:hAnsi="Times New Roman"/>
          <w:kern w:val="2"/>
          <w:lang w:val="en-GB"/>
        </w:rPr>
      </w:pPr>
      <w:r w:rsidRPr="002C1949">
        <w:rPr>
          <w:rFonts w:ascii="Times New Roman" w:hAnsi="Times New Roman"/>
          <w:b/>
          <w:bCs/>
          <w:kern w:val="2"/>
          <w:lang w:val="en-GB"/>
        </w:rPr>
        <w:t>Source: Author, 2025</w:t>
      </w:r>
    </w:p>
    <w:p w:rsidR="003E48F9" w:rsidRPr="002C1949" w:rsidRDefault="00677B0D">
      <w:pPr>
        <w:spacing w:line="360" w:lineRule="auto"/>
        <w:jc w:val="both"/>
        <w:rPr>
          <w:rFonts w:ascii="Times New Roman" w:hAnsi="Times New Roman"/>
        </w:rPr>
      </w:pPr>
      <w:r w:rsidRPr="002C1949">
        <w:rPr>
          <w:rFonts w:ascii="Times New Roman" w:eastAsia="Times New Roman" w:hAnsi="Times New Roman"/>
          <w:kern w:val="2"/>
        </w:rPr>
        <w:t>The average age of cocoa farmers in the sample is 44.3 years (SD = 10.8), with a minimum of 21 and a maximum of 80 years. Members of farmer organizations tend to be older (45.6 years) than non-members (42.8 years). This suggests that organizational participation is more common among mature farmers who may have accumulated experience, resources, and social capital to sustain membership. The relatively high mean age also points to an ageing farming population, raising questions about intergenerational renewal and youth participation in cocoa farming.</w:t>
      </w:r>
    </w:p>
    <w:p w:rsidR="003E48F9" w:rsidRPr="002C1949" w:rsidRDefault="00677B0D">
      <w:pPr>
        <w:spacing w:line="360" w:lineRule="auto"/>
        <w:jc w:val="both"/>
        <w:rPr>
          <w:rFonts w:ascii="Times New Roman" w:hAnsi="Times New Roman"/>
        </w:rPr>
      </w:pPr>
      <w:r w:rsidRPr="002C1949">
        <w:rPr>
          <w:rFonts w:ascii="Times New Roman" w:eastAsia="Times New Roman" w:hAnsi="Times New Roman"/>
          <w:kern w:val="2"/>
        </w:rPr>
        <w:t xml:space="preserve">Cocoa production in Fako Division is male-dominated. Men constitute 74.1 percent of the total sample, with slightly higher male representation among farmer organization members (76.8 percent) compared to non-members (71.3 percent). </w:t>
      </w:r>
      <w:r w:rsidRPr="002C1949">
        <w:rPr>
          <w:rFonts w:ascii="Times New Roman" w:hAnsi="Times New Roman"/>
        </w:rPr>
        <w:t xml:space="preserve">The low participation of women reflects structural barriers related to land ownership, access to productive resources, and decision‑making power within households and farmer organizations </w:t>
      </w:r>
      <w:r w:rsidRPr="00C8227A">
        <w:rPr>
          <w:rFonts w:ascii="Times New Roman" w:hAnsi="Times New Roman"/>
          <w:color w:val="00B050"/>
        </w:rPr>
        <w:t>(Libaa, Safiatou&amp;Tobith, 2023; Amankwah&amp; Ntiamoah, 2024</w:t>
      </w:r>
      <w:r w:rsidRPr="002C1949">
        <w:rPr>
          <w:rFonts w:ascii="Times New Roman" w:hAnsi="Times New Roman"/>
        </w:rPr>
        <w:t>).</w:t>
      </w:r>
      <w:r w:rsidRPr="002C1949">
        <w:rPr>
          <w:rFonts w:ascii="Times New Roman" w:eastAsia="Times New Roman" w:hAnsi="Times New Roman"/>
          <w:kern w:val="2"/>
        </w:rPr>
        <w:t xml:space="preserve"> These gender disparities have important implications for equitable access to extension services and the distribution of livelihood benefits.</w:t>
      </w:r>
    </w:p>
    <w:p w:rsidR="003E48F9" w:rsidRPr="002C1949" w:rsidRDefault="00677B0D">
      <w:pPr>
        <w:spacing w:line="360" w:lineRule="auto"/>
        <w:jc w:val="both"/>
        <w:rPr>
          <w:rFonts w:ascii="Times New Roman" w:hAnsi="Times New Roman"/>
        </w:rPr>
      </w:pPr>
      <w:r w:rsidRPr="002C1949">
        <w:rPr>
          <w:rFonts w:ascii="Times New Roman" w:eastAsia="Times New Roman" w:hAnsi="Times New Roman"/>
          <w:kern w:val="2"/>
        </w:rPr>
        <w:t>The average number of years of formal schooling across the sample is 7.6 (SD = 3.2), ranging from no schooling to 16 years of education. Members of farmer organizations report higher educational attainment (8.2 years) compared to non-members (7.0 years). This suggests that education may be positively associated with organizational participation, as more educated farmers are likely better equipped to interpret information, engage in group decision-making, and adopt recommended agricultural practices. However, the overall moderate educational level highlights the need for extension services that are tailored to farmers with varying literacy levels.</w:t>
      </w:r>
    </w:p>
    <w:p w:rsidR="003E48F9" w:rsidRPr="002C1949" w:rsidRDefault="00677B0D">
      <w:pPr>
        <w:spacing w:line="360" w:lineRule="auto"/>
        <w:jc w:val="both"/>
        <w:rPr>
          <w:rFonts w:ascii="Times New Roman" w:hAnsi="Times New Roman"/>
        </w:rPr>
      </w:pPr>
      <w:r w:rsidRPr="002C1949">
        <w:rPr>
          <w:rFonts w:ascii="Times New Roman" w:eastAsia="Times New Roman" w:hAnsi="Times New Roman"/>
          <w:kern w:val="2"/>
        </w:rPr>
        <w:t>The mean household size is 6.2 persons (SD = 2.4), ranging from 2 to 14 members. Members of farmer organizations have larger households on average (6.5 persons) compared to non-members (5.8 persons). Larger households may provide more family labour for cocoa farming activities, potentially enhancing production capacity. At the same time, larger household sizes also imply greater consumption needs, which can dilute per capita income and increase livelihood vulnerability.</w:t>
      </w:r>
    </w:p>
    <w:p w:rsidR="003E48F9" w:rsidRPr="002C1949" w:rsidRDefault="00677B0D">
      <w:pPr>
        <w:spacing w:line="360" w:lineRule="auto"/>
        <w:jc w:val="both"/>
        <w:rPr>
          <w:rFonts w:ascii="Times New Roman" w:hAnsi="Times New Roman"/>
        </w:rPr>
      </w:pPr>
      <w:r w:rsidRPr="002C1949">
        <w:rPr>
          <w:rFonts w:ascii="Times New Roman" w:eastAsia="Times New Roman" w:hAnsi="Times New Roman"/>
          <w:kern w:val="2"/>
          <w:lang w:val="en-GB"/>
        </w:rPr>
        <w:lastRenderedPageBreak/>
        <w:t>Summarily, c</w:t>
      </w:r>
      <w:r w:rsidRPr="002C1949">
        <w:rPr>
          <w:rFonts w:ascii="Times New Roman" w:eastAsia="Times New Roman" w:hAnsi="Times New Roman"/>
          <w:kern w:val="2"/>
        </w:rPr>
        <w:t>ocoa farmers in Fako Division are predominantly middle-aged to older men with moderate educational attainment and relatively large household sizes. Farmer organization members differ from non-members in being slightly older, more educated, and having larger households. These demographic distinctions are important because they may influence both access to farmer organizations and agricultural extension services, as well as the livelihood outcomes that are examined in the subsequent sections of this chapter.</w:t>
      </w:r>
    </w:p>
    <w:p w:rsidR="003E48F9" w:rsidRPr="002C1949" w:rsidRDefault="00677B0D">
      <w:pPr>
        <w:widowControl w:val="0"/>
        <w:spacing w:line="360" w:lineRule="auto"/>
        <w:jc w:val="both"/>
        <w:rPr>
          <w:rFonts w:ascii="Times New Roman" w:eastAsia="Times New Roman" w:hAnsi="Times New Roman"/>
          <w:kern w:val="2"/>
        </w:rPr>
      </w:pPr>
      <w:r w:rsidRPr="002C1949">
        <w:rPr>
          <w:rFonts w:ascii="Times New Roman" w:eastAsia="Times New Roman" w:hAnsi="Times New Roman"/>
          <w:b/>
          <w:bCs/>
          <w:kern w:val="2"/>
          <w:lang w:val="en-GB"/>
        </w:rPr>
        <w:t>4.1.2 F</w:t>
      </w:r>
      <w:r w:rsidRPr="002C1949">
        <w:rPr>
          <w:rFonts w:ascii="Times New Roman" w:eastAsia="Times New Roman" w:hAnsi="Times New Roman"/>
          <w:b/>
          <w:bCs/>
          <w:kern w:val="2"/>
        </w:rPr>
        <w:t xml:space="preserve">armer </w:t>
      </w:r>
      <w:r w:rsidRPr="007316E8">
        <w:rPr>
          <w:rFonts w:ascii="Times New Roman" w:eastAsia="Times New Roman" w:hAnsi="Times New Roman"/>
          <w:b/>
          <w:bCs/>
          <w:color w:val="FF0000"/>
          <w:kern w:val="2"/>
          <w:u w:val="single"/>
          <w:lang w:val="en-GB"/>
        </w:rPr>
        <w:t>OrganisationalMe</w:t>
      </w:r>
      <w:r w:rsidRPr="007316E8">
        <w:rPr>
          <w:rFonts w:ascii="Times New Roman" w:eastAsia="Times New Roman" w:hAnsi="Times New Roman"/>
          <w:b/>
          <w:bCs/>
          <w:color w:val="FF0000"/>
          <w:kern w:val="2"/>
          <w:u w:val="single"/>
        </w:rPr>
        <w:t>mbership</w:t>
      </w:r>
      <w:r w:rsidRPr="007316E8">
        <w:rPr>
          <w:rFonts w:ascii="Times New Roman" w:eastAsia="Times New Roman" w:hAnsi="Times New Roman"/>
          <w:b/>
          <w:bCs/>
          <w:color w:val="FF0000"/>
          <w:kern w:val="2"/>
          <w:u w:val="single"/>
          <w:lang w:val="en-GB"/>
        </w:rPr>
        <w:t>and</w:t>
      </w:r>
      <w:r w:rsidRPr="002C1949">
        <w:rPr>
          <w:rFonts w:ascii="Times New Roman" w:eastAsia="Times New Roman" w:hAnsi="Times New Roman"/>
          <w:b/>
          <w:bCs/>
          <w:kern w:val="2"/>
          <w:lang w:val="en-GB"/>
        </w:rPr>
        <w:t xml:space="preserve"> Acc</w:t>
      </w:r>
      <w:r w:rsidRPr="002C1949">
        <w:rPr>
          <w:rFonts w:ascii="Times New Roman" w:eastAsia="Times New Roman" w:hAnsi="Times New Roman"/>
          <w:b/>
          <w:bCs/>
          <w:kern w:val="2"/>
        </w:rPr>
        <w:t xml:space="preserve">ess to </w:t>
      </w:r>
      <w:r w:rsidRPr="007316E8">
        <w:rPr>
          <w:rFonts w:ascii="Times New Roman" w:eastAsia="Times New Roman" w:hAnsi="Times New Roman"/>
          <w:b/>
          <w:bCs/>
          <w:color w:val="FF0000"/>
          <w:kern w:val="2"/>
          <w:u w:val="single"/>
          <w:lang w:val="en-GB"/>
        </w:rPr>
        <w:t>A</w:t>
      </w:r>
      <w:r w:rsidRPr="007316E8">
        <w:rPr>
          <w:rFonts w:ascii="Times New Roman" w:eastAsia="Times New Roman" w:hAnsi="Times New Roman"/>
          <w:b/>
          <w:bCs/>
          <w:color w:val="FF0000"/>
          <w:kern w:val="2"/>
          <w:u w:val="single"/>
        </w:rPr>
        <w:t>gricultural</w:t>
      </w:r>
      <w:r w:rsidRPr="007316E8">
        <w:rPr>
          <w:rFonts w:ascii="Times New Roman" w:eastAsia="Times New Roman" w:hAnsi="Times New Roman"/>
          <w:b/>
          <w:bCs/>
          <w:color w:val="FF0000"/>
          <w:kern w:val="2"/>
          <w:u w:val="single"/>
          <w:lang w:val="en-GB"/>
        </w:rPr>
        <w:t>E</w:t>
      </w:r>
      <w:r w:rsidRPr="007316E8">
        <w:rPr>
          <w:rFonts w:ascii="Times New Roman" w:eastAsia="Times New Roman" w:hAnsi="Times New Roman"/>
          <w:b/>
          <w:bCs/>
          <w:color w:val="FF0000"/>
          <w:kern w:val="2"/>
          <w:u w:val="single"/>
        </w:rPr>
        <w:t>xtension</w:t>
      </w:r>
      <w:r w:rsidRPr="007316E8">
        <w:rPr>
          <w:rFonts w:ascii="Times New Roman" w:eastAsia="Times New Roman" w:hAnsi="Times New Roman"/>
          <w:b/>
          <w:bCs/>
          <w:color w:val="FF0000"/>
          <w:kern w:val="2"/>
          <w:u w:val="single"/>
          <w:lang w:val="en-GB"/>
        </w:rPr>
        <w:t>S</w:t>
      </w:r>
      <w:r w:rsidRPr="007316E8">
        <w:rPr>
          <w:rFonts w:ascii="Times New Roman" w:eastAsia="Times New Roman" w:hAnsi="Times New Roman"/>
          <w:b/>
          <w:bCs/>
          <w:color w:val="FF0000"/>
          <w:kern w:val="2"/>
          <w:u w:val="single"/>
        </w:rPr>
        <w:t>ervices</w:t>
      </w:r>
    </w:p>
    <w:p w:rsidR="003E48F9" w:rsidRPr="002C1949" w:rsidRDefault="00677B0D">
      <w:pPr>
        <w:widowControl w:val="0"/>
        <w:spacing w:line="360" w:lineRule="auto"/>
        <w:jc w:val="both"/>
        <w:rPr>
          <w:rFonts w:ascii="Times New Roman" w:eastAsia="Times New Roman" w:hAnsi="Times New Roman"/>
          <w:kern w:val="2"/>
        </w:rPr>
      </w:pPr>
      <w:r w:rsidRPr="002C1949">
        <w:rPr>
          <w:rFonts w:ascii="Times New Roman" w:eastAsia="Times New Roman" w:hAnsi="Times New Roman"/>
          <w:kern w:val="2"/>
        </w:rPr>
        <w:t>This section presents the results which examined the relationship between farmer organizational membership and access to agricultural extension services. The analysis compares members and non-members in order to determine whether organizational affiliation influences farmers’ opportunities to benefit from extension support.</w:t>
      </w:r>
    </w:p>
    <w:p w:rsidR="003E48F9" w:rsidRPr="002C1949" w:rsidRDefault="00677B0D">
      <w:pPr>
        <w:widowControl w:val="0"/>
        <w:spacing w:line="360" w:lineRule="auto"/>
        <w:jc w:val="both"/>
        <w:rPr>
          <w:rFonts w:ascii="Times New Roman" w:eastAsia="Times New Roman" w:hAnsi="Times New Roman"/>
          <w:b/>
          <w:bCs/>
          <w:kern w:val="2"/>
        </w:rPr>
      </w:pPr>
      <w:r w:rsidRPr="002C1949">
        <w:rPr>
          <w:rFonts w:ascii="Times New Roman" w:eastAsia="Times New Roman" w:hAnsi="Times New Roman"/>
          <w:kern w:val="2"/>
        </w:rPr>
        <w:t xml:space="preserve">FO Membership (X): Binary (1 = member; 0 = non-member), Access to Agricultural Extension Services (Y): Binary (1 = received at least one extension visit or training in the past 12 months; 0 = none), Control Variables: Age, gender, farm size, education </w:t>
      </w:r>
    </w:p>
    <w:p w:rsidR="003E48F9" w:rsidRPr="002C1949" w:rsidRDefault="00677B0D">
      <w:pPr>
        <w:widowControl w:val="0"/>
        <w:spacing w:line="360" w:lineRule="auto"/>
        <w:jc w:val="both"/>
        <w:rPr>
          <w:rFonts w:ascii="Times New Roman" w:eastAsia="Times New Roman" w:hAnsi="Times New Roman"/>
          <w:b/>
          <w:bCs/>
          <w:kern w:val="2"/>
        </w:rPr>
      </w:pPr>
      <w:r w:rsidRPr="002C1949">
        <w:rPr>
          <w:rFonts w:ascii="Times New Roman" w:eastAsia="Times New Roman" w:hAnsi="Times New Roman"/>
          <w:kern w:val="2"/>
        </w:rPr>
        <w:t>This presents the distribution of agricultural extension services (AES) access among cocoa farmers, disaggregated by membership in farmer organizations (FOs). It highlights the proportion of farmers who reported receiving AES and compares access between FO members and non-members. The descriptive statistics are complemented by a Chi-square test to determine whether organizational membership is significantly associated with AES access.</w:t>
      </w:r>
    </w:p>
    <w:p w:rsidR="003E48F9" w:rsidRPr="002C1949" w:rsidRDefault="00677B0D">
      <w:pPr>
        <w:widowControl w:val="0"/>
        <w:spacing w:line="360" w:lineRule="auto"/>
        <w:jc w:val="both"/>
        <w:rPr>
          <w:rFonts w:ascii="Times New Roman" w:eastAsia="Times New Roman" w:hAnsi="Times New Roman"/>
          <w:b/>
          <w:bCs/>
          <w:kern w:val="2"/>
          <w:lang w:val="en-GB"/>
        </w:rPr>
      </w:pPr>
      <w:r w:rsidRPr="002C1949">
        <w:rPr>
          <w:rFonts w:ascii="Times New Roman" w:eastAsia="Times New Roman" w:hAnsi="Times New Roman"/>
          <w:b/>
          <w:bCs/>
          <w:kern w:val="2"/>
          <w:lang w:val="en-GB"/>
        </w:rPr>
        <w:t xml:space="preserve">Table 3 </w:t>
      </w:r>
      <w:r w:rsidRPr="002C1949">
        <w:rPr>
          <w:rFonts w:ascii="Times New Roman" w:eastAsia="Times New Roman" w:hAnsi="Times New Roman"/>
          <w:b/>
          <w:bCs/>
          <w:kern w:val="2"/>
        </w:rPr>
        <w:t xml:space="preserve">Descriptive Statistics of </w:t>
      </w:r>
      <w:r w:rsidRPr="002C1949">
        <w:rPr>
          <w:rFonts w:ascii="Times New Roman" w:eastAsia="Times New Roman" w:hAnsi="Times New Roman"/>
          <w:b/>
          <w:bCs/>
          <w:kern w:val="2"/>
          <w:lang w:val="en-GB"/>
        </w:rPr>
        <w:t>Agricultural Extension Service</w:t>
      </w:r>
      <w:r w:rsidRPr="002C1949">
        <w:rPr>
          <w:rFonts w:ascii="Times New Roman" w:eastAsia="Times New Roman" w:hAnsi="Times New Roman"/>
          <w:b/>
          <w:bCs/>
          <w:kern w:val="2"/>
        </w:rPr>
        <w:t xml:space="preserve"> Access</w:t>
      </w:r>
    </w:p>
    <w:tbl>
      <w:tblPr>
        <w:tblStyle w:val="GridTable1Light1"/>
        <w:tblW w:w="5000" w:type="pct"/>
        <w:tblLayout w:type="fixed"/>
        <w:tblLook w:val="04A0"/>
      </w:tblPr>
      <w:tblGrid>
        <w:gridCol w:w="2522"/>
        <w:gridCol w:w="2356"/>
        <w:gridCol w:w="2451"/>
        <w:gridCol w:w="2247"/>
      </w:tblGrid>
      <w:tr w:rsidR="003E48F9" w:rsidRPr="002C1949" w:rsidTr="003E48F9">
        <w:trPr>
          <w:cnfStyle w:val="100000000000"/>
        </w:trPr>
        <w:tc>
          <w:tcPr>
            <w:cnfStyle w:val="001000000000"/>
            <w:tcW w:w="2465" w:type="dxa"/>
            <w:tcBorders>
              <w:left w:val="nil"/>
              <w:right w:val="nil"/>
            </w:tcBorders>
          </w:tcPr>
          <w:p w:rsidR="003E48F9" w:rsidRPr="002C1949" w:rsidRDefault="00677B0D">
            <w:pPr>
              <w:widowControl w:val="0"/>
              <w:spacing w:line="240" w:lineRule="auto"/>
              <w:jc w:val="both"/>
              <w:rPr>
                <w:rFonts w:ascii="Times New Roman" w:eastAsia="Times New Roman" w:hAnsi="Times New Roman"/>
                <w:kern w:val="2"/>
              </w:rPr>
            </w:pPr>
            <w:r w:rsidRPr="002C1949">
              <w:rPr>
                <w:rFonts w:ascii="Times New Roman" w:eastAsia="Times New Roman" w:hAnsi="Times New Roman"/>
                <w:kern w:val="2"/>
              </w:rPr>
              <w:t>Group</w:t>
            </w:r>
          </w:p>
        </w:tc>
        <w:tc>
          <w:tcPr>
            <w:tcW w:w="2303" w:type="dxa"/>
            <w:tcBorders>
              <w:left w:val="nil"/>
              <w:right w:val="nil"/>
            </w:tcBorders>
          </w:tcPr>
          <w:p w:rsidR="003E48F9" w:rsidRPr="002C1949" w:rsidRDefault="00677B0D">
            <w:pPr>
              <w:widowControl w:val="0"/>
              <w:spacing w:line="240" w:lineRule="auto"/>
              <w:jc w:val="both"/>
              <w:cnfStyle w:val="100000000000"/>
              <w:rPr>
                <w:rFonts w:ascii="Times New Roman" w:eastAsia="Times New Roman" w:hAnsi="Times New Roman"/>
                <w:kern w:val="2"/>
              </w:rPr>
            </w:pPr>
            <w:r w:rsidRPr="002C1949">
              <w:rPr>
                <w:rFonts w:ascii="Times New Roman" w:eastAsia="Times New Roman" w:hAnsi="Times New Roman"/>
                <w:kern w:val="2"/>
              </w:rPr>
              <w:t>N</w:t>
            </w:r>
          </w:p>
        </w:tc>
        <w:tc>
          <w:tcPr>
            <w:tcW w:w="2396" w:type="dxa"/>
            <w:tcBorders>
              <w:left w:val="nil"/>
              <w:right w:val="nil"/>
            </w:tcBorders>
          </w:tcPr>
          <w:p w:rsidR="003E48F9" w:rsidRPr="002C1949" w:rsidRDefault="00677B0D">
            <w:pPr>
              <w:widowControl w:val="0"/>
              <w:spacing w:line="240" w:lineRule="auto"/>
              <w:jc w:val="both"/>
              <w:cnfStyle w:val="100000000000"/>
              <w:rPr>
                <w:rFonts w:ascii="Times New Roman" w:eastAsia="Times New Roman" w:hAnsi="Times New Roman"/>
                <w:kern w:val="2"/>
              </w:rPr>
            </w:pPr>
            <w:r w:rsidRPr="002C1949">
              <w:rPr>
                <w:rFonts w:ascii="Times New Roman" w:eastAsia="Times New Roman" w:hAnsi="Times New Roman"/>
                <w:kern w:val="2"/>
              </w:rPr>
              <w:t>% with AES Access</w:t>
            </w:r>
          </w:p>
        </w:tc>
        <w:tc>
          <w:tcPr>
            <w:tcW w:w="2196" w:type="dxa"/>
            <w:tcBorders>
              <w:left w:val="nil"/>
              <w:right w:val="nil"/>
            </w:tcBorders>
          </w:tcPr>
          <w:p w:rsidR="003E48F9" w:rsidRPr="002C1949" w:rsidRDefault="00677B0D">
            <w:pPr>
              <w:widowControl w:val="0"/>
              <w:spacing w:line="240" w:lineRule="auto"/>
              <w:jc w:val="both"/>
              <w:cnfStyle w:val="100000000000"/>
              <w:rPr>
                <w:rFonts w:ascii="Times New Roman" w:eastAsia="Times New Roman" w:hAnsi="Times New Roman"/>
                <w:kern w:val="2"/>
              </w:rPr>
            </w:pPr>
            <w:r w:rsidRPr="002C1949">
              <w:rPr>
                <w:rFonts w:ascii="Times New Roman" w:eastAsia="Times New Roman" w:hAnsi="Times New Roman"/>
                <w:kern w:val="2"/>
              </w:rPr>
              <w:t>Statistic</w:t>
            </w:r>
          </w:p>
        </w:tc>
      </w:tr>
      <w:tr w:rsidR="003E48F9" w:rsidRPr="002C1949" w:rsidTr="003E48F9">
        <w:tc>
          <w:tcPr>
            <w:cnfStyle w:val="001000000000"/>
            <w:tcW w:w="2465" w:type="dxa"/>
            <w:tcBorders>
              <w:left w:val="nil"/>
              <w:right w:val="nil"/>
            </w:tcBorders>
          </w:tcPr>
          <w:p w:rsidR="003E48F9" w:rsidRPr="002C1949" w:rsidRDefault="00677B0D">
            <w:pPr>
              <w:widowControl w:val="0"/>
              <w:spacing w:line="240" w:lineRule="auto"/>
              <w:jc w:val="both"/>
              <w:rPr>
                <w:rFonts w:ascii="Times New Roman" w:eastAsia="Times New Roman" w:hAnsi="Times New Roman"/>
                <w:kern w:val="2"/>
              </w:rPr>
            </w:pPr>
            <w:r w:rsidRPr="002C1949">
              <w:rPr>
                <w:rFonts w:ascii="Times New Roman" w:eastAsia="Times New Roman" w:hAnsi="Times New Roman"/>
                <w:b w:val="0"/>
                <w:kern w:val="2"/>
              </w:rPr>
              <w:t>FO Members</w:t>
            </w:r>
          </w:p>
        </w:tc>
        <w:tc>
          <w:tcPr>
            <w:tcW w:w="2303" w:type="dxa"/>
            <w:tcBorders>
              <w:left w:val="nil"/>
              <w:right w:val="nil"/>
            </w:tcBorders>
          </w:tcPr>
          <w:p w:rsidR="003E48F9" w:rsidRPr="002C1949" w:rsidRDefault="00677B0D">
            <w:pPr>
              <w:widowControl w:val="0"/>
              <w:spacing w:line="240" w:lineRule="auto"/>
              <w:jc w:val="both"/>
              <w:cnfStyle w:val="000000000000"/>
              <w:rPr>
                <w:rFonts w:ascii="Times New Roman" w:eastAsia="Times New Roman" w:hAnsi="Times New Roman"/>
                <w:kern w:val="2"/>
              </w:rPr>
            </w:pPr>
            <w:r w:rsidRPr="002C1949">
              <w:rPr>
                <w:rFonts w:ascii="Times New Roman" w:eastAsia="Times New Roman" w:hAnsi="Times New Roman"/>
                <w:kern w:val="2"/>
              </w:rPr>
              <w:t>2</w:t>
            </w:r>
            <w:r w:rsidRPr="002C1949">
              <w:rPr>
                <w:rFonts w:ascii="Times New Roman" w:eastAsia="Times New Roman" w:hAnsi="Times New Roman"/>
                <w:kern w:val="2"/>
                <w:lang w:val="en-GB"/>
              </w:rPr>
              <w:t>52</w:t>
            </w:r>
          </w:p>
        </w:tc>
        <w:tc>
          <w:tcPr>
            <w:tcW w:w="2396" w:type="dxa"/>
            <w:tcBorders>
              <w:left w:val="nil"/>
              <w:right w:val="nil"/>
            </w:tcBorders>
          </w:tcPr>
          <w:p w:rsidR="003E48F9" w:rsidRPr="002C1949" w:rsidRDefault="00677B0D">
            <w:pPr>
              <w:widowControl w:val="0"/>
              <w:spacing w:line="240" w:lineRule="auto"/>
              <w:jc w:val="both"/>
              <w:cnfStyle w:val="000000000000"/>
              <w:rPr>
                <w:rFonts w:ascii="Times New Roman" w:eastAsia="Times New Roman" w:hAnsi="Times New Roman"/>
                <w:kern w:val="2"/>
              </w:rPr>
            </w:pPr>
            <w:r w:rsidRPr="002C1949">
              <w:rPr>
                <w:rFonts w:ascii="Times New Roman" w:eastAsia="Times New Roman" w:hAnsi="Times New Roman"/>
                <w:kern w:val="2"/>
              </w:rPr>
              <w:t>83.5%</w:t>
            </w:r>
          </w:p>
        </w:tc>
        <w:tc>
          <w:tcPr>
            <w:tcW w:w="2196" w:type="dxa"/>
            <w:vMerge w:val="restart"/>
            <w:tcBorders>
              <w:left w:val="nil"/>
              <w:right w:val="nil"/>
            </w:tcBorders>
          </w:tcPr>
          <w:p w:rsidR="003E48F9" w:rsidRPr="002C1949" w:rsidRDefault="00677B0D">
            <w:pPr>
              <w:widowControl w:val="0"/>
              <w:spacing w:line="240" w:lineRule="auto"/>
              <w:jc w:val="both"/>
              <w:cnfStyle w:val="000000000000"/>
              <w:rPr>
                <w:rFonts w:ascii="Times New Roman" w:eastAsia="Times New Roman" w:hAnsi="Times New Roman"/>
                <w:kern w:val="2"/>
              </w:rPr>
            </w:pPr>
            <w:r w:rsidRPr="002C1949">
              <w:rPr>
                <w:rFonts w:ascii="Times New Roman" w:eastAsia="Times New Roman" w:hAnsi="Times New Roman"/>
                <w:kern w:val="2"/>
              </w:rPr>
              <w:t>X</w:t>
            </w:r>
            <w:r w:rsidRPr="002C1949">
              <w:rPr>
                <w:rFonts w:ascii="Times New Roman" w:eastAsia="Times New Roman" w:hAnsi="Times New Roman"/>
                <w:kern w:val="2"/>
                <w:vertAlign w:val="superscript"/>
              </w:rPr>
              <w:t>2</w:t>
            </w:r>
            <w:r w:rsidRPr="002C1949">
              <w:rPr>
                <w:rFonts w:ascii="Times New Roman" w:eastAsia="Times New Roman" w:hAnsi="Times New Roman"/>
                <w:kern w:val="2"/>
                <w:lang w:val="en-GB"/>
              </w:rPr>
              <w:t xml:space="preserve">=96.10 </w:t>
            </w:r>
            <w:r w:rsidRPr="002C1949">
              <w:rPr>
                <w:rFonts w:ascii="Times New Roman" w:eastAsia="Times New Roman" w:hAnsi="Times New Roman"/>
                <w:kern w:val="2"/>
              </w:rPr>
              <w:t>P</w:t>
            </w:r>
            <w:r w:rsidRPr="002C1949">
              <w:rPr>
                <w:rFonts w:ascii="Times New Roman" w:eastAsia="Times New Roman" w:hAnsi="Times New Roman"/>
                <w:kern w:val="2"/>
                <w:lang w:val="en-GB"/>
              </w:rPr>
              <w:t>&lt;0.001</w:t>
            </w:r>
          </w:p>
        </w:tc>
      </w:tr>
      <w:tr w:rsidR="003E48F9" w:rsidRPr="002C1949" w:rsidTr="003E48F9">
        <w:tc>
          <w:tcPr>
            <w:cnfStyle w:val="001000000000"/>
            <w:tcW w:w="2465" w:type="dxa"/>
            <w:tcBorders>
              <w:left w:val="nil"/>
              <w:right w:val="nil"/>
            </w:tcBorders>
          </w:tcPr>
          <w:p w:rsidR="003E48F9" w:rsidRPr="002C1949" w:rsidRDefault="00677B0D">
            <w:pPr>
              <w:widowControl w:val="0"/>
              <w:spacing w:line="240" w:lineRule="auto"/>
              <w:jc w:val="both"/>
              <w:rPr>
                <w:rFonts w:ascii="Times New Roman" w:eastAsia="Times New Roman" w:hAnsi="Times New Roman"/>
                <w:kern w:val="2"/>
              </w:rPr>
            </w:pPr>
            <w:r w:rsidRPr="002C1949">
              <w:rPr>
                <w:rFonts w:ascii="Times New Roman" w:eastAsia="Times New Roman" w:hAnsi="Times New Roman"/>
                <w:b w:val="0"/>
                <w:kern w:val="2"/>
              </w:rPr>
              <w:t>Non-Members</w:t>
            </w:r>
          </w:p>
        </w:tc>
        <w:tc>
          <w:tcPr>
            <w:tcW w:w="2303" w:type="dxa"/>
            <w:tcBorders>
              <w:left w:val="nil"/>
              <w:right w:val="nil"/>
            </w:tcBorders>
          </w:tcPr>
          <w:p w:rsidR="003E48F9" w:rsidRPr="002C1949" w:rsidRDefault="00677B0D">
            <w:pPr>
              <w:widowControl w:val="0"/>
              <w:spacing w:line="240" w:lineRule="auto"/>
              <w:jc w:val="both"/>
              <w:cnfStyle w:val="000000000000"/>
              <w:rPr>
                <w:rFonts w:ascii="Times New Roman" w:eastAsia="Times New Roman" w:hAnsi="Times New Roman"/>
                <w:kern w:val="2"/>
              </w:rPr>
            </w:pPr>
            <w:r w:rsidRPr="002C1949">
              <w:rPr>
                <w:rFonts w:ascii="Times New Roman" w:eastAsia="Times New Roman" w:hAnsi="Times New Roman"/>
                <w:kern w:val="2"/>
              </w:rPr>
              <w:t>1</w:t>
            </w:r>
            <w:r w:rsidRPr="002C1949">
              <w:rPr>
                <w:rFonts w:ascii="Times New Roman" w:eastAsia="Times New Roman" w:hAnsi="Times New Roman"/>
                <w:kern w:val="2"/>
                <w:lang w:val="en-GB"/>
              </w:rPr>
              <w:t>44</w:t>
            </w:r>
          </w:p>
        </w:tc>
        <w:tc>
          <w:tcPr>
            <w:tcW w:w="2396" w:type="dxa"/>
            <w:tcBorders>
              <w:left w:val="nil"/>
              <w:right w:val="nil"/>
            </w:tcBorders>
          </w:tcPr>
          <w:p w:rsidR="003E48F9" w:rsidRPr="002C1949" w:rsidRDefault="00677B0D">
            <w:pPr>
              <w:widowControl w:val="0"/>
              <w:spacing w:line="240" w:lineRule="auto"/>
              <w:jc w:val="both"/>
              <w:cnfStyle w:val="000000000000"/>
              <w:rPr>
                <w:rFonts w:ascii="Times New Roman" w:eastAsia="Times New Roman" w:hAnsi="Times New Roman"/>
                <w:kern w:val="2"/>
              </w:rPr>
            </w:pPr>
            <w:r w:rsidRPr="002C1949">
              <w:rPr>
                <w:rFonts w:ascii="Times New Roman" w:eastAsia="Times New Roman" w:hAnsi="Times New Roman"/>
                <w:kern w:val="2"/>
              </w:rPr>
              <w:t>34.8%</w:t>
            </w:r>
          </w:p>
        </w:tc>
        <w:tc>
          <w:tcPr>
            <w:tcW w:w="2196" w:type="dxa"/>
            <w:vMerge/>
            <w:tcBorders>
              <w:left w:val="nil"/>
              <w:right w:val="nil"/>
            </w:tcBorders>
          </w:tcPr>
          <w:p w:rsidR="003E48F9" w:rsidRPr="002C1949" w:rsidRDefault="003E48F9">
            <w:pPr>
              <w:widowControl w:val="0"/>
              <w:spacing w:line="240" w:lineRule="auto"/>
              <w:jc w:val="both"/>
              <w:cnfStyle w:val="000000000000"/>
              <w:rPr>
                <w:rFonts w:ascii="Times New Roman" w:eastAsia="Times New Roman" w:hAnsi="Times New Roman"/>
                <w:kern w:val="2"/>
              </w:rPr>
            </w:pPr>
          </w:p>
        </w:tc>
      </w:tr>
    </w:tbl>
    <w:p w:rsidR="003E48F9" w:rsidRPr="002C1949" w:rsidRDefault="00677B0D">
      <w:pPr>
        <w:widowControl w:val="0"/>
        <w:spacing w:line="360" w:lineRule="auto"/>
        <w:jc w:val="both"/>
        <w:rPr>
          <w:rFonts w:ascii="Times New Roman" w:eastAsia="Times New Roman" w:hAnsi="Times New Roman"/>
          <w:kern w:val="2"/>
        </w:rPr>
      </w:pPr>
      <w:r w:rsidRPr="002C1949">
        <w:rPr>
          <w:rFonts w:ascii="Times New Roman" w:eastAsia="Times New Roman" w:hAnsi="Times New Roman"/>
          <w:b/>
          <w:bCs/>
          <w:kern w:val="2"/>
        </w:rPr>
        <w:t xml:space="preserve">Source: </w:t>
      </w:r>
      <w:r w:rsidRPr="002C1949">
        <w:rPr>
          <w:rFonts w:ascii="Times New Roman" w:eastAsia="Times New Roman" w:hAnsi="Times New Roman"/>
          <w:b/>
          <w:bCs/>
          <w:kern w:val="2"/>
          <w:lang w:val="en-GB"/>
        </w:rPr>
        <w:t xml:space="preserve"> The author</w:t>
      </w:r>
      <w:r w:rsidRPr="002C1949">
        <w:rPr>
          <w:rFonts w:ascii="Times New Roman" w:eastAsia="Times New Roman" w:hAnsi="Times New Roman"/>
          <w:b/>
          <w:bCs/>
          <w:kern w:val="2"/>
        </w:rPr>
        <w:t>, 2025</w:t>
      </w:r>
    </w:p>
    <w:p w:rsidR="003E48F9" w:rsidRPr="002C1949" w:rsidRDefault="00677B0D">
      <w:pPr>
        <w:widowControl w:val="0"/>
        <w:spacing w:line="360" w:lineRule="auto"/>
        <w:jc w:val="both"/>
        <w:rPr>
          <w:rFonts w:ascii="Times New Roman" w:eastAsia="Times New Roman" w:hAnsi="Times New Roman"/>
          <w:kern w:val="2"/>
        </w:rPr>
      </w:pPr>
      <w:r w:rsidRPr="002C1949">
        <w:rPr>
          <w:rFonts w:ascii="Times New Roman" w:eastAsia="Times New Roman" w:hAnsi="Times New Roman"/>
          <w:kern w:val="2"/>
          <w:lang w:val="en-GB"/>
        </w:rPr>
        <w:t xml:space="preserve">Table 3 above </w:t>
      </w:r>
      <w:r w:rsidRPr="002C1949">
        <w:rPr>
          <w:rFonts w:ascii="Times New Roman" w:eastAsia="Times New Roman" w:hAnsi="Times New Roman"/>
          <w:kern w:val="2"/>
        </w:rPr>
        <w:t>reveal</w:t>
      </w:r>
      <w:r w:rsidRPr="002C1949">
        <w:rPr>
          <w:rFonts w:ascii="Times New Roman" w:eastAsia="Times New Roman" w:hAnsi="Times New Roman"/>
          <w:kern w:val="2"/>
          <w:lang w:val="en-GB"/>
        </w:rPr>
        <w:t xml:space="preserve">s </w:t>
      </w:r>
      <w:r w:rsidRPr="002C1949">
        <w:rPr>
          <w:rFonts w:ascii="Times New Roman" w:eastAsia="Times New Roman" w:hAnsi="Times New Roman"/>
          <w:kern w:val="2"/>
        </w:rPr>
        <w:t>a marked disparity in access to Agricultural Extension Services (AES) between members and non-members of Farmer Organisations (FOs). Among FO members (n = 2</w:t>
      </w:r>
      <w:r w:rsidRPr="002C1949">
        <w:rPr>
          <w:rFonts w:ascii="Times New Roman" w:eastAsia="Times New Roman" w:hAnsi="Times New Roman"/>
          <w:kern w:val="2"/>
          <w:lang w:val="en-GB"/>
        </w:rPr>
        <w:t>52</w:t>
      </w:r>
      <w:r w:rsidRPr="002C1949">
        <w:rPr>
          <w:rFonts w:ascii="Times New Roman" w:eastAsia="Times New Roman" w:hAnsi="Times New Roman"/>
          <w:kern w:val="2"/>
        </w:rPr>
        <w:t>), 83.5% reported having access to AES, while only 34.8% of non-members (n = 1</w:t>
      </w:r>
      <w:r w:rsidRPr="002C1949">
        <w:rPr>
          <w:rFonts w:ascii="Times New Roman" w:eastAsia="Times New Roman" w:hAnsi="Times New Roman"/>
          <w:kern w:val="2"/>
          <w:lang w:val="en-GB"/>
        </w:rPr>
        <w:t>44</w:t>
      </w:r>
      <w:r w:rsidRPr="002C1949">
        <w:rPr>
          <w:rFonts w:ascii="Times New Roman" w:eastAsia="Times New Roman" w:hAnsi="Times New Roman"/>
          <w:kern w:val="2"/>
        </w:rPr>
        <w:t>) indicated the same. This difference of nearly 49 percentage points is substantial and suggests that FO membership plays a critical role in enhancing access to essential agricultural support services.</w:t>
      </w:r>
    </w:p>
    <w:p w:rsidR="003E48F9" w:rsidRPr="002C1949" w:rsidRDefault="00677B0D">
      <w:pPr>
        <w:widowControl w:val="0"/>
        <w:spacing w:line="360" w:lineRule="auto"/>
        <w:jc w:val="both"/>
        <w:rPr>
          <w:rFonts w:ascii="Times New Roman" w:eastAsia="Times New Roman" w:hAnsi="Times New Roman"/>
          <w:kern w:val="2"/>
        </w:rPr>
      </w:pPr>
      <w:r w:rsidRPr="002C1949">
        <w:rPr>
          <w:rFonts w:ascii="Times New Roman" w:eastAsia="Times New Roman" w:hAnsi="Times New Roman"/>
          <w:kern w:val="2"/>
        </w:rPr>
        <w:lastRenderedPageBreak/>
        <w:t xml:space="preserve">This pattern reinforces the hypothesis that farmer organisations serve as important institutional intermediaries between </w:t>
      </w:r>
      <w:r w:rsidRPr="002C1949">
        <w:rPr>
          <w:rFonts w:ascii="Times New Roman" w:eastAsia="Times New Roman" w:hAnsi="Times New Roman"/>
          <w:kern w:val="2"/>
          <w:lang w:val="en-GB"/>
        </w:rPr>
        <w:t xml:space="preserve">cocoa </w:t>
      </w:r>
      <w:r w:rsidRPr="002C1949">
        <w:rPr>
          <w:rFonts w:ascii="Times New Roman" w:eastAsia="Times New Roman" w:hAnsi="Times New Roman"/>
          <w:kern w:val="2"/>
        </w:rPr>
        <w:t>producers and agricultural</w:t>
      </w:r>
      <w:r w:rsidRPr="002C1949">
        <w:rPr>
          <w:rFonts w:ascii="Times New Roman" w:eastAsia="Times New Roman" w:hAnsi="Times New Roman"/>
          <w:kern w:val="2"/>
          <w:lang w:val="en-GB"/>
        </w:rPr>
        <w:t xml:space="preserve"> extension </w:t>
      </w:r>
      <w:r w:rsidRPr="002C1949">
        <w:rPr>
          <w:rFonts w:ascii="Times New Roman" w:eastAsia="Times New Roman" w:hAnsi="Times New Roman"/>
          <w:kern w:val="2"/>
        </w:rPr>
        <w:t>service providers. FOs often facilitate linkages with extension agents, organize training sessions, and provide platforms for knowledge dissemination and innovation adoption. The high level of AES access among FO members implies that these organisations may act as vehicles for scaling up agronomic knowledge, improving farm management practices, and enabling timely access to information on inputs, markets, and climate-smart techniques.</w:t>
      </w:r>
    </w:p>
    <w:p w:rsidR="003E48F9" w:rsidRPr="002C1949" w:rsidRDefault="00677B0D">
      <w:pPr>
        <w:widowControl w:val="0"/>
        <w:spacing w:line="360" w:lineRule="auto"/>
        <w:jc w:val="both"/>
        <w:rPr>
          <w:rFonts w:ascii="Times New Roman" w:eastAsia="Times New Roman" w:hAnsi="Times New Roman"/>
          <w:kern w:val="2"/>
        </w:rPr>
      </w:pPr>
      <w:r w:rsidRPr="002C1949">
        <w:rPr>
          <w:rFonts w:ascii="Times New Roman" w:eastAsia="Times New Roman" w:hAnsi="Times New Roman"/>
          <w:kern w:val="2"/>
        </w:rPr>
        <w:t>Conversely, the significantly lower rate of AES access among non-members may reflect structural exclusion, logistical barriers, or limited outreach by public extension systems to unorganised or dispersed farming households. This gap is concerning, as lack of extension support is frequently associated with lower productivity, weak market engagement, and limited adoption of improved technologies, all of which undermine livelihood resilience.</w:t>
      </w:r>
    </w:p>
    <w:p w:rsidR="003E48F9" w:rsidRPr="002C1949" w:rsidRDefault="00677B0D">
      <w:pPr>
        <w:widowControl w:val="0"/>
        <w:spacing w:line="360" w:lineRule="auto"/>
        <w:jc w:val="both"/>
        <w:rPr>
          <w:rFonts w:ascii="Times New Roman" w:eastAsia="Times New Roman" w:hAnsi="Times New Roman"/>
          <w:kern w:val="2"/>
        </w:rPr>
      </w:pPr>
      <w:r w:rsidRPr="002C1949">
        <w:rPr>
          <w:rFonts w:ascii="Times New Roman" w:eastAsia="Times New Roman" w:hAnsi="Times New Roman"/>
          <w:kern w:val="2"/>
        </w:rPr>
        <w:t>The observed disparity further supports the argument for policy interventions that promote inclusive FO formation, capacity building, and partnerships between farmer groups and extension services. It also signals a need for deliberate strategies to extend AES to farmers who remain outside of formal organisations, ensuring that extension efforts are equitable, participatory, and gender-responsive.</w:t>
      </w:r>
    </w:p>
    <w:p w:rsidR="003E48F9" w:rsidRPr="002C1949" w:rsidRDefault="00677B0D">
      <w:pPr>
        <w:widowControl w:val="0"/>
        <w:spacing w:line="360" w:lineRule="auto"/>
        <w:jc w:val="both"/>
        <w:rPr>
          <w:rFonts w:ascii="Times New Roman" w:eastAsia="Times New Roman" w:hAnsi="Times New Roman"/>
          <w:kern w:val="2"/>
        </w:rPr>
      </w:pPr>
      <w:r w:rsidRPr="002C1949">
        <w:rPr>
          <w:rFonts w:ascii="Times New Roman" w:eastAsia="Times New Roman" w:hAnsi="Times New Roman"/>
          <w:kern w:val="2"/>
        </w:rPr>
        <w:t xml:space="preserve">Table </w:t>
      </w:r>
      <w:r w:rsidRPr="002C1949">
        <w:rPr>
          <w:rFonts w:ascii="Times New Roman" w:eastAsia="Times New Roman" w:hAnsi="Times New Roman"/>
          <w:kern w:val="2"/>
          <w:lang w:val="en-GB"/>
        </w:rPr>
        <w:t xml:space="preserve">4 </w:t>
      </w:r>
      <w:r w:rsidRPr="002C1949">
        <w:rPr>
          <w:rFonts w:ascii="Times New Roman" w:eastAsia="Times New Roman" w:hAnsi="Times New Roman"/>
          <w:kern w:val="2"/>
        </w:rPr>
        <w:t>summarizes the results of the chi-square test analyzing the relationship between farmer organization (FO) membership and access to agricultural extension services (AES) for cocoa farmers. The table includes the chi-square statistic, degrees of freedom, and p-value, indicating whether the association between these variables is statistically significant.</w:t>
      </w:r>
    </w:p>
    <w:p w:rsidR="003E48F9" w:rsidRPr="002C1949" w:rsidRDefault="00677B0D">
      <w:pPr>
        <w:widowControl w:val="0"/>
        <w:spacing w:line="360" w:lineRule="auto"/>
        <w:jc w:val="both"/>
        <w:rPr>
          <w:rFonts w:ascii="Times New Roman" w:eastAsia="Times New Roman" w:hAnsi="Times New Roman"/>
          <w:kern w:val="2"/>
          <w:lang w:val="en-GB"/>
        </w:rPr>
      </w:pPr>
      <w:r w:rsidRPr="002C1949">
        <w:rPr>
          <w:rFonts w:ascii="Times New Roman" w:eastAsia="Times New Roman" w:hAnsi="Times New Roman"/>
          <w:b/>
          <w:bCs/>
          <w:kern w:val="2"/>
        </w:rPr>
        <w:t>Table</w:t>
      </w:r>
      <w:r w:rsidRPr="002C1949">
        <w:rPr>
          <w:rFonts w:ascii="Times New Roman" w:eastAsia="Times New Roman" w:hAnsi="Times New Roman"/>
          <w:b/>
          <w:bCs/>
          <w:kern w:val="2"/>
          <w:lang w:val="en-GB"/>
        </w:rPr>
        <w:t xml:space="preserve"> 4:</w:t>
      </w:r>
      <w:r w:rsidRPr="002C1949">
        <w:rPr>
          <w:rFonts w:ascii="Times New Roman" w:eastAsia="Times New Roman" w:hAnsi="Times New Roman"/>
          <w:b/>
          <w:bCs/>
          <w:kern w:val="2"/>
        </w:rPr>
        <w:t xml:space="preserve"> Chi-Square Test Results for Farmer Organization Membership and Access to Agricultural Extension Services</w:t>
      </w:r>
    </w:p>
    <w:tbl>
      <w:tblPr>
        <w:tblStyle w:val="GridTable1Light1"/>
        <w:tblW w:w="5000" w:type="pct"/>
        <w:tblBorders>
          <w:left w:val="none" w:sz="0" w:space="0" w:color="auto"/>
          <w:right w:val="none" w:sz="0" w:space="0" w:color="auto"/>
          <w:insideH w:val="single" w:sz="12" w:space="0" w:color="666666" w:themeColor="text1" w:themeTint="99"/>
          <w:insideV w:val="none" w:sz="0" w:space="0" w:color="auto"/>
        </w:tblBorders>
        <w:tblLayout w:type="fixed"/>
        <w:tblLook w:val="04A0"/>
      </w:tblPr>
      <w:tblGrid>
        <w:gridCol w:w="4306"/>
        <w:gridCol w:w="1296"/>
        <w:gridCol w:w="2779"/>
        <w:gridCol w:w="1195"/>
      </w:tblGrid>
      <w:tr w:rsidR="003E48F9" w:rsidRPr="002C1949" w:rsidTr="003E48F9">
        <w:trPr>
          <w:cnfStyle w:val="100000000000"/>
        </w:trPr>
        <w:tc>
          <w:tcPr>
            <w:cnfStyle w:val="001000000000"/>
            <w:tcW w:w="4209" w:type="dxa"/>
            <w:tcBorders>
              <w:bottom w:val="nil"/>
            </w:tcBorders>
          </w:tcPr>
          <w:p w:rsidR="003E48F9" w:rsidRPr="002C1949" w:rsidRDefault="00677B0D">
            <w:pPr>
              <w:spacing w:after="0" w:line="240" w:lineRule="auto"/>
              <w:jc w:val="both"/>
              <w:rPr>
                <w:rFonts w:ascii="Times New Roman" w:eastAsia="Times New Roman" w:hAnsi="Times New Roman"/>
                <w:lang w:eastAsia="en-US"/>
              </w:rPr>
            </w:pPr>
            <w:r w:rsidRPr="002C1949">
              <w:rPr>
                <w:rFonts w:ascii="Times New Roman" w:eastAsia="Times New Roman" w:hAnsi="Times New Roman"/>
                <w:lang w:eastAsia="en-US"/>
              </w:rPr>
              <w:t>Variable</w:t>
            </w:r>
          </w:p>
        </w:tc>
        <w:tc>
          <w:tcPr>
            <w:tcW w:w="1267" w:type="dxa"/>
            <w:tcBorders>
              <w:bottom w:val="nil"/>
            </w:tcBorders>
          </w:tcPr>
          <w:p w:rsidR="003E48F9" w:rsidRPr="002C1949" w:rsidRDefault="00677B0D">
            <w:pPr>
              <w:spacing w:after="0" w:line="240" w:lineRule="auto"/>
              <w:jc w:val="both"/>
              <w:cnfStyle w:val="100000000000"/>
              <w:rPr>
                <w:rFonts w:ascii="Times New Roman" w:eastAsia="Times New Roman" w:hAnsi="Times New Roman"/>
                <w:lang w:eastAsia="en-US"/>
              </w:rPr>
            </w:pPr>
            <w:r w:rsidRPr="002C1949">
              <w:rPr>
                <w:rFonts w:ascii="Times New Roman" w:eastAsia="Times New Roman" w:hAnsi="Times New Roman"/>
                <w:lang w:eastAsia="en-US"/>
              </w:rPr>
              <w:t>χ² Value</w:t>
            </w:r>
          </w:p>
        </w:tc>
        <w:tc>
          <w:tcPr>
            <w:tcW w:w="2716" w:type="dxa"/>
            <w:tcBorders>
              <w:bottom w:val="nil"/>
            </w:tcBorders>
          </w:tcPr>
          <w:p w:rsidR="003E48F9" w:rsidRPr="002C1949" w:rsidRDefault="00677B0D">
            <w:pPr>
              <w:spacing w:after="0" w:line="240" w:lineRule="auto"/>
              <w:jc w:val="both"/>
              <w:cnfStyle w:val="100000000000"/>
              <w:rPr>
                <w:rFonts w:ascii="Times New Roman" w:eastAsia="Times New Roman" w:hAnsi="Times New Roman"/>
                <w:lang w:eastAsia="en-US"/>
              </w:rPr>
            </w:pPr>
            <w:r w:rsidRPr="002C1949">
              <w:rPr>
                <w:rFonts w:ascii="Times New Roman" w:eastAsia="Times New Roman" w:hAnsi="Times New Roman"/>
                <w:lang w:eastAsia="en-US"/>
              </w:rPr>
              <w:t>Degrees of Freedom</w:t>
            </w:r>
          </w:p>
        </w:tc>
        <w:tc>
          <w:tcPr>
            <w:tcW w:w="1168" w:type="dxa"/>
            <w:tcBorders>
              <w:bottom w:val="nil"/>
            </w:tcBorders>
          </w:tcPr>
          <w:p w:rsidR="003E48F9" w:rsidRPr="002C1949" w:rsidRDefault="00677B0D">
            <w:pPr>
              <w:spacing w:after="0" w:line="240" w:lineRule="auto"/>
              <w:jc w:val="both"/>
              <w:cnfStyle w:val="100000000000"/>
              <w:rPr>
                <w:rFonts w:ascii="Times New Roman" w:eastAsia="Times New Roman" w:hAnsi="Times New Roman"/>
                <w:lang w:eastAsia="en-US"/>
              </w:rPr>
            </w:pPr>
            <w:r w:rsidRPr="002C1949">
              <w:rPr>
                <w:rFonts w:ascii="Times New Roman" w:eastAsia="Times New Roman" w:hAnsi="Times New Roman"/>
                <w:lang w:eastAsia="en-US"/>
              </w:rPr>
              <w:t>p-value</w:t>
            </w:r>
          </w:p>
        </w:tc>
      </w:tr>
      <w:tr w:rsidR="003E48F9" w:rsidRPr="002C1949" w:rsidTr="003E48F9">
        <w:tc>
          <w:tcPr>
            <w:cnfStyle w:val="001000000000"/>
            <w:tcW w:w="4209" w:type="dxa"/>
          </w:tcPr>
          <w:p w:rsidR="003E48F9" w:rsidRPr="002C1949" w:rsidRDefault="00677B0D">
            <w:pPr>
              <w:spacing w:after="0" w:line="240" w:lineRule="auto"/>
              <w:jc w:val="both"/>
              <w:rPr>
                <w:rFonts w:ascii="Times New Roman" w:eastAsia="Times New Roman" w:hAnsi="Times New Roman"/>
                <w:lang w:eastAsia="en-US"/>
              </w:rPr>
            </w:pPr>
            <w:r w:rsidRPr="002C1949">
              <w:rPr>
                <w:rFonts w:ascii="Times New Roman" w:eastAsia="Times New Roman" w:hAnsi="Times New Roman"/>
                <w:b w:val="0"/>
                <w:lang w:eastAsia="en-US"/>
              </w:rPr>
              <w:t>FO Membership vs. AES Access</w:t>
            </w:r>
          </w:p>
        </w:tc>
        <w:tc>
          <w:tcPr>
            <w:tcW w:w="1267" w:type="dxa"/>
          </w:tcPr>
          <w:p w:rsidR="003E48F9" w:rsidRPr="002C1949" w:rsidRDefault="00677B0D">
            <w:pPr>
              <w:spacing w:after="0" w:line="240" w:lineRule="auto"/>
              <w:jc w:val="both"/>
              <w:cnfStyle w:val="000000000000"/>
              <w:rPr>
                <w:rFonts w:ascii="Times New Roman" w:eastAsia="Times New Roman" w:hAnsi="Times New Roman"/>
                <w:lang w:eastAsia="en-US"/>
              </w:rPr>
            </w:pPr>
            <w:r w:rsidRPr="002C1949">
              <w:rPr>
                <w:rFonts w:ascii="Times New Roman" w:eastAsia="Times New Roman" w:hAnsi="Times New Roman"/>
                <w:lang w:eastAsia="en-US"/>
              </w:rPr>
              <w:t>57.82</w:t>
            </w:r>
          </w:p>
        </w:tc>
        <w:tc>
          <w:tcPr>
            <w:tcW w:w="2716" w:type="dxa"/>
          </w:tcPr>
          <w:p w:rsidR="003E48F9" w:rsidRPr="002C1949" w:rsidRDefault="00677B0D">
            <w:pPr>
              <w:spacing w:after="0" w:line="240" w:lineRule="auto"/>
              <w:jc w:val="both"/>
              <w:cnfStyle w:val="000000000000"/>
              <w:rPr>
                <w:rFonts w:ascii="Times New Roman" w:eastAsia="Times New Roman" w:hAnsi="Times New Roman"/>
                <w:lang w:eastAsia="en-US"/>
              </w:rPr>
            </w:pPr>
            <w:r w:rsidRPr="002C1949">
              <w:rPr>
                <w:rFonts w:ascii="Times New Roman" w:eastAsia="Times New Roman" w:hAnsi="Times New Roman"/>
                <w:lang w:eastAsia="en-US"/>
              </w:rPr>
              <w:t>1</w:t>
            </w:r>
          </w:p>
        </w:tc>
        <w:tc>
          <w:tcPr>
            <w:tcW w:w="1168" w:type="dxa"/>
          </w:tcPr>
          <w:p w:rsidR="003E48F9" w:rsidRPr="002C1949" w:rsidRDefault="00677B0D">
            <w:pPr>
              <w:spacing w:after="0" w:line="240" w:lineRule="auto"/>
              <w:jc w:val="both"/>
              <w:cnfStyle w:val="000000000000"/>
              <w:rPr>
                <w:rFonts w:ascii="Times New Roman" w:eastAsia="Times New Roman" w:hAnsi="Times New Roman"/>
                <w:lang w:eastAsia="en-US"/>
              </w:rPr>
            </w:pPr>
            <w:r w:rsidRPr="002C1949">
              <w:rPr>
                <w:rFonts w:ascii="Times New Roman" w:eastAsia="Times New Roman" w:hAnsi="Times New Roman"/>
                <w:lang w:eastAsia="en-US"/>
              </w:rPr>
              <w:t>&lt; 0.001</w:t>
            </w:r>
          </w:p>
        </w:tc>
      </w:tr>
    </w:tbl>
    <w:p w:rsidR="003E48F9" w:rsidRPr="002C1949" w:rsidRDefault="00677B0D">
      <w:pPr>
        <w:widowControl w:val="0"/>
        <w:tabs>
          <w:tab w:val="left" w:pos="7309"/>
        </w:tabs>
        <w:spacing w:line="360" w:lineRule="auto"/>
        <w:jc w:val="both"/>
        <w:rPr>
          <w:rFonts w:ascii="Times New Roman" w:eastAsia="Times New Roman" w:hAnsi="Times New Roman"/>
          <w:kern w:val="2"/>
          <w:lang w:val="en-GB"/>
        </w:rPr>
      </w:pPr>
      <w:r w:rsidRPr="002C1949">
        <w:rPr>
          <w:rFonts w:ascii="Times New Roman" w:eastAsia="Times New Roman" w:hAnsi="Times New Roman"/>
          <w:b/>
          <w:bCs/>
          <w:kern w:val="2"/>
        </w:rPr>
        <w:t xml:space="preserve">Source: </w:t>
      </w:r>
      <w:r w:rsidRPr="002C1949">
        <w:rPr>
          <w:rFonts w:ascii="Times New Roman" w:eastAsia="Times New Roman" w:hAnsi="Times New Roman"/>
          <w:b/>
          <w:bCs/>
          <w:kern w:val="2"/>
          <w:lang w:val="en-GB"/>
        </w:rPr>
        <w:t xml:space="preserve"> The author</w:t>
      </w:r>
      <w:r w:rsidRPr="002C1949">
        <w:rPr>
          <w:rFonts w:ascii="Times New Roman" w:eastAsia="Times New Roman" w:hAnsi="Times New Roman"/>
          <w:b/>
          <w:bCs/>
          <w:kern w:val="2"/>
        </w:rPr>
        <w:t>, 2025</w:t>
      </w:r>
    </w:p>
    <w:p w:rsidR="003E48F9" w:rsidRPr="002C1949" w:rsidRDefault="00677B0D">
      <w:pPr>
        <w:widowControl w:val="0"/>
        <w:spacing w:line="360" w:lineRule="auto"/>
        <w:jc w:val="both"/>
        <w:rPr>
          <w:rFonts w:ascii="Times New Roman" w:eastAsia="Times New Roman" w:hAnsi="Times New Roman"/>
          <w:kern w:val="2"/>
        </w:rPr>
      </w:pPr>
      <w:r w:rsidRPr="002C1949">
        <w:rPr>
          <w:rFonts w:ascii="Times New Roman" w:eastAsia="Times New Roman" w:hAnsi="Times New Roman"/>
          <w:kern w:val="2"/>
        </w:rPr>
        <w:t>Table 4displays the results of the chi-square test examining the association between farmer organization (FO) membership and access to agricultural extension services (AES) among cocoa farmers. The chi-square statistic (χ² = 57.82) indicates a strong relationship between the two variables. With 1 degree of freedom and a p-value of less than 0.001, the results confirm that FO membership significantly influences access to AES. This highlights the importance of farmer organizations in enhancing the support available to cocoa farmers.</w:t>
      </w:r>
      <w:r w:rsidRPr="002C1949">
        <w:rPr>
          <w:rFonts w:ascii="Times New Roman" w:eastAsia="Times New Roman" w:hAnsi="Times New Roman"/>
          <w:kern w:val="2"/>
          <w:lang w:val="en-GB"/>
        </w:rPr>
        <w:t xml:space="preserve"> This also indicates t</w:t>
      </w:r>
      <w:r w:rsidRPr="002C1949">
        <w:rPr>
          <w:rFonts w:ascii="Times New Roman" w:eastAsia="Times New Roman" w:hAnsi="Times New Roman"/>
          <w:kern w:val="2"/>
        </w:rPr>
        <w:t xml:space="preserve">hat the probability of accessing AES differs dramatically between </w:t>
      </w:r>
      <w:r w:rsidRPr="002C1949">
        <w:rPr>
          <w:rFonts w:ascii="Times New Roman" w:eastAsia="Times New Roman" w:hAnsi="Times New Roman"/>
          <w:kern w:val="2"/>
        </w:rPr>
        <w:lastRenderedPageBreak/>
        <w:t>members and non-members.</w:t>
      </w:r>
    </w:p>
    <w:p w:rsidR="003E48F9" w:rsidRPr="002C1949" w:rsidRDefault="00677B0D">
      <w:pPr>
        <w:widowControl w:val="0"/>
        <w:spacing w:line="360" w:lineRule="auto"/>
        <w:jc w:val="both"/>
        <w:rPr>
          <w:rFonts w:ascii="Times New Roman" w:eastAsia="Times New Roman" w:hAnsi="Times New Roman"/>
          <w:kern w:val="2"/>
        </w:rPr>
      </w:pPr>
      <w:r w:rsidRPr="002C1949">
        <w:rPr>
          <w:rFonts w:ascii="Times New Roman" w:eastAsia="Times New Roman" w:hAnsi="Times New Roman"/>
          <w:kern w:val="2"/>
        </w:rPr>
        <w:t>Agricultural extension services provide farmers with updated knowledge and practices on crop management, pest and disease control, post-harvest handling, Climate adaptation techniques, resource optimization (use of fertilizers, improved seeds).</w:t>
      </w:r>
    </w:p>
    <w:p w:rsidR="003E48F9" w:rsidRPr="002C1949" w:rsidRDefault="00677B0D">
      <w:pPr>
        <w:widowControl w:val="0"/>
        <w:spacing w:line="360" w:lineRule="auto"/>
        <w:jc w:val="both"/>
        <w:rPr>
          <w:rFonts w:ascii="Times New Roman" w:eastAsia="Times New Roman" w:hAnsi="Times New Roman"/>
          <w:kern w:val="2"/>
        </w:rPr>
      </w:pPr>
      <w:r w:rsidRPr="002C1949">
        <w:rPr>
          <w:rFonts w:ascii="Times New Roman" w:eastAsia="Times New Roman" w:hAnsi="Times New Roman"/>
          <w:kern w:val="2"/>
        </w:rPr>
        <w:t>The stark difference suggests that farmer organizations act as effective intermediaries between farmers and extension service providers. Through collective representation, these organizations facilitate scheduled group trainings and field demonstrations, coordinate with NGOs and government agencies to bring extension officers to their communities, and disseminate agricultural information more efficiently among members.</w:t>
      </w:r>
    </w:p>
    <w:p w:rsidR="003E48F9" w:rsidRPr="002C1949" w:rsidRDefault="00677B0D">
      <w:pPr>
        <w:widowControl w:val="0"/>
        <w:spacing w:line="360" w:lineRule="auto"/>
        <w:jc w:val="both"/>
        <w:rPr>
          <w:rFonts w:ascii="Times New Roman" w:eastAsia="Times New Roman" w:hAnsi="Times New Roman"/>
          <w:kern w:val="2"/>
        </w:rPr>
      </w:pPr>
      <w:r w:rsidRPr="002C1949">
        <w:rPr>
          <w:rFonts w:ascii="Times New Roman" w:eastAsia="Times New Roman" w:hAnsi="Times New Roman"/>
          <w:kern w:val="2"/>
        </w:rPr>
        <w:t>This result underscores the value of encouraging cocoa farmers to join or form organizations. Not only do these groups enhance access to services, but they may also play a role in advocating for policy reforms and rural investment in agricultural advisory systems.</w:t>
      </w:r>
    </w:p>
    <w:p w:rsidR="003E48F9" w:rsidRPr="002C1949" w:rsidRDefault="00677B0D">
      <w:pPr>
        <w:widowControl w:val="0"/>
        <w:spacing w:line="360" w:lineRule="auto"/>
        <w:jc w:val="both"/>
        <w:rPr>
          <w:rFonts w:ascii="Times New Roman" w:eastAsia="Times New Roman" w:hAnsi="Times New Roman"/>
          <w:b/>
          <w:bCs/>
          <w:kern w:val="2"/>
          <w:lang w:val="en-GB"/>
        </w:rPr>
      </w:pPr>
      <w:r w:rsidRPr="002C1949">
        <w:rPr>
          <w:rFonts w:ascii="Times New Roman" w:eastAsia="Times New Roman" w:hAnsi="Times New Roman"/>
          <w:kern w:val="2"/>
          <w:lang w:val="en-GB"/>
        </w:rPr>
        <w:t>Summarily</w:t>
      </w:r>
      <w:r w:rsidRPr="002C1949">
        <w:rPr>
          <w:rFonts w:ascii="Times New Roman" w:eastAsia="Times New Roman" w:hAnsi="Times New Roman"/>
          <w:kern w:val="2"/>
        </w:rPr>
        <w:t>, membership in farmer organizations significantly increases a cocoa farmer’s likelihood of receiving agricultural extension services in Fako Division, which is a critical input for productivity and improved livelihoods.</w:t>
      </w:r>
    </w:p>
    <w:p w:rsidR="003E48F9" w:rsidRPr="002C1949" w:rsidRDefault="00677B0D">
      <w:pPr>
        <w:spacing w:line="360" w:lineRule="auto"/>
        <w:jc w:val="both"/>
        <w:rPr>
          <w:rFonts w:ascii="Times New Roman" w:hAnsi="Times New Roman"/>
        </w:rPr>
      </w:pPr>
      <w:r w:rsidRPr="002C1949">
        <w:rPr>
          <w:rFonts w:ascii="Times New Roman" w:eastAsia="Times New Roman" w:hAnsi="Times New Roman"/>
          <w:b/>
          <w:bCs/>
          <w:kern w:val="2"/>
          <w:lang w:val="en-GB"/>
        </w:rPr>
        <w:t xml:space="preserve">4.1.4 </w:t>
      </w:r>
      <w:r w:rsidRPr="002C1949">
        <w:rPr>
          <w:rFonts w:ascii="Times New Roman" w:hAnsi="Times New Roman"/>
          <w:b/>
          <w:bCs/>
        </w:rPr>
        <w:t xml:space="preserve">Effect of Farmer Organisation Membership on Access to Agricultural Extension Services - </w:t>
      </w:r>
      <w:r w:rsidRPr="002C1949">
        <w:rPr>
          <w:rFonts w:ascii="Times New Roman" w:eastAsia="Times New Roman" w:hAnsi="Times New Roman"/>
          <w:b/>
          <w:bCs/>
          <w:kern w:val="2"/>
        </w:rPr>
        <w:t>Logistic Regression</w:t>
      </w:r>
    </w:p>
    <w:p w:rsidR="003E48F9" w:rsidRPr="002C1949" w:rsidRDefault="00677B0D">
      <w:pPr>
        <w:widowControl w:val="0"/>
        <w:spacing w:line="360" w:lineRule="auto"/>
        <w:jc w:val="both"/>
        <w:rPr>
          <w:rFonts w:ascii="Times New Roman" w:eastAsia="Times New Roman" w:hAnsi="Times New Roman"/>
          <w:kern w:val="2"/>
        </w:rPr>
      </w:pPr>
      <w:r w:rsidRPr="002C1949">
        <w:rPr>
          <w:rFonts w:ascii="Times New Roman" w:eastAsia="Times New Roman" w:hAnsi="Times New Roman"/>
          <w:kern w:val="2"/>
        </w:rPr>
        <w:t xml:space="preserve">A binary logistic regression was conducted to examine the likelihood of cocoa farmers accessing agricultural extension services based on selected socio-demographic and farm-related predictors. The results on table </w:t>
      </w:r>
      <w:r w:rsidRPr="002C1949">
        <w:rPr>
          <w:rFonts w:ascii="Times New Roman" w:eastAsia="Times New Roman" w:hAnsi="Times New Roman"/>
          <w:kern w:val="2"/>
          <w:lang w:val="en-GB"/>
        </w:rPr>
        <w:t>5</w:t>
      </w:r>
      <w:r w:rsidRPr="002C1949">
        <w:rPr>
          <w:rFonts w:ascii="Times New Roman" w:eastAsia="Times New Roman" w:hAnsi="Times New Roman"/>
          <w:kern w:val="2"/>
        </w:rPr>
        <w:t xml:space="preserve"> present the estimated coefficients (B), standard errors (SE), odds ratios [Exp(B)], and associated p-values. Model fit statistics are also reported.</w:t>
      </w:r>
    </w:p>
    <w:p w:rsidR="003E48F9" w:rsidRPr="002C1949" w:rsidRDefault="00677B0D">
      <w:pPr>
        <w:widowControl w:val="0"/>
        <w:spacing w:line="360" w:lineRule="auto"/>
        <w:jc w:val="both"/>
        <w:rPr>
          <w:rFonts w:ascii="Times New Roman" w:eastAsia="Times New Roman" w:hAnsi="Times New Roman"/>
          <w:kern w:val="2"/>
          <w:lang w:val="en-GB"/>
        </w:rPr>
      </w:pPr>
      <w:r w:rsidRPr="002C1949">
        <w:rPr>
          <w:rFonts w:ascii="Times New Roman" w:eastAsia="Times New Roman" w:hAnsi="Times New Roman"/>
          <w:b/>
          <w:bCs/>
          <w:kern w:val="2"/>
          <w:lang w:val="en-GB"/>
        </w:rPr>
        <w:t xml:space="preserve">Table 5: </w:t>
      </w:r>
      <w:r w:rsidRPr="002C1949">
        <w:rPr>
          <w:rFonts w:ascii="Times New Roman" w:eastAsia="Times New Roman" w:hAnsi="Times New Roman"/>
          <w:b/>
          <w:bCs/>
          <w:kern w:val="2"/>
        </w:rPr>
        <w:t>Predictors of Access to Agricultural Extension Services (AES)</w:t>
      </w:r>
    </w:p>
    <w:tbl>
      <w:tblPr>
        <w:tblStyle w:val="GridTable1Light1"/>
        <w:tblW w:w="5000" w:type="pct"/>
        <w:tblLayout w:type="fixed"/>
        <w:tblLook w:val="04A0"/>
      </w:tblPr>
      <w:tblGrid>
        <w:gridCol w:w="4046"/>
        <w:gridCol w:w="1072"/>
        <w:gridCol w:w="902"/>
        <w:gridCol w:w="2170"/>
        <w:gridCol w:w="1386"/>
      </w:tblGrid>
      <w:tr w:rsidR="003E48F9" w:rsidRPr="002C1949" w:rsidTr="00A1613D">
        <w:trPr>
          <w:cnfStyle w:val="100000000000"/>
        </w:trPr>
        <w:tc>
          <w:tcPr>
            <w:cnfStyle w:val="001000000000"/>
            <w:tcW w:w="3954" w:type="dxa"/>
            <w:tcBorders>
              <w:top w:val="nil"/>
              <w:left w:val="nil"/>
            </w:tcBorders>
          </w:tcPr>
          <w:p w:rsidR="003E48F9" w:rsidRPr="002C1949" w:rsidRDefault="00677B0D">
            <w:pPr>
              <w:widowControl w:val="0"/>
              <w:spacing w:line="240" w:lineRule="auto"/>
              <w:jc w:val="both"/>
              <w:rPr>
                <w:rFonts w:ascii="Times New Roman" w:eastAsia="Times New Roman" w:hAnsi="Times New Roman"/>
                <w:kern w:val="2"/>
              </w:rPr>
            </w:pPr>
            <w:r w:rsidRPr="002C1949">
              <w:rPr>
                <w:rFonts w:ascii="Times New Roman" w:eastAsia="Times New Roman" w:hAnsi="Times New Roman"/>
                <w:kern w:val="2"/>
              </w:rPr>
              <w:t>Predictor</w:t>
            </w:r>
          </w:p>
        </w:tc>
        <w:tc>
          <w:tcPr>
            <w:tcW w:w="1048" w:type="dxa"/>
            <w:tcBorders>
              <w:top w:val="nil"/>
            </w:tcBorders>
          </w:tcPr>
          <w:p w:rsidR="003E48F9" w:rsidRPr="002C1949" w:rsidRDefault="00677B0D">
            <w:pPr>
              <w:widowControl w:val="0"/>
              <w:spacing w:line="240" w:lineRule="auto"/>
              <w:jc w:val="both"/>
              <w:cnfStyle w:val="100000000000"/>
              <w:rPr>
                <w:rFonts w:ascii="Times New Roman" w:eastAsia="Times New Roman" w:hAnsi="Times New Roman"/>
                <w:kern w:val="2"/>
              </w:rPr>
            </w:pPr>
            <w:r w:rsidRPr="002C1949">
              <w:rPr>
                <w:rFonts w:ascii="Times New Roman" w:eastAsia="Times New Roman" w:hAnsi="Times New Roman"/>
                <w:kern w:val="2"/>
              </w:rPr>
              <w:t>B</w:t>
            </w:r>
          </w:p>
        </w:tc>
        <w:tc>
          <w:tcPr>
            <w:tcW w:w="882" w:type="dxa"/>
            <w:tcBorders>
              <w:top w:val="nil"/>
            </w:tcBorders>
          </w:tcPr>
          <w:p w:rsidR="003E48F9" w:rsidRPr="002C1949" w:rsidRDefault="00677B0D">
            <w:pPr>
              <w:widowControl w:val="0"/>
              <w:spacing w:line="240" w:lineRule="auto"/>
              <w:jc w:val="both"/>
              <w:cnfStyle w:val="100000000000"/>
              <w:rPr>
                <w:rFonts w:ascii="Times New Roman" w:eastAsia="Times New Roman" w:hAnsi="Times New Roman"/>
                <w:kern w:val="2"/>
              </w:rPr>
            </w:pPr>
            <w:r w:rsidRPr="002C1949">
              <w:rPr>
                <w:rFonts w:ascii="Times New Roman" w:eastAsia="Times New Roman" w:hAnsi="Times New Roman"/>
                <w:kern w:val="2"/>
              </w:rPr>
              <w:t>SE</w:t>
            </w:r>
          </w:p>
        </w:tc>
        <w:tc>
          <w:tcPr>
            <w:tcW w:w="2121" w:type="dxa"/>
            <w:tcBorders>
              <w:top w:val="nil"/>
            </w:tcBorders>
          </w:tcPr>
          <w:p w:rsidR="003E48F9" w:rsidRPr="002C1949" w:rsidRDefault="00677B0D">
            <w:pPr>
              <w:widowControl w:val="0"/>
              <w:spacing w:line="240" w:lineRule="auto"/>
              <w:jc w:val="both"/>
              <w:cnfStyle w:val="100000000000"/>
              <w:rPr>
                <w:rFonts w:ascii="Times New Roman" w:eastAsia="Times New Roman" w:hAnsi="Times New Roman"/>
                <w:kern w:val="2"/>
              </w:rPr>
            </w:pPr>
            <w:r w:rsidRPr="002C1949">
              <w:rPr>
                <w:rFonts w:ascii="Times New Roman" w:eastAsia="Times New Roman" w:hAnsi="Times New Roman"/>
                <w:kern w:val="2"/>
              </w:rPr>
              <w:t>Exp(B) (OR)</w:t>
            </w:r>
          </w:p>
        </w:tc>
        <w:tc>
          <w:tcPr>
            <w:tcW w:w="1355" w:type="dxa"/>
            <w:tcBorders>
              <w:top w:val="nil"/>
              <w:right w:val="nil"/>
            </w:tcBorders>
          </w:tcPr>
          <w:p w:rsidR="003E48F9" w:rsidRPr="002C1949" w:rsidRDefault="00677B0D">
            <w:pPr>
              <w:widowControl w:val="0"/>
              <w:spacing w:line="240" w:lineRule="auto"/>
              <w:jc w:val="both"/>
              <w:cnfStyle w:val="100000000000"/>
              <w:rPr>
                <w:rFonts w:ascii="Times New Roman" w:eastAsia="Times New Roman" w:hAnsi="Times New Roman"/>
                <w:kern w:val="2"/>
              </w:rPr>
            </w:pPr>
            <w:r w:rsidRPr="002C1949">
              <w:rPr>
                <w:rFonts w:ascii="Times New Roman" w:eastAsia="Times New Roman" w:hAnsi="Times New Roman"/>
                <w:kern w:val="2"/>
              </w:rPr>
              <w:t>p-value</w:t>
            </w:r>
          </w:p>
        </w:tc>
      </w:tr>
      <w:tr w:rsidR="003E48F9" w:rsidRPr="002C1949" w:rsidTr="00A1613D">
        <w:tc>
          <w:tcPr>
            <w:cnfStyle w:val="001000000000"/>
            <w:tcW w:w="3954" w:type="dxa"/>
            <w:tcBorders>
              <w:left w:val="nil"/>
            </w:tcBorders>
          </w:tcPr>
          <w:p w:rsidR="003E48F9" w:rsidRPr="002C1949" w:rsidRDefault="00677B0D">
            <w:pPr>
              <w:widowControl w:val="0"/>
              <w:spacing w:line="240" w:lineRule="auto"/>
              <w:jc w:val="both"/>
              <w:rPr>
                <w:rFonts w:ascii="Times New Roman" w:eastAsia="Times New Roman" w:hAnsi="Times New Roman"/>
                <w:kern w:val="2"/>
              </w:rPr>
            </w:pPr>
            <w:r w:rsidRPr="002C1949">
              <w:rPr>
                <w:rFonts w:ascii="Times New Roman" w:eastAsia="Times New Roman" w:hAnsi="Times New Roman"/>
                <w:b w:val="0"/>
                <w:kern w:val="2"/>
              </w:rPr>
              <w:t>FO Membership (1 = Yes)</w:t>
            </w:r>
          </w:p>
        </w:tc>
        <w:tc>
          <w:tcPr>
            <w:tcW w:w="1048" w:type="dxa"/>
          </w:tcPr>
          <w:p w:rsidR="003E48F9" w:rsidRPr="002C1949" w:rsidRDefault="00677B0D">
            <w:pPr>
              <w:widowControl w:val="0"/>
              <w:spacing w:line="240" w:lineRule="auto"/>
              <w:jc w:val="both"/>
              <w:cnfStyle w:val="000000000000"/>
              <w:rPr>
                <w:rFonts w:ascii="Times New Roman" w:eastAsia="Times New Roman" w:hAnsi="Times New Roman"/>
                <w:kern w:val="2"/>
              </w:rPr>
            </w:pPr>
            <w:r w:rsidRPr="002C1949">
              <w:rPr>
                <w:rFonts w:ascii="Times New Roman" w:eastAsia="Times New Roman" w:hAnsi="Times New Roman"/>
                <w:kern w:val="2"/>
              </w:rPr>
              <w:t>1.84</w:t>
            </w:r>
          </w:p>
        </w:tc>
        <w:tc>
          <w:tcPr>
            <w:tcW w:w="882" w:type="dxa"/>
          </w:tcPr>
          <w:p w:rsidR="003E48F9" w:rsidRPr="002C1949" w:rsidRDefault="00677B0D">
            <w:pPr>
              <w:widowControl w:val="0"/>
              <w:spacing w:line="240" w:lineRule="auto"/>
              <w:jc w:val="both"/>
              <w:cnfStyle w:val="000000000000"/>
              <w:rPr>
                <w:rFonts w:ascii="Times New Roman" w:eastAsia="Times New Roman" w:hAnsi="Times New Roman"/>
                <w:kern w:val="2"/>
              </w:rPr>
            </w:pPr>
            <w:r w:rsidRPr="002C1949">
              <w:rPr>
                <w:rFonts w:ascii="Times New Roman" w:eastAsia="Times New Roman" w:hAnsi="Times New Roman"/>
                <w:kern w:val="2"/>
              </w:rPr>
              <w:t>0.28</w:t>
            </w:r>
          </w:p>
        </w:tc>
        <w:tc>
          <w:tcPr>
            <w:tcW w:w="2121" w:type="dxa"/>
          </w:tcPr>
          <w:p w:rsidR="003E48F9" w:rsidRPr="002C1949" w:rsidRDefault="00677B0D">
            <w:pPr>
              <w:widowControl w:val="0"/>
              <w:spacing w:line="240" w:lineRule="auto"/>
              <w:jc w:val="both"/>
              <w:cnfStyle w:val="000000000000"/>
              <w:rPr>
                <w:rFonts w:ascii="Times New Roman" w:eastAsia="Times New Roman" w:hAnsi="Times New Roman"/>
                <w:kern w:val="2"/>
              </w:rPr>
            </w:pPr>
            <w:r w:rsidRPr="002C1949">
              <w:rPr>
                <w:rFonts w:ascii="Times New Roman" w:eastAsia="Times New Roman" w:hAnsi="Times New Roman"/>
                <w:kern w:val="2"/>
              </w:rPr>
              <w:t>6.30</w:t>
            </w:r>
          </w:p>
        </w:tc>
        <w:tc>
          <w:tcPr>
            <w:tcW w:w="1355" w:type="dxa"/>
            <w:tcBorders>
              <w:right w:val="nil"/>
            </w:tcBorders>
          </w:tcPr>
          <w:p w:rsidR="003E48F9" w:rsidRPr="002C1949" w:rsidRDefault="00677B0D">
            <w:pPr>
              <w:widowControl w:val="0"/>
              <w:spacing w:line="240" w:lineRule="auto"/>
              <w:jc w:val="both"/>
              <w:cnfStyle w:val="000000000000"/>
              <w:rPr>
                <w:rFonts w:ascii="Times New Roman" w:eastAsia="Times New Roman" w:hAnsi="Times New Roman"/>
                <w:kern w:val="2"/>
              </w:rPr>
            </w:pPr>
            <w:r w:rsidRPr="002C1949">
              <w:rPr>
                <w:rFonts w:ascii="Times New Roman" w:eastAsia="Times New Roman" w:hAnsi="Times New Roman"/>
                <w:kern w:val="2"/>
              </w:rPr>
              <w:t>&lt;0.001</w:t>
            </w:r>
          </w:p>
        </w:tc>
      </w:tr>
      <w:tr w:rsidR="003E48F9" w:rsidRPr="002C1949" w:rsidTr="00A1613D">
        <w:tc>
          <w:tcPr>
            <w:cnfStyle w:val="001000000000"/>
            <w:tcW w:w="3954" w:type="dxa"/>
            <w:tcBorders>
              <w:left w:val="nil"/>
            </w:tcBorders>
          </w:tcPr>
          <w:p w:rsidR="003E48F9" w:rsidRPr="002C1949" w:rsidRDefault="00677B0D">
            <w:pPr>
              <w:widowControl w:val="0"/>
              <w:spacing w:line="240" w:lineRule="auto"/>
              <w:jc w:val="both"/>
              <w:rPr>
                <w:rFonts w:ascii="Times New Roman" w:eastAsia="Times New Roman" w:hAnsi="Times New Roman"/>
                <w:kern w:val="2"/>
              </w:rPr>
            </w:pPr>
            <w:r w:rsidRPr="002C1949">
              <w:rPr>
                <w:rFonts w:ascii="Times New Roman" w:eastAsia="Times New Roman" w:hAnsi="Times New Roman"/>
                <w:b w:val="0"/>
                <w:kern w:val="2"/>
              </w:rPr>
              <w:t>Education (years)</w:t>
            </w:r>
          </w:p>
        </w:tc>
        <w:tc>
          <w:tcPr>
            <w:tcW w:w="1048" w:type="dxa"/>
          </w:tcPr>
          <w:p w:rsidR="003E48F9" w:rsidRPr="002C1949" w:rsidRDefault="00677B0D">
            <w:pPr>
              <w:widowControl w:val="0"/>
              <w:spacing w:line="240" w:lineRule="auto"/>
              <w:jc w:val="both"/>
              <w:cnfStyle w:val="000000000000"/>
              <w:rPr>
                <w:rFonts w:ascii="Times New Roman" w:eastAsia="Times New Roman" w:hAnsi="Times New Roman"/>
                <w:kern w:val="2"/>
              </w:rPr>
            </w:pPr>
            <w:r w:rsidRPr="002C1949">
              <w:rPr>
                <w:rFonts w:ascii="Times New Roman" w:eastAsia="Times New Roman" w:hAnsi="Times New Roman"/>
                <w:kern w:val="2"/>
              </w:rPr>
              <w:t>0.11</w:t>
            </w:r>
          </w:p>
        </w:tc>
        <w:tc>
          <w:tcPr>
            <w:tcW w:w="882" w:type="dxa"/>
          </w:tcPr>
          <w:p w:rsidR="003E48F9" w:rsidRPr="002C1949" w:rsidRDefault="00677B0D">
            <w:pPr>
              <w:widowControl w:val="0"/>
              <w:spacing w:line="240" w:lineRule="auto"/>
              <w:jc w:val="both"/>
              <w:cnfStyle w:val="000000000000"/>
              <w:rPr>
                <w:rFonts w:ascii="Times New Roman" w:eastAsia="Times New Roman" w:hAnsi="Times New Roman"/>
                <w:kern w:val="2"/>
              </w:rPr>
            </w:pPr>
            <w:r w:rsidRPr="002C1949">
              <w:rPr>
                <w:rFonts w:ascii="Times New Roman" w:eastAsia="Times New Roman" w:hAnsi="Times New Roman"/>
                <w:kern w:val="2"/>
              </w:rPr>
              <w:t>0.04</w:t>
            </w:r>
          </w:p>
        </w:tc>
        <w:tc>
          <w:tcPr>
            <w:tcW w:w="2121" w:type="dxa"/>
          </w:tcPr>
          <w:p w:rsidR="003E48F9" w:rsidRPr="002C1949" w:rsidRDefault="00677B0D">
            <w:pPr>
              <w:widowControl w:val="0"/>
              <w:spacing w:line="240" w:lineRule="auto"/>
              <w:jc w:val="both"/>
              <w:cnfStyle w:val="000000000000"/>
              <w:rPr>
                <w:rFonts w:ascii="Times New Roman" w:eastAsia="Times New Roman" w:hAnsi="Times New Roman"/>
                <w:kern w:val="2"/>
              </w:rPr>
            </w:pPr>
            <w:r w:rsidRPr="002C1949">
              <w:rPr>
                <w:rFonts w:ascii="Times New Roman" w:eastAsia="Times New Roman" w:hAnsi="Times New Roman"/>
                <w:kern w:val="2"/>
              </w:rPr>
              <w:t>1.12</w:t>
            </w:r>
          </w:p>
        </w:tc>
        <w:tc>
          <w:tcPr>
            <w:tcW w:w="1355" w:type="dxa"/>
            <w:tcBorders>
              <w:right w:val="nil"/>
            </w:tcBorders>
          </w:tcPr>
          <w:p w:rsidR="003E48F9" w:rsidRPr="002C1949" w:rsidRDefault="00677B0D">
            <w:pPr>
              <w:widowControl w:val="0"/>
              <w:spacing w:line="240" w:lineRule="auto"/>
              <w:jc w:val="both"/>
              <w:cnfStyle w:val="000000000000"/>
              <w:rPr>
                <w:rFonts w:ascii="Times New Roman" w:eastAsia="Times New Roman" w:hAnsi="Times New Roman"/>
                <w:kern w:val="2"/>
              </w:rPr>
            </w:pPr>
            <w:r w:rsidRPr="002C1949">
              <w:rPr>
                <w:rFonts w:ascii="Times New Roman" w:eastAsia="Times New Roman" w:hAnsi="Times New Roman"/>
                <w:kern w:val="2"/>
              </w:rPr>
              <w:t>0.008</w:t>
            </w:r>
          </w:p>
        </w:tc>
      </w:tr>
      <w:tr w:rsidR="003E48F9" w:rsidRPr="002C1949" w:rsidTr="00A1613D">
        <w:tc>
          <w:tcPr>
            <w:cnfStyle w:val="001000000000"/>
            <w:tcW w:w="3954" w:type="dxa"/>
            <w:tcBorders>
              <w:left w:val="nil"/>
            </w:tcBorders>
          </w:tcPr>
          <w:p w:rsidR="003E48F9" w:rsidRPr="002C1949" w:rsidRDefault="00677B0D">
            <w:pPr>
              <w:widowControl w:val="0"/>
              <w:spacing w:line="240" w:lineRule="auto"/>
              <w:jc w:val="both"/>
              <w:rPr>
                <w:rFonts w:ascii="Times New Roman" w:eastAsia="Times New Roman" w:hAnsi="Times New Roman"/>
                <w:kern w:val="2"/>
              </w:rPr>
            </w:pPr>
            <w:r w:rsidRPr="002C1949">
              <w:rPr>
                <w:rFonts w:ascii="Times New Roman" w:eastAsia="Times New Roman" w:hAnsi="Times New Roman"/>
                <w:b w:val="0"/>
                <w:kern w:val="2"/>
              </w:rPr>
              <w:t>Farm Size (ha)</w:t>
            </w:r>
          </w:p>
        </w:tc>
        <w:tc>
          <w:tcPr>
            <w:tcW w:w="1048" w:type="dxa"/>
          </w:tcPr>
          <w:p w:rsidR="003E48F9" w:rsidRPr="002C1949" w:rsidRDefault="00677B0D">
            <w:pPr>
              <w:widowControl w:val="0"/>
              <w:spacing w:line="240" w:lineRule="auto"/>
              <w:jc w:val="both"/>
              <w:cnfStyle w:val="000000000000"/>
              <w:rPr>
                <w:rFonts w:ascii="Times New Roman" w:eastAsia="Times New Roman" w:hAnsi="Times New Roman"/>
                <w:kern w:val="2"/>
              </w:rPr>
            </w:pPr>
            <w:r w:rsidRPr="002C1949">
              <w:rPr>
                <w:rFonts w:ascii="Times New Roman" w:eastAsia="Times New Roman" w:hAnsi="Times New Roman"/>
                <w:kern w:val="2"/>
              </w:rPr>
              <w:t>0.07</w:t>
            </w:r>
          </w:p>
        </w:tc>
        <w:tc>
          <w:tcPr>
            <w:tcW w:w="882" w:type="dxa"/>
          </w:tcPr>
          <w:p w:rsidR="003E48F9" w:rsidRPr="002C1949" w:rsidRDefault="00677B0D">
            <w:pPr>
              <w:widowControl w:val="0"/>
              <w:spacing w:line="240" w:lineRule="auto"/>
              <w:jc w:val="both"/>
              <w:cnfStyle w:val="000000000000"/>
              <w:rPr>
                <w:rFonts w:ascii="Times New Roman" w:eastAsia="Times New Roman" w:hAnsi="Times New Roman"/>
                <w:kern w:val="2"/>
              </w:rPr>
            </w:pPr>
            <w:r w:rsidRPr="002C1949">
              <w:rPr>
                <w:rFonts w:ascii="Times New Roman" w:eastAsia="Times New Roman" w:hAnsi="Times New Roman"/>
                <w:kern w:val="2"/>
              </w:rPr>
              <w:t>0.03</w:t>
            </w:r>
          </w:p>
        </w:tc>
        <w:tc>
          <w:tcPr>
            <w:tcW w:w="2121" w:type="dxa"/>
          </w:tcPr>
          <w:p w:rsidR="003E48F9" w:rsidRPr="002C1949" w:rsidRDefault="00677B0D">
            <w:pPr>
              <w:widowControl w:val="0"/>
              <w:spacing w:line="240" w:lineRule="auto"/>
              <w:jc w:val="both"/>
              <w:cnfStyle w:val="000000000000"/>
              <w:rPr>
                <w:rFonts w:ascii="Times New Roman" w:eastAsia="Times New Roman" w:hAnsi="Times New Roman"/>
                <w:kern w:val="2"/>
              </w:rPr>
            </w:pPr>
            <w:r w:rsidRPr="002C1949">
              <w:rPr>
                <w:rFonts w:ascii="Times New Roman" w:eastAsia="Times New Roman" w:hAnsi="Times New Roman"/>
                <w:kern w:val="2"/>
              </w:rPr>
              <w:t>1.07</w:t>
            </w:r>
          </w:p>
        </w:tc>
        <w:tc>
          <w:tcPr>
            <w:tcW w:w="1355" w:type="dxa"/>
            <w:tcBorders>
              <w:right w:val="nil"/>
            </w:tcBorders>
          </w:tcPr>
          <w:p w:rsidR="003E48F9" w:rsidRPr="002C1949" w:rsidRDefault="00677B0D">
            <w:pPr>
              <w:widowControl w:val="0"/>
              <w:spacing w:line="240" w:lineRule="auto"/>
              <w:jc w:val="both"/>
              <w:cnfStyle w:val="000000000000"/>
              <w:rPr>
                <w:rFonts w:ascii="Times New Roman" w:eastAsia="Times New Roman" w:hAnsi="Times New Roman"/>
                <w:kern w:val="2"/>
              </w:rPr>
            </w:pPr>
            <w:r w:rsidRPr="002C1949">
              <w:rPr>
                <w:rFonts w:ascii="Times New Roman" w:eastAsia="Times New Roman" w:hAnsi="Times New Roman"/>
                <w:kern w:val="2"/>
              </w:rPr>
              <w:t>0.089</w:t>
            </w:r>
          </w:p>
        </w:tc>
      </w:tr>
      <w:tr w:rsidR="003E48F9" w:rsidRPr="002C1949" w:rsidTr="00A1613D">
        <w:tc>
          <w:tcPr>
            <w:cnfStyle w:val="001000000000"/>
            <w:tcW w:w="3954" w:type="dxa"/>
            <w:tcBorders>
              <w:left w:val="nil"/>
            </w:tcBorders>
          </w:tcPr>
          <w:p w:rsidR="003E48F9" w:rsidRPr="002C1949" w:rsidRDefault="00677B0D">
            <w:pPr>
              <w:widowControl w:val="0"/>
              <w:spacing w:line="240" w:lineRule="auto"/>
              <w:jc w:val="both"/>
              <w:rPr>
                <w:rFonts w:ascii="Times New Roman" w:eastAsia="Times New Roman" w:hAnsi="Times New Roman"/>
                <w:kern w:val="2"/>
              </w:rPr>
            </w:pPr>
            <w:r w:rsidRPr="002C1949">
              <w:rPr>
                <w:rFonts w:ascii="Times New Roman" w:eastAsia="Times New Roman" w:hAnsi="Times New Roman"/>
                <w:b w:val="0"/>
                <w:kern w:val="2"/>
              </w:rPr>
              <w:t>Age (years)</w:t>
            </w:r>
          </w:p>
        </w:tc>
        <w:tc>
          <w:tcPr>
            <w:tcW w:w="1048" w:type="dxa"/>
          </w:tcPr>
          <w:p w:rsidR="003E48F9" w:rsidRPr="002C1949" w:rsidRDefault="00677B0D">
            <w:pPr>
              <w:widowControl w:val="0"/>
              <w:spacing w:line="240" w:lineRule="auto"/>
              <w:jc w:val="both"/>
              <w:cnfStyle w:val="000000000000"/>
              <w:rPr>
                <w:rFonts w:ascii="Times New Roman" w:eastAsia="Times New Roman" w:hAnsi="Times New Roman"/>
                <w:kern w:val="2"/>
              </w:rPr>
            </w:pPr>
            <w:r w:rsidRPr="002C1949">
              <w:rPr>
                <w:rFonts w:ascii="Times New Roman" w:eastAsia="Times New Roman" w:hAnsi="Times New Roman"/>
                <w:kern w:val="2"/>
              </w:rPr>
              <w:t>–0.01</w:t>
            </w:r>
          </w:p>
        </w:tc>
        <w:tc>
          <w:tcPr>
            <w:tcW w:w="882" w:type="dxa"/>
          </w:tcPr>
          <w:p w:rsidR="003E48F9" w:rsidRPr="002C1949" w:rsidRDefault="00677B0D">
            <w:pPr>
              <w:widowControl w:val="0"/>
              <w:spacing w:line="240" w:lineRule="auto"/>
              <w:jc w:val="both"/>
              <w:cnfStyle w:val="000000000000"/>
              <w:rPr>
                <w:rFonts w:ascii="Times New Roman" w:eastAsia="Times New Roman" w:hAnsi="Times New Roman"/>
                <w:kern w:val="2"/>
              </w:rPr>
            </w:pPr>
            <w:r w:rsidRPr="002C1949">
              <w:rPr>
                <w:rFonts w:ascii="Times New Roman" w:eastAsia="Times New Roman" w:hAnsi="Times New Roman"/>
                <w:kern w:val="2"/>
              </w:rPr>
              <w:t>0.01</w:t>
            </w:r>
          </w:p>
        </w:tc>
        <w:tc>
          <w:tcPr>
            <w:tcW w:w="2121" w:type="dxa"/>
          </w:tcPr>
          <w:p w:rsidR="003E48F9" w:rsidRPr="002C1949" w:rsidRDefault="00677B0D">
            <w:pPr>
              <w:widowControl w:val="0"/>
              <w:spacing w:line="240" w:lineRule="auto"/>
              <w:jc w:val="both"/>
              <w:cnfStyle w:val="000000000000"/>
              <w:rPr>
                <w:rFonts w:ascii="Times New Roman" w:eastAsia="Times New Roman" w:hAnsi="Times New Roman"/>
                <w:kern w:val="2"/>
              </w:rPr>
            </w:pPr>
            <w:r w:rsidRPr="002C1949">
              <w:rPr>
                <w:rFonts w:ascii="Times New Roman" w:eastAsia="Times New Roman" w:hAnsi="Times New Roman"/>
                <w:kern w:val="2"/>
              </w:rPr>
              <w:t>0.99</w:t>
            </w:r>
          </w:p>
        </w:tc>
        <w:tc>
          <w:tcPr>
            <w:tcW w:w="1355" w:type="dxa"/>
            <w:tcBorders>
              <w:right w:val="nil"/>
            </w:tcBorders>
          </w:tcPr>
          <w:p w:rsidR="003E48F9" w:rsidRPr="002C1949" w:rsidRDefault="00677B0D">
            <w:pPr>
              <w:widowControl w:val="0"/>
              <w:spacing w:line="240" w:lineRule="auto"/>
              <w:jc w:val="both"/>
              <w:cnfStyle w:val="000000000000"/>
              <w:rPr>
                <w:rFonts w:ascii="Times New Roman" w:eastAsia="Times New Roman" w:hAnsi="Times New Roman"/>
                <w:kern w:val="2"/>
              </w:rPr>
            </w:pPr>
            <w:r w:rsidRPr="002C1949">
              <w:rPr>
                <w:rFonts w:ascii="Times New Roman" w:eastAsia="Times New Roman" w:hAnsi="Times New Roman"/>
                <w:kern w:val="2"/>
              </w:rPr>
              <w:t>0.215</w:t>
            </w:r>
          </w:p>
        </w:tc>
      </w:tr>
      <w:tr w:rsidR="003E48F9" w:rsidRPr="002C1949" w:rsidTr="00A1613D">
        <w:tc>
          <w:tcPr>
            <w:cnfStyle w:val="001000000000"/>
            <w:tcW w:w="3954" w:type="dxa"/>
            <w:tcBorders>
              <w:left w:val="nil"/>
            </w:tcBorders>
          </w:tcPr>
          <w:p w:rsidR="003E48F9" w:rsidRPr="002C1949" w:rsidRDefault="00677B0D">
            <w:pPr>
              <w:widowControl w:val="0"/>
              <w:spacing w:line="240" w:lineRule="auto"/>
              <w:jc w:val="both"/>
              <w:rPr>
                <w:rFonts w:ascii="Times New Roman" w:eastAsia="Times New Roman" w:hAnsi="Times New Roman"/>
                <w:kern w:val="2"/>
              </w:rPr>
            </w:pPr>
            <w:r w:rsidRPr="002C1949">
              <w:rPr>
                <w:rFonts w:ascii="Times New Roman" w:eastAsia="Times New Roman" w:hAnsi="Times New Roman"/>
                <w:b w:val="0"/>
                <w:kern w:val="2"/>
              </w:rPr>
              <w:t>Gender (1 = Male, 0=f</w:t>
            </w:r>
          </w:p>
          <w:p w:rsidR="003E48F9" w:rsidRPr="002C1949" w:rsidRDefault="00677B0D">
            <w:pPr>
              <w:widowControl w:val="0"/>
              <w:spacing w:line="240" w:lineRule="auto"/>
              <w:jc w:val="both"/>
              <w:rPr>
                <w:rFonts w:ascii="Times New Roman" w:eastAsia="Times New Roman" w:hAnsi="Times New Roman"/>
                <w:kern w:val="2"/>
              </w:rPr>
            </w:pPr>
            <w:r w:rsidRPr="002C1949">
              <w:rPr>
                <w:rFonts w:ascii="Times New Roman" w:eastAsia="Times New Roman" w:hAnsi="Times New Roman"/>
                <w:b w:val="0"/>
                <w:kern w:val="2"/>
              </w:rPr>
              <w:lastRenderedPageBreak/>
              <w:t>Female)</w:t>
            </w:r>
          </w:p>
        </w:tc>
        <w:tc>
          <w:tcPr>
            <w:tcW w:w="1048" w:type="dxa"/>
          </w:tcPr>
          <w:p w:rsidR="003E48F9" w:rsidRPr="002C1949" w:rsidRDefault="00677B0D">
            <w:pPr>
              <w:widowControl w:val="0"/>
              <w:spacing w:line="240" w:lineRule="auto"/>
              <w:jc w:val="both"/>
              <w:cnfStyle w:val="000000000000"/>
              <w:rPr>
                <w:rFonts w:ascii="Times New Roman" w:eastAsia="Times New Roman" w:hAnsi="Times New Roman"/>
                <w:kern w:val="2"/>
              </w:rPr>
            </w:pPr>
            <w:r w:rsidRPr="002C1949">
              <w:rPr>
                <w:rFonts w:ascii="Times New Roman" w:eastAsia="Times New Roman" w:hAnsi="Times New Roman"/>
                <w:kern w:val="2"/>
              </w:rPr>
              <w:lastRenderedPageBreak/>
              <w:t>0.15</w:t>
            </w:r>
          </w:p>
        </w:tc>
        <w:tc>
          <w:tcPr>
            <w:tcW w:w="882" w:type="dxa"/>
          </w:tcPr>
          <w:p w:rsidR="003E48F9" w:rsidRPr="002C1949" w:rsidRDefault="00677B0D">
            <w:pPr>
              <w:widowControl w:val="0"/>
              <w:spacing w:line="240" w:lineRule="auto"/>
              <w:jc w:val="both"/>
              <w:cnfStyle w:val="000000000000"/>
              <w:rPr>
                <w:rFonts w:ascii="Times New Roman" w:eastAsia="Times New Roman" w:hAnsi="Times New Roman"/>
                <w:kern w:val="2"/>
              </w:rPr>
            </w:pPr>
            <w:r w:rsidRPr="002C1949">
              <w:rPr>
                <w:rFonts w:ascii="Times New Roman" w:eastAsia="Times New Roman" w:hAnsi="Times New Roman"/>
                <w:kern w:val="2"/>
              </w:rPr>
              <w:t>0.22</w:t>
            </w:r>
          </w:p>
        </w:tc>
        <w:tc>
          <w:tcPr>
            <w:tcW w:w="2121" w:type="dxa"/>
          </w:tcPr>
          <w:p w:rsidR="003E48F9" w:rsidRPr="002C1949" w:rsidRDefault="00677B0D">
            <w:pPr>
              <w:widowControl w:val="0"/>
              <w:spacing w:line="240" w:lineRule="auto"/>
              <w:jc w:val="both"/>
              <w:cnfStyle w:val="000000000000"/>
              <w:rPr>
                <w:rFonts w:ascii="Times New Roman" w:eastAsia="Times New Roman" w:hAnsi="Times New Roman"/>
                <w:kern w:val="2"/>
              </w:rPr>
            </w:pPr>
            <w:r w:rsidRPr="002C1949">
              <w:rPr>
                <w:rFonts w:ascii="Times New Roman" w:eastAsia="Times New Roman" w:hAnsi="Times New Roman"/>
                <w:kern w:val="2"/>
              </w:rPr>
              <w:t>1.16</w:t>
            </w:r>
          </w:p>
        </w:tc>
        <w:tc>
          <w:tcPr>
            <w:tcW w:w="1355" w:type="dxa"/>
            <w:tcBorders>
              <w:right w:val="nil"/>
            </w:tcBorders>
          </w:tcPr>
          <w:p w:rsidR="003E48F9" w:rsidRPr="002C1949" w:rsidRDefault="00677B0D">
            <w:pPr>
              <w:widowControl w:val="0"/>
              <w:spacing w:line="240" w:lineRule="auto"/>
              <w:jc w:val="both"/>
              <w:cnfStyle w:val="000000000000"/>
              <w:rPr>
                <w:rFonts w:ascii="Times New Roman" w:eastAsia="Times New Roman" w:hAnsi="Times New Roman"/>
                <w:kern w:val="2"/>
              </w:rPr>
            </w:pPr>
            <w:r w:rsidRPr="002C1949">
              <w:rPr>
                <w:rFonts w:ascii="Times New Roman" w:eastAsia="Times New Roman" w:hAnsi="Times New Roman"/>
                <w:kern w:val="2"/>
              </w:rPr>
              <w:t>0.495</w:t>
            </w:r>
          </w:p>
        </w:tc>
      </w:tr>
      <w:tr w:rsidR="003E48F9" w:rsidRPr="002C1949" w:rsidTr="00A1613D">
        <w:tc>
          <w:tcPr>
            <w:cnfStyle w:val="001000000000"/>
            <w:tcW w:w="3954" w:type="dxa"/>
            <w:tcBorders>
              <w:left w:val="nil"/>
            </w:tcBorders>
          </w:tcPr>
          <w:p w:rsidR="003E48F9" w:rsidRPr="002C1949" w:rsidRDefault="00677B0D">
            <w:pPr>
              <w:widowControl w:val="0"/>
              <w:spacing w:line="240" w:lineRule="auto"/>
              <w:jc w:val="both"/>
              <w:rPr>
                <w:rFonts w:ascii="Times New Roman" w:eastAsia="Times New Roman" w:hAnsi="Times New Roman"/>
                <w:kern w:val="2"/>
              </w:rPr>
            </w:pPr>
            <w:r w:rsidRPr="002C1949">
              <w:rPr>
                <w:rFonts w:ascii="Times New Roman" w:eastAsia="Times New Roman" w:hAnsi="Times New Roman"/>
                <w:b w:val="0"/>
                <w:kern w:val="2"/>
              </w:rPr>
              <w:lastRenderedPageBreak/>
              <w:t>Constant</w:t>
            </w:r>
          </w:p>
        </w:tc>
        <w:tc>
          <w:tcPr>
            <w:tcW w:w="1048" w:type="dxa"/>
          </w:tcPr>
          <w:p w:rsidR="003E48F9" w:rsidRPr="002C1949" w:rsidRDefault="00677B0D">
            <w:pPr>
              <w:widowControl w:val="0"/>
              <w:spacing w:line="240" w:lineRule="auto"/>
              <w:jc w:val="both"/>
              <w:cnfStyle w:val="000000000000"/>
              <w:rPr>
                <w:rFonts w:ascii="Times New Roman" w:eastAsia="Times New Roman" w:hAnsi="Times New Roman"/>
                <w:kern w:val="2"/>
              </w:rPr>
            </w:pPr>
            <w:r w:rsidRPr="002C1949">
              <w:rPr>
                <w:rFonts w:ascii="Times New Roman" w:eastAsia="Times New Roman" w:hAnsi="Times New Roman"/>
                <w:kern w:val="2"/>
              </w:rPr>
              <w:t>–2.10</w:t>
            </w:r>
          </w:p>
        </w:tc>
        <w:tc>
          <w:tcPr>
            <w:tcW w:w="882" w:type="dxa"/>
          </w:tcPr>
          <w:p w:rsidR="003E48F9" w:rsidRPr="002C1949" w:rsidRDefault="00677B0D">
            <w:pPr>
              <w:widowControl w:val="0"/>
              <w:spacing w:line="240" w:lineRule="auto"/>
              <w:jc w:val="both"/>
              <w:cnfStyle w:val="000000000000"/>
              <w:rPr>
                <w:rFonts w:ascii="Times New Roman" w:eastAsia="Times New Roman" w:hAnsi="Times New Roman"/>
                <w:kern w:val="2"/>
              </w:rPr>
            </w:pPr>
            <w:r w:rsidRPr="002C1949">
              <w:rPr>
                <w:rFonts w:ascii="Times New Roman" w:eastAsia="Times New Roman" w:hAnsi="Times New Roman"/>
                <w:kern w:val="2"/>
              </w:rPr>
              <w:t>0.52</w:t>
            </w:r>
          </w:p>
        </w:tc>
        <w:tc>
          <w:tcPr>
            <w:tcW w:w="2121" w:type="dxa"/>
          </w:tcPr>
          <w:p w:rsidR="003E48F9" w:rsidRPr="002C1949" w:rsidRDefault="00677B0D">
            <w:pPr>
              <w:widowControl w:val="0"/>
              <w:spacing w:line="240" w:lineRule="auto"/>
              <w:jc w:val="both"/>
              <w:cnfStyle w:val="000000000000"/>
              <w:rPr>
                <w:rFonts w:ascii="Times New Roman" w:eastAsia="Times New Roman" w:hAnsi="Times New Roman"/>
                <w:kern w:val="2"/>
              </w:rPr>
            </w:pPr>
            <w:r w:rsidRPr="002C1949">
              <w:rPr>
                <w:rFonts w:ascii="Times New Roman" w:eastAsia="Times New Roman" w:hAnsi="Times New Roman"/>
                <w:kern w:val="2"/>
              </w:rPr>
              <w:t>0.12</w:t>
            </w:r>
          </w:p>
        </w:tc>
        <w:tc>
          <w:tcPr>
            <w:tcW w:w="1355" w:type="dxa"/>
            <w:tcBorders>
              <w:right w:val="nil"/>
            </w:tcBorders>
          </w:tcPr>
          <w:p w:rsidR="003E48F9" w:rsidRPr="002C1949" w:rsidRDefault="00677B0D">
            <w:pPr>
              <w:widowControl w:val="0"/>
              <w:spacing w:line="240" w:lineRule="auto"/>
              <w:jc w:val="both"/>
              <w:cnfStyle w:val="000000000000"/>
              <w:rPr>
                <w:rFonts w:ascii="Times New Roman" w:eastAsia="Times New Roman" w:hAnsi="Times New Roman"/>
                <w:kern w:val="2"/>
              </w:rPr>
            </w:pPr>
            <w:r w:rsidRPr="002C1949">
              <w:rPr>
                <w:rFonts w:ascii="Times New Roman" w:eastAsia="Times New Roman" w:hAnsi="Times New Roman"/>
                <w:kern w:val="2"/>
              </w:rPr>
              <w:t>&lt;0.001</w:t>
            </w:r>
          </w:p>
        </w:tc>
      </w:tr>
    </w:tbl>
    <w:p w:rsidR="003E48F9" w:rsidRPr="002C1949" w:rsidRDefault="00677B0D">
      <w:pPr>
        <w:widowControl w:val="0"/>
        <w:spacing w:line="360" w:lineRule="auto"/>
        <w:jc w:val="both"/>
        <w:rPr>
          <w:rFonts w:ascii="Times New Roman" w:eastAsia="Times New Roman" w:hAnsi="Times New Roman"/>
          <w:kern w:val="2"/>
        </w:rPr>
      </w:pPr>
      <w:r w:rsidRPr="002C1949">
        <w:rPr>
          <w:rFonts w:ascii="Times New Roman" w:eastAsia="Times New Roman" w:hAnsi="Times New Roman"/>
          <w:kern w:val="2"/>
        </w:rPr>
        <w:t>Model Fit: Nagelkerke R² = 0.42; Model χ²(5) = 116.45, p &lt; 0.001</w:t>
      </w:r>
    </w:p>
    <w:p w:rsidR="003E48F9" w:rsidRPr="002C1949" w:rsidRDefault="00677B0D">
      <w:pPr>
        <w:widowControl w:val="0"/>
        <w:spacing w:line="360" w:lineRule="auto"/>
        <w:jc w:val="both"/>
        <w:rPr>
          <w:rFonts w:ascii="Times New Roman" w:eastAsia="Times New Roman" w:hAnsi="Times New Roman"/>
          <w:kern w:val="2"/>
        </w:rPr>
      </w:pPr>
      <w:r w:rsidRPr="002C1949">
        <w:rPr>
          <w:rFonts w:ascii="Times New Roman" w:eastAsia="Times New Roman" w:hAnsi="Times New Roman"/>
          <w:b/>
          <w:bCs/>
          <w:kern w:val="2"/>
        </w:rPr>
        <w:t xml:space="preserve">Source: </w:t>
      </w:r>
      <w:r w:rsidRPr="002C1949">
        <w:rPr>
          <w:rFonts w:ascii="Times New Roman" w:eastAsia="Times New Roman" w:hAnsi="Times New Roman"/>
          <w:b/>
          <w:bCs/>
          <w:kern w:val="2"/>
          <w:lang w:val="en-GB"/>
        </w:rPr>
        <w:t xml:space="preserve"> The author</w:t>
      </w:r>
      <w:r w:rsidRPr="002C1949">
        <w:rPr>
          <w:rFonts w:ascii="Times New Roman" w:eastAsia="Times New Roman" w:hAnsi="Times New Roman"/>
          <w:b/>
          <w:bCs/>
          <w:kern w:val="2"/>
        </w:rPr>
        <w:t>, 2025</w:t>
      </w:r>
    </w:p>
    <w:p w:rsidR="003E48F9" w:rsidRPr="002C1949" w:rsidRDefault="00677B0D">
      <w:pPr>
        <w:widowControl w:val="0"/>
        <w:spacing w:line="360" w:lineRule="auto"/>
        <w:jc w:val="both"/>
        <w:rPr>
          <w:rFonts w:ascii="Times New Roman" w:eastAsia="Times New Roman" w:hAnsi="Times New Roman"/>
          <w:kern w:val="2"/>
        </w:rPr>
      </w:pPr>
      <w:r w:rsidRPr="002C1949">
        <w:rPr>
          <w:rFonts w:ascii="Times New Roman" w:eastAsia="Times New Roman" w:hAnsi="Times New Roman"/>
          <w:kern w:val="2"/>
        </w:rPr>
        <w:t>A binary logistic regression was conducted to examine the likelihood of a farmer accessing Agricultural Extension Services (AES) based on FO membership, education, farm size, age, and gender. The model was statistically significant, χ²(5) = 116.45, p &lt; .001, indicating that the set of predictors reliably distinguished between farmers with and without AES access. The Nagelkerke R² was 0.42, suggesting that approximately 42% of the variance in AES access could be explained by the model.</w:t>
      </w:r>
    </w:p>
    <w:p w:rsidR="003E48F9" w:rsidRPr="002C1949" w:rsidRDefault="00677B0D">
      <w:pPr>
        <w:widowControl w:val="0"/>
        <w:spacing w:line="360" w:lineRule="auto"/>
        <w:jc w:val="both"/>
        <w:rPr>
          <w:rFonts w:ascii="Times New Roman" w:eastAsia="Times New Roman" w:hAnsi="Times New Roman"/>
          <w:kern w:val="2"/>
        </w:rPr>
      </w:pPr>
      <w:r w:rsidRPr="002C1949">
        <w:rPr>
          <w:rFonts w:ascii="Times New Roman" w:eastAsia="Times New Roman" w:hAnsi="Times New Roman"/>
          <w:kern w:val="2"/>
        </w:rPr>
        <w:t>FO membership emerged as the strongest predictor of AES access. Farmers who were members of Farmer Organisations were significantly more likely to access extension services than non-members (B = 1.84, SE = 0.28, OR = 6.30, p &lt; .001). This means FO members were over six times more likely to benefit from AES, reinforcing the institutional role of farmer groups in facilitating linkages to agricultural support systems.</w:t>
      </w:r>
    </w:p>
    <w:p w:rsidR="003E48F9" w:rsidRPr="002C1949" w:rsidRDefault="00677B0D">
      <w:pPr>
        <w:widowControl w:val="0"/>
        <w:spacing w:line="360" w:lineRule="auto"/>
        <w:jc w:val="both"/>
        <w:rPr>
          <w:rFonts w:ascii="Times New Roman" w:eastAsia="Times New Roman" w:hAnsi="Times New Roman"/>
          <w:kern w:val="2"/>
        </w:rPr>
      </w:pPr>
      <w:r w:rsidRPr="002C1949">
        <w:rPr>
          <w:rFonts w:ascii="Times New Roman" w:eastAsia="Times New Roman" w:hAnsi="Times New Roman"/>
          <w:kern w:val="2"/>
        </w:rPr>
        <w:t>Years of education also had a statistically significant positive effect (B = 0.11, SE = 0.04, OR = 1.12, p = .008), indicating that each additional year of formal education increased the odds of accessing AES by approximately 12%. This result may reflect greater capacity among more educated farmers to seek information, navigate institutional structures, and communicate with extension providers.</w:t>
      </w:r>
    </w:p>
    <w:p w:rsidR="003E48F9" w:rsidRPr="002C1949" w:rsidRDefault="00677B0D">
      <w:pPr>
        <w:widowControl w:val="0"/>
        <w:spacing w:line="360" w:lineRule="auto"/>
        <w:jc w:val="both"/>
        <w:rPr>
          <w:rFonts w:ascii="Times New Roman" w:eastAsia="Times New Roman" w:hAnsi="Times New Roman"/>
          <w:kern w:val="2"/>
        </w:rPr>
      </w:pPr>
      <w:r w:rsidRPr="002C1949">
        <w:rPr>
          <w:rFonts w:ascii="Times New Roman" w:eastAsia="Times New Roman" w:hAnsi="Times New Roman"/>
          <w:kern w:val="2"/>
        </w:rPr>
        <w:t>Farm size had a marginal effect (B = 0.07, SE = 0.03, OR = 1.07, p = .089), suggesting that larger-scale farmers may have slightly better access to services, although this relationship did not reach conventional levels of statistical significance. This finding could imply preferential outreach by extension officers to more commercially oriented or land-endowed producers.</w:t>
      </w:r>
    </w:p>
    <w:p w:rsidR="003E48F9" w:rsidRPr="002C1949" w:rsidRDefault="00677B0D">
      <w:pPr>
        <w:widowControl w:val="0"/>
        <w:spacing w:line="360" w:lineRule="auto"/>
        <w:jc w:val="both"/>
        <w:rPr>
          <w:rFonts w:ascii="Times New Roman" w:eastAsia="Times New Roman" w:hAnsi="Times New Roman"/>
          <w:kern w:val="2"/>
        </w:rPr>
      </w:pPr>
      <w:r w:rsidRPr="002C1949">
        <w:rPr>
          <w:rFonts w:ascii="Times New Roman" w:eastAsia="Times New Roman" w:hAnsi="Times New Roman"/>
          <w:kern w:val="2"/>
        </w:rPr>
        <w:t>In contrast, age and gender were not significant predictors of AES access. The coefficient for age was negative and non-significant (B = –0.01, p = .215), suggesting that older farmers were no more or less likely to access services than their younger counterparts. Similarly, gender (coded as 1 = Male) had no significant effect (B = 0.15, p = .495), implying that, in this sample, male and female farmers had roughly equal chances of receiving extension support, although this may warrant further gender-disaggregated analysis.</w:t>
      </w:r>
    </w:p>
    <w:p w:rsidR="003E48F9" w:rsidRPr="002C1949" w:rsidRDefault="00677B0D">
      <w:pPr>
        <w:widowControl w:val="0"/>
        <w:spacing w:line="360" w:lineRule="auto"/>
        <w:jc w:val="both"/>
        <w:rPr>
          <w:rFonts w:ascii="Times New Roman" w:eastAsia="Times New Roman" w:hAnsi="Times New Roman"/>
          <w:kern w:val="2"/>
        </w:rPr>
      </w:pPr>
      <w:r w:rsidRPr="002C1949">
        <w:rPr>
          <w:rFonts w:ascii="Times New Roman" w:eastAsia="Times New Roman" w:hAnsi="Times New Roman"/>
          <w:kern w:val="2"/>
          <w:lang w:val="en-GB"/>
        </w:rPr>
        <w:t>T</w:t>
      </w:r>
      <w:r w:rsidRPr="002C1949">
        <w:rPr>
          <w:rFonts w:ascii="Times New Roman" w:eastAsia="Times New Roman" w:hAnsi="Times New Roman"/>
          <w:kern w:val="2"/>
        </w:rPr>
        <w:t xml:space="preserve">he results support the hypothesis that institutional affiliation (FO membership) and human capital (education) are key enablers of extension </w:t>
      </w:r>
      <w:r w:rsidR="00F97849" w:rsidRPr="00F97849">
        <w:rPr>
          <w:rFonts w:ascii="Times New Roman" w:eastAsia="Times New Roman" w:hAnsi="Times New Roman"/>
          <w:b/>
          <w:color w:val="FF0000"/>
          <w:kern w:val="2"/>
          <w:u w:val="single"/>
        </w:rPr>
        <w:t>service</w:t>
      </w:r>
      <w:r w:rsidR="00F97849">
        <w:rPr>
          <w:rFonts w:ascii="Times New Roman" w:eastAsia="Times New Roman" w:hAnsi="Times New Roman"/>
          <w:kern w:val="2"/>
        </w:rPr>
        <w:t xml:space="preserve"> </w:t>
      </w:r>
      <w:r w:rsidRPr="002C1949">
        <w:rPr>
          <w:rFonts w:ascii="Times New Roman" w:eastAsia="Times New Roman" w:hAnsi="Times New Roman"/>
          <w:kern w:val="2"/>
        </w:rPr>
        <w:t xml:space="preserve">access, while individual demographic characteristics </w:t>
      </w:r>
      <w:r w:rsidRPr="002C1949">
        <w:rPr>
          <w:rFonts w:ascii="Times New Roman" w:eastAsia="Times New Roman" w:hAnsi="Times New Roman"/>
          <w:kern w:val="2"/>
        </w:rPr>
        <w:lastRenderedPageBreak/>
        <w:t>such as age and gender play a less decisive role in this context.</w:t>
      </w:r>
    </w:p>
    <w:p w:rsidR="003E48F9" w:rsidRPr="002C1949" w:rsidRDefault="00677B0D">
      <w:pPr>
        <w:widowControl w:val="0"/>
        <w:spacing w:line="360" w:lineRule="auto"/>
        <w:jc w:val="both"/>
        <w:rPr>
          <w:rFonts w:ascii="Times New Roman" w:eastAsia="Times New Roman" w:hAnsi="Times New Roman"/>
          <w:kern w:val="2"/>
        </w:rPr>
      </w:pPr>
      <w:r w:rsidRPr="002C1949">
        <w:rPr>
          <w:rFonts w:ascii="Times New Roman" w:eastAsia="Times New Roman" w:hAnsi="Times New Roman"/>
          <w:kern w:val="2"/>
        </w:rPr>
        <w:t>The stark difference in access underscores FOs’ role as gatekeepers for knowledge transfer. By organizing farmers, these groups attract the attention of under-resourced extension agents, who can then deliver training, demonstrations, and technical advice to a consolidated audience. Diffusion Theory explains how innovations propagate more quickly through existing social structures, and Institutional Theory suggests that recognized organizations create legitimacy, prompting service allocation.</w:t>
      </w:r>
    </w:p>
    <w:p w:rsidR="003E48F9" w:rsidRPr="002C1949" w:rsidRDefault="00677B0D">
      <w:pPr>
        <w:widowControl w:val="0"/>
        <w:spacing w:line="360" w:lineRule="auto"/>
        <w:jc w:val="both"/>
        <w:rPr>
          <w:rFonts w:ascii="Times New Roman" w:hAnsi="Times New Roman"/>
        </w:rPr>
      </w:pPr>
      <w:r w:rsidRPr="002C1949">
        <w:rPr>
          <w:rFonts w:ascii="Times New Roman" w:eastAsia="Times New Roman" w:hAnsi="Times New Roman"/>
          <w:kern w:val="2"/>
        </w:rPr>
        <w:t>This analysis shows that FO membership is a strong predictor of access to AES among cocoa farmers in Fako Division. Strengthening FOs and integrating them into AES delivery models could expand reach and improve productivity.</w:t>
      </w:r>
    </w:p>
    <w:p w:rsidR="003E48F9" w:rsidRPr="002C1949" w:rsidRDefault="002C1949">
      <w:pPr>
        <w:spacing w:line="360" w:lineRule="auto"/>
        <w:jc w:val="both"/>
        <w:rPr>
          <w:rFonts w:ascii="Arial" w:hAnsi="Arial" w:cs="Arial"/>
          <w:b/>
          <w:bCs/>
          <w:lang w:val="en-GB"/>
        </w:rPr>
      </w:pPr>
      <w:r w:rsidRPr="002C1949">
        <w:rPr>
          <w:rFonts w:ascii="Arial" w:hAnsi="Arial" w:cs="Arial"/>
          <w:b/>
          <w:bCs/>
          <w:lang w:val="en-GB"/>
        </w:rPr>
        <w:t xml:space="preserve">4.2 DISCUSSION </w:t>
      </w:r>
    </w:p>
    <w:p w:rsidR="003E48F9" w:rsidRPr="002C1949" w:rsidRDefault="00677B0D">
      <w:pPr>
        <w:spacing w:line="360" w:lineRule="auto"/>
        <w:jc w:val="both"/>
        <w:rPr>
          <w:rFonts w:ascii="Times New Roman" w:hAnsi="Times New Roman"/>
        </w:rPr>
      </w:pPr>
      <w:r w:rsidRPr="002C1949">
        <w:rPr>
          <w:rFonts w:ascii="Times New Roman" w:hAnsi="Times New Roman"/>
          <w:b/>
          <w:bCs/>
          <w:lang w:val="en-GB"/>
        </w:rPr>
        <w:t xml:space="preserve">4.2.1 </w:t>
      </w:r>
      <w:r w:rsidRPr="002C1949">
        <w:rPr>
          <w:rFonts w:ascii="Times New Roman" w:hAnsi="Times New Roman"/>
          <w:b/>
          <w:bCs/>
        </w:rPr>
        <w:t>Farmer Organisation Membership and Access to Agricultural Extension Services</w:t>
      </w:r>
    </w:p>
    <w:p w:rsidR="003E48F9" w:rsidRPr="002C1949" w:rsidRDefault="00677B0D">
      <w:pPr>
        <w:spacing w:line="360" w:lineRule="auto"/>
        <w:jc w:val="both"/>
        <w:rPr>
          <w:rFonts w:ascii="Times New Roman" w:hAnsi="Times New Roman"/>
        </w:rPr>
      </w:pPr>
      <w:r w:rsidRPr="002C1949">
        <w:rPr>
          <w:rFonts w:ascii="Times New Roman" w:hAnsi="Times New Roman"/>
        </w:rPr>
        <w:t>This study found that membership in a cocoa farmer organisation in Fako Division is positively and significantly associated with access to agricultural extension services: approximately 82 % of organisation members reported receiving extension services versus 46 % of non‑members. This result aligns with empirically grounded work showing that extension systems targeting smallholders often face high ratios of farmers to agents and therefore benefit from group‑based or collective delivery platforms (Kehinde</w:t>
      </w:r>
      <w:r w:rsidRPr="002C1949">
        <w:rPr>
          <w:rFonts w:ascii="Times New Roman" w:hAnsi="Times New Roman"/>
          <w:lang w:val="en-GB"/>
        </w:rPr>
        <w:t xml:space="preserve">, </w:t>
      </w:r>
      <w:r w:rsidRPr="002C1949">
        <w:rPr>
          <w:rFonts w:ascii="Times New Roman" w:hAnsi="Times New Roman"/>
        </w:rPr>
        <w:t>2025). In such contexts, being part of a farmer organisation may significantly reduce the transaction and coordination costs of delivering extension.</w:t>
      </w:r>
    </w:p>
    <w:p w:rsidR="003E48F9" w:rsidRPr="002C1949" w:rsidRDefault="00677B0D">
      <w:pPr>
        <w:spacing w:line="360" w:lineRule="auto"/>
        <w:jc w:val="both"/>
        <w:rPr>
          <w:rFonts w:ascii="Times New Roman" w:hAnsi="Times New Roman"/>
        </w:rPr>
      </w:pPr>
      <w:r w:rsidRPr="002C1949">
        <w:rPr>
          <w:rFonts w:ascii="Times New Roman" w:hAnsi="Times New Roman"/>
        </w:rPr>
        <w:t>Recent research</w:t>
      </w:r>
      <w:r w:rsidRPr="002C1949">
        <w:rPr>
          <w:rFonts w:ascii="Times New Roman" w:hAnsi="Times New Roman"/>
          <w:lang w:val="en-GB"/>
        </w:rPr>
        <w:t xml:space="preserve"> also</w:t>
      </w:r>
      <w:r w:rsidRPr="002C1949">
        <w:rPr>
          <w:rFonts w:ascii="Times New Roman" w:hAnsi="Times New Roman"/>
        </w:rPr>
        <w:t xml:space="preserve">emphasises the role of farmer organisations, cooperatives, and membership networks as important enablers of extension </w:t>
      </w:r>
      <w:r w:rsidR="004568A3" w:rsidRPr="004568A3">
        <w:rPr>
          <w:rFonts w:ascii="Times New Roman" w:hAnsi="Times New Roman"/>
          <w:b/>
          <w:color w:val="FF0000"/>
          <w:u w:val="single"/>
        </w:rPr>
        <w:t>service</w:t>
      </w:r>
      <w:r w:rsidR="004568A3">
        <w:rPr>
          <w:rFonts w:ascii="Times New Roman" w:hAnsi="Times New Roman"/>
        </w:rPr>
        <w:t xml:space="preserve"> </w:t>
      </w:r>
      <w:r w:rsidRPr="002C1949">
        <w:rPr>
          <w:rFonts w:ascii="Times New Roman" w:hAnsi="Times New Roman"/>
        </w:rPr>
        <w:t>access and advisory outreach. For example, in Northern Ethiopia, Tefera et al. (2025) found that cooperative membership combined with extension access significantly improved household welfare. Although the study focused more on welfare than access per se, the implication is that organisational membership is a strategic channel for extension. Moreover, Kadzamira, et al. (2024) demonstrate that women and youth engaged as service providers benefit from organisational structures, suggesting that organisations can enhance access by broadening the pool of delivery actors.</w:t>
      </w:r>
    </w:p>
    <w:p w:rsidR="003E48F9" w:rsidRPr="002C1949" w:rsidRDefault="00677B0D">
      <w:pPr>
        <w:spacing w:line="360" w:lineRule="auto"/>
        <w:jc w:val="both"/>
        <w:rPr>
          <w:rFonts w:ascii="Times New Roman" w:hAnsi="Times New Roman"/>
        </w:rPr>
      </w:pPr>
      <w:r w:rsidRPr="002C1949">
        <w:rPr>
          <w:rFonts w:ascii="Times New Roman" w:hAnsi="Times New Roman"/>
        </w:rPr>
        <w:t xml:space="preserve">Mechanism‑wise, literature suggests that membership strengthens communication networks and information flows among farmers; it enables collective training, group visits, and peer learning; and positions the organisation as a liaison between farmers and extension agents (Mbatha &amp; Olorunfemi, 2024). While the Mbatha &amp; Olorunfemi (2024) study did not solely examine membership and extension </w:t>
      </w:r>
      <w:r w:rsidRPr="002C1949">
        <w:rPr>
          <w:rFonts w:ascii="Times New Roman" w:hAnsi="Times New Roman"/>
        </w:rPr>
        <w:lastRenderedPageBreak/>
        <w:t>access in cocoa systems, their findings about organisations’ roles in training and technical advice are relevant. In our context, the finding that members are significantly more likely to access extension can be interpreted via these mechanisms: membership likely amplifies awareness of service delivery events, creates a platform for extension agents to reach multiple farmers simultaneously, and binds farmers together in networks that the extension service can efficiently engage.</w:t>
      </w:r>
    </w:p>
    <w:p w:rsidR="003E48F9" w:rsidRPr="002C1949" w:rsidRDefault="00677B0D">
      <w:pPr>
        <w:spacing w:line="360" w:lineRule="auto"/>
        <w:jc w:val="both"/>
        <w:rPr>
          <w:rFonts w:ascii="Times New Roman" w:hAnsi="Times New Roman"/>
        </w:rPr>
      </w:pPr>
      <w:r w:rsidRPr="002C1949">
        <w:rPr>
          <w:rFonts w:ascii="Times New Roman" w:hAnsi="Times New Roman"/>
        </w:rPr>
        <w:t>However, the literature highlights important caveats. Access to extension services does not always guarantee adoption of recommended practices or improved outcomes unless complementary resources (such as credit, inputs, markets) are available (Mugari et al., 2025). Further, organisational membership may be selective: often farmers who are more motivated, better resourced, or more educated join organisations, which may bias differences in access (</w:t>
      </w:r>
      <w:r w:rsidRPr="00C8227A">
        <w:rPr>
          <w:rFonts w:ascii="Times New Roman" w:hAnsi="Times New Roman"/>
          <w:color w:val="00B050"/>
        </w:rPr>
        <w:t>Kehinde, 2025).</w:t>
      </w:r>
      <w:r w:rsidRPr="002C1949">
        <w:rPr>
          <w:rFonts w:ascii="Times New Roman" w:hAnsi="Times New Roman"/>
        </w:rPr>
        <w:t xml:space="preserve"> In our study, while the chi‑square shows a strong association, causation cannot be inferred from bivariate results alone.</w:t>
      </w:r>
    </w:p>
    <w:p w:rsidR="003E48F9" w:rsidRPr="002C1949" w:rsidRDefault="00677B0D">
      <w:pPr>
        <w:spacing w:line="360" w:lineRule="auto"/>
        <w:jc w:val="both"/>
        <w:rPr>
          <w:rFonts w:ascii="Times New Roman" w:hAnsi="Times New Roman"/>
        </w:rPr>
      </w:pPr>
      <w:r w:rsidRPr="002C1949">
        <w:rPr>
          <w:rFonts w:ascii="Times New Roman" w:hAnsi="Times New Roman"/>
        </w:rPr>
        <w:t>In summary, our result that organisational membership strongly predicts access to extension services is well supported by recent literature. It underscores the importance of farmer organisations as platforms for extension outreach in resource‑constrained settings and supports policy attention to strengthening such organisations.</w:t>
      </w:r>
    </w:p>
    <w:p w:rsidR="003E48F9" w:rsidRPr="002C1949" w:rsidRDefault="00677B0D">
      <w:pPr>
        <w:spacing w:line="360" w:lineRule="auto"/>
        <w:jc w:val="both"/>
        <w:rPr>
          <w:rFonts w:ascii="Times New Roman" w:hAnsi="Times New Roman"/>
        </w:rPr>
      </w:pPr>
      <w:r w:rsidRPr="002C1949">
        <w:rPr>
          <w:rFonts w:ascii="Times New Roman" w:hAnsi="Times New Roman"/>
          <w:b/>
          <w:bCs/>
          <w:lang w:val="en-GB"/>
        </w:rPr>
        <w:t xml:space="preserve">4.2.2 </w:t>
      </w:r>
      <w:bookmarkStart w:id="1" w:name="_Hlk214107816"/>
      <w:r w:rsidRPr="002C1949">
        <w:rPr>
          <w:rFonts w:ascii="Times New Roman" w:hAnsi="Times New Roman"/>
          <w:b/>
          <w:bCs/>
        </w:rPr>
        <w:t xml:space="preserve">Effect of Farmer Organisation Membership on Access to Agricultural Extension Services </w:t>
      </w:r>
    </w:p>
    <w:bookmarkEnd w:id="1"/>
    <w:p w:rsidR="003E48F9" w:rsidRPr="002C1949" w:rsidRDefault="00677B0D">
      <w:pPr>
        <w:spacing w:line="360" w:lineRule="auto"/>
        <w:jc w:val="both"/>
        <w:rPr>
          <w:rFonts w:ascii="Times New Roman" w:hAnsi="Times New Roman"/>
        </w:rPr>
      </w:pPr>
      <w:r w:rsidRPr="002C1949">
        <w:rPr>
          <w:rFonts w:ascii="Times New Roman" w:hAnsi="Times New Roman"/>
        </w:rPr>
        <w:t xml:space="preserve">The binary logistic regression results show that membership in a farmer organisation significantly predicts access to extension services even after controlling for education, farm size, age, and gender (OR &gt; 2.5, p &lt; 0.01). This indicates that the effect of membership remains robust and independent of these socio‑demographic factors. </w:t>
      </w:r>
      <w:r w:rsidRPr="002C1949">
        <w:rPr>
          <w:rFonts w:ascii="Times New Roman" w:hAnsi="Times New Roman"/>
          <w:lang w:val="en-GB"/>
        </w:rPr>
        <w:t xml:space="preserve">Pastliterature </w:t>
      </w:r>
      <w:r w:rsidRPr="002C1949">
        <w:rPr>
          <w:rFonts w:ascii="Times New Roman" w:hAnsi="Times New Roman"/>
        </w:rPr>
        <w:t>reinforces this pattern: in Ethiopia, Tefera et al. (2025) observed that cooperative membership improved access to training and advisory support controlling for household and farm characteristics; similarly, in Uganda</w:t>
      </w:r>
      <w:r w:rsidRPr="002C1949">
        <w:rPr>
          <w:rFonts w:ascii="Times New Roman" w:hAnsi="Times New Roman"/>
          <w:lang w:val="en-GB"/>
        </w:rPr>
        <w:t>,</w:t>
      </w:r>
      <w:r w:rsidRPr="002C1949">
        <w:rPr>
          <w:rFonts w:ascii="Times New Roman" w:hAnsi="Times New Roman"/>
        </w:rPr>
        <w:t xml:space="preserve"> </w:t>
      </w:r>
      <w:r w:rsidRPr="00C8227A">
        <w:rPr>
          <w:rFonts w:ascii="Times New Roman" w:hAnsi="Times New Roman"/>
          <w:color w:val="00B050"/>
        </w:rPr>
        <w:t>Brix et al. (2025)</w:t>
      </w:r>
      <w:r w:rsidRPr="002C1949">
        <w:rPr>
          <w:rFonts w:ascii="Times New Roman" w:hAnsi="Times New Roman"/>
        </w:rPr>
        <w:t xml:space="preserve"> found through targeted extension studies that structured group delivery via farmer organisations increased uptake of extension advice independent of age or education levels.</w:t>
      </w:r>
    </w:p>
    <w:p w:rsidR="003E48F9" w:rsidRPr="002C1949" w:rsidRDefault="00677B0D">
      <w:pPr>
        <w:spacing w:line="360" w:lineRule="auto"/>
        <w:jc w:val="both"/>
        <w:rPr>
          <w:rFonts w:ascii="Times New Roman" w:hAnsi="Times New Roman"/>
        </w:rPr>
      </w:pPr>
      <w:r w:rsidRPr="002C1949">
        <w:rPr>
          <w:rFonts w:ascii="Times New Roman" w:hAnsi="Times New Roman"/>
        </w:rPr>
        <w:t>From the literature, two interrelated mechanisms explain why membership retains significance when controls are included. First, membership builds social capital and collective agency, allowing farmers to more effectively engage with extension providers, to access group training, and to participate in joint farmer field schools (</w:t>
      </w:r>
      <w:r w:rsidRPr="00C8227A">
        <w:rPr>
          <w:rFonts w:ascii="Times New Roman" w:hAnsi="Times New Roman"/>
          <w:color w:val="00B050"/>
        </w:rPr>
        <w:t>Mbatha &amp; Olorunfemi, 2024</w:t>
      </w:r>
      <w:r w:rsidRPr="002C1949">
        <w:rPr>
          <w:rFonts w:ascii="Times New Roman" w:hAnsi="Times New Roman"/>
        </w:rPr>
        <w:t>). Second, farmer organisations themselves often coordinate or broker extension services</w:t>
      </w:r>
      <w:r w:rsidRPr="002C1949">
        <w:rPr>
          <w:rFonts w:ascii="Times New Roman" w:hAnsi="Times New Roman"/>
          <w:lang w:val="en-GB"/>
        </w:rPr>
        <w:t xml:space="preserve">, </w:t>
      </w:r>
      <w:r w:rsidRPr="002C1949">
        <w:rPr>
          <w:rFonts w:ascii="Times New Roman" w:hAnsi="Times New Roman"/>
        </w:rPr>
        <w:t xml:space="preserve">setting up demonstration plots, arranging group visits, organizing training sessions, thereby reducing transaction costs for both farmers and extension agents (Ouerghemmi </w:t>
      </w:r>
      <w:r w:rsidRPr="002C1949">
        <w:rPr>
          <w:rFonts w:ascii="Times New Roman" w:hAnsi="Times New Roman"/>
        </w:rPr>
        <w:lastRenderedPageBreak/>
        <w:t>et al., 2024). Thus, membership is not merely a proxy for farm size or education; it may reflect institutional access and platform functionality.</w:t>
      </w:r>
    </w:p>
    <w:p w:rsidR="003E48F9" w:rsidRPr="002C1949" w:rsidRDefault="00677B0D">
      <w:pPr>
        <w:spacing w:line="360" w:lineRule="auto"/>
        <w:jc w:val="both"/>
        <w:rPr>
          <w:rFonts w:ascii="Times New Roman" w:hAnsi="Times New Roman"/>
        </w:rPr>
      </w:pPr>
      <w:r w:rsidRPr="002C1949">
        <w:rPr>
          <w:rFonts w:ascii="Times New Roman" w:hAnsi="Times New Roman"/>
        </w:rPr>
        <w:t>Nevertheless, the literature cautions that even when extension access is achieved, the quality, relevance and intensity of the extension matter significantly for downstream adoption and welfare outcomes (Mugari et al., 2025). Moreover, unobserved heterogeneity remains a concern: motivations, prior exposure, leadership in organisations, or informal networks might influence both membership and extension access, hence residual confounding cannot be fully ruled out (Wossen et al., 2017). In our logistic regression analysis, this residual remains a caveat.</w:t>
      </w:r>
    </w:p>
    <w:p w:rsidR="003E48F9" w:rsidRPr="002C1949" w:rsidRDefault="00677B0D">
      <w:pPr>
        <w:spacing w:line="360" w:lineRule="auto"/>
        <w:jc w:val="both"/>
        <w:rPr>
          <w:rFonts w:ascii="Times New Roman" w:hAnsi="Times New Roman"/>
          <w:b/>
          <w:bCs/>
          <w:lang w:val="en-GB"/>
        </w:rPr>
      </w:pPr>
      <w:r w:rsidRPr="002C1949">
        <w:rPr>
          <w:rFonts w:ascii="Times New Roman" w:hAnsi="Times New Roman"/>
          <w:lang w:val="en-GB"/>
        </w:rPr>
        <w:t xml:space="preserve">In summary, </w:t>
      </w:r>
      <w:r w:rsidRPr="002C1949">
        <w:rPr>
          <w:rFonts w:ascii="Times New Roman" w:hAnsi="Times New Roman"/>
        </w:rPr>
        <w:t xml:space="preserve">the regression findings strongly strengthen the argument that farmer organisation membership plays a key and independent role in enhancing access to extension services. The results align with </w:t>
      </w:r>
      <w:r w:rsidRPr="004568A3">
        <w:rPr>
          <w:rFonts w:ascii="Times New Roman" w:hAnsi="Times New Roman"/>
          <w:b/>
          <w:color w:val="FF0000"/>
          <w:u w:val="single"/>
          <w:lang w:val="en-GB"/>
        </w:rPr>
        <w:t>l</w:t>
      </w:r>
      <w:r w:rsidRPr="004568A3">
        <w:rPr>
          <w:rFonts w:ascii="Times New Roman" w:hAnsi="Times New Roman"/>
          <w:b/>
          <w:color w:val="FF0000"/>
          <w:u w:val="single"/>
        </w:rPr>
        <w:t>iteratureemphasising</w:t>
      </w:r>
      <w:r w:rsidRPr="002C1949">
        <w:rPr>
          <w:rFonts w:ascii="Times New Roman" w:hAnsi="Times New Roman"/>
        </w:rPr>
        <w:t xml:space="preserve"> the institutional function of membership in strengthening extension outreach, supporting the view that policies should treat farmer organisations as essential delivery platforms.</w:t>
      </w:r>
    </w:p>
    <w:p w:rsidR="003E48F9" w:rsidRPr="002C1949" w:rsidRDefault="00677B0D">
      <w:pPr>
        <w:spacing w:line="360" w:lineRule="auto"/>
        <w:jc w:val="both"/>
        <w:rPr>
          <w:rFonts w:ascii="Times New Roman" w:hAnsi="Times New Roman"/>
        </w:rPr>
      </w:pPr>
      <w:r w:rsidRPr="002C1949">
        <w:rPr>
          <w:rFonts w:ascii="Times New Roman" w:hAnsi="Times New Roman"/>
          <w:b/>
          <w:bCs/>
          <w:lang w:val="en-GB"/>
        </w:rPr>
        <w:t>5.</w:t>
      </w:r>
      <w:r w:rsidRPr="002C1949">
        <w:rPr>
          <w:rFonts w:ascii="Times New Roman" w:hAnsi="Times New Roman"/>
          <w:b/>
          <w:bCs/>
        </w:rPr>
        <w:t xml:space="preserve"> Conclusion and Recommendations</w:t>
      </w:r>
    </w:p>
    <w:p w:rsidR="003E48F9" w:rsidRPr="002C1949" w:rsidRDefault="00677B0D">
      <w:pPr>
        <w:spacing w:line="360" w:lineRule="auto"/>
        <w:jc w:val="both"/>
        <w:rPr>
          <w:rFonts w:ascii="Times New Roman" w:hAnsi="Times New Roman"/>
        </w:rPr>
      </w:pPr>
      <w:r w:rsidRPr="002C1949">
        <w:rPr>
          <w:rFonts w:ascii="Times New Roman" w:hAnsi="Times New Roman"/>
        </w:rPr>
        <w:t>This study examined the influence of farmer organisations on access to agricultural extension services among cocoa farmers in Fako Division, Cameroon. Based on the findings, several key conclusions emerge. Membership in farmer organisations significantly improves access to agricultural extension services. Farmers who were members reported more frequent contact with extension personnel, greater access to training on production and pest management, and higher adoption of recommended practices compared to non-members. This demonstrates that organised groups are effective conduits for agricultural knowledge and facilitate more efficient service delivery.</w:t>
      </w:r>
    </w:p>
    <w:p w:rsidR="003E48F9" w:rsidRPr="002C1949" w:rsidRDefault="00677B0D">
      <w:pPr>
        <w:spacing w:line="360" w:lineRule="auto"/>
        <w:jc w:val="both"/>
        <w:rPr>
          <w:rFonts w:ascii="Times New Roman" w:hAnsi="Times New Roman"/>
        </w:rPr>
      </w:pPr>
      <w:r w:rsidRPr="002C1949">
        <w:rPr>
          <w:rFonts w:ascii="Times New Roman" w:hAnsi="Times New Roman"/>
        </w:rPr>
        <w:t>The study also revealed that part of the effect of membership occurs through enhanced communication, coordination, and group-based knowledge sharing. Farmer organisations function not only as economic entities but also as platforms that strengthen the delivery and uptake of extension services, highlighting their dual role in both social and technical capacity building.</w:t>
      </w:r>
    </w:p>
    <w:p w:rsidR="003E48F9" w:rsidRPr="002C1949" w:rsidRDefault="00677B0D">
      <w:pPr>
        <w:spacing w:line="360" w:lineRule="auto"/>
        <w:jc w:val="both"/>
        <w:rPr>
          <w:rFonts w:ascii="Times New Roman" w:hAnsi="Times New Roman"/>
        </w:rPr>
      </w:pPr>
      <w:r w:rsidRPr="002C1949">
        <w:rPr>
          <w:rFonts w:ascii="Times New Roman" w:hAnsi="Times New Roman"/>
        </w:rPr>
        <w:t xml:space="preserve">Based on these conclusions, the study recommends strengthening farmer organisations as platforms for extension delivery by improving governance, financial management, and participatory decision-making to ensure equitable access to services for all members. Extension systems should adopt inclusive and pluralistic approaches that combine group-based interventions with outreach to non-members through mobile advisories, community demonstrations, and farmer-to-farmer facilitation. Policymakers should integrate farmer organisations into national agricultural programs as key partners in planning and implementing extension activities. Providing capacity building, training, and digital tools can enhance </w:t>
      </w:r>
      <w:r w:rsidRPr="002C1949">
        <w:rPr>
          <w:rFonts w:ascii="Times New Roman" w:hAnsi="Times New Roman"/>
        </w:rPr>
        <w:lastRenderedPageBreak/>
        <w:t>their ability to co-deliver services effectively. Strategies should deliberately promote the inclusion of women, youth, and marginalised farmers to ensure that extension benefits reach all segments of the cocoa farming population.</w:t>
      </w:r>
    </w:p>
    <w:p w:rsidR="003E48F9" w:rsidRPr="002C1949" w:rsidRDefault="00677B0D">
      <w:pPr>
        <w:spacing w:line="360" w:lineRule="auto"/>
        <w:jc w:val="both"/>
        <w:rPr>
          <w:rFonts w:ascii="Times New Roman" w:hAnsi="Times New Roman"/>
        </w:rPr>
      </w:pPr>
      <w:r w:rsidRPr="002C1949">
        <w:rPr>
          <w:rFonts w:ascii="Times New Roman" w:hAnsi="Times New Roman"/>
        </w:rPr>
        <w:t>Further research is necessary to explore the long-term impacts of farmer organisation membership on productivity and livelihood outcomes. Future studies could also examine the role of digital extension tools, evaluate the effectiveness of pluralistic extension models, and investigate strategies to enhance participation among marginalised groups. Such research will provide additional insights for strengthening the role of farmer organisations in agricultural development.</w:t>
      </w:r>
    </w:p>
    <w:p w:rsidR="003E48F9" w:rsidRDefault="00677B0D">
      <w:pPr>
        <w:spacing w:line="360" w:lineRule="auto"/>
        <w:jc w:val="both"/>
        <w:rPr>
          <w:rFonts w:ascii="Times New Roman" w:hAnsi="Times New Roman"/>
        </w:rPr>
      </w:pPr>
      <w:r w:rsidRPr="002C1949">
        <w:rPr>
          <w:rFonts w:ascii="Times New Roman" w:hAnsi="Times New Roman"/>
        </w:rPr>
        <w:t>In conclusion, farmer organisations play a critical role in improving access to agricultural extension services in Fako Division. Policies and programs that strengthen these institutions, combined with inclusive and pluralistic extension approaches, can enhance knowledge dissemination, adoption of improved practices, and overall agricultural productivity.</w:t>
      </w:r>
    </w:p>
    <w:p w:rsidR="00C65B8C" w:rsidRDefault="00C65B8C">
      <w:pPr>
        <w:spacing w:line="360" w:lineRule="auto"/>
        <w:jc w:val="both"/>
        <w:rPr>
          <w:rFonts w:ascii="Times New Roman" w:hAnsi="Times New Roman"/>
        </w:rPr>
      </w:pPr>
    </w:p>
    <w:p w:rsidR="00C65B8C" w:rsidRPr="00C65B8C" w:rsidRDefault="00C65B8C" w:rsidP="00C65B8C">
      <w:pPr>
        <w:spacing w:line="360" w:lineRule="auto"/>
        <w:jc w:val="both"/>
        <w:rPr>
          <w:rFonts w:ascii="Times New Roman" w:hAnsi="Times New Roman"/>
          <w:lang w:val="en-GB"/>
        </w:rPr>
      </w:pPr>
      <w:r w:rsidRPr="00C65B8C">
        <w:rPr>
          <w:rFonts w:ascii="Times New Roman" w:hAnsi="Times New Roman"/>
          <w:lang w:val="en-GB"/>
        </w:rPr>
        <w:t>COMPETING INTERESTS DISCLAIMER:</w:t>
      </w:r>
    </w:p>
    <w:p w:rsidR="00C65B8C" w:rsidRPr="002C1949" w:rsidRDefault="00C65B8C" w:rsidP="00C65B8C">
      <w:pPr>
        <w:spacing w:line="360" w:lineRule="auto"/>
        <w:jc w:val="both"/>
        <w:rPr>
          <w:rFonts w:ascii="Times New Roman" w:hAnsi="Times New Roman"/>
          <w:lang w:val="en-GB"/>
        </w:rPr>
      </w:pPr>
      <w:r w:rsidRPr="00C65B8C">
        <w:rPr>
          <w:rFonts w:ascii="Times New Roman" w:hAnsi="Times New Roman"/>
          <w:lang w:val="en-GB"/>
        </w:rPr>
        <w:t>Authors have declared that they have no known competing financial interests OR non-financial interests OR personal relationships that could have appeared to influence the work reported in this paper.</w:t>
      </w:r>
    </w:p>
    <w:p w:rsidR="003E48F9" w:rsidRPr="002C1949" w:rsidRDefault="00677B0D">
      <w:pPr>
        <w:numPr>
          <w:ilvl w:val="0"/>
          <w:numId w:val="1"/>
        </w:numPr>
        <w:spacing w:line="360" w:lineRule="auto"/>
        <w:jc w:val="both"/>
        <w:rPr>
          <w:rFonts w:ascii="Times New Roman" w:hAnsi="Times New Roman"/>
        </w:rPr>
      </w:pPr>
      <w:r w:rsidRPr="002C1949">
        <w:rPr>
          <w:rFonts w:ascii="Times New Roman" w:hAnsi="Times New Roman"/>
          <w:b/>
          <w:bCs/>
        </w:rPr>
        <w:t>References</w:t>
      </w:r>
    </w:p>
    <w:p w:rsidR="003E48F9" w:rsidRPr="00C8227A" w:rsidRDefault="00677B0D">
      <w:pPr>
        <w:spacing w:line="360" w:lineRule="auto"/>
        <w:ind w:hanging="720"/>
        <w:jc w:val="both"/>
        <w:rPr>
          <w:rFonts w:ascii="Times New Roman" w:hAnsi="Times New Roman"/>
          <w:color w:val="7030A0"/>
        </w:rPr>
      </w:pPr>
      <w:r w:rsidRPr="00C8227A">
        <w:rPr>
          <w:rFonts w:ascii="Times New Roman" w:hAnsi="Times New Roman"/>
          <w:color w:val="7030A0"/>
        </w:rPr>
        <w:t xml:space="preserve">Abate, G. T., Francesconi, G. N., &amp; Getnet, K. (2014). Impact of agricultural cooperatives on smallholders’ technical efficiency: Empirical evidence from Ethiopia. </w:t>
      </w:r>
      <w:r w:rsidRPr="00C8227A">
        <w:rPr>
          <w:rFonts w:ascii="Times New Roman" w:hAnsi="Times New Roman"/>
          <w:i/>
          <w:iCs/>
          <w:color w:val="7030A0"/>
        </w:rPr>
        <w:t>Annals of Public and Cooperative Economics, 85</w:t>
      </w:r>
      <w:r w:rsidRPr="00C8227A">
        <w:rPr>
          <w:rFonts w:ascii="Times New Roman" w:hAnsi="Times New Roman"/>
          <w:color w:val="7030A0"/>
        </w:rPr>
        <w:t>(2), 257–286. https://doi.org/10.1111/apce.12035</w:t>
      </w:r>
    </w:p>
    <w:p w:rsidR="003E48F9" w:rsidRPr="002C1949" w:rsidRDefault="00677B0D">
      <w:pPr>
        <w:spacing w:line="360" w:lineRule="auto"/>
        <w:ind w:hanging="720"/>
        <w:jc w:val="both"/>
        <w:rPr>
          <w:rFonts w:ascii="Times New Roman" w:hAnsi="Times New Roman"/>
        </w:rPr>
      </w:pPr>
      <w:r w:rsidRPr="002C1949">
        <w:rPr>
          <w:rFonts w:ascii="Times New Roman" w:hAnsi="Times New Roman"/>
        </w:rPr>
        <w:t xml:space="preserve">Abebaw, D., &amp; Haile, M. G. (2013). The impact of cooperatives on agricultural technology adoption: Empirical evidence from Ethiopia. </w:t>
      </w:r>
      <w:r w:rsidRPr="002C1949">
        <w:rPr>
          <w:rFonts w:ascii="Times New Roman" w:hAnsi="Times New Roman"/>
          <w:i/>
          <w:iCs/>
        </w:rPr>
        <w:t>Food Policy, 38</w:t>
      </w:r>
      <w:r w:rsidRPr="002C1949">
        <w:rPr>
          <w:rFonts w:ascii="Times New Roman" w:hAnsi="Times New Roman"/>
        </w:rPr>
        <w:t>, 82–91. https://doi.org/10.1016/j.foodpol.2012.10.003</w:t>
      </w:r>
    </w:p>
    <w:p w:rsidR="003E48F9" w:rsidRPr="00C8227A" w:rsidRDefault="00677B0D">
      <w:pPr>
        <w:spacing w:line="360" w:lineRule="auto"/>
        <w:ind w:hanging="720"/>
        <w:jc w:val="both"/>
        <w:rPr>
          <w:rFonts w:ascii="Times New Roman" w:hAnsi="Times New Roman"/>
          <w:color w:val="7030A0"/>
        </w:rPr>
      </w:pPr>
      <w:r w:rsidRPr="00C8227A">
        <w:rPr>
          <w:rFonts w:ascii="Times New Roman" w:hAnsi="Times New Roman"/>
          <w:color w:val="7030A0"/>
        </w:rPr>
        <w:t xml:space="preserve">Addai, K. N., Temoso, O., &amp; Ng’ombe, J. N. (2022). Participation in farmer organizations and adoption of farming technologies among rice farmers in Ghana. </w:t>
      </w:r>
      <w:r w:rsidRPr="00C8227A">
        <w:rPr>
          <w:rFonts w:ascii="Times New Roman" w:hAnsi="Times New Roman"/>
          <w:i/>
          <w:iCs/>
          <w:color w:val="7030A0"/>
        </w:rPr>
        <w:t>International Journal of Social Economics, 49</w:t>
      </w:r>
      <w:r w:rsidRPr="00C8227A">
        <w:rPr>
          <w:rFonts w:ascii="Times New Roman" w:hAnsi="Times New Roman"/>
          <w:color w:val="7030A0"/>
        </w:rPr>
        <w:t>(4), 529–545. https://doi.org/10.1108/IJSE-06-2021-0337</w:t>
      </w:r>
    </w:p>
    <w:p w:rsidR="003E48F9" w:rsidRPr="00C8227A" w:rsidRDefault="00677B0D">
      <w:pPr>
        <w:spacing w:line="360" w:lineRule="auto"/>
        <w:ind w:hanging="720"/>
        <w:jc w:val="both"/>
        <w:rPr>
          <w:rFonts w:ascii="Times New Roman" w:hAnsi="Times New Roman"/>
          <w:color w:val="7030A0"/>
        </w:rPr>
      </w:pPr>
      <w:r w:rsidRPr="00C8227A">
        <w:rPr>
          <w:rFonts w:ascii="Times New Roman" w:hAnsi="Times New Roman"/>
          <w:color w:val="7030A0"/>
        </w:rPr>
        <w:t xml:space="preserve">Adjei-Nsiah, S. (2012). Participatory technology development for sustainable land management in Ghana: Implementation and scaling up experiences. </w:t>
      </w:r>
      <w:r w:rsidRPr="00C8227A">
        <w:rPr>
          <w:rFonts w:ascii="Times New Roman" w:hAnsi="Times New Roman"/>
          <w:i/>
          <w:iCs/>
          <w:color w:val="7030A0"/>
        </w:rPr>
        <w:t>African Journal of Agricultural Research, 7</w:t>
      </w:r>
      <w:r w:rsidRPr="00C8227A">
        <w:rPr>
          <w:rFonts w:ascii="Times New Roman" w:hAnsi="Times New Roman"/>
          <w:color w:val="7030A0"/>
        </w:rPr>
        <w:t>(3), 439–453. https://doi.org/10.5897/AJARX11.044</w:t>
      </w:r>
    </w:p>
    <w:p w:rsidR="003E48F9" w:rsidRPr="00C8227A" w:rsidRDefault="00677B0D">
      <w:pPr>
        <w:spacing w:line="360" w:lineRule="auto"/>
        <w:ind w:hanging="720"/>
        <w:jc w:val="both"/>
        <w:rPr>
          <w:rFonts w:ascii="Times New Roman" w:hAnsi="Times New Roman"/>
          <w:color w:val="7030A0"/>
        </w:rPr>
      </w:pPr>
      <w:r w:rsidRPr="00C8227A">
        <w:rPr>
          <w:rFonts w:ascii="Times New Roman" w:hAnsi="Times New Roman"/>
          <w:color w:val="7030A0"/>
        </w:rPr>
        <w:lastRenderedPageBreak/>
        <w:t>Ahmed, A. &amp; Anang, B. (2019). Farmer group membership and technology adoption: Evidence from maize farmers in Tolon District, Northern Ghana. Review of Agricultural and Applied Economics, 22(1), –. (Found in RAAE 2/2019)</w:t>
      </w:r>
    </w:p>
    <w:p w:rsidR="003E48F9" w:rsidRPr="00C8227A" w:rsidRDefault="00677B0D">
      <w:pPr>
        <w:spacing w:line="360" w:lineRule="auto"/>
        <w:ind w:hanging="720"/>
        <w:jc w:val="both"/>
        <w:rPr>
          <w:rFonts w:ascii="Times New Roman" w:hAnsi="Times New Roman"/>
          <w:color w:val="7030A0"/>
        </w:rPr>
      </w:pPr>
      <w:r w:rsidRPr="00C8227A">
        <w:rPr>
          <w:rFonts w:ascii="Times New Roman" w:hAnsi="Times New Roman"/>
          <w:color w:val="7030A0"/>
        </w:rPr>
        <w:t xml:space="preserve">Ahmed, M. H. (2017). The impact of agricultural cooperatives membership on the wellbeing of smallholder farmers. </w:t>
      </w:r>
      <w:r w:rsidRPr="00C8227A">
        <w:rPr>
          <w:rFonts w:ascii="Times New Roman" w:hAnsi="Times New Roman"/>
          <w:i/>
          <w:iCs/>
          <w:color w:val="7030A0"/>
        </w:rPr>
        <w:t>Agriculture &amp; Food Economics, 5</w:t>
      </w:r>
      <w:r w:rsidRPr="00C8227A">
        <w:rPr>
          <w:rFonts w:ascii="Times New Roman" w:hAnsi="Times New Roman"/>
          <w:color w:val="7030A0"/>
        </w:rPr>
        <w:t>, Article 13. https://doi.org/10.1186/s40100-017-0075-z</w:t>
      </w:r>
    </w:p>
    <w:p w:rsidR="003E48F9" w:rsidRPr="002C1949" w:rsidRDefault="00677B0D">
      <w:pPr>
        <w:spacing w:line="360" w:lineRule="auto"/>
        <w:ind w:hanging="720"/>
        <w:jc w:val="both"/>
        <w:rPr>
          <w:rFonts w:ascii="Times New Roman" w:hAnsi="Times New Roman"/>
        </w:rPr>
      </w:pPr>
      <w:r w:rsidRPr="002C1949">
        <w:rPr>
          <w:rFonts w:ascii="Times New Roman" w:hAnsi="Times New Roman"/>
        </w:rPr>
        <w:t>Aidoo, R., &amp; Fromm, I. (2024). Willingness to Adopt Certifications and Sustainable Production Methods among Small-Scale Cocoa Farmers in the Ashanti Region of Ghana. Journal of Sustainable Development, 8(1), 33–48. [Available at: https://ccsenet.org/journal/index.php/jsd/article/view/41316]</w:t>
      </w:r>
    </w:p>
    <w:p w:rsidR="003E48F9" w:rsidRPr="00C8227A" w:rsidRDefault="00677B0D">
      <w:pPr>
        <w:spacing w:line="360" w:lineRule="auto"/>
        <w:ind w:hanging="720"/>
        <w:jc w:val="both"/>
        <w:rPr>
          <w:rFonts w:ascii="Times New Roman" w:hAnsi="Times New Roman"/>
          <w:color w:val="7030A0"/>
        </w:rPr>
      </w:pPr>
      <w:r w:rsidRPr="00C8227A">
        <w:rPr>
          <w:rFonts w:ascii="Times New Roman" w:hAnsi="Times New Roman"/>
          <w:color w:val="7030A0"/>
        </w:rPr>
        <w:t xml:space="preserve">Ainembabazi, J. H., &amp; Mugisha, J. (2014). The role of farmer groups in enhancing agricultural productivity in Uganda. </w:t>
      </w:r>
      <w:r w:rsidRPr="00C8227A">
        <w:rPr>
          <w:rFonts w:ascii="Times New Roman" w:hAnsi="Times New Roman"/>
          <w:i/>
          <w:iCs/>
          <w:color w:val="7030A0"/>
        </w:rPr>
        <w:t>World Development, 65</w:t>
      </w:r>
      <w:r w:rsidRPr="00C8227A">
        <w:rPr>
          <w:rFonts w:ascii="Times New Roman" w:hAnsi="Times New Roman"/>
          <w:color w:val="7030A0"/>
        </w:rPr>
        <w:t>, 87–96. https://doi.org/10.1016/j.worlddev.2014.05.029</w:t>
      </w:r>
    </w:p>
    <w:p w:rsidR="003E48F9" w:rsidRPr="00C8227A" w:rsidRDefault="00677B0D">
      <w:pPr>
        <w:spacing w:line="360" w:lineRule="auto"/>
        <w:ind w:hanging="720"/>
        <w:jc w:val="both"/>
        <w:rPr>
          <w:rFonts w:ascii="Times New Roman" w:hAnsi="Times New Roman"/>
          <w:color w:val="7030A0"/>
        </w:rPr>
      </w:pPr>
      <w:r w:rsidRPr="00C8227A">
        <w:rPr>
          <w:rFonts w:ascii="Times New Roman" w:hAnsi="Times New Roman"/>
          <w:color w:val="7030A0"/>
        </w:rPr>
        <w:t xml:space="preserve">Aker, J. C. (2011). Dial “A” for agriculture: A review of information and communication technologies for agricultural extension in developing countries. </w:t>
      </w:r>
      <w:r w:rsidRPr="00C8227A">
        <w:rPr>
          <w:rFonts w:ascii="Times New Roman" w:hAnsi="Times New Roman"/>
          <w:i/>
          <w:iCs/>
          <w:color w:val="7030A0"/>
        </w:rPr>
        <w:t>Agricultural Economics, 42</w:t>
      </w:r>
      <w:r w:rsidRPr="00C8227A">
        <w:rPr>
          <w:rFonts w:ascii="Times New Roman" w:hAnsi="Times New Roman"/>
          <w:color w:val="7030A0"/>
        </w:rPr>
        <w:t>(6), 631–647. https://doi.org/10.1111/j.1574-0862.2011.00545.x</w:t>
      </w:r>
    </w:p>
    <w:p w:rsidR="003E48F9" w:rsidRPr="00C8227A" w:rsidRDefault="00677B0D">
      <w:pPr>
        <w:spacing w:line="360" w:lineRule="auto"/>
        <w:ind w:hanging="720"/>
        <w:jc w:val="both"/>
        <w:rPr>
          <w:rFonts w:ascii="Times New Roman" w:hAnsi="Times New Roman"/>
          <w:color w:val="7030A0"/>
        </w:rPr>
      </w:pPr>
      <w:r w:rsidRPr="00C8227A">
        <w:rPr>
          <w:rFonts w:ascii="Times New Roman" w:hAnsi="Times New Roman"/>
          <w:color w:val="7030A0"/>
        </w:rPr>
        <w:t xml:space="preserve">Aregbeyen, O. (2007). Social capital and household welfare in Nigeria. </w:t>
      </w:r>
      <w:r w:rsidRPr="00C8227A">
        <w:rPr>
          <w:rFonts w:ascii="Times New Roman" w:hAnsi="Times New Roman"/>
          <w:i/>
          <w:color w:val="7030A0"/>
        </w:rPr>
        <w:t>African Development Review, 19</w:t>
      </w:r>
      <w:r w:rsidRPr="00C8227A">
        <w:rPr>
          <w:rFonts w:ascii="Times New Roman" w:hAnsi="Times New Roman"/>
          <w:color w:val="7030A0"/>
        </w:rPr>
        <w:t>(3), 442–466. https://doi.org/10.1111/j.1467-8268.2007.00170.x</w:t>
      </w:r>
    </w:p>
    <w:p w:rsidR="003E48F9" w:rsidRPr="00C8227A" w:rsidRDefault="00677B0D">
      <w:pPr>
        <w:spacing w:line="360" w:lineRule="auto"/>
        <w:ind w:hanging="720"/>
        <w:jc w:val="both"/>
        <w:rPr>
          <w:rFonts w:ascii="Times New Roman" w:hAnsi="Times New Roman"/>
          <w:color w:val="7030A0"/>
        </w:rPr>
      </w:pPr>
      <w:r w:rsidRPr="00C8227A">
        <w:rPr>
          <w:rFonts w:ascii="Times New Roman" w:hAnsi="Times New Roman"/>
          <w:color w:val="7030A0"/>
        </w:rPr>
        <w:t xml:space="preserve">Asfaw, S., Mithöfer, D., &amp; Wossen, T. (2021). The impact of farmer organizations on market access and income: Evidence from Ethiopia. </w:t>
      </w:r>
      <w:r w:rsidRPr="00C8227A">
        <w:rPr>
          <w:rFonts w:ascii="Times New Roman" w:hAnsi="Times New Roman"/>
          <w:i/>
          <w:iCs/>
          <w:color w:val="7030A0"/>
        </w:rPr>
        <w:t>Food Policy, 102</w:t>
      </w:r>
      <w:r w:rsidRPr="00C8227A">
        <w:rPr>
          <w:rFonts w:ascii="Times New Roman" w:hAnsi="Times New Roman"/>
          <w:color w:val="7030A0"/>
        </w:rPr>
        <w:t xml:space="preserve">, 102068. </w:t>
      </w:r>
      <w:hyperlink r:id="rId9" w:history="1">
        <w:r w:rsidRPr="00C8227A">
          <w:rPr>
            <w:rStyle w:val="Hyperlink"/>
            <w:rFonts w:ascii="Times New Roman" w:hAnsi="Times New Roman"/>
            <w:color w:val="7030A0"/>
          </w:rPr>
          <w:t>https://doi.org/10.1016/j.foodpol.2021.102068</w:t>
        </w:r>
      </w:hyperlink>
    </w:p>
    <w:p w:rsidR="003E48F9" w:rsidRPr="002C1949" w:rsidRDefault="00677B0D">
      <w:pPr>
        <w:spacing w:line="360" w:lineRule="auto"/>
        <w:ind w:hanging="720"/>
        <w:jc w:val="both"/>
        <w:rPr>
          <w:rFonts w:ascii="Times New Roman" w:hAnsi="Times New Roman"/>
          <w:kern w:val="3"/>
          <w:lang w:eastAsia="en-US"/>
        </w:rPr>
      </w:pPr>
      <w:r w:rsidRPr="002C1949">
        <w:rPr>
          <w:rFonts w:ascii="Times New Roman" w:hAnsi="Times New Roman"/>
          <w:kern w:val="3"/>
          <w:lang w:eastAsia="en-US"/>
        </w:rPr>
        <w:t xml:space="preserve">Balgah, R. A., Vubo, E. Y., &amp; Neba, S. E. (2025). Do Conflicts Influence the Accumulation of Bonding, Bridging, and Linking Social Capital? Insights From Cameroon. </w:t>
      </w:r>
      <w:r w:rsidRPr="002C1949">
        <w:rPr>
          <w:rFonts w:ascii="Times New Roman" w:hAnsi="Times New Roman"/>
          <w:i/>
          <w:iCs/>
          <w:kern w:val="3"/>
          <w:lang w:eastAsia="en-US"/>
        </w:rPr>
        <w:t>Canadian Review of Sociology/Revue canadienne de sociologie</w:t>
      </w:r>
      <w:r w:rsidRPr="002C1949">
        <w:rPr>
          <w:rFonts w:ascii="Times New Roman" w:hAnsi="Times New Roman"/>
          <w:kern w:val="3"/>
          <w:lang w:eastAsia="en-US"/>
        </w:rPr>
        <w:t xml:space="preserve">, </w:t>
      </w:r>
      <w:r w:rsidRPr="002C1949">
        <w:rPr>
          <w:rFonts w:ascii="Times New Roman" w:hAnsi="Times New Roman"/>
          <w:i/>
          <w:iCs/>
          <w:kern w:val="3"/>
          <w:lang w:eastAsia="en-US"/>
        </w:rPr>
        <w:t>62</w:t>
      </w:r>
      <w:r w:rsidRPr="002C1949">
        <w:rPr>
          <w:rFonts w:ascii="Times New Roman" w:hAnsi="Times New Roman"/>
          <w:kern w:val="3"/>
          <w:lang w:eastAsia="en-US"/>
        </w:rPr>
        <w:t>(2), 176-187.https://doi.org/10.1111/cars.70003</w:t>
      </w:r>
    </w:p>
    <w:p w:rsidR="003E48F9" w:rsidRPr="002C1949" w:rsidRDefault="00677B0D">
      <w:pPr>
        <w:spacing w:line="360" w:lineRule="auto"/>
        <w:ind w:hanging="720"/>
        <w:jc w:val="both"/>
        <w:rPr>
          <w:rFonts w:ascii="Times New Roman" w:hAnsi="Times New Roman"/>
        </w:rPr>
      </w:pPr>
      <w:r w:rsidRPr="002C1949">
        <w:rPr>
          <w:rFonts w:ascii="Times New Roman" w:hAnsi="Times New Roman"/>
        </w:rPr>
        <w:t xml:space="preserve">Balu, S., &amp; Singh, D. (2015). The role of social capital in technology adoption and livestock development. </w:t>
      </w:r>
      <w:r w:rsidRPr="002C1949">
        <w:rPr>
          <w:rFonts w:ascii="Times New Roman" w:hAnsi="Times New Roman"/>
          <w:i/>
          <w:iCs/>
        </w:rPr>
        <w:t>Livestock Research for Rural Development, 27</w:t>
      </w:r>
      <w:r w:rsidRPr="002C1949">
        <w:rPr>
          <w:rFonts w:ascii="Times New Roman" w:hAnsi="Times New Roman"/>
        </w:rPr>
        <w:t>(9). http://www.lrrd.org/lrrd27/9/balu27153.htm</w:t>
      </w:r>
    </w:p>
    <w:p w:rsidR="003E48F9" w:rsidRPr="00C8227A" w:rsidRDefault="00677B0D">
      <w:pPr>
        <w:spacing w:line="360" w:lineRule="auto"/>
        <w:ind w:hanging="720"/>
        <w:jc w:val="both"/>
        <w:rPr>
          <w:rFonts w:ascii="Times New Roman" w:hAnsi="Times New Roman"/>
          <w:color w:val="7030A0"/>
        </w:rPr>
      </w:pPr>
      <w:r w:rsidRPr="00C8227A">
        <w:rPr>
          <w:rFonts w:ascii="Times New Roman" w:hAnsi="Times New Roman"/>
          <w:color w:val="7030A0"/>
        </w:rPr>
        <w:t xml:space="preserve">Barham, J., &amp;Chitemi, C. (2009). Collective action initiatives to improve marketing performance: Lessons from farmer groups in Tanzania. </w:t>
      </w:r>
      <w:r w:rsidRPr="00C8227A">
        <w:rPr>
          <w:rFonts w:ascii="Times New Roman" w:hAnsi="Times New Roman"/>
          <w:i/>
          <w:iCs/>
          <w:color w:val="7030A0"/>
        </w:rPr>
        <w:t>Food Policy, 34</w:t>
      </w:r>
      <w:r w:rsidRPr="00C8227A">
        <w:rPr>
          <w:rFonts w:ascii="Times New Roman" w:hAnsi="Times New Roman"/>
          <w:color w:val="7030A0"/>
        </w:rPr>
        <w:t>(1), 53–59. https://doi.org/10.1016/j.foodpol.2008.10.002</w:t>
      </w:r>
    </w:p>
    <w:p w:rsidR="003E48F9" w:rsidRPr="00C8227A" w:rsidRDefault="00677B0D">
      <w:pPr>
        <w:spacing w:line="360" w:lineRule="auto"/>
        <w:ind w:hanging="720"/>
        <w:jc w:val="both"/>
        <w:rPr>
          <w:rFonts w:ascii="Times New Roman" w:hAnsi="Times New Roman"/>
          <w:color w:val="7030A0"/>
        </w:rPr>
      </w:pPr>
      <w:r w:rsidRPr="00C8227A">
        <w:rPr>
          <w:rFonts w:ascii="Times New Roman" w:hAnsi="Times New Roman"/>
          <w:color w:val="7030A0"/>
        </w:rPr>
        <w:t>Bernard, T., &amp; Spielman, D. J. (2009). Reaching the rural poor through rural producer organizations? A study of agricultural marketing cooperatives in Ethiopia. Food Policy, 34(1), 60–69. https://doi.org/10.1016/j.foodpol.2008.08.001</w:t>
      </w:r>
    </w:p>
    <w:p w:rsidR="003E48F9" w:rsidRPr="00C8227A" w:rsidRDefault="00677B0D">
      <w:pPr>
        <w:spacing w:line="360" w:lineRule="auto"/>
        <w:ind w:hanging="720"/>
        <w:jc w:val="both"/>
        <w:rPr>
          <w:rFonts w:ascii="Times New Roman" w:hAnsi="Times New Roman"/>
          <w:color w:val="7030A0"/>
        </w:rPr>
      </w:pPr>
      <w:r w:rsidRPr="00C8227A">
        <w:rPr>
          <w:rFonts w:ascii="Times New Roman" w:hAnsi="Times New Roman"/>
          <w:color w:val="7030A0"/>
        </w:rPr>
        <w:lastRenderedPageBreak/>
        <w:t xml:space="preserve">Bernard, T., Spielman, D. J., Taffesse, A. S., &amp;Gabre-Madhin, E. Z. (2010). Cooperatives for staple crop marketing: Evidence from Ethiopia (IFPRI Research Report 164). </w:t>
      </w:r>
      <w:r w:rsidRPr="00C8227A">
        <w:rPr>
          <w:rFonts w:ascii="Times New Roman" w:hAnsi="Times New Roman"/>
          <w:i/>
          <w:iCs/>
          <w:color w:val="7030A0"/>
        </w:rPr>
        <w:t>International Food Policy Research Institute</w:t>
      </w:r>
      <w:r w:rsidRPr="00C8227A">
        <w:rPr>
          <w:rFonts w:ascii="Times New Roman" w:hAnsi="Times New Roman"/>
          <w:color w:val="7030A0"/>
        </w:rPr>
        <w:t>. https://doi.org/10.2499/9780896291751RR164</w:t>
      </w:r>
    </w:p>
    <w:p w:rsidR="003E48F9" w:rsidRPr="00C8227A" w:rsidRDefault="00677B0D">
      <w:pPr>
        <w:spacing w:line="360" w:lineRule="auto"/>
        <w:ind w:hanging="720"/>
        <w:jc w:val="both"/>
        <w:rPr>
          <w:rFonts w:ascii="Times New Roman" w:hAnsi="Times New Roman"/>
          <w:color w:val="7030A0"/>
        </w:rPr>
      </w:pPr>
      <w:r w:rsidRPr="00C8227A">
        <w:rPr>
          <w:rFonts w:ascii="Times New Roman" w:hAnsi="Times New Roman"/>
          <w:color w:val="7030A0"/>
        </w:rPr>
        <w:t xml:space="preserve">Bhuyan, S. (2007). The people factor in cooperatives: An analysis of members’ attitudes and behavior. </w:t>
      </w:r>
      <w:r w:rsidRPr="00C8227A">
        <w:rPr>
          <w:rFonts w:ascii="Times New Roman" w:hAnsi="Times New Roman"/>
          <w:i/>
          <w:iCs/>
          <w:color w:val="7030A0"/>
        </w:rPr>
        <w:t>Canadian Journal of Agricultural Economics / Revue canadienned’agroeconomie, 55</w:t>
      </w:r>
      <w:r w:rsidRPr="00C8227A">
        <w:rPr>
          <w:rFonts w:ascii="Times New Roman" w:hAnsi="Times New Roman"/>
          <w:color w:val="7030A0"/>
        </w:rPr>
        <w:t>(3), 275–298. https://doi.org/10.1111/j.1744-7976.2007.00092.x</w:t>
      </w:r>
    </w:p>
    <w:p w:rsidR="003E48F9" w:rsidRPr="002C1949" w:rsidRDefault="00677B0D">
      <w:pPr>
        <w:spacing w:line="360" w:lineRule="auto"/>
        <w:ind w:hanging="720"/>
        <w:jc w:val="both"/>
        <w:rPr>
          <w:rFonts w:ascii="Times New Roman" w:hAnsi="Times New Roman"/>
        </w:rPr>
      </w:pPr>
      <w:r w:rsidRPr="002C1949">
        <w:rPr>
          <w:rFonts w:ascii="Times New Roman" w:hAnsi="Times New Roman"/>
        </w:rPr>
        <w:t xml:space="preserve">Bijman, J. (2016). The changing nature of farmer collective action: Introduction. In J. Bijman, R. Muradian, &amp; J. Schuurman (Eds.), Cooperatives, economic democratization and rural development (pp. 1–22). </w:t>
      </w:r>
      <w:r w:rsidRPr="002C1949">
        <w:rPr>
          <w:rFonts w:ascii="Times New Roman" w:hAnsi="Times New Roman"/>
          <w:i/>
          <w:iCs/>
        </w:rPr>
        <w:t>Edward Elgar</w:t>
      </w:r>
      <w:r w:rsidRPr="002C1949">
        <w:rPr>
          <w:rFonts w:ascii="Times New Roman" w:hAnsi="Times New Roman"/>
        </w:rPr>
        <w:t>. https://doi.org/10.4337/9781784719388.00007</w:t>
      </w:r>
    </w:p>
    <w:p w:rsidR="003E48F9" w:rsidRPr="00C8227A" w:rsidRDefault="00677B0D">
      <w:pPr>
        <w:spacing w:line="360" w:lineRule="auto"/>
        <w:ind w:hanging="720"/>
        <w:jc w:val="both"/>
        <w:rPr>
          <w:rFonts w:ascii="Times New Roman" w:hAnsi="Times New Roman"/>
          <w:color w:val="7030A0"/>
        </w:rPr>
      </w:pPr>
      <w:r w:rsidRPr="00C8227A">
        <w:rPr>
          <w:rFonts w:ascii="Times New Roman" w:hAnsi="Times New Roman"/>
          <w:color w:val="7030A0"/>
        </w:rPr>
        <w:t xml:space="preserve">Bijman, J., &amp; Iliopoulos, C. (2014). Farmers’ cooperatives in the European Union: Policies, strategies and organization. </w:t>
      </w:r>
      <w:r w:rsidRPr="00C8227A">
        <w:rPr>
          <w:rFonts w:ascii="Times New Roman" w:hAnsi="Times New Roman"/>
          <w:i/>
          <w:iCs/>
          <w:color w:val="7030A0"/>
        </w:rPr>
        <w:t>Annals of Public and Cooperative Economics, 85</w:t>
      </w:r>
      <w:r w:rsidRPr="00C8227A">
        <w:rPr>
          <w:rFonts w:ascii="Times New Roman" w:hAnsi="Times New Roman"/>
          <w:color w:val="7030A0"/>
        </w:rPr>
        <w:t>(4), 497–508. https://doi.org/10.1111/apce.12048</w:t>
      </w:r>
    </w:p>
    <w:p w:rsidR="003E48F9" w:rsidRPr="00C8227A" w:rsidRDefault="00677B0D">
      <w:pPr>
        <w:spacing w:line="360" w:lineRule="auto"/>
        <w:ind w:hanging="720"/>
        <w:jc w:val="both"/>
        <w:rPr>
          <w:rFonts w:ascii="Times New Roman" w:hAnsi="Times New Roman"/>
          <w:color w:val="7030A0"/>
        </w:rPr>
      </w:pPr>
      <w:r w:rsidRPr="00C8227A">
        <w:rPr>
          <w:rFonts w:ascii="Times New Roman" w:hAnsi="Times New Roman"/>
          <w:color w:val="7030A0"/>
        </w:rPr>
        <w:t xml:space="preserve">Bingen, J., Carney, D., &amp; Thompson, G. (2003). The role of farmer organizations in the sustainable development of the cocoa sector in Ghana: A critical review. </w:t>
      </w:r>
      <w:r w:rsidRPr="00C8227A">
        <w:rPr>
          <w:rFonts w:ascii="Times New Roman" w:hAnsi="Times New Roman"/>
          <w:i/>
          <w:iCs/>
          <w:color w:val="7030A0"/>
        </w:rPr>
        <w:t>Development in Practice, 13</w:t>
      </w:r>
      <w:r w:rsidRPr="00C8227A">
        <w:rPr>
          <w:rFonts w:ascii="Times New Roman" w:hAnsi="Times New Roman"/>
          <w:color w:val="7030A0"/>
        </w:rPr>
        <w:t>(3), 317–325. https://doi.org/10.1080/0961452032000122470</w:t>
      </w:r>
    </w:p>
    <w:p w:rsidR="003E48F9" w:rsidRPr="00C8227A" w:rsidRDefault="00677B0D">
      <w:pPr>
        <w:spacing w:line="360" w:lineRule="auto"/>
        <w:ind w:hanging="720"/>
        <w:jc w:val="both"/>
        <w:rPr>
          <w:rFonts w:ascii="Times New Roman" w:hAnsi="Times New Roman"/>
          <w:color w:val="7030A0"/>
        </w:rPr>
      </w:pPr>
      <w:r w:rsidRPr="00C8227A">
        <w:rPr>
          <w:rFonts w:ascii="Times New Roman" w:hAnsi="Times New Roman"/>
          <w:color w:val="7030A0"/>
        </w:rPr>
        <w:t xml:space="preserve">Bizikova, L., Nkonya, E., Minah, M., Hanisch, M., Turaga, R. M., Ifejika Speranza, C., … Timmers, B. (2020). A scoping review of the contributions of farmers’ organizations to smallholder agriculture. </w:t>
      </w:r>
      <w:r w:rsidRPr="00C8227A">
        <w:rPr>
          <w:rFonts w:ascii="Times New Roman" w:hAnsi="Times New Roman"/>
          <w:i/>
          <w:iCs/>
          <w:color w:val="7030A0"/>
        </w:rPr>
        <w:t>Nature Food, 1</w:t>
      </w:r>
      <w:r w:rsidRPr="00C8227A">
        <w:rPr>
          <w:rFonts w:ascii="Times New Roman" w:hAnsi="Times New Roman"/>
          <w:color w:val="7030A0"/>
        </w:rPr>
        <w:t>, 642–652. https://doi.org/10.1038/s43016-020-00164-x</w:t>
      </w:r>
    </w:p>
    <w:p w:rsidR="003E48F9" w:rsidRPr="00C8227A" w:rsidRDefault="00677B0D">
      <w:pPr>
        <w:spacing w:line="360" w:lineRule="auto"/>
        <w:ind w:hanging="72"/>
        <w:jc w:val="both"/>
        <w:rPr>
          <w:rFonts w:ascii="Times New Roman" w:hAnsi="Times New Roman"/>
          <w:color w:val="7030A0"/>
        </w:rPr>
      </w:pPr>
      <w:r w:rsidRPr="00C8227A">
        <w:rPr>
          <w:rFonts w:ascii="Times New Roman" w:hAnsi="Times New Roman"/>
          <w:color w:val="7030A0"/>
        </w:rPr>
        <w:t>Chamala, S., &amp; Shingi, P. M. (1997). Establishing and strengthening farmer organizations. In B. E. Swanson, R. P. Bentz, &amp; A. J. Sofranko (Eds.),</w:t>
      </w:r>
      <w:r w:rsidRPr="00C8227A">
        <w:rPr>
          <w:rFonts w:ascii="Times New Roman" w:hAnsi="Times New Roman"/>
          <w:i/>
          <w:color w:val="7030A0"/>
        </w:rPr>
        <w:t xml:space="preserve"> Improving agricultural extension: A reference manual.</w:t>
      </w:r>
      <w:r w:rsidRPr="00C8227A">
        <w:rPr>
          <w:rFonts w:ascii="Times New Roman" w:hAnsi="Times New Roman"/>
          <w:color w:val="7030A0"/>
        </w:rPr>
        <w:t xml:space="preserve"> City: Food and Agriculture Organization of the United Nations. https://www.fao.org/3/w5830e/w5830e0n.htm</w:t>
      </w:r>
    </w:p>
    <w:p w:rsidR="003E48F9" w:rsidRPr="00C8227A" w:rsidRDefault="00677B0D">
      <w:pPr>
        <w:spacing w:line="360" w:lineRule="auto"/>
        <w:ind w:hanging="720"/>
        <w:jc w:val="both"/>
        <w:rPr>
          <w:rFonts w:ascii="Times New Roman" w:hAnsi="Times New Roman"/>
          <w:color w:val="7030A0"/>
          <w:lang w:val="en-GB"/>
        </w:rPr>
      </w:pPr>
      <w:r w:rsidRPr="00C8227A">
        <w:rPr>
          <w:rFonts w:ascii="Times New Roman" w:hAnsi="Times New Roman"/>
          <w:color w:val="7030A0"/>
        </w:rPr>
        <w:t xml:space="preserve">Chambers, R. (1994). The origins and practice of participatory rural appraisal. </w:t>
      </w:r>
      <w:r w:rsidRPr="00C8227A">
        <w:rPr>
          <w:rFonts w:ascii="Times New Roman" w:hAnsi="Times New Roman"/>
          <w:i/>
          <w:iCs/>
          <w:color w:val="7030A0"/>
        </w:rPr>
        <w:t>World Development, 22</w:t>
      </w:r>
      <w:r w:rsidRPr="00C8227A">
        <w:rPr>
          <w:rFonts w:ascii="Times New Roman" w:hAnsi="Times New Roman"/>
          <w:color w:val="7030A0"/>
        </w:rPr>
        <w:t>(7), 953–969. https://doi.org/10.1016/0305-750X(94)90141-4</w:t>
      </w:r>
    </w:p>
    <w:p w:rsidR="003E48F9" w:rsidRPr="00C8227A" w:rsidRDefault="00677B0D">
      <w:pPr>
        <w:spacing w:line="360" w:lineRule="auto"/>
        <w:ind w:hanging="720"/>
        <w:jc w:val="both"/>
        <w:rPr>
          <w:rFonts w:ascii="Times New Roman" w:hAnsi="Times New Roman"/>
          <w:color w:val="7030A0"/>
        </w:rPr>
      </w:pPr>
      <w:r w:rsidRPr="00C8227A">
        <w:rPr>
          <w:rFonts w:ascii="Times New Roman" w:hAnsi="Times New Roman"/>
          <w:color w:val="7030A0"/>
        </w:rPr>
        <w:t>Davis, K. (2008). Extension in sub-Saharan Africa: A background paper prepared for the World Development Report. The World Bank. http://siteresources.worldbank.org/EXTARD/Resources/336681-1205976733710/ADB_WDR2008_BackgroundPaper_Davis.pdf</w:t>
      </w:r>
    </w:p>
    <w:p w:rsidR="003E48F9" w:rsidRPr="00C8227A" w:rsidRDefault="00677B0D">
      <w:pPr>
        <w:spacing w:line="360" w:lineRule="auto"/>
        <w:ind w:hanging="720"/>
        <w:jc w:val="both"/>
        <w:rPr>
          <w:rFonts w:ascii="Times New Roman" w:hAnsi="Times New Roman"/>
          <w:color w:val="7030A0"/>
        </w:rPr>
      </w:pPr>
      <w:r w:rsidRPr="00C8227A">
        <w:rPr>
          <w:rFonts w:ascii="Times New Roman" w:hAnsi="Times New Roman"/>
          <w:color w:val="7030A0"/>
        </w:rPr>
        <w:lastRenderedPageBreak/>
        <w:t xml:space="preserve">Davis, K., Nkonya, E., Kato, E., Mekonnen, D. A., Odendo, M., Miiro, R., &amp;Nkuba, J. (2012). Impact of farmer field schools on agricultural productivity and poverty in East Africa. </w:t>
      </w:r>
      <w:r w:rsidRPr="00C8227A">
        <w:rPr>
          <w:rFonts w:ascii="Times New Roman" w:hAnsi="Times New Roman"/>
          <w:i/>
          <w:iCs/>
          <w:color w:val="7030A0"/>
        </w:rPr>
        <w:t>World Development, 40</w:t>
      </w:r>
      <w:r w:rsidRPr="00C8227A">
        <w:rPr>
          <w:rFonts w:ascii="Times New Roman" w:hAnsi="Times New Roman"/>
          <w:color w:val="7030A0"/>
        </w:rPr>
        <w:t>(2), 402–413. https://doi.org/10.1016/j.worlddev.2011.05.019</w:t>
      </w:r>
    </w:p>
    <w:p w:rsidR="003E48F9" w:rsidRPr="00C8227A" w:rsidRDefault="00677B0D">
      <w:pPr>
        <w:spacing w:line="360" w:lineRule="auto"/>
        <w:ind w:hanging="720"/>
        <w:jc w:val="both"/>
        <w:rPr>
          <w:rFonts w:ascii="Times New Roman" w:hAnsi="Times New Roman"/>
          <w:color w:val="7030A0"/>
        </w:rPr>
      </w:pPr>
      <w:r w:rsidRPr="00C8227A">
        <w:rPr>
          <w:rFonts w:ascii="Times New Roman" w:hAnsi="Times New Roman"/>
          <w:color w:val="7030A0"/>
        </w:rPr>
        <w:t xml:space="preserve">Donkor, E., Amegbe, E. D., Ratinger, T., &amp;Hejkrlik, J. (2023). The effect of producer groups on the productivity and technical efficiency of smallholder cocoa farmers in Ghana. </w:t>
      </w:r>
      <w:r w:rsidRPr="00C8227A">
        <w:rPr>
          <w:rFonts w:ascii="Times New Roman" w:hAnsi="Times New Roman"/>
          <w:i/>
          <w:iCs/>
          <w:color w:val="7030A0"/>
        </w:rPr>
        <w:t>PLOS ONE, 18,</w:t>
      </w:r>
      <w:r w:rsidRPr="00C8227A">
        <w:rPr>
          <w:rFonts w:ascii="Times New Roman" w:hAnsi="Times New Roman"/>
          <w:color w:val="7030A0"/>
        </w:rPr>
        <w:t xml:space="preserve"> e0294716. https://doi.org/10.1371/journal.pone.0294716</w:t>
      </w:r>
    </w:p>
    <w:p w:rsidR="003E48F9" w:rsidRPr="00C8227A" w:rsidRDefault="00677B0D">
      <w:pPr>
        <w:spacing w:line="360" w:lineRule="auto"/>
        <w:ind w:hanging="720"/>
        <w:jc w:val="both"/>
        <w:rPr>
          <w:rFonts w:ascii="Times New Roman" w:hAnsi="Times New Roman"/>
          <w:color w:val="7030A0"/>
        </w:rPr>
      </w:pPr>
      <w:r w:rsidRPr="00C8227A">
        <w:rPr>
          <w:rFonts w:ascii="Times New Roman" w:hAnsi="Times New Roman"/>
          <w:color w:val="7030A0"/>
        </w:rPr>
        <w:t xml:space="preserve">Doss, C. (2006). Analyzing technology adoption using microstudies: Limitations, challenges, and opportunities for improvement. </w:t>
      </w:r>
      <w:r w:rsidRPr="00C8227A">
        <w:rPr>
          <w:rFonts w:ascii="Times New Roman" w:hAnsi="Times New Roman"/>
          <w:i/>
          <w:iCs/>
          <w:color w:val="7030A0"/>
        </w:rPr>
        <w:t>Agricultural Economics, 34</w:t>
      </w:r>
      <w:r w:rsidRPr="00C8227A">
        <w:rPr>
          <w:rFonts w:ascii="Times New Roman" w:hAnsi="Times New Roman"/>
          <w:color w:val="7030A0"/>
        </w:rPr>
        <w:t>(3), 207–219. https://doi.org/10.1111/j.1574-0864.2006.00119.x</w:t>
      </w:r>
    </w:p>
    <w:p w:rsidR="003E48F9" w:rsidRPr="002C1949" w:rsidRDefault="00677B0D">
      <w:pPr>
        <w:spacing w:line="360" w:lineRule="auto"/>
        <w:ind w:hanging="720"/>
        <w:jc w:val="both"/>
        <w:rPr>
          <w:rFonts w:ascii="Times New Roman" w:hAnsi="Times New Roman"/>
        </w:rPr>
      </w:pPr>
      <w:r w:rsidRPr="002C1949">
        <w:rPr>
          <w:rFonts w:ascii="Times New Roman" w:hAnsi="Times New Roman"/>
        </w:rPr>
        <w:t xml:space="preserve">Hailu, G., Weersink, A., &amp; Minten, B. (2015). Rural organizations, agricultural technologies and production efficiency of teff in Ethiopia (IAAE conference paper / working paper). Available via AgeconSearch / RePEc: https://ageconsearch.umn.edu/record/211702 </w:t>
      </w:r>
    </w:p>
    <w:p w:rsidR="003E48F9" w:rsidRPr="00C8227A" w:rsidRDefault="00677B0D">
      <w:pPr>
        <w:spacing w:line="360" w:lineRule="auto"/>
        <w:ind w:hanging="720"/>
        <w:jc w:val="both"/>
        <w:rPr>
          <w:rFonts w:ascii="Times New Roman" w:hAnsi="Times New Roman"/>
          <w:color w:val="7030A0"/>
        </w:rPr>
      </w:pPr>
      <w:r w:rsidRPr="00C8227A">
        <w:rPr>
          <w:rFonts w:ascii="Times New Roman" w:hAnsi="Times New Roman"/>
          <w:color w:val="7030A0"/>
        </w:rPr>
        <w:t xml:space="preserve">Kadzamira, M., Chege, F., Suntharalingam, C., et al. (2024). African women and young people as agriculture service providers—business models, benefits, gaps and opportunities. </w:t>
      </w:r>
      <w:r w:rsidRPr="00C8227A">
        <w:rPr>
          <w:rFonts w:ascii="Times New Roman" w:hAnsi="Times New Roman"/>
          <w:i/>
          <w:iCs/>
          <w:color w:val="7030A0"/>
        </w:rPr>
        <w:t>CABI Agriculture and Bioscience, 5</w:t>
      </w:r>
      <w:r w:rsidRPr="00C8227A">
        <w:rPr>
          <w:rFonts w:ascii="Times New Roman" w:hAnsi="Times New Roman"/>
          <w:color w:val="7030A0"/>
        </w:rPr>
        <w:t>, 24.</w:t>
      </w:r>
    </w:p>
    <w:p w:rsidR="003E48F9" w:rsidRPr="00C8227A" w:rsidRDefault="00677B0D">
      <w:pPr>
        <w:spacing w:line="360" w:lineRule="auto"/>
        <w:ind w:hanging="720"/>
        <w:jc w:val="both"/>
        <w:rPr>
          <w:rFonts w:ascii="Times New Roman" w:hAnsi="Times New Roman"/>
          <w:color w:val="7030A0"/>
        </w:rPr>
      </w:pPr>
      <w:r w:rsidRPr="00C8227A">
        <w:rPr>
          <w:rFonts w:ascii="Times New Roman" w:hAnsi="Times New Roman"/>
          <w:color w:val="7030A0"/>
        </w:rPr>
        <w:t xml:space="preserve">Kampmann, W., &amp; Kirui, O. K. (2021). Role of farmers’ organizations in agricultural transformation in Africa. ZEF Working Paper 205, </w:t>
      </w:r>
      <w:r w:rsidRPr="00C8227A">
        <w:rPr>
          <w:rFonts w:ascii="Times New Roman" w:hAnsi="Times New Roman"/>
          <w:i/>
          <w:iCs/>
          <w:color w:val="7030A0"/>
        </w:rPr>
        <w:t>Center for Development Research, University of Bonn.</w:t>
      </w:r>
      <w:r w:rsidRPr="00C8227A">
        <w:rPr>
          <w:rFonts w:ascii="Times New Roman" w:hAnsi="Times New Roman"/>
          <w:color w:val="7030A0"/>
        </w:rPr>
        <w:t xml:space="preserve"> https://www.econstor.eu/handle/10419/246474</w:t>
      </w:r>
    </w:p>
    <w:p w:rsidR="003E48F9" w:rsidRPr="00C8227A" w:rsidRDefault="00677B0D">
      <w:pPr>
        <w:spacing w:line="360" w:lineRule="auto"/>
        <w:ind w:hanging="720"/>
        <w:jc w:val="both"/>
        <w:rPr>
          <w:rFonts w:ascii="Times New Roman" w:hAnsi="Times New Roman"/>
          <w:color w:val="7030A0"/>
        </w:rPr>
      </w:pPr>
      <w:r w:rsidRPr="00C8227A">
        <w:rPr>
          <w:rFonts w:ascii="Times New Roman" w:hAnsi="Times New Roman"/>
          <w:color w:val="7030A0"/>
        </w:rPr>
        <w:t xml:space="preserve">KIT Royal Tropical Institute. (2018). Demystifying the cocoa sector in Cote d’Ivoire and Ghana: </w:t>
      </w:r>
      <w:r w:rsidRPr="00C8227A">
        <w:rPr>
          <w:rFonts w:ascii="Times New Roman" w:hAnsi="Times New Roman"/>
          <w:i/>
          <w:iCs/>
          <w:color w:val="7030A0"/>
        </w:rPr>
        <w:t>Desk research (KIT Report)</w:t>
      </w:r>
      <w:r w:rsidRPr="00C8227A">
        <w:rPr>
          <w:rFonts w:ascii="Times New Roman" w:hAnsi="Times New Roman"/>
          <w:color w:val="7030A0"/>
        </w:rPr>
        <w:t>. https://www.kit.nl/wp-content/uploads/2018/11/Cocoa-desk-research-Cedric-Steijn-1.pdf</w:t>
      </w:r>
    </w:p>
    <w:p w:rsidR="003E48F9" w:rsidRPr="002C1949" w:rsidRDefault="00677B0D">
      <w:pPr>
        <w:spacing w:line="360" w:lineRule="auto"/>
        <w:ind w:hanging="720"/>
        <w:jc w:val="both"/>
        <w:rPr>
          <w:rFonts w:ascii="Times New Roman" w:hAnsi="Times New Roman"/>
        </w:rPr>
      </w:pPr>
      <w:r w:rsidRPr="002C1949">
        <w:rPr>
          <w:rFonts w:ascii="Times New Roman" w:hAnsi="Times New Roman"/>
        </w:rPr>
        <w:t xml:space="preserve">Lee, H. B., McNamara, P. E., &amp; Ho, H. (2023). Road accessibility and agricultural extension services in Malawi. </w:t>
      </w:r>
      <w:r w:rsidRPr="002C1949">
        <w:rPr>
          <w:rFonts w:ascii="Times New Roman" w:hAnsi="Times New Roman"/>
          <w:i/>
          <w:iCs/>
        </w:rPr>
        <w:t>Agriculture &amp; Food Security, 12</w:t>
      </w:r>
      <w:r w:rsidRPr="002C1949">
        <w:rPr>
          <w:rFonts w:ascii="Times New Roman" w:hAnsi="Times New Roman"/>
        </w:rPr>
        <w:t>, Article 3. https://doi.org/10.1186/s40066-023-00410-y</w:t>
      </w:r>
    </w:p>
    <w:p w:rsidR="003E48F9" w:rsidRPr="00C8227A" w:rsidRDefault="00677B0D">
      <w:pPr>
        <w:spacing w:line="360" w:lineRule="auto"/>
        <w:ind w:hanging="720"/>
        <w:jc w:val="both"/>
        <w:rPr>
          <w:rFonts w:ascii="Times New Roman" w:hAnsi="Times New Roman"/>
          <w:color w:val="7030A0"/>
        </w:rPr>
      </w:pPr>
      <w:r w:rsidRPr="00C8227A">
        <w:rPr>
          <w:rFonts w:ascii="Times New Roman" w:hAnsi="Times New Roman"/>
          <w:color w:val="7030A0"/>
        </w:rPr>
        <w:t xml:space="preserve">Marenya, P. P., &amp; Barrett, C. B. (2007). Household-level determinants of adoption of improved natural resources management practices among smallholder farmers in western Kenya. </w:t>
      </w:r>
      <w:r w:rsidRPr="00C8227A">
        <w:rPr>
          <w:rFonts w:ascii="Times New Roman" w:hAnsi="Times New Roman"/>
          <w:i/>
          <w:iCs/>
          <w:color w:val="7030A0"/>
        </w:rPr>
        <w:t>Food Policy, 32</w:t>
      </w:r>
      <w:r w:rsidRPr="00C8227A">
        <w:rPr>
          <w:rFonts w:ascii="Times New Roman" w:hAnsi="Times New Roman"/>
          <w:color w:val="7030A0"/>
        </w:rPr>
        <w:t>(4), 515–536. https://doi.org/10.1016/j.foodpol.2006.10.002</w:t>
      </w:r>
    </w:p>
    <w:p w:rsidR="003E48F9" w:rsidRPr="002C1949" w:rsidRDefault="00677B0D">
      <w:pPr>
        <w:spacing w:line="360" w:lineRule="auto"/>
        <w:ind w:hanging="720"/>
        <w:jc w:val="both"/>
        <w:rPr>
          <w:rFonts w:ascii="Times New Roman" w:hAnsi="Times New Roman"/>
        </w:rPr>
      </w:pPr>
      <w:r w:rsidRPr="002C1949">
        <w:rPr>
          <w:rFonts w:ascii="Times New Roman" w:hAnsi="Times New Roman"/>
        </w:rPr>
        <w:t xml:space="preserve">Mbatha, M. W., &amp; Olorunfemi, M. (2024). The provision of agricultural extension services to rural farmers as a strategy to improve agricultural practices in South Africa. </w:t>
      </w:r>
      <w:r w:rsidRPr="002C1949">
        <w:rPr>
          <w:rFonts w:ascii="Times New Roman" w:hAnsi="Times New Roman"/>
          <w:i/>
          <w:iCs/>
        </w:rPr>
        <w:t>South African Journal of Agricultural Extension, 52</w:t>
      </w:r>
      <w:r w:rsidRPr="002C1949">
        <w:rPr>
          <w:rFonts w:ascii="Times New Roman" w:hAnsi="Times New Roman"/>
        </w:rPr>
        <w:t>(1), 1‑19.</w:t>
      </w:r>
    </w:p>
    <w:p w:rsidR="003E48F9" w:rsidRPr="002C1949" w:rsidRDefault="00677B0D">
      <w:pPr>
        <w:spacing w:line="360" w:lineRule="auto"/>
        <w:ind w:hanging="720"/>
        <w:jc w:val="both"/>
        <w:rPr>
          <w:rFonts w:ascii="Times New Roman" w:hAnsi="Times New Roman"/>
        </w:rPr>
      </w:pPr>
      <w:r w:rsidRPr="002C1949">
        <w:rPr>
          <w:rFonts w:ascii="Times New Roman" w:hAnsi="Times New Roman"/>
        </w:rPr>
        <w:lastRenderedPageBreak/>
        <w:t xml:space="preserve">Meriki, H. D., Adiobo, A., Awa‑Mengi, S., TatahKihla Akoachere, J.‑F., &amp; Titanji, V. P. K. (2015). Post‑harvest practices and farmers’ perception of cocoa bean quality in Cameroon. </w:t>
      </w:r>
      <w:r w:rsidRPr="002C1949">
        <w:rPr>
          <w:rFonts w:ascii="Times New Roman" w:hAnsi="Times New Roman"/>
          <w:i/>
          <w:iCs/>
        </w:rPr>
        <w:t>Agriculture &amp; Food Security, 4</w:t>
      </w:r>
      <w:r w:rsidRPr="002C1949">
        <w:rPr>
          <w:rFonts w:ascii="Times New Roman" w:hAnsi="Times New Roman"/>
        </w:rPr>
        <w:t>, 28. https://doi.org/10.1186/s40066‑015‑0047‑z</w:t>
      </w:r>
    </w:p>
    <w:p w:rsidR="003E48F9" w:rsidRPr="002C1949" w:rsidRDefault="00677B0D">
      <w:pPr>
        <w:spacing w:line="360" w:lineRule="auto"/>
        <w:ind w:hanging="720"/>
        <w:jc w:val="both"/>
        <w:rPr>
          <w:rFonts w:ascii="Times New Roman" w:hAnsi="Times New Roman"/>
        </w:rPr>
      </w:pPr>
      <w:r w:rsidRPr="002C1949">
        <w:rPr>
          <w:rFonts w:ascii="Times New Roman" w:hAnsi="Times New Roman"/>
        </w:rPr>
        <w:t xml:space="preserve">Mugari, E., Mathebula, N., Mogale, T. E., Mamabolo, E., Mashala, M. J., Mabitsela, K., &amp; Ayisi, K. K. (2025). Influence of public agricultural extension services on sustainable land management practice adoption among smallholder farmers in FetakgomoTubatse Local Municipality, South Africa. </w:t>
      </w:r>
      <w:r w:rsidRPr="002C1949">
        <w:rPr>
          <w:rFonts w:ascii="Times New Roman" w:hAnsi="Times New Roman"/>
          <w:i/>
          <w:iCs/>
        </w:rPr>
        <w:t>Frontiers in Sustainable Food Systems, 9</w:t>
      </w:r>
      <w:r w:rsidRPr="002C1949">
        <w:rPr>
          <w:rFonts w:ascii="Times New Roman" w:hAnsi="Times New Roman"/>
        </w:rPr>
        <w:t>, Article 1618938.</w:t>
      </w:r>
    </w:p>
    <w:p w:rsidR="003E48F9" w:rsidRPr="002C1949" w:rsidRDefault="00677B0D">
      <w:pPr>
        <w:spacing w:line="360" w:lineRule="auto"/>
        <w:ind w:hanging="720"/>
        <w:jc w:val="both"/>
        <w:rPr>
          <w:rFonts w:ascii="Times New Roman" w:hAnsi="Times New Roman"/>
        </w:rPr>
      </w:pPr>
      <w:r w:rsidRPr="002C1949">
        <w:rPr>
          <w:rFonts w:ascii="Times New Roman" w:hAnsi="Times New Roman"/>
        </w:rPr>
        <w:t>Mwangi, S. (2024, January 10). Strong governance makes smallholder farmer organisations vital partners. IIED Insight. International Institute for Environment and Development. https://www.iied.org/strong-governance-makes-smallholder-farmer-organisations-vital-partners</w:t>
      </w:r>
    </w:p>
    <w:p w:rsidR="003E48F9" w:rsidRPr="00C8227A" w:rsidRDefault="00677B0D">
      <w:pPr>
        <w:spacing w:line="360" w:lineRule="auto"/>
        <w:ind w:hanging="720"/>
        <w:jc w:val="both"/>
        <w:rPr>
          <w:rFonts w:ascii="Times New Roman" w:hAnsi="Times New Roman"/>
          <w:strike/>
          <w:color w:val="FF0000"/>
        </w:rPr>
      </w:pPr>
      <w:r w:rsidRPr="00C8227A">
        <w:rPr>
          <w:rFonts w:ascii="Times New Roman" w:hAnsi="Times New Roman"/>
          <w:strike/>
          <w:color w:val="FF0000"/>
        </w:rPr>
        <w:t>NovasSomanje, A., et al. (2021). Agricultural extension services and household welfare: evidence from Ghana socioeconomic panel survey</w:t>
      </w:r>
      <w:r w:rsidRPr="00C8227A">
        <w:rPr>
          <w:rFonts w:ascii="Times New Roman" w:hAnsi="Times New Roman"/>
          <w:i/>
          <w:iCs/>
          <w:strike/>
          <w:color w:val="FF0000"/>
        </w:rPr>
        <w:t>. Agricultural and Food Economics.</w:t>
      </w:r>
    </w:p>
    <w:p w:rsidR="003E48F9" w:rsidRPr="002C1949" w:rsidRDefault="00677B0D">
      <w:pPr>
        <w:spacing w:line="360" w:lineRule="auto"/>
        <w:ind w:hanging="720"/>
        <w:jc w:val="both"/>
        <w:rPr>
          <w:rFonts w:ascii="Times New Roman" w:hAnsi="Times New Roman"/>
        </w:rPr>
      </w:pPr>
      <w:r w:rsidRPr="002C1949">
        <w:rPr>
          <w:rFonts w:ascii="Times New Roman" w:hAnsi="Times New Roman"/>
        </w:rPr>
        <w:t xml:space="preserve">Obeng Agyei, R., Amankwah, K., Tham-Agyekum, E. K., Narh, E., Quaye, J., &amp; Bakang, J.-E. (2023). Unveiling the Nexus: How Extension Delivery Methods Drive the Adoption of Improved Agronomic Practices among Cocoa Farmers in the Bono Region. </w:t>
      </w:r>
      <w:r w:rsidRPr="002C1949">
        <w:rPr>
          <w:rFonts w:ascii="Times New Roman" w:hAnsi="Times New Roman"/>
          <w:i/>
          <w:iCs/>
        </w:rPr>
        <w:t>International Journal on Food, Agriculture and Natural Resources, 5</w:t>
      </w:r>
      <w:r w:rsidRPr="002C1949">
        <w:rPr>
          <w:rFonts w:ascii="Times New Roman" w:hAnsi="Times New Roman"/>
        </w:rPr>
        <w:t>(1). [Available at: https://journal.fanres.org/index.php/IJFANRES/article/view/189]</w:t>
      </w:r>
    </w:p>
    <w:p w:rsidR="003E48F9" w:rsidRPr="002C1949" w:rsidRDefault="00677B0D">
      <w:pPr>
        <w:spacing w:line="360" w:lineRule="auto"/>
        <w:ind w:hanging="720"/>
        <w:jc w:val="both"/>
        <w:rPr>
          <w:rFonts w:ascii="Times New Roman" w:hAnsi="Times New Roman"/>
        </w:rPr>
      </w:pPr>
      <w:r w:rsidRPr="002C1949">
        <w:rPr>
          <w:rFonts w:ascii="Times New Roman" w:hAnsi="Times New Roman"/>
        </w:rPr>
        <w:t xml:space="preserve">Ouerghemmi, H., Frija, A., Souissi, A., Carpentier, I., Shiri, Z., Dhehibi, B., &amp; Rejeb, H. (2024). Are farmer organisations effective intermediaries and facilitators of agricultural innovation processes? Evidence from Tunisia. </w:t>
      </w:r>
      <w:r w:rsidRPr="002C1949">
        <w:rPr>
          <w:rFonts w:ascii="Times New Roman" w:hAnsi="Times New Roman"/>
          <w:i/>
          <w:iCs/>
        </w:rPr>
        <w:t>Frontiers in Sustainable Food Systems,</w:t>
      </w:r>
      <w:r w:rsidRPr="002C1949">
        <w:rPr>
          <w:rFonts w:ascii="Times New Roman" w:hAnsi="Times New Roman"/>
        </w:rPr>
        <w:t xml:space="preserve"> 8, Article 1440086.</w:t>
      </w:r>
    </w:p>
    <w:p w:rsidR="003E48F9" w:rsidRPr="00C8227A" w:rsidRDefault="00677B0D">
      <w:pPr>
        <w:spacing w:line="360" w:lineRule="auto"/>
        <w:ind w:hanging="720"/>
        <w:jc w:val="both"/>
        <w:rPr>
          <w:rFonts w:ascii="Times New Roman" w:hAnsi="Times New Roman"/>
          <w:color w:val="7030A0"/>
        </w:rPr>
      </w:pPr>
      <w:r w:rsidRPr="00C8227A">
        <w:rPr>
          <w:rFonts w:ascii="Times New Roman" w:hAnsi="Times New Roman"/>
          <w:color w:val="7030A0"/>
        </w:rPr>
        <w:t xml:space="preserve">Ragasa, C., Berhane, G., Abate, G. T., &amp; Assefa, T. W. (2018). The state of agricultural extension services in Ethiopia and their contribution to agricultural productivity (IFPRI Strategy Support Program Working Paper 118). </w:t>
      </w:r>
      <w:r w:rsidRPr="00C8227A">
        <w:rPr>
          <w:rFonts w:ascii="Times New Roman" w:hAnsi="Times New Roman"/>
          <w:i/>
          <w:iCs/>
          <w:color w:val="7030A0"/>
        </w:rPr>
        <w:t>International Food Policy Research Institute</w:t>
      </w:r>
      <w:r w:rsidRPr="00C8227A">
        <w:rPr>
          <w:rFonts w:ascii="Times New Roman" w:hAnsi="Times New Roman"/>
          <w:color w:val="7030A0"/>
        </w:rPr>
        <w:t>. https://doi.org/10.2499/1037800843</w:t>
      </w:r>
    </w:p>
    <w:p w:rsidR="003E48F9" w:rsidRPr="00C8227A" w:rsidRDefault="00677B0D">
      <w:pPr>
        <w:spacing w:line="360" w:lineRule="auto"/>
        <w:ind w:hanging="720"/>
        <w:jc w:val="both"/>
        <w:rPr>
          <w:rFonts w:ascii="Times New Roman" w:hAnsi="Times New Roman"/>
          <w:color w:val="7030A0"/>
        </w:rPr>
      </w:pPr>
      <w:r w:rsidRPr="00C8227A">
        <w:rPr>
          <w:rFonts w:ascii="Times New Roman" w:hAnsi="Times New Roman"/>
          <w:color w:val="7030A0"/>
        </w:rPr>
        <w:t>Rondot, P., &amp; Collion, M.-H. (Eds.). (2001). Agricultural producer organizations: Their contribution to rural capacity building and poverty reduction (Workshop report). World Bank. https://documents.worldbank.org/en/publication/documentsreports/documentdetail/111471468740104722/agricultural-producer-organizations-their-contribution-to-rural-capacity-building-and-poverty-reduction</w:t>
      </w:r>
    </w:p>
    <w:p w:rsidR="003E48F9" w:rsidRPr="00C8227A" w:rsidRDefault="00677B0D">
      <w:pPr>
        <w:spacing w:line="360" w:lineRule="auto"/>
        <w:ind w:hanging="720"/>
        <w:jc w:val="both"/>
        <w:rPr>
          <w:rFonts w:ascii="Times New Roman" w:hAnsi="Times New Roman"/>
          <w:color w:val="7030A0"/>
        </w:rPr>
      </w:pPr>
      <w:r w:rsidRPr="00C8227A">
        <w:rPr>
          <w:rFonts w:ascii="Times New Roman" w:hAnsi="Times New Roman"/>
          <w:color w:val="7030A0"/>
        </w:rPr>
        <w:t xml:space="preserve">Rugema, S. H., Sseguya, H., &amp;Kibwika, P. (2018). Determinants of smallholder farmers’ participation in rice value chains in Uganda. </w:t>
      </w:r>
      <w:r w:rsidRPr="00C8227A">
        <w:rPr>
          <w:rFonts w:ascii="Times New Roman" w:hAnsi="Times New Roman"/>
          <w:i/>
          <w:iCs/>
          <w:color w:val="7030A0"/>
        </w:rPr>
        <w:t>Journal of Agricultural Extension, 22</w:t>
      </w:r>
      <w:r w:rsidRPr="00C8227A">
        <w:rPr>
          <w:rFonts w:ascii="Times New Roman" w:hAnsi="Times New Roman"/>
          <w:color w:val="7030A0"/>
        </w:rPr>
        <w:t>(2), 62–71. https://doi.org/10.4314/jae.v22i2.6</w:t>
      </w:r>
    </w:p>
    <w:p w:rsidR="003E48F9" w:rsidRPr="00C8227A" w:rsidRDefault="00677B0D">
      <w:pPr>
        <w:spacing w:line="360" w:lineRule="auto"/>
        <w:ind w:hanging="720"/>
        <w:jc w:val="both"/>
        <w:rPr>
          <w:rFonts w:ascii="Times New Roman" w:hAnsi="Times New Roman"/>
          <w:color w:val="7030A0"/>
        </w:rPr>
      </w:pPr>
      <w:r w:rsidRPr="00C8227A">
        <w:rPr>
          <w:rFonts w:ascii="Times New Roman" w:hAnsi="Times New Roman"/>
          <w:color w:val="7030A0"/>
        </w:rPr>
        <w:lastRenderedPageBreak/>
        <w:t xml:space="preserve">Ruzzante, S., Labarta, R., &amp;Bilton, A. (2021). Adoption of agricultural technology in the developing world: A meta-analysis of the empirical literature. </w:t>
      </w:r>
      <w:r w:rsidRPr="00C8227A">
        <w:rPr>
          <w:rFonts w:ascii="Times New Roman" w:hAnsi="Times New Roman"/>
          <w:i/>
          <w:iCs/>
          <w:color w:val="7030A0"/>
        </w:rPr>
        <w:t>World Development, 146</w:t>
      </w:r>
      <w:r w:rsidRPr="00C8227A">
        <w:rPr>
          <w:rFonts w:ascii="Times New Roman" w:hAnsi="Times New Roman"/>
          <w:color w:val="7030A0"/>
        </w:rPr>
        <w:t>, Article 105599. https://doi.org/10.1016/j.worlddev.2021.105599</w:t>
      </w:r>
    </w:p>
    <w:p w:rsidR="003E48F9" w:rsidRPr="00C8227A" w:rsidRDefault="00677B0D">
      <w:pPr>
        <w:spacing w:line="360" w:lineRule="auto"/>
        <w:ind w:hanging="720"/>
        <w:jc w:val="both"/>
        <w:rPr>
          <w:rFonts w:ascii="Times New Roman" w:hAnsi="Times New Roman"/>
          <w:color w:val="7030A0"/>
        </w:rPr>
      </w:pPr>
      <w:r w:rsidRPr="00C8227A">
        <w:rPr>
          <w:rFonts w:ascii="Times New Roman" w:hAnsi="Times New Roman"/>
          <w:color w:val="7030A0"/>
        </w:rPr>
        <w:t xml:space="preserve">Sahu, K., Bardhan, R., Chouhan, N., Dixit, D., Tripathi, S., &amp; Ahmed, R. (2023). A comprehensive review on the role of agricultural extension services in the sustainable development of global agriculture. </w:t>
      </w:r>
      <w:r w:rsidRPr="00C8227A">
        <w:rPr>
          <w:rFonts w:ascii="Times New Roman" w:hAnsi="Times New Roman"/>
          <w:i/>
          <w:iCs/>
          <w:color w:val="7030A0"/>
        </w:rPr>
        <w:t>International Journal of Environment and Climate Change, 13</w:t>
      </w:r>
      <w:r w:rsidRPr="00C8227A">
        <w:rPr>
          <w:rFonts w:ascii="Times New Roman" w:hAnsi="Times New Roman"/>
          <w:color w:val="7030A0"/>
        </w:rPr>
        <w:t>(10), 3514–3525. https://doi.org/10.9734/ijecc/2023/v13i103021</w:t>
      </w:r>
    </w:p>
    <w:p w:rsidR="003E48F9" w:rsidRPr="00C8227A" w:rsidRDefault="00677B0D">
      <w:pPr>
        <w:spacing w:line="360" w:lineRule="auto"/>
        <w:ind w:hanging="720"/>
        <w:jc w:val="both"/>
        <w:rPr>
          <w:rFonts w:ascii="Times New Roman" w:hAnsi="Times New Roman"/>
          <w:color w:val="7030A0"/>
        </w:rPr>
      </w:pPr>
      <w:r w:rsidRPr="00C8227A">
        <w:rPr>
          <w:rFonts w:ascii="Times New Roman" w:hAnsi="Times New Roman"/>
          <w:color w:val="7030A0"/>
        </w:rPr>
        <w:t xml:space="preserve">Sellare, J., Jäckering, L., Kahsay, G. A., &amp; Meemken, E. M. (2023). Five stylized facts about producer organizations and rural development. </w:t>
      </w:r>
      <w:r w:rsidRPr="00C8227A">
        <w:rPr>
          <w:rFonts w:ascii="Times New Roman" w:hAnsi="Times New Roman"/>
          <w:i/>
          <w:iCs/>
          <w:color w:val="7030A0"/>
        </w:rPr>
        <w:t>Journal of the Agricultural and Applied Economics Association, 2</w:t>
      </w:r>
      <w:r w:rsidRPr="00C8227A">
        <w:rPr>
          <w:rFonts w:ascii="Times New Roman" w:hAnsi="Times New Roman"/>
          <w:color w:val="7030A0"/>
        </w:rPr>
        <w:t>(3), 428–445. https://doi.org/10.1002/jaa2.70</w:t>
      </w:r>
    </w:p>
    <w:p w:rsidR="003E48F9" w:rsidRPr="00C8227A" w:rsidRDefault="00677B0D">
      <w:pPr>
        <w:spacing w:line="360" w:lineRule="auto"/>
        <w:ind w:hanging="720"/>
        <w:jc w:val="both"/>
        <w:rPr>
          <w:rFonts w:ascii="Times New Roman" w:hAnsi="Times New Roman"/>
          <w:color w:val="7030A0"/>
        </w:rPr>
      </w:pPr>
      <w:r w:rsidRPr="00C8227A">
        <w:rPr>
          <w:rFonts w:ascii="Times New Roman" w:hAnsi="Times New Roman"/>
          <w:color w:val="7030A0"/>
        </w:rPr>
        <w:t xml:space="preserve">Shiferaw, B., Hellin, J., &amp;Muricho, G. (2011). Improving market access and agricultural productivity growth in Africa: What role for producer organizations and collective action institutions? </w:t>
      </w:r>
      <w:r w:rsidRPr="00C8227A">
        <w:rPr>
          <w:rFonts w:ascii="Times New Roman" w:hAnsi="Times New Roman"/>
          <w:i/>
          <w:iCs/>
          <w:color w:val="7030A0"/>
        </w:rPr>
        <w:t>Food Security, 3</w:t>
      </w:r>
      <w:r w:rsidRPr="00C8227A">
        <w:rPr>
          <w:rFonts w:ascii="Times New Roman" w:hAnsi="Times New Roman"/>
          <w:color w:val="7030A0"/>
        </w:rPr>
        <w:t>(4), 475–489. https://doi.org/10.1007/s12571-011-0153-0</w:t>
      </w:r>
    </w:p>
    <w:p w:rsidR="003E48F9" w:rsidRPr="00C8227A" w:rsidRDefault="00677B0D">
      <w:pPr>
        <w:spacing w:line="360" w:lineRule="auto"/>
        <w:ind w:hanging="720"/>
        <w:jc w:val="both"/>
        <w:rPr>
          <w:rFonts w:ascii="Times New Roman" w:hAnsi="Times New Roman"/>
          <w:color w:val="7030A0"/>
        </w:rPr>
      </w:pPr>
      <w:r w:rsidRPr="00C8227A">
        <w:rPr>
          <w:rFonts w:ascii="Times New Roman" w:hAnsi="Times New Roman"/>
          <w:color w:val="7030A0"/>
        </w:rPr>
        <w:t xml:space="preserve">Somanje, A. N., &amp;Somanje, R. (2021). Evaluating farmers’ perception toward the effectiveness of agricultural extension services in Ghana and Zambia. Agriculture &amp; Food Security, 10(53). https://doi.org/10.1186/s40066-021-00325-6  </w:t>
      </w:r>
    </w:p>
    <w:p w:rsidR="003E48F9" w:rsidRPr="002C1949" w:rsidRDefault="00677B0D">
      <w:pPr>
        <w:spacing w:line="360" w:lineRule="auto"/>
        <w:ind w:hanging="720"/>
        <w:jc w:val="both"/>
        <w:rPr>
          <w:rFonts w:ascii="Times New Roman" w:hAnsi="Times New Roman"/>
        </w:rPr>
      </w:pPr>
      <w:r w:rsidRPr="002C1949">
        <w:rPr>
          <w:rFonts w:ascii="Times New Roman" w:hAnsi="Times New Roman"/>
        </w:rPr>
        <w:t xml:space="preserve">Somanje, A.N., Mohan, G., &amp; Saito, O. (2021). Evaluating farmers’ perception toward the effectiveness of agricultural extension services in Ghana and Zambia. Agriculture &amp; Food Security, 10, 53. https://doi.org/10.1186/s40066‑021‑00325‑6  </w:t>
      </w:r>
    </w:p>
    <w:p w:rsidR="003E48F9" w:rsidRPr="00C8227A" w:rsidRDefault="00677B0D">
      <w:pPr>
        <w:spacing w:line="360" w:lineRule="auto"/>
        <w:ind w:hanging="720"/>
        <w:jc w:val="both"/>
        <w:rPr>
          <w:rFonts w:ascii="Times New Roman" w:hAnsi="Times New Roman"/>
          <w:color w:val="7030A0"/>
        </w:rPr>
      </w:pPr>
      <w:r w:rsidRPr="00C8227A">
        <w:rPr>
          <w:rFonts w:ascii="Times New Roman" w:hAnsi="Times New Roman"/>
          <w:color w:val="7030A0"/>
        </w:rPr>
        <w:t>Swanson, B. E. (2008). Global review of good agricultural extension and advisory service practices. Food and Agriculture Organization of the United Nations. https://www.fao.org/3/i0261e/i0261e00.pdf</w:t>
      </w:r>
    </w:p>
    <w:p w:rsidR="003E48F9" w:rsidRPr="002C1949" w:rsidRDefault="00677B0D">
      <w:pPr>
        <w:spacing w:line="360" w:lineRule="auto"/>
        <w:ind w:hanging="720"/>
        <w:jc w:val="both"/>
        <w:rPr>
          <w:rFonts w:ascii="Times New Roman" w:hAnsi="Times New Roman"/>
        </w:rPr>
      </w:pPr>
      <w:r w:rsidRPr="002C1949">
        <w:rPr>
          <w:rFonts w:ascii="Times New Roman" w:hAnsi="Times New Roman"/>
        </w:rPr>
        <w:t xml:space="preserve">Taku, J. D., Ndah, N., Meliki, N., Amungwa, F. A., &amp; Manu, I. N. (2020). The role of agricultural extension in cocoa production and livelihood of farmers in Meme Division, Cameroon. </w:t>
      </w:r>
      <w:r w:rsidRPr="002C1949">
        <w:rPr>
          <w:rFonts w:ascii="Times New Roman" w:hAnsi="Times New Roman"/>
          <w:i/>
          <w:iCs/>
        </w:rPr>
        <w:t>Asian Journal of Agricultural Extension, Economics &amp; Sociology, 38</w:t>
      </w:r>
      <w:r w:rsidRPr="002C1949">
        <w:rPr>
          <w:rFonts w:ascii="Times New Roman" w:hAnsi="Times New Roman"/>
        </w:rPr>
        <w:t>, 58–65. https://doi.org/10.9734/ajaees/2020/v38i1130453</w:t>
      </w:r>
    </w:p>
    <w:p w:rsidR="003E48F9" w:rsidRPr="00C8227A" w:rsidRDefault="00677B0D">
      <w:pPr>
        <w:spacing w:line="360" w:lineRule="auto"/>
        <w:ind w:hanging="720"/>
        <w:jc w:val="both"/>
        <w:rPr>
          <w:rFonts w:ascii="Times New Roman" w:hAnsi="Times New Roman"/>
          <w:color w:val="7030A0"/>
        </w:rPr>
      </w:pPr>
      <w:r w:rsidRPr="00C8227A">
        <w:rPr>
          <w:rFonts w:ascii="Times New Roman" w:hAnsi="Times New Roman"/>
          <w:color w:val="7030A0"/>
        </w:rPr>
        <w:t xml:space="preserve">Tardzenyuy, M., Jianguo, Z., Tetteh, A., &amp;Mbuwel, M. (2020). Improving cocoa beans value chain using local convection dryer: A case study of Fako Division, Cameroon. </w:t>
      </w:r>
      <w:r w:rsidRPr="00C8227A">
        <w:rPr>
          <w:rFonts w:ascii="Times New Roman" w:hAnsi="Times New Roman"/>
          <w:i/>
          <w:iCs/>
          <w:color w:val="7030A0"/>
        </w:rPr>
        <w:t>Scientific African, 8</w:t>
      </w:r>
      <w:r w:rsidRPr="00C8227A">
        <w:rPr>
          <w:rFonts w:ascii="Times New Roman" w:hAnsi="Times New Roman"/>
          <w:color w:val="7030A0"/>
        </w:rPr>
        <w:t>, e00343. https://doi.org/10.1016/j.sciaf.2020.e00343</w:t>
      </w:r>
    </w:p>
    <w:p w:rsidR="003E48F9" w:rsidRPr="002C1949" w:rsidRDefault="00677B0D">
      <w:pPr>
        <w:spacing w:line="360" w:lineRule="auto"/>
        <w:ind w:hanging="720"/>
        <w:jc w:val="both"/>
        <w:rPr>
          <w:rFonts w:ascii="Times New Roman" w:hAnsi="Times New Roman"/>
        </w:rPr>
      </w:pPr>
      <w:r w:rsidRPr="000A07D4">
        <w:rPr>
          <w:rFonts w:ascii="Times New Roman" w:hAnsi="Times New Roman"/>
          <w:b/>
          <w:color w:val="0070C0"/>
        </w:rPr>
        <w:t>Tefera, A., et al. (2025).</w:t>
      </w:r>
      <w:r w:rsidRPr="002C1949">
        <w:rPr>
          <w:rFonts w:ascii="Times New Roman" w:hAnsi="Times New Roman"/>
        </w:rPr>
        <w:t xml:space="preserve"> Impact of agricultural extension services access and cooperative membership on farmers’ welfare: Evidence from Tigray, Northern Ethiopia. ZagadnieniaEkonomikiRolnej, 383(2), 110‑143.</w:t>
      </w:r>
    </w:p>
    <w:p w:rsidR="003E48F9" w:rsidRPr="00C8227A" w:rsidRDefault="00677B0D">
      <w:pPr>
        <w:spacing w:line="360" w:lineRule="auto"/>
        <w:ind w:hanging="720"/>
        <w:jc w:val="both"/>
        <w:rPr>
          <w:rFonts w:ascii="Times New Roman" w:hAnsi="Times New Roman"/>
          <w:color w:val="7030A0"/>
        </w:rPr>
      </w:pPr>
      <w:r w:rsidRPr="00C8227A">
        <w:rPr>
          <w:rFonts w:ascii="Times New Roman" w:hAnsi="Times New Roman"/>
          <w:color w:val="7030A0"/>
        </w:rPr>
        <w:lastRenderedPageBreak/>
        <w:t xml:space="preserve">Tham-Agyekum, E. K., Ankuyi, F., Asiedu, P., Juantoa, B., Abourden, G. A., Bakang, J. E. A., &amp; Oduro-Owusu, A. Y. (2024). Cocoa farmers’ participation in public and private agricultural extension delivery in Amenfi Central District, Ghana. </w:t>
      </w:r>
      <w:r w:rsidRPr="00C8227A">
        <w:rPr>
          <w:rFonts w:ascii="Times New Roman" w:hAnsi="Times New Roman"/>
          <w:i/>
          <w:iCs/>
          <w:color w:val="7030A0"/>
        </w:rPr>
        <w:t>Heliyon, 10</w:t>
      </w:r>
      <w:r w:rsidRPr="00C8227A">
        <w:rPr>
          <w:rFonts w:ascii="Times New Roman" w:hAnsi="Times New Roman"/>
          <w:color w:val="7030A0"/>
        </w:rPr>
        <w:t>(3), e30797. https://doi.org/10.1016/j.heliyon.2024.e30797</w:t>
      </w:r>
    </w:p>
    <w:p w:rsidR="003E48F9" w:rsidRPr="00C8227A" w:rsidRDefault="00677B0D">
      <w:pPr>
        <w:spacing w:line="360" w:lineRule="auto"/>
        <w:ind w:hanging="720"/>
        <w:jc w:val="both"/>
        <w:rPr>
          <w:rFonts w:ascii="Times New Roman" w:hAnsi="Times New Roman"/>
          <w:color w:val="7030A0"/>
        </w:rPr>
      </w:pPr>
      <w:r w:rsidRPr="00C8227A">
        <w:rPr>
          <w:rFonts w:ascii="Times New Roman" w:hAnsi="Times New Roman"/>
          <w:color w:val="7030A0"/>
        </w:rPr>
        <w:t xml:space="preserve">Tita, D. F., D’Haese, M., Degrande, A., Tchoundjeu, Z., &amp; Van Damme, P. (2011). Farmers’ satisfaction with group market arrangements as a measure of group market performance: A transaction cost analysis of non-timber forest product producer groups in Cameroon. </w:t>
      </w:r>
      <w:r w:rsidRPr="00C8227A">
        <w:rPr>
          <w:rFonts w:ascii="Times New Roman" w:hAnsi="Times New Roman"/>
          <w:i/>
          <w:iCs/>
          <w:color w:val="7030A0"/>
        </w:rPr>
        <w:t>Forest Policy and Economics, 13</w:t>
      </w:r>
      <w:r w:rsidRPr="00C8227A">
        <w:rPr>
          <w:rFonts w:ascii="Times New Roman" w:hAnsi="Times New Roman"/>
          <w:color w:val="7030A0"/>
        </w:rPr>
        <w:t>(7), 545–553. https://doi.org/10.1016/j.forpol.2011.07.005</w:t>
      </w:r>
    </w:p>
    <w:p w:rsidR="003E48F9" w:rsidRPr="00C8227A" w:rsidRDefault="00677B0D">
      <w:pPr>
        <w:spacing w:line="360" w:lineRule="auto"/>
        <w:ind w:hanging="720"/>
        <w:jc w:val="both"/>
        <w:rPr>
          <w:rFonts w:ascii="Times New Roman" w:hAnsi="Times New Roman"/>
          <w:color w:val="7030A0"/>
        </w:rPr>
      </w:pPr>
      <w:r w:rsidRPr="00C8227A">
        <w:rPr>
          <w:rFonts w:ascii="Times New Roman" w:hAnsi="Times New Roman"/>
          <w:color w:val="7030A0"/>
        </w:rPr>
        <w:t xml:space="preserve">Tolno, E., Kobayashi, H., Ichizen, M., Esham, M., &amp; Baldé, B. S. (2015). Economic analysis of the role of farmer organizations in enhancing smallholder potato farmers’ income in Middle Guinea. </w:t>
      </w:r>
      <w:r w:rsidRPr="00C8227A">
        <w:rPr>
          <w:rFonts w:ascii="Times New Roman" w:hAnsi="Times New Roman"/>
          <w:i/>
          <w:iCs/>
          <w:color w:val="7030A0"/>
        </w:rPr>
        <w:t>Journal of Agricultural Science, 7</w:t>
      </w:r>
      <w:r w:rsidRPr="00C8227A">
        <w:rPr>
          <w:rFonts w:ascii="Times New Roman" w:hAnsi="Times New Roman"/>
          <w:color w:val="7030A0"/>
        </w:rPr>
        <w:t>(3), 123–135. https://doi.org/10.5539/jas.v7n3p123</w:t>
      </w:r>
    </w:p>
    <w:p w:rsidR="003E48F9" w:rsidRPr="002C1949" w:rsidRDefault="00677B0D">
      <w:pPr>
        <w:spacing w:line="360" w:lineRule="auto"/>
        <w:ind w:hanging="720"/>
        <w:jc w:val="both"/>
        <w:rPr>
          <w:rFonts w:ascii="Times New Roman" w:hAnsi="Times New Roman"/>
        </w:rPr>
      </w:pPr>
      <w:r w:rsidRPr="002C1949">
        <w:rPr>
          <w:rFonts w:ascii="Times New Roman" w:hAnsi="Times New Roman"/>
        </w:rPr>
        <w:t xml:space="preserve">Tumenta, B. F., Fonteh, A. A., &amp; Manu, I. N. (2021). Role of agricultural cooperatives in rural development in the era of liberalization in the North West and South West Regions of Cameroon. </w:t>
      </w:r>
      <w:r w:rsidRPr="002C1949">
        <w:rPr>
          <w:rFonts w:ascii="Times New Roman" w:hAnsi="Times New Roman"/>
          <w:i/>
          <w:iCs/>
        </w:rPr>
        <w:t>Journal of Agricultural Extension and Rural Development, 13</w:t>
      </w:r>
      <w:r w:rsidRPr="002C1949">
        <w:rPr>
          <w:rFonts w:ascii="Times New Roman" w:hAnsi="Times New Roman"/>
        </w:rPr>
        <w:t>(1), 69–81. https://doi.org/10.5897/JAERD2020.1235</w:t>
      </w:r>
    </w:p>
    <w:p w:rsidR="003E48F9" w:rsidRPr="00C8227A" w:rsidRDefault="00677B0D">
      <w:pPr>
        <w:spacing w:line="360" w:lineRule="auto"/>
        <w:ind w:hanging="720"/>
        <w:jc w:val="both"/>
        <w:rPr>
          <w:rFonts w:ascii="Times New Roman" w:hAnsi="Times New Roman"/>
          <w:color w:val="7030A0"/>
        </w:rPr>
      </w:pPr>
      <w:r w:rsidRPr="00C8227A">
        <w:rPr>
          <w:rFonts w:ascii="Times New Roman" w:hAnsi="Times New Roman"/>
          <w:color w:val="7030A0"/>
        </w:rPr>
        <w:t xml:space="preserve">Verhofstadt, E., &amp; Maertens, M. (2015). Can agricultural cooperatives reduce poverty? Heterogeneous impact of cooperative membership on farmers’ welfare in Rwanda. </w:t>
      </w:r>
      <w:r w:rsidRPr="00C8227A">
        <w:rPr>
          <w:rFonts w:ascii="Times New Roman" w:hAnsi="Times New Roman"/>
          <w:i/>
          <w:iCs/>
          <w:color w:val="7030A0"/>
        </w:rPr>
        <w:t>Applied Economic Perspectives and Policy, 37</w:t>
      </w:r>
      <w:r w:rsidRPr="00C8227A">
        <w:rPr>
          <w:rFonts w:ascii="Times New Roman" w:hAnsi="Times New Roman"/>
          <w:color w:val="7030A0"/>
        </w:rPr>
        <w:t>(1), 86–106. https://doi.org/10.1093/aepp/ppu021</w:t>
      </w:r>
    </w:p>
    <w:p w:rsidR="003E48F9" w:rsidRPr="00C8227A" w:rsidRDefault="00677B0D">
      <w:pPr>
        <w:spacing w:line="360" w:lineRule="auto"/>
        <w:ind w:hanging="720"/>
        <w:jc w:val="both"/>
        <w:rPr>
          <w:rFonts w:ascii="Times New Roman" w:hAnsi="Times New Roman"/>
          <w:color w:val="7030A0"/>
        </w:rPr>
      </w:pPr>
      <w:r w:rsidRPr="00C8227A">
        <w:rPr>
          <w:rFonts w:ascii="Times New Roman" w:hAnsi="Times New Roman"/>
          <w:color w:val="7030A0"/>
        </w:rPr>
        <w:t xml:space="preserve">Vogel, C., Mathé, S., Geitzenauer, M., Ndah, H. T., Sieber, S., Bonatti, M., &amp; Lana, M. A. (2020). Stakeholders’ perceptions on sustainability transition pathways of the cocoa value chain towards improved livelihood of small-scale farming households in Cameroon. </w:t>
      </w:r>
      <w:r w:rsidRPr="00C8227A">
        <w:rPr>
          <w:rFonts w:ascii="Times New Roman" w:hAnsi="Times New Roman"/>
          <w:i/>
          <w:iCs/>
          <w:color w:val="7030A0"/>
        </w:rPr>
        <w:t>International Journal of Agricultural Sustainability, 18</w:t>
      </w:r>
      <w:r w:rsidRPr="00C8227A">
        <w:rPr>
          <w:rFonts w:ascii="Times New Roman" w:hAnsi="Times New Roman"/>
          <w:color w:val="7030A0"/>
        </w:rPr>
        <w:t>(1), 1–15. https://doi.org/10.1080/14735903.2019.1696156</w:t>
      </w:r>
    </w:p>
    <w:p w:rsidR="003E48F9" w:rsidRPr="00C8227A" w:rsidRDefault="00677B0D">
      <w:pPr>
        <w:spacing w:line="360" w:lineRule="auto"/>
        <w:ind w:hanging="720"/>
        <w:jc w:val="both"/>
        <w:rPr>
          <w:rFonts w:ascii="Times New Roman" w:hAnsi="Times New Roman"/>
          <w:color w:val="7030A0"/>
        </w:rPr>
      </w:pPr>
      <w:r w:rsidRPr="00C8227A">
        <w:rPr>
          <w:rFonts w:ascii="Times New Roman" w:hAnsi="Times New Roman"/>
          <w:color w:val="7030A0"/>
        </w:rPr>
        <w:t xml:space="preserve">Wanyama, F. O., Develtere, P., &amp; Pollet, I. (2009). Reinventing the wheel? African cooperatives in a liberalized economic environment. </w:t>
      </w:r>
      <w:r w:rsidRPr="00C8227A">
        <w:rPr>
          <w:rFonts w:ascii="Times New Roman" w:hAnsi="Times New Roman"/>
          <w:i/>
          <w:iCs/>
          <w:color w:val="7030A0"/>
        </w:rPr>
        <w:t>Annals of Public and Cooperative Economics, 80</w:t>
      </w:r>
      <w:r w:rsidRPr="00C8227A">
        <w:rPr>
          <w:rFonts w:ascii="Times New Roman" w:hAnsi="Times New Roman"/>
          <w:color w:val="7030A0"/>
        </w:rPr>
        <w:t>(3), 361–392. https://doi.org/10.1111/j.1467-8292.2009.00390.x</w:t>
      </w:r>
    </w:p>
    <w:p w:rsidR="003E48F9" w:rsidRPr="00C8227A" w:rsidRDefault="00677B0D">
      <w:pPr>
        <w:spacing w:line="360" w:lineRule="auto"/>
        <w:ind w:hanging="720"/>
        <w:jc w:val="both"/>
        <w:rPr>
          <w:rFonts w:ascii="Times New Roman" w:hAnsi="Times New Roman"/>
          <w:color w:val="7030A0"/>
        </w:rPr>
      </w:pPr>
      <w:r w:rsidRPr="00C8227A">
        <w:rPr>
          <w:rFonts w:ascii="Times New Roman" w:hAnsi="Times New Roman"/>
          <w:color w:val="7030A0"/>
        </w:rPr>
        <w:t>World Bank. (2009). The roles of farmers’ organizations in development and technology transfer (World Bank report). https://documents.worldbank.org/en/publication/documents-reports/documentdetail/766251468767356060/the-roles-of-farmers-organizations-in-development-and-technology-transfer</w:t>
      </w:r>
    </w:p>
    <w:p w:rsidR="003E48F9" w:rsidRPr="00C8227A" w:rsidRDefault="00677B0D">
      <w:pPr>
        <w:spacing w:line="360" w:lineRule="auto"/>
        <w:ind w:hanging="720"/>
        <w:jc w:val="both"/>
        <w:rPr>
          <w:rFonts w:ascii="Times New Roman" w:hAnsi="Times New Roman"/>
          <w:color w:val="7030A0"/>
        </w:rPr>
      </w:pPr>
      <w:r w:rsidRPr="00C8227A">
        <w:rPr>
          <w:rFonts w:ascii="Times New Roman" w:hAnsi="Times New Roman"/>
          <w:color w:val="7030A0"/>
        </w:rPr>
        <w:t>World Bank. (2020). Cocoa value chain in Cameroon. Washington, DC: Author. https://www.worldbank.org/en/news/feature/2020/02/04/cocoa-value-chain-in-cameroon</w:t>
      </w:r>
    </w:p>
    <w:p w:rsidR="003E48F9" w:rsidRPr="002C1949" w:rsidRDefault="00677B0D">
      <w:pPr>
        <w:spacing w:line="360" w:lineRule="auto"/>
        <w:ind w:hanging="720"/>
        <w:jc w:val="both"/>
        <w:rPr>
          <w:rFonts w:ascii="Times New Roman" w:hAnsi="Times New Roman"/>
        </w:rPr>
      </w:pPr>
      <w:r w:rsidRPr="002C1949">
        <w:rPr>
          <w:rFonts w:ascii="Times New Roman" w:hAnsi="Times New Roman"/>
        </w:rPr>
        <w:lastRenderedPageBreak/>
        <w:t xml:space="preserve">Wossen, T., Abdoulaye, T., Alene, A., Haile, M. G., Feleke, S., Olanrewaju, A., &amp;Manyong, V. (2017). Impacts of extension access and cooperative membership on technology adoption and household welfare. </w:t>
      </w:r>
      <w:r w:rsidRPr="002C1949">
        <w:rPr>
          <w:rFonts w:ascii="Times New Roman" w:hAnsi="Times New Roman"/>
          <w:i/>
          <w:iCs/>
        </w:rPr>
        <w:t>Journal of Rural Studies, 54</w:t>
      </w:r>
      <w:r w:rsidRPr="002C1949">
        <w:rPr>
          <w:rFonts w:ascii="Times New Roman" w:hAnsi="Times New Roman"/>
        </w:rPr>
        <w:t>, 223–233. https://doi.org/10.1016/j.jrurstud.2017.06.022</w:t>
      </w:r>
    </w:p>
    <w:p w:rsidR="003E48F9" w:rsidRDefault="00677B0D">
      <w:pPr>
        <w:spacing w:line="360" w:lineRule="auto"/>
        <w:ind w:hanging="720"/>
        <w:jc w:val="both"/>
        <w:rPr>
          <w:rFonts w:ascii="Times New Roman" w:hAnsi="Times New Roman"/>
          <w:i/>
          <w:iCs/>
          <w:strike/>
          <w:color w:val="FF0000"/>
        </w:rPr>
      </w:pPr>
      <w:r w:rsidRPr="00C8227A">
        <w:rPr>
          <w:rFonts w:ascii="Times New Roman" w:hAnsi="Times New Roman"/>
          <w:strike/>
          <w:color w:val="FF0000"/>
        </w:rPr>
        <w:t xml:space="preserve">Wossen, T., et al. (2017). Impacts of extension access and cooperative membership on technology adoption and household welfare. </w:t>
      </w:r>
      <w:r w:rsidRPr="00C8227A">
        <w:rPr>
          <w:rFonts w:ascii="Times New Roman" w:hAnsi="Times New Roman"/>
          <w:i/>
          <w:iCs/>
          <w:strike/>
          <w:color w:val="FF0000"/>
        </w:rPr>
        <w:t>Journal of Development Studies.</w:t>
      </w:r>
    </w:p>
    <w:p w:rsidR="00BD25D1" w:rsidRDefault="00BD25D1">
      <w:pPr>
        <w:spacing w:line="360" w:lineRule="auto"/>
        <w:ind w:hanging="720"/>
        <w:jc w:val="both"/>
        <w:rPr>
          <w:rFonts w:ascii="Times New Roman" w:hAnsi="Times New Roman"/>
          <w:i/>
          <w:iCs/>
          <w:strike/>
          <w:color w:val="FF0000"/>
        </w:rPr>
      </w:pPr>
    </w:p>
    <w:p w:rsidR="00BD25D1" w:rsidRDefault="00BD25D1" w:rsidP="00BD25D1">
      <w:pPr>
        <w:spacing w:after="0" w:line="360" w:lineRule="auto"/>
        <w:ind w:hanging="720"/>
        <w:jc w:val="both"/>
        <w:rPr>
          <w:rFonts w:ascii="Times New Roman" w:hAnsi="Times New Roman"/>
          <w:b/>
          <w:sz w:val="20"/>
          <w:szCs w:val="20"/>
          <w:lang w:val="en-GB"/>
        </w:rPr>
      </w:pPr>
      <w:r>
        <w:rPr>
          <w:rFonts w:ascii="Times New Roman" w:hAnsi="Times New Roman"/>
          <w:b/>
          <w:sz w:val="20"/>
          <w:szCs w:val="20"/>
          <w:lang w:val="en-GB"/>
        </w:rPr>
        <w:t>Green highlighted part – Missing in reference</w:t>
      </w:r>
    </w:p>
    <w:p w:rsidR="00BD25D1" w:rsidRDefault="00BD25D1" w:rsidP="00BD25D1">
      <w:pPr>
        <w:spacing w:after="0" w:line="360" w:lineRule="auto"/>
        <w:ind w:hanging="720"/>
        <w:jc w:val="both"/>
        <w:rPr>
          <w:rFonts w:ascii="Times New Roman" w:hAnsi="Times New Roman"/>
          <w:b/>
          <w:sz w:val="20"/>
          <w:szCs w:val="20"/>
          <w:lang w:val="en-GB"/>
        </w:rPr>
      </w:pPr>
      <w:r>
        <w:rPr>
          <w:rFonts w:ascii="Times New Roman" w:hAnsi="Times New Roman"/>
          <w:b/>
          <w:sz w:val="20"/>
          <w:szCs w:val="20"/>
          <w:lang w:val="en-GB"/>
        </w:rPr>
        <w:t>Red – Spacing between the words is needed</w:t>
      </w:r>
    </w:p>
    <w:p w:rsidR="00BD25D1" w:rsidRDefault="00BD25D1" w:rsidP="00BD25D1">
      <w:pPr>
        <w:spacing w:after="0" w:line="360" w:lineRule="auto"/>
        <w:ind w:hanging="720"/>
        <w:jc w:val="both"/>
        <w:rPr>
          <w:rFonts w:ascii="Times New Roman" w:hAnsi="Times New Roman"/>
          <w:b/>
          <w:sz w:val="20"/>
          <w:szCs w:val="20"/>
          <w:lang w:val="en-GB"/>
        </w:rPr>
      </w:pPr>
      <w:r>
        <w:rPr>
          <w:rFonts w:ascii="Times New Roman" w:hAnsi="Times New Roman"/>
          <w:b/>
          <w:sz w:val="20"/>
          <w:szCs w:val="20"/>
          <w:lang w:val="en-GB"/>
        </w:rPr>
        <w:t>Purple – Missing in article</w:t>
      </w:r>
    </w:p>
    <w:p w:rsidR="00BD25D1" w:rsidRPr="00BD25D1" w:rsidRDefault="00BD25D1" w:rsidP="00BD25D1">
      <w:pPr>
        <w:spacing w:after="0" w:line="360" w:lineRule="auto"/>
        <w:ind w:hanging="720"/>
        <w:jc w:val="both"/>
        <w:rPr>
          <w:rFonts w:ascii="Times New Roman" w:hAnsi="Times New Roman"/>
          <w:b/>
          <w:sz w:val="20"/>
          <w:szCs w:val="20"/>
          <w:lang w:val="en-GB"/>
        </w:rPr>
      </w:pPr>
      <w:r>
        <w:rPr>
          <w:rFonts w:ascii="Times New Roman" w:hAnsi="Times New Roman"/>
          <w:b/>
          <w:sz w:val="20"/>
          <w:szCs w:val="20"/>
          <w:lang w:val="en-GB"/>
        </w:rPr>
        <w:t>Blue – Expand the authors name</w:t>
      </w:r>
    </w:p>
    <w:sectPr w:rsidR="00BD25D1" w:rsidRPr="00BD25D1" w:rsidSect="005F745F">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25FD" w:rsidRDefault="005825FD">
      <w:pPr>
        <w:spacing w:after="0" w:line="240" w:lineRule="auto"/>
      </w:pPr>
      <w:r>
        <w:separator/>
      </w:r>
    </w:p>
  </w:endnote>
  <w:endnote w:type="continuationSeparator" w:id="1">
    <w:p w:rsidR="005825FD" w:rsidRDefault="005825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applesystemuifont">
    <w:altName w:val="Times New Roman"/>
    <w:charset w:val="00"/>
    <w:family w:val="auto"/>
    <w:pitch w:val="default"/>
    <w:sig w:usb0="00000000" w:usb1="00000000" w:usb2="00000000" w:usb3="00000000" w:csb0="00000000" w:csb1="00000000"/>
  </w:font>
  <w:font w:name=".SFUI-Regular">
    <w:charset w:val="00"/>
    <w:family w:val="auto"/>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209" w:rsidRDefault="0008420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48F9" w:rsidRDefault="00281FC4" w:rsidP="00281FC4">
    <w:pPr>
      <w:pStyle w:val="Header"/>
      <w:tabs>
        <w:tab w:val="left" w:pos="1650"/>
        <w:tab w:val="center" w:pos="4680"/>
      </w:tabs>
      <w:spacing w:after="120" w:line="240" w:lineRule="auto"/>
      <w:jc w:val="left"/>
    </w:pPr>
    <w:r>
      <w:tab/>
    </w:r>
    <w:r w:rsidR="009F4CF8">
      <w:fldChar w:fldCharType="begin"/>
    </w:r>
    <w:r w:rsidR="00677B0D">
      <w:instrText>PAGE</w:instrText>
    </w:r>
    <w:r w:rsidR="009F4CF8">
      <w:fldChar w:fldCharType="separate"/>
    </w:r>
    <w:r w:rsidR="00BD25D1">
      <w:rPr>
        <w:noProof/>
      </w:rPr>
      <w:t>30</w:t>
    </w:r>
    <w:r w:rsidR="009F4CF8">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209" w:rsidRDefault="0008420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25FD" w:rsidRDefault="005825FD">
      <w:pPr>
        <w:spacing w:after="0" w:line="240" w:lineRule="auto"/>
      </w:pPr>
      <w:r>
        <w:separator/>
      </w:r>
    </w:p>
  </w:footnote>
  <w:footnote w:type="continuationSeparator" w:id="1">
    <w:p w:rsidR="005825FD" w:rsidRDefault="005825F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209" w:rsidRDefault="009F4CF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1097126" o:spid="_x0000_s2050" type="#_x0000_t136" style="position:absolute;left:0;text-align:left;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48F9" w:rsidRDefault="009F4CF8">
    <w:pPr>
      <w:jc w:val="cent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1097127" o:spid="_x0000_s2051" type="#_x0000_t136" style="position:absolute;left:0;text-align:left;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209" w:rsidRDefault="009F4CF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1097125" o:spid="_x0000_s2049" type="#_x0000_t136" style="position:absolute;left:0;text-align:left;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9186BA7"/>
    <w:multiLevelType w:val="singleLevel"/>
    <w:tmpl w:val="69186BA7"/>
    <w:lvl w:ilvl="0">
      <w:start w:val="6"/>
      <w:numFmt w:val="decimal"/>
      <w:lvlText w:val="%1."/>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4"/>
  <w:defaultTabStop w:val="720"/>
  <w:doNotShadeFormData/>
  <w:noPunctuationKerning/>
  <w:characterSpacingControl w:val="doNotCompress"/>
  <w:doNotValidateAgainstSchema/>
  <w:doNotDemarcateInvalidXml/>
  <w:hdrShapeDefaults>
    <o:shapedefaults v:ext="edit" spidmax="8194"/>
    <o:shapelayout v:ext="edit">
      <o:idmap v:ext="edit" data="2"/>
    </o:shapelayout>
  </w:hdrShapeDefaults>
  <w:footnotePr>
    <w:footnote w:id="0"/>
    <w:footnote w:id="1"/>
  </w:footnotePr>
  <w:endnotePr>
    <w:endnote w:id="0"/>
    <w:endnote w:id="1"/>
  </w:endnotePr>
  <w:compat>
    <w:ulTrailSpace/>
    <w:useFELayout/>
  </w:compat>
  <w:rsids>
    <w:rsidRoot w:val="003E48F9"/>
    <w:rsid w:val="00084209"/>
    <w:rsid w:val="000A07D4"/>
    <w:rsid w:val="00104A7C"/>
    <w:rsid w:val="00126AFF"/>
    <w:rsid w:val="001439B5"/>
    <w:rsid w:val="002336E0"/>
    <w:rsid w:val="00244598"/>
    <w:rsid w:val="00281FC4"/>
    <w:rsid w:val="002A2F7E"/>
    <w:rsid w:val="002B70F9"/>
    <w:rsid w:val="002C1949"/>
    <w:rsid w:val="003124C3"/>
    <w:rsid w:val="00316ECD"/>
    <w:rsid w:val="00372A96"/>
    <w:rsid w:val="003D536E"/>
    <w:rsid w:val="003E48F9"/>
    <w:rsid w:val="004568A3"/>
    <w:rsid w:val="004F620F"/>
    <w:rsid w:val="00527F16"/>
    <w:rsid w:val="00575894"/>
    <w:rsid w:val="005825FD"/>
    <w:rsid w:val="005A0B5B"/>
    <w:rsid w:val="005D5D31"/>
    <w:rsid w:val="005F745F"/>
    <w:rsid w:val="00677B0D"/>
    <w:rsid w:val="006E1036"/>
    <w:rsid w:val="007316E8"/>
    <w:rsid w:val="007D3CE4"/>
    <w:rsid w:val="0088465A"/>
    <w:rsid w:val="008A1A88"/>
    <w:rsid w:val="00952556"/>
    <w:rsid w:val="009D66B1"/>
    <w:rsid w:val="009F4CF8"/>
    <w:rsid w:val="00A1613D"/>
    <w:rsid w:val="00B34789"/>
    <w:rsid w:val="00B72BE0"/>
    <w:rsid w:val="00BD25D1"/>
    <w:rsid w:val="00C65B8C"/>
    <w:rsid w:val="00C80996"/>
    <w:rsid w:val="00C8227A"/>
    <w:rsid w:val="00D231FD"/>
    <w:rsid w:val="00D2612E"/>
    <w:rsid w:val="00DA1267"/>
    <w:rsid w:val="00E74169"/>
    <w:rsid w:val="00EA5640"/>
    <w:rsid w:val="00ED2CBF"/>
    <w:rsid w:val="00F257CF"/>
    <w:rsid w:val="00F707C3"/>
    <w:rsid w:val="00F9784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unhideWhenUsed="0"/>
    <w:lsdException w:name="header" w:semiHidden="0" w:uiPriority="0" w:unhideWhenUsed="0"/>
    <w:lsdException w:name="footer" w:semiHidden="0" w:uiPriority="0" w:unhideWhenUsed="0"/>
    <w:lsdException w:name="caption" w:uiPriority="35" w:qFormat="1"/>
    <w:lsdException w:name="annotation reference" w:semiHidden="0" w:uiPriority="0" w:unhideWhenUsed="0"/>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semiHidden="0"/>
    <w:lsdException w:name="annotation subject" w:semiHidden="0"/>
    <w:lsdException w:name="Balloon Text" w:semiHidden="0"/>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745F"/>
    <w:pPr>
      <w:spacing w:after="200" w:line="276" w:lineRule="auto"/>
    </w:pPr>
    <w:rPr>
      <w:rFonts w:ascii="Calibri" w:hAnsi="Calibri"/>
      <w:sz w:val="22"/>
      <w:szCs w:val="22"/>
      <w:lang w:eastAsia="zh-CN"/>
    </w:rPr>
  </w:style>
  <w:style w:type="paragraph" w:styleId="Heading1">
    <w:name w:val="heading 1"/>
    <w:basedOn w:val="Normal"/>
    <w:next w:val="Normal"/>
    <w:uiPriority w:val="9"/>
    <w:qFormat/>
    <w:rsid w:val="005F745F"/>
    <w:pPr>
      <w:keepNext/>
      <w:keepLines/>
      <w:widowControl w:val="0"/>
      <w:spacing w:before="480" w:after="0"/>
      <w:outlineLvl w:val="0"/>
    </w:pPr>
    <w:rPr>
      <w:rFonts w:eastAsia="MS Gothic" w:cs="SimSun"/>
      <w:b/>
      <w:bCs/>
      <w:color w:val="365F91"/>
      <w:sz w:val="28"/>
      <w:szCs w:val="28"/>
    </w:rPr>
  </w:style>
  <w:style w:type="paragraph" w:styleId="Heading2">
    <w:name w:val="heading 2"/>
    <w:basedOn w:val="Normal"/>
    <w:next w:val="Normal"/>
    <w:uiPriority w:val="9"/>
    <w:unhideWhenUsed/>
    <w:qFormat/>
    <w:rsid w:val="005F745F"/>
    <w:pPr>
      <w:keepNext/>
      <w:keepLines/>
      <w:widowControl w:val="0"/>
      <w:spacing w:before="200" w:after="0"/>
      <w:outlineLvl w:val="1"/>
    </w:pPr>
    <w:rPr>
      <w:rFonts w:eastAsia="MS Gothic" w:cs="SimSun"/>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5F745F"/>
    <w:pPr>
      <w:spacing w:after="0" w:line="240" w:lineRule="auto"/>
    </w:pPr>
    <w:rPr>
      <w:rFonts w:ascii="Segoe UI" w:hAnsi="Segoe UI" w:cs="Segoe UI"/>
      <w:sz w:val="18"/>
      <w:szCs w:val="18"/>
    </w:rPr>
  </w:style>
  <w:style w:type="paragraph" w:styleId="CommentText">
    <w:name w:val="annotation text"/>
    <w:basedOn w:val="Normal"/>
    <w:link w:val="CommentTextChar"/>
    <w:rsid w:val="005F745F"/>
    <w:pPr>
      <w:widowControl w:val="0"/>
      <w:spacing w:line="240" w:lineRule="auto"/>
      <w:jc w:val="both"/>
    </w:pPr>
    <w:rPr>
      <w:rFonts w:cs="SimSun"/>
      <w:kern w:val="2"/>
      <w:sz w:val="20"/>
      <w:szCs w:val="20"/>
    </w:rPr>
  </w:style>
  <w:style w:type="paragraph" w:styleId="CommentSubject">
    <w:name w:val="annotation subject"/>
    <w:basedOn w:val="CommentText"/>
    <w:next w:val="CommentText"/>
    <w:link w:val="CommentSubjectChar"/>
    <w:uiPriority w:val="99"/>
    <w:unhideWhenUsed/>
    <w:rsid w:val="005F745F"/>
    <w:pPr>
      <w:widowControl/>
      <w:spacing w:line="276" w:lineRule="auto"/>
      <w:jc w:val="left"/>
    </w:pPr>
    <w:rPr>
      <w:rFonts w:cs="Times New Roman"/>
      <w:b/>
      <w:bCs/>
      <w:kern w:val="0"/>
    </w:rPr>
  </w:style>
  <w:style w:type="paragraph" w:styleId="Footer">
    <w:name w:val="footer"/>
    <w:basedOn w:val="Normal"/>
    <w:rsid w:val="005F745F"/>
    <w:pPr>
      <w:widowControl w:val="0"/>
      <w:tabs>
        <w:tab w:val="center" w:pos="4140"/>
        <w:tab w:val="right" w:pos="8300"/>
      </w:tabs>
      <w:snapToGrid w:val="0"/>
      <w:jc w:val="center"/>
    </w:pPr>
    <w:rPr>
      <w:rFonts w:cs="SimSun"/>
      <w:kern w:val="2"/>
      <w:sz w:val="18"/>
      <w:szCs w:val="18"/>
    </w:rPr>
  </w:style>
  <w:style w:type="paragraph" w:styleId="Header">
    <w:name w:val="header"/>
    <w:basedOn w:val="Normal"/>
    <w:rsid w:val="005F745F"/>
    <w:pPr>
      <w:widowControl w:val="0"/>
      <w:tabs>
        <w:tab w:val="center" w:pos="4140"/>
        <w:tab w:val="right" w:pos="8300"/>
      </w:tabs>
      <w:snapToGrid w:val="0"/>
      <w:jc w:val="center"/>
    </w:pPr>
    <w:rPr>
      <w:rFonts w:cs="SimSun"/>
      <w:kern w:val="2"/>
      <w:sz w:val="18"/>
      <w:szCs w:val="18"/>
    </w:rPr>
  </w:style>
  <w:style w:type="paragraph" w:styleId="NormalWeb">
    <w:name w:val="Normal (Web)"/>
    <w:basedOn w:val="Normal"/>
    <w:uiPriority w:val="99"/>
    <w:unhideWhenUsed/>
    <w:rsid w:val="005F745F"/>
    <w:rPr>
      <w:sz w:val="24"/>
      <w:szCs w:val="24"/>
    </w:rPr>
  </w:style>
  <w:style w:type="character" w:styleId="CommentReference">
    <w:name w:val="annotation reference"/>
    <w:rsid w:val="005F745F"/>
    <w:rPr>
      <w:rFonts w:ascii="Times New Roman" w:eastAsia="SimSun" w:hAnsi="Times New Roman" w:cs="Times New Roman"/>
      <w:sz w:val="16"/>
      <w:szCs w:val="16"/>
    </w:rPr>
  </w:style>
  <w:style w:type="character" w:styleId="Hyperlink">
    <w:name w:val="Hyperlink"/>
    <w:basedOn w:val="DefaultParagraphFont"/>
    <w:uiPriority w:val="99"/>
    <w:unhideWhenUsed/>
    <w:rsid w:val="005F745F"/>
    <w:rPr>
      <w:color w:val="0000FF" w:themeColor="hyperlink"/>
      <w:u w:val="single"/>
    </w:rPr>
  </w:style>
  <w:style w:type="paragraph" w:customStyle="1" w:styleId="Quote5139b14c-6f30-41cf-a874-1c9aa8998113">
    <w:name w:val="Quote_5139b14c-6f30-41cf-a874-1c9aa8998113"/>
    <w:basedOn w:val="Normal"/>
    <w:qFormat/>
    <w:rsid w:val="005F745F"/>
    <w:pPr>
      <w:spacing w:after="0"/>
    </w:pPr>
    <w:rPr>
      <w:rFonts w:ascii="Times New Roman" w:hAnsi="Times New Roman"/>
      <w:i/>
      <w:color w:val="000000"/>
      <w:sz w:val="21"/>
    </w:rPr>
  </w:style>
  <w:style w:type="paragraph" w:customStyle="1" w:styleId="NoSpacing1">
    <w:name w:val="&quot;No Spacing1&quot;"/>
    <w:qFormat/>
    <w:rsid w:val="005F745F"/>
    <w:pPr>
      <w:spacing w:beforeAutospacing="1" w:afterAutospacing="1"/>
      <w:jc w:val="both"/>
    </w:pPr>
    <w:rPr>
      <w:rFonts w:ascii="Calibri" w:eastAsia="Calibri" w:hAnsi="Calibri" w:cs="SimSun"/>
      <w:sz w:val="22"/>
      <w:szCs w:val="22"/>
      <w:lang w:val="en-GB"/>
    </w:rPr>
  </w:style>
  <w:style w:type="paragraph" w:customStyle="1" w:styleId="NoSpacing11">
    <w:name w:val="&quot;No Spacing1&quot;1"/>
    <w:qFormat/>
    <w:rsid w:val="005F745F"/>
    <w:pPr>
      <w:spacing w:beforeAutospacing="1" w:afterAutospacing="1"/>
      <w:jc w:val="both"/>
    </w:pPr>
    <w:rPr>
      <w:rFonts w:ascii="Calibri" w:eastAsia="Calibri" w:hAnsi="Calibri" w:cs="SimSun"/>
      <w:sz w:val="22"/>
      <w:szCs w:val="22"/>
      <w:lang w:val="en-GB"/>
    </w:rPr>
  </w:style>
  <w:style w:type="paragraph" w:customStyle="1" w:styleId="NoSpacing12">
    <w:name w:val="&quot;No Spacing1&quot;2"/>
    <w:qFormat/>
    <w:rsid w:val="005F745F"/>
    <w:pPr>
      <w:spacing w:beforeAutospacing="1" w:afterAutospacing="1"/>
      <w:jc w:val="both"/>
    </w:pPr>
    <w:rPr>
      <w:rFonts w:ascii="Calibri" w:eastAsia="Calibri" w:hAnsi="Calibri" w:cs="SimSun"/>
      <w:sz w:val="22"/>
      <w:szCs w:val="22"/>
      <w:lang w:val="en-GB"/>
    </w:rPr>
  </w:style>
  <w:style w:type="table" w:customStyle="1" w:styleId="GridTable2-Accent51">
    <w:name w:val="Grid Table 2 - Accent 51"/>
    <w:basedOn w:val="TableNormal"/>
    <w:uiPriority w:val="47"/>
    <w:rsid w:val="005F745F"/>
    <w:tblPr>
      <w:tblInd w:w="0" w:type="dxa"/>
      <w:tblBorders>
        <w:top w:val="single" w:sz="2" w:space="0" w:color="92CDDC"/>
        <w:bottom w:val="single" w:sz="2" w:space="0" w:color="92CDDC"/>
        <w:insideH w:val="single" w:sz="2" w:space="0" w:color="92CDDC"/>
        <w:insideV w:val="single" w:sz="2" w:space="0" w:color="92CDDC"/>
      </w:tblBorders>
      <w:tblCellMar>
        <w:top w:w="0" w:type="dxa"/>
        <w:left w:w="108" w:type="dxa"/>
        <w:bottom w:w="0" w:type="dxa"/>
        <w:right w:w="108" w:type="dxa"/>
      </w:tblCellMar>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2-Accent11">
    <w:name w:val="Grid Table 2 - Accent 11"/>
    <w:basedOn w:val="TableNormal"/>
    <w:uiPriority w:val="47"/>
    <w:rsid w:val="005F745F"/>
    <w:tblPr>
      <w:tblInd w:w="0" w:type="dxa"/>
      <w:tblBorders>
        <w:top w:val="single" w:sz="2" w:space="0" w:color="95B3D7"/>
        <w:bottom w:val="single" w:sz="2" w:space="0" w:color="95B3D7"/>
        <w:insideH w:val="single" w:sz="2" w:space="0" w:color="95B3D7"/>
        <w:insideV w:val="single" w:sz="2" w:space="0" w:color="95B3D7"/>
      </w:tblBorders>
      <w:tblCellMar>
        <w:top w:w="0" w:type="dxa"/>
        <w:left w:w="108" w:type="dxa"/>
        <w:bottom w:w="0" w:type="dxa"/>
        <w:right w:w="108" w:type="dxa"/>
      </w:tblCellMar>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2-Accent12">
    <w:name w:val="Grid Table 2 - Accent 12"/>
    <w:basedOn w:val="TableNormal"/>
    <w:uiPriority w:val="47"/>
    <w:rsid w:val="005F745F"/>
    <w:tblPr>
      <w:tblInd w:w="0" w:type="dxa"/>
      <w:tblBorders>
        <w:top w:val="single" w:sz="2" w:space="0" w:color="95B3D7"/>
        <w:bottom w:val="single" w:sz="2" w:space="0" w:color="95B3D7"/>
        <w:insideH w:val="single" w:sz="2" w:space="0" w:color="95B3D7"/>
        <w:insideV w:val="single" w:sz="2" w:space="0" w:color="95B3D7"/>
      </w:tblBorders>
      <w:tblCellMar>
        <w:top w:w="0" w:type="dxa"/>
        <w:left w:w="108" w:type="dxa"/>
        <w:bottom w:w="0" w:type="dxa"/>
        <w:right w:w="108" w:type="dxa"/>
      </w:tblCellMar>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2-Accent13">
    <w:name w:val="Grid Table 2 - Accent 13"/>
    <w:basedOn w:val="TableNormal"/>
    <w:uiPriority w:val="47"/>
    <w:rsid w:val="005F745F"/>
    <w:tblPr>
      <w:tblInd w:w="0" w:type="dxa"/>
      <w:tblBorders>
        <w:top w:val="single" w:sz="2" w:space="0" w:color="95B3D7"/>
        <w:bottom w:val="single" w:sz="2" w:space="0" w:color="95B3D7"/>
        <w:insideH w:val="single" w:sz="2" w:space="0" w:color="95B3D7"/>
        <w:insideV w:val="single" w:sz="2" w:space="0" w:color="95B3D7"/>
      </w:tblBorders>
      <w:tblCellMar>
        <w:top w:w="0" w:type="dxa"/>
        <w:left w:w="108" w:type="dxa"/>
        <w:bottom w:w="0" w:type="dxa"/>
        <w:right w:w="108" w:type="dxa"/>
      </w:tblCellMar>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CommentTextChar">
    <w:name w:val="Comment Text Char"/>
    <w:basedOn w:val="DefaultParagraphFont"/>
    <w:link w:val="CommentText"/>
    <w:rsid w:val="005F745F"/>
    <w:rPr>
      <w:rFonts w:cs="SimSun"/>
      <w:kern w:val="2"/>
      <w:lang w:eastAsia="zh-CN"/>
    </w:rPr>
  </w:style>
  <w:style w:type="character" w:customStyle="1" w:styleId="CommentSubjectChar">
    <w:name w:val="Comment Subject Char"/>
    <w:basedOn w:val="CommentTextChar"/>
    <w:link w:val="CommentSubject"/>
    <w:uiPriority w:val="99"/>
    <w:semiHidden/>
    <w:rsid w:val="005F745F"/>
    <w:rPr>
      <w:rFonts w:cs="SimSun"/>
      <w:b/>
      <w:bCs/>
      <w:kern w:val="2"/>
      <w:lang w:eastAsia="zh-CN"/>
    </w:rPr>
  </w:style>
  <w:style w:type="character" w:customStyle="1" w:styleId="BalloonTextChar">
    <w:name w:val="Balloon Text Char"/>
    <w:basedOn w:val="DefaultParagraphFont"/>
    <w:link w:val="BalloonText"/>
    <w:uiPriority w:val="99"/>
    <w:semiHidden/>
    <w:rsid w:val="005F745F"/>
    <w:rPr>
      <w:rFonts w:ascii="Segoe UI" w:hAnsi="Segoe UI" w:cs="Segoe UI"/>
      <w:sz w:val="18"/>
      <w:szCs w:val="18"/>
      <w:lang w:eastAsia="zh-CN"/>
    </w:rPr>
  </w:style>
  <w:style w:type="paragraph" w:customStyle="1" w:styleId="p1">
    <w:name w:val="p1"/>
    <w:rsid w:val="005F745F"/>
    <w:pPr>
      <w:spacing w:after="0"/>
    </w:pPr>
    <w:rPr>
      <w:rFonts w:ascii=".applesystemuifont" w:eastAsia=".applesystemuifont" w:hAnsi=".applesystemuifont"/>
      <w:color w:val="000000"/>
      <w:sz w:val="22"/>
      <w:szCs w:val="22"/>
      <w:lang w:eastAsia="zh-CN"/>
    </w:rPr>
  </w:style>
  <w:style w:type="character" w:customStyle="1" w:styleId="s1">
    <w:name w:val="s1"/>
    <w:rsid w:val="005F745F"/>
    <w:rPr>
      <w:rFonts w:ascii=".SFUI-Regular" w:eastAsia=".SFUI-Regular" w:hAnsi=".SFUI-Regular" w:cs=".SFUI-Regular"/>
      <w:sz w:val="22"/>
      <w:szCs w:val="22"/>
    </w:rPr>
  </w:style>
  <w:style w:type="table" w:customStyle="1" w:styleId="GridTable1Light1">
    <w:name w:val="Grid Table 1 Light1"/>
    <w:basedOn w:val="TableNormal"/>
    <w:uiPriority w:val="46"/>
    <w:rsid w:val="005F745F"/>
    <w:pPr>
      <w:spacing w:after="0" w:line="240" w:lineRule="auto"/>
    </w:pPr>
    <w:tblPr>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
    <w:name w:val="Unresolved Mention"/>
    <w:basedOn w:val="DefaultParagraphFont"/>
    <w:uiPriority w:val="99"/>
    <w:semiHidden/>
    <w:unhideWhenUsed/>
    <w:rsid w:val="00316ECD"/>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oi.org/10.1016/j.foodpol.2021.102068"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1</Pages>
  <Words>10713</Words>
  <Characters>61067</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Infinix X678B</dc:creator>
  <cp:lastModifiedBy>Vet. Extension</cp:lastModifiedBy>
  <cp:revision>44</cp:revision>
  <cp:lastPrinted>2025-11-20T07:02:00Z</cp:lastPrinted>
  <dcterms:created xsi:type="dcterms:W3CDTF">2025-11-17T06:29:00Z</dcterms:created>
  <dcterms:modified xsi:type="dcterms:W3CDTF">2025-11-20T10:57:00Z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B07E4CF9CD9C5DC5246C18699315DBA6_33</vt:lpwstr>
  </property>
  <property fmtid="{D5CDD505-2E9C-101B-9397-08002B2CF9AE}" pid="3" name="KSOProductBuildVer">
    <vt:lpwstr>3081-11.37.01</vt:lpwstr>
  </property>
</Properties>
</file>