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FB4" w:rsidRDefault="00C83FB4">
      <w:pPr>
        <w:spacing w:before="99"/>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83FB4">
        <w:trPr>
          <w:trHeight w:val="290"/>
        </w:trPr>
        <w:tc>
          <w:tcPr>
            <w:tcW w:w="5168" w:type="dxa"/>
          </w:tcPr>
          <w:p w:rsidR="00C83FB4" w:rsidRDefault="00E05BAF">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C83FB4" w:rsidRDefault="00120FAC">
            <w:pPr>
              <w:pStyle w:val="TableParagraph"/>
              <w:spacing w:before="26"/>
              <w:ind w:left="107"/>
              <w:rPr>
                <w:rFonts w:ascii="Arial"/>
                <w:b/>
                <w:sz w:val="20"/>
              </w:rPr>
            </w:pPr>
            <w:hyperlink r:id="rId6">
              <w:r w:rsidR="00E05BAF">
                <w:rPr>
                  <w:rFonts w:ascii="Arial"/>
                  <w:b/>
                  <w:color w:val="0000FF"/>
                  <w:sz w:val="20"/>
                </w:rPr>
                <w:t>Archives</w:t>
              </w:r>
              <w:r w:rsidR="00E05BAF">
                <w:rPr>
                  <w:rFonts w:ascii="Arial"/>
                  <w:b/>
                  <w:color w:val="0000FF"/>
                  <w:spacing w:val="-8"/>
                  <w:sz w:val="20"/>
                </w:rPr>
                <w:t xml:space="preserve"> </w:t>
              </w:r>
              <w:r w:rsidR="00E05BAF">
                <w:rPr>
                  <w:rFonts w:ascii="Arial"/>
                  <w:b/>
                  <w:color w:val="0000FF"/>
                  <w:sz w:val="20"/>
                </w:rPr>
                <w:t>of</w:t>
              </w:r>
              <w:r w:rsidR="00E05BAF">
                <w:rPr>
                  <w:rFonts w:ascii="Arial"/>
                  <w:b/>
                  <w:color w:val="0000FF"/>
                  <w:spacing w:val="-5"/>
                  <w:sz w:val="20"/>
                </w:rPr>
                <w:t xml:space="preserve"> </w:t>
              </w:r>
              <w:r w:rsidR="00E05BAF">
                <w:rPr>
                  <w:rFonts w:ascii="Arial"/>
                  <w:b/>
                  <w:color w:val="0000FF"/>
                  <w:sz w:val="20"/>
                </w:rPr>
                <w:t>Current</w:t>
              </w:r>
              <w:r w:rsidR="00E05BAF">
                <w:rPr>
                  <w:rFonts w:ascii="Arial"/>
                  <w:b/>
                  <w:color w:val="0000FF"/>
                  <w:spacing w:val="-7"/>
                  <w:sz w:val="20"/>
                </w:rPr>
                <w:t xml:space="preserve"> </w:t>
              </w:r>
              <w:r w:rsidR="00E05BAF">
                <w:rPr>
                  <w:rFonts w:ascii="Arial"/>
                  <w:b/>
                  <w:color w:val="0000FF"/>
                  <w:sz w:val="20"/>
                </w:rPr>
                <w:t>Research</w:t>
              </w:r>
              <w:r w:rsidR="00E05BAF">
                <w:rPr>
                  <w:rFonts w:ascii="Arial"/>
                  <w:b/>
                  <w:color w:val="0000FF"/>
                  <w:spacing w:val="-7"/>
                  <w:sz w:val="20"/>
                </w:rPr>
                <w:t xml:space="preserve"> </w:t>
              </w:r>
              <w:r w:rsidR="00E05BAF">
                <w:rPr>
                  <w:rFonts w:ascii="Arial"/>
                  <w:b/>
                  <w:color w:val="0000FF"/>
                  <w:spacing w:val="-2"/>
                  <w:sz w:val="20"/>
                </w:rPr>
                <w:t>International</w:t>
              </w:r>
            </w:hyperlink>
          </w:p>
        </w:tc>
      </w:tr>
      <w:tr w:rsidR="00C83FB4">
        <w:trPr>
          <w:trHeight w:val="290"/>
        </w:trPr>
        <w:tc>
          <w:tcPr>
            <w:tcW w:w="5168" w:type="dxa"/>
          </w:tcPr>
          <w:p w:rsidR="00C83FB4" w:rsidRDefault="00E05BAF">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C83FB4" w:rsidRDefault="00E05BAF">
            <w:pPr>
              <w:pStyle w:val="TableParagraph"/>
              <w:spacing w:before="26"/>
              <w:ind w:left="107"/>
              <w:rPr>
                <w:rFonts w:ascii="Arial"/>
                <w:b/>
                <w:sz w:val="20"/>
              </w:rPr>
            </w:pPr>
            <w:r>
              <w:rPr>
                <w:rFonts w:ascii="Arial"/>
                <w:b/>
                <w:spacing w:val="-2"/>
                <w:sz w:val="20"/>
              </w:rPr>
              <w:t>Ms_ACRI_148593</w:t>
            </w:r>
          </w:p>
        </w:tc>
      </w:tr>
      <w:tr w:rsidR="00C83FB4">
        <w:trPr>
          <w:trHeight w:val="650"/>
        </w:trPr>
        <w:tc>
          <w:tcPr>
            <w:tcW w:w="5168" w:type="dxa"/>
          </w:tcPr>
          <w:p w:rsidR="00C83FB4" w:rsidRDefault="00E05BAF">
            <w:pPr>
              <w:pStyle w:val="TableParagraph"/>
              <w:spacing w:line="229" w:lineRule="exact"/>
              <w:ind w:left="95"/>
              <w:rPr>
                <w:rFonts w:ascii="Arial"/>
                <w:sz w:val="20"/>
              </w:rPr>
            </w:pPr>
            <w:r>
              <w:rPr>
                <w:rFonts w:ascii="Arial"/>
                <w:sz w:val="20"/>
              </w:rPr>
              <w:t>Title</w:t>
            </w:r>
            <w:r>
              <w:rPr>
                <w:rFonts w:ascii="Arial"/>
                <w:spacing w:val="-6"/>
                <w:sz w:val="20"/>
              </w:rPr>
              <w:t xml:space="preserve"> </w:t>
            </w:r>
            <w:r>
              <w:rPr>
                <w:rFonts w:ascii="Arial"/>
                <w:sz w:val="20"/>
              </w:rPr>
              <w:t>of</w:t>
            </w:r>
            <w:r>
              <w:rPr>
                <w:rFonts w:ascii="Arial"/>
                <w:spacing w:val="-4"/>
                <w:sz w:val="20"/>
              </w:rPr>
              <w:t xml:space="preserve"> </w:t>
            </w:r>
            <w:r>
              <w:rPr>
                <w:rFonts w:ascii="Arial"/>
                <w:sz w:val="20"/>
              </w:rPr>
              <w:t>the</w:t>
            </w:r>
            <w:r>
              <w:rPr>
                <w:rFonts w:ascii="Arial"/>
                <w:spacing w:val="-4"/>
                <w:sz w:val="20"/>
              </w:rPr>
              <w:t xml:space="preserve"> </w:t>
            </w:r>
            <w:r>
              <w:rPr>
                <w:rFonts w:ascii="Arial"/>
                <w:spacing w:val="-2"/>
                <w:sz w:val="20"/>
              </w:rPr>
              <w:t>Manuscript:</w:t>
            </w:r>
          </w:p>
        </w:tc>
        <w:tc>
          <w:tcPr>
            <w:tcW w:w="15770" w:type="dxa"/>
          </w:tcPr>
          <w:p w:rsidR="00C83FB4" w:rsidRDefault="00E05BAF">
            <w:pPr>
              <w:pStyle w:val="TableParagraph"/>
              <w:spacing w:before="206"/>
              <w:ind w:left="107"/>
              <w:rPr>
                <w:rFonts w:ascii="Arial"/>
                <w:b/>
                <w:sz w:val="20"/>
              </w:rPr>
            </w:pPr>
            <w:proofErr w:type="spellStart"/>
            <w:r>
              <w:rPr>
                <w:rFonts w:ascii="Arial"/>
                <w:b/>
                <w:sz w:val="20"/>
              </w:rPr>
              <w:t>Post</w:t>
            </w:r>
            <w:r>
              <w:rPr>
                <w:rFonts w:ascii="Arial"/>
                <w:b/>
                <w:spacing w:val="-6"/>
                <w:sz w:val="20"/>
              </w:rPr>
              <w:t xml:space="preserve"> </w:t>
            </w:r>
            <w:r>
              <w:rPr>
                <w:rFonts w:ascii="Arial"/>
                <w:b/>
                <w:sz w:val="20"/>
              </w:rPr>
              <w:t>harvest</w:t>
            </w:r>
            <w:proofErr w:type="spellEnd"/>
            <w:r>
              <w:rPr>
                <w:rFonts w:ascii="Arial"/>
                <w:b/>
                <w:spacing w:val="-4"/>
                <w:sz w:val="20"/>
              </w:rPr>
              <w:t xml:space="preserve"> </w:t>
            </w:r>
            <w:r>
              <w:rPr>
                <w:rFonts w:ascii="Arial"/>
                <w:b/>
                <w:sz w:val="20"/>
              </w:rPr>
              <w:t>application</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Carboxy</w:t>
            </w:r>
            <w:r>
              <w:rPr>
                <w:rFonts w:ascii="Arial"/>
                <w:b/>
                <w:spacing w:val="-6"/>
                <w:sz w:val="20"/>
              </w:rPr>
              <w:t xml:space="preserve"> </w:t>
            </w:r>
            <w:r>
              <w:rPr>
                <w:rFonts w:ascii="Arial"/>
                <w:b/>
                <w:sz w:val="20"/>
              </w:rPr>
              <w:t>methyl</w:t>
            </w:r>
            <w:r>
              <w:rPr>
                <w:rFonts w:ascii="Arial"/>
                <w:b/>
                <w:spacing w:val="-4"/>
                <w:sz w:val="20"/>
              </w:rPr>
              <w:t xml:space="preserve"> </w:t>
            </w:r>
            <w:r>
              <w:rPr>
                <w:rFonts w:ascii="Arial"/>
                <w:b/>
                <w:sz w:val="20"/>
              </w:rPr>
              <w:t>cellulose</w:t>
            </w:r>
            <w:r>
              <w:rPr>
                <w:rFonts w:ascii="Arial"/>
                <w:b/>
                <w:spacing w:val="-6"/>
                <w:sz w:val="20"/>
              </w:rPr>
              <w:t xml:space="preserve"> </w:t>
            </w:r>
            <w:r>
              <w:rPr>
                <w:rFonts w:ascii="Arial"/>
                <w:b/>
                <w:sz w:val="20"/>
              </w:rPr>
              <w:t>as</w:t>
            </w:r>
            <w:r>
              <w:rPr>
                <w:rFonts w:ascii="Arial"/>
                <w:b/>
                <w:spacing w:val="-5"/>
                <w:sz w:val="20"/>
              </w:rPr>
              <w:t xml:space="preserve"> </w:t>
            </w:r>
            <w:r>
              <w:rPr>
                <w:rFonts w:ascii="Arial"/>
                <w:b/>
                <w:sz w:val="20"/>
              </w:rPr>
              <w:t>edible</w:t>
            </w:r>
            <w:r>
              <w:rPr>
                <w:rFonts w:ascii="Arial"/>
                <w:b/>
                <w:spacing w:val="-6"/>
                <w:sz w:val="20"/>
              </w:rPr>
              <w:t xml:space="preserve"> </w:t>
            </w:r>
            <w:r>
              <w:rPr>
                <w:rFonts w:ascii="Arial"/>
                <w:b/>
                <w:sz w:val="20"/>
              </w:rPr>
              <w:t>coating</w:t>
            </w:r>
            <w:r>
              <w:rPr>
                <w:rFonts w:ascii="Arial"/>
                <w:b/>
                <w:spacing w:val="-5"/>
                <w:sz w:val="20"/>
              </w:rPr>
              <w:t xml:space="preserve"> </w:t>
            </w:r>
            <w:r>
              <w:rPr>
                <w:rFonts w:ascii="Arial"/>
                <w:b/>
                <w:sz w:val="20"/>
              </w:rPr>
              <w:t>to</w:t>
            </w:r>
            <w:r>
              <w:rPr>
                <w:rFonts w:ascii="Arial"/>
                <w:b/>
                <w:spacing w:val="-5"/>
                <w:sz w:val="20"/>
              </w:rPr>
              <w:t xml:space="preserve"> </w:t>
            </w:r>
            <w:r>
              <w:rPr>
                <w:rFonts w:ascii="Arial"/>
                <w:b/>
                <w:sz w:val="20"/>
              </w:rPr>
              <w:t>enhance</w:t>
            </w:r>
            <w:r>
              <w:rPr>
                <w:rFonts w:ascii="Arial"/>
                <w:b/>
                <w:spacing w:val="-6"/>
                <w:sz w:val="20"/>
              </w:rPr>
              <w:t xml:space="preserve"> </w:t>
            </w:r>
            <w:r>
              <w:rPr>
                <w:rFonts w:ascii="Arial"/>
                <w:b/>
                <w:sz w:val="20"/>
              </w:rPr>
              <w:t>shelf</w:t>
            </w:r>
            <w:r>
              <w:rPr>
                <w:rFonts w:ascii="Arial"/>
                <w:b/>
                <w:spacing w:val="-6"/>
                <w:sz w:val="20"/>
              </w:rPr>
              <w:t xml:space="preserve"> </w:t>
            </w:r>
            <w:r>
              <w:rPr>
                <w:rFonts w:ascii="Arial"/>
                <w:b/>
                <w:sz w:val="20"/>
              </w:rPr>
              <w:t>life</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quality</w:t>
            </w:r>
            <w:r>
              <w:rPr>
                <w:rFonts w:ascii="Arial"/>
                <w:b/>
                <w:spacing w:val="-6"/>
                <w:sz w:val="20"/>
              </w:rPr>
              <w:t xml:space="preserve"> </w:t>
            </w:r>
            <w:r>
              <w:rPr>
                <w:rFonts w:ascii="Arial"/>
                <w:b/>
                <w:sz w:val="20"/>
              </w:rPr>
              <w:t>of</w:t>
            </w:r>
            <w:r>
              <w:rPr>
                <w:rFonts w:ascii="Arial"/>
                <w:b/>
                <w:spacing w:val="-1"/>
                <w:sz w:val="20"/>
              </w:rPr>
              <w:t xml:space="preserve"> </w:t>
            </w:r>
            <w:r>
              <w:rPr>
                <w:rFonts w:ascii="Arial"/>
                <w:b/>
                <w:sz w:val="20"/>
              </w:rPr>
              <w:t>Assam</w:t>
            </w:r>
            <w:r>
              <w:rPr>
                <w:rFonts w:ascii="Arial"/>
                <w:b/>
                <w:spacing w:val="-6"/>
                <w:sz w:val="20"/>
              </w:rPr>
              <w:t xml:space="preserve"> </w:t>
            </w:r>
            <w:r>
              <w:rPr>
                <w:rFonts w:ascii="Arial"/>
                <w:b/>
                <w:spacing w:val="-2"/>
                <w:sz w:val="20"/>
              </w:rPr>
              <w:t>Lemon</w:t>
            </w:r>
          </w:p>
        </w:tc>
      </w:tr>
      <w:tr w:rsidR="00C83FB4">
        <w:trPr>
          <w:trHeight w:val="333"/>
        </w:trPr>
        <w:tc>
          <w:tcPr>
            <w:tcW w:w="5168" w:type="dxa"/>
          </w:tcPr>
          <w:p w:rsidR="00C83FB4" w:rsidRDefault="00E05BAF">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C83FB4" w:rsidRDefault="00E05BAF">
            <w:pPr>
              <w:pStyle w:val="TableParagraph"/>
              <w:spacing w:before="47"/>
              <w:ind w:left="107"/>
              <w:rPr>
                <w:rFonts w:ascii="Arial"/>
                <w:b/>
                <w:sz w:val="20"/>
              </w:rPr>
            </w:pPr>
            <w:r>
              <w:rPr>
                <w:rFonts w:ascii="Arial"/>
                <w:b/>
                <w:sz w:val="20"/>
              </w:rPr>
              <w:t>Research</w:t>
            </w:r>
            <w:r>
              <w:rPr>
                <w:rFonts w:ascii="Arial"/>
                <w:b/>
                <w:spacing w:val="-9"/>
                <w:sz w:val="20"/>
              </w:rPr>
              <w:t xml:space="preserve"> </w:t>
            </w:r>
            <w:r>
              <w:rPr>
                <w:rFonts w:ascii="Arial"/>
                <w:b/>
                <w:spacing w:val="-2"/>
                <w:sz w:val="20"/>
              </w:rPr>
              <w:t>Paper</w:t>
            </w:r>
          </w:p>
        </w:tc>
      </w:tr>
    </w:tbl>
    <w:p w:rsidR="00C83FB4" w:rsidRDefault="00C83FB4">
      <w:pPr>
        <w:spacing w:before="229"/>
        <w:rPr>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4"/>
        <w:gridCol w:w="9356"/>
        <w:gridCol w:w="6349"/>
      </w:tblGrid>
      <w:tr w:rsidR="00C83FB4" w:rsidTr="00312399">
        <w:trPr>
          <w:trHeight w:val="453"/>
        </w:trPr>
        <w:tc>
          <w:tcPr>
            <w:tcW w:w="20979" w:type="dxa"/>
            <w:gridSpan w:val="3"/>
            <w:tcBorders>
              <w:top w:val="nil"/>
              <w:left w:val="nil"/>
              <w:right w:val="nil"/>
            </w:tcBorders>
          </w:tcPr>
          <w:p w:rsidR="00C83FB4" w:rsidRDefault="00E05BAF">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pacing w:val="-2"/>
                <w:sz w:val="20"/>
              </w:rPr>
              <w:t xml:space="preserve"> Comments</w:t>
            </w:r>
          </w:p>
        </w:tc>
      </w:tr>
      <w:tr w:rsidR="00C83FB4" w:rsidTr="00312399">
        <w:trPr>
          <w:trHeight w:val="1240"/>
        </w:trPr>
        <w:tc>
          <w:tcPr>
            <w:tcW w:w="5274" w:type="dxa"/>
          </w:tcPr>
          <w:p w:rsidR="00C83FB4" w:rsidRDefault="00C83FB4">
            <w:pPr>
              <w:pStyle w:val="TableParagraph"/>
              <w:ind w:left="0"/>
              <w:rPr>
                <w:sz w:val="18"/>
              </w:rPr>
            </w:pPr>
          </w:p>
        </w:tc>
        <w:tc>
          <w:tcPr>
            <w:tcW w:w="9356" w:type="dxa"/>
          </w:tcPr>
          <w:p w:rsidR="00C83FB4" w:rsidRDefault="00E05BAF">
            <w:pPr>
              <w:pStyle w:val="TableParagraph"/>
              <w:spacing w:line="228" w:lineRule="exact"/>
              <w:rPr>
                <w:b/>
                <w:sz w:val="20"/>
              </w:rPr>
            </w:pPr>
            <w:r>
              <w:rPr>
                <w:b/>
                <w:sz w:val="20"/>
              </w:rPr>
              <w:t>Reviewer’s</w:t>
            </w:r>
            <w:r>
              <w:rPr>
                <w:b/>
                <w:spacing w:val="-10"/>
                <w:sz w:val="20"/>
              </w:rPr>
              <w:t xml:space="preserve"> </w:t>
            </w:r>
            <w:r>
              <w:rPr>
                <w:b/>
                <w:spacing w:val="-2"/>
                <w:sz w:val="20"/>
              </w:rPr>
              <w:t>comment</w:t>
            </w:r>
          </w:p>
          <w:p w:rsidR="00C83FB4" w:rsidRDefault="00C83FB4">
            <w:pPr>
              <w:pStyle w:val="TableParagraph"/>
              <w:spacing w:before="46"/>
              <w:ind w:left="0"/>
              <w:rPr>
                <w:sz w:val="20"/>
              </w:rPr>
            </w:pPr>
          </w:p>
          <w:p w:rsidR="00C83FB4" w:rsidRDefault="00E05BAF">
            <w:pPr>
              <w:pStyle w:val="TableParagraph"/>
              <w:ind w:right="200"/>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349" w:type="dxa"/>
          </w:tcPr>
          <w:p w:rsidR="00C83FB4" w:rsidRDefault="00E05BAF">
            <w:pPr>
              <w:pStyle w:val="TableParagraph"/>
              <w:ind w:right="678"/>
              <w:rPr>
                <w:i/>
                <w:sz w:val="20"/>
              </w:rPr>
            </w:pPr>
            <w:r>
              <w:rPr>
                <w:b/>
                <w:sz w:val="20"/>
              </w:rPr>
              <w:t>Author’s</w:t>
            </w:r>
            <w:r>
              <w:rPr>
                <w:b/>
                <w:spacing w:val="-6"/>
                <w:sz w:val="20"/>
              </w:rPr>
              <w:t xml:space="preserve"> </w:t>
            </w:r>
            <w:r>
              <w:rPr>
                <w:b/>
                <w:sz w:val="20"/>
              </w:rPr>
              <w:t>Feedback</w:t>
            </w:r>
            <w:r>
              <w:rPr>
                <w:b/>
                <w:spacing w:val="-3"/>
                <w:sz w:val="20"/>
              </w:rPr>
              <w:t xml:space="preserve"> </w:t>
            </w:r>
            <w:r>
              <w:rPr>
                <w:i/>
                <w:sz w:val="20"/>
              </w:rPr>
              <w:t>(It</w:t>
            </w:r>
            <w:r>
              <w:rPr>
                <w:i/>
                <w:spacing w:val="-6"/>
                <w:sz w:val="20"/>
              </w:rPr>
              <w:t xml:space="preserve"> </w:t>
            </w:r>
            <w:r>
              <w:rPr>
                <w:i/>
                <w:sz w:val="20"/>
              </w:rPr>
              <w:t>is</w:t>
            </w:r>
            <w:r>
              <w:rPr>
                <w:i/>
                <w:spacing w:val="-6"/>
                <w:sz w:val="20"/>
              </w:rPr>
              <w:t xml:space="preserve"> </w:t>
            </w:r>
            <w:r>
              <w:rPr>
                <w:i/>
                <w:sz w:val="20"/>
              </w:rPr>
              <w:t>mandatory</w:t>
            </w:r>
            <w:r>
              <w:rPr>
                <w:i/>
                <w:spacing w:val="-5"/>
                <w:sz w:val="20"/>
              </w:rPr>
              <w:t xml:space="preserve"> </w:t>
            </w:r>
            <w:r>
              <w:rPr>
                <w:i/>
                <w:sz w:val="20"/>
              </w:rPr>
              <w:t>that</w:t>
            </w:r>
            <w:r>
              <w:rPr>
                <w:i/>
                <w:spacing w:val="-6"/>
                <w:sz w:val="20"/>
              </w:rPr>
              <w:t xml:space="preserve"> </w:t>
            </w:r>
            <w:r>
              <w:rPr>
                <w:i/>
                <w:sz w:val="20"/>
              </w:rPr>
              <w:t>authors</w:t>
            </w:r>
            <w:r>
              <w:rPr>
                <w:i/>
                <w:spacing w:val="-6"/>
                <w:sz w:val="20"/>
              </w:rPr>
              <w:t xml:space="preserve"> </w:t>
            </w:r>
            <w:r>
              <w:rPr>
                <w:i/>
                <w:sz w:val="20"/>
              </w:rPr>
              <w:t>should</w:t>
            </w:r>
            <w:r>
              <w:rPr>
                <w:i/>
                <w:spacing w:val="-4"/>
                <w:sz w:val="20"/>
              </w:rPr>
              <w:t xml:space="preserve"> </w:t>
            </w:r>
            <w:r>
              <w:rPr>
                <w:i/>
                <w:sz w:val="20"/>
              </w:rPr>
              <w:t>write</w:t>
            </w:r>
            <w:r>
              <w:rPr>
                <w:i/>
                <w:spacing w:val="-5"/>
                <w:sz w:val="20"/>
              </w:rPr>
              <w:t xml:space="preserve"> </w:t>
            </w:r>
            <w:r>
              <w:rPr>
                <w:i/>
                <w:sz w:val="20"/>
              </w:rPr>
              <w:t>his/her feedback here)</w:t>
            </w:r>
          </w:p>
        </w:tc>
      </w:tr>
      <w:tr w:rsidR="00C83FB4" w:rsidTr="00312399">
        <w:trPr>
          <w:trHeight w:val="1382"/>
        </w:trPr>
        <w:tc>
          <w:tcPr>
            <w:tcW w:w="5274" w:type="dxa"/>
          </w:tcPr>
          <w:p w:rsidR="00C83FB4" w:rsidRDefault="00E05BAF">
            <w:pPr>
              <w:pStyle w:val="TableParagraph"/>
              <w:ind w:left="467" w:right="200"/>
              <w:rPr>
                <w:b/>
                <w:sz w:val="20"/>
              </w:rPr>
            </w:pPr>
            <w:r>
              <w:rPr>
                <w:b/>
                <w:sz w:val="20"/>
              </w:rPr>
              <w:t>Please</w:t>
            </w:r>
            <w:r>
              <w:rPr>
                <w:b/>
                <w:spacing w:val="-6"/>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C83FB4" w:rsidRDefault="00E05BAF">
            <w:pPr>
              <w:pStyle w:val="TableParagraph"/>
              <w:ind w:right="200"/>
              <w:rPr>
                <w:sz w:val="20"/>
              </w:rPr>
            </w:pPr>
            <w:r>
              <w:rPr>
                <w:sz w:val="20"/>
              </w:rPr>
              <w:t>This manuscript studies how to keep Assam</w:t>
            </w:r>
            <w:r>
              <w:rPr>
                <w:spacing w:val="-1"/>
                <w:sz w:val="20"/>
              </w:rPr>
              <w:t xml:space="preserve"> </w:t>
            </w:r>
            <w:r>
              <w:rPr>
                <w:sz w:val="20"/>
              </w:rPr>
              <w:t>lemon fresh for a longer time, which is important because this fruit has a big role in the economy and culture of Assam. The research tests a safe and eco-friendly edible coating made from Carboxy Methyl Cellulose (CMC), along with propylene glycol and sodium benzoate, to protect the fruit and extend its shelf life. This approach helps reduce waste and lets producers send lemons to more distant markets. The study adds useful information about food preservation that can help farmers, scientists, and the</w:t>
            </w:r>
          </w:p>
          <w:p w:rsidR="00C83FB4" w:rsidRDefault="00E05BAF">
            <w:pPr>
              <w:pStyle w:val="TableParagraph"/>
              <w:spacing w:line="217" w:lineRule="exact"/>
              <w:rPr>
                <w:sz w:val="20"/>
              </w:rPr>
            </w:pPr>
            <w:r>
              <w:rPr>
                <w:sz w:val="20"/>
              </w:rPr>
              <w:t>food</w:t>
            </w:r>
            <w:r>
              <w:rPr>
                <w:spacing w:val="-1"/>
                <w:sz w:val="20"/>
              </w:rPr>
              <w:t xml:space="preserve"> </w:t>
            </w:r>
            <w:r>
              <w:rPr>
                <w:spacing w:val="-2"/>
                <w:sz w:val="20"/>
              </w:rPr>
              <w:t>industry.</w:t>
            </w:r>
          </w:p>
        </w:tc>
        <w:tc>
          <w:tcPr>
            <w:tcW w:w="6349" w:type="dxa"/>
          </w:tcPr>
          <w:p w:rsidR="00C83FB4" w:rsidRDefault="00C83FB4">
            <w:pPr>
              <w:pStyle w:val="TableParagraph"/>
              <w:ind w:left="0"/>
              <w:rPr>
                <w:sz w:val="18"/>
              </w:rPr>
            </w:pPr>
          </w:p>
        </w:tc>
      </w:tr>
      <w:tr w:rsidR="00C83FB4" w:rsidTr="00312399">
        <w:trPr>
          <w:trHeight w:val="1092"/>
        </w:trPr>
        <w:tc>
          <w:tcPr>
            <w:tcW w:w="5274" w:type="dxa"/>
          </w:tcPr>
          <w:p w:rsidR="00C83FB4" w:rsidRDefault="00E05BAF">
            <w:pPr>
              <w:pStyle w:val="TableParagraph"/>
              <w:spacing w:line="228"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C83FB4" w:rsidRDefault="00E05BAF">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C83FB4" w:rsidRDefault="00E05BAF">
            <w:pPr>
              <w:pStyle w:val="TableParagraph"/>
              <w:rPr>
                <w:sz w:val="20"/>
              </w:rPr>
            </w:pPr>
            <w:r>
              <w:rPr>
                <w:sz w:val="20"/>
              </w:rPr>
              <w:t>The</w:t>
            </w:r>
            <w:r>
              <w:rPr>
                <w:spacing w:val="40"/>
                <w:sz w:val="20"/>
              </w:rPr>
              <w:t xml:space="preserve"> </w:t>
            </w:r>
            <w:r>
              <w:rPr>
                <w:sz w:val="20"/>
              </w:rPr>
              <w:t>title, of the article is clear and informative as it</w:t>
            </w:r>
            <w:r>
              <w:rPr>
                <w:spacing w:val="-1"/>
                <w:sz w:val="20"/>
              </w:rPr>
              <w:t xml:space="preserve"> </w:t>
            </w:r>
            <w:r>
              <w:rPr>
                <w:sz w:val="20"/>
              </w:rPr>
              <w:t>reflects the main focus</w:t>
            </w:r>
            <w:r>
              <w:rPr>
                <w:spacing w:val="-1"/>
                <w:sz w:val="20"/>
              </w:rPr>
              <w:t xml:space="preserve"> </w:t>
            </w:r>
            <w:r>
              <w:rPr>
                <w:sz w:val="20"/>
              </w:rPr>
              <w:t>and scope of the work. However, it could be made more concise and impactful.</w:t>
            </w:r>
          </w:p>
          <w:p w:rsidR="00C83FB4" w:rsidRDefault="00E05BAF">
            <w:pPr>
              <w:pStyle w:val="TableParagraph"/>
              <w:ind w:right="200"/>
              <w:rPr>
                <w:sz w:val="20"/>
              </w:rPr>
            </w:pPr>
            <w:r>
              <w:rPr>
                <w:sz w:val="20"/>
              </w:rPr>
              <w:t>Suggested alternative: "Enhancing Shelf Life and Quality of Assam Lemon Using Carboxy Methyl Cellulose Edible Coatings."</w:t>
            </w:r>
          </w:p>
        </w:tc>
        <w:tc>
          <w:tcPr>
            <w:tcW w:w="6349" w:type="dxa"/>
          </w:tcPr>
          <w:p w:rsidR="00C83FB4" w:rsidRDefault="00C83FB4">
            <w:pPr>
              <w:pStyle w:val="TableParagraph"/>
              <w:ind w:left="0"/>
              <w:rPr>
                <w:sz w:val="18"/>
              </w:rPr>
            </w:pPr>
          </w:p>
        </w:tc>
      </w:tr>
      <w:tr w:rsidR="00C83FB4" w:rsidTr="00312399">
        <w:trPr>
          <w:trHeight w:val="978"/>
        </w:trPr>
        <w:tc>
          <w:tcPr>
            <w:tcW w:w="5274" w:type="dxa"/>
          </w:tcPr>
          <w:p w:rsidR="00C83FB4" w:rsidRDefault="00E05BAF">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C83FB4" w:rsidRDefault="00E05BAF">
            <w:pPr>
              <w:pStyle w:val="TableParagraph"/>
              <w:ind w:right="200"/>
              <w:rPr>
                <w:sz w:val="20"/>
              </w:rPr>
            </w:pPr>
            <w:r>
              <w:rPr>
                <w:sz w:val="20"/>
              </w:rPr>
              <w:t>The abstract summarizes the key objectives, methodology, and major findings, including the role of edible coatings in reducing microbial count and preserving biochemical parameters adequately. However, it could benefit from a clearer statement on the practical implications. Adding a sentence emphasizing the significance of extending shelf life for market expansion and food security would strengthen it</w:t>
            </w:r>
          </w:p>
        </w:tc>
        <w:tc>
          <w:tcPr>
            <w:tcW w:w="6349" w:type="dxa"/>
          </w:tcPr>
          <w:p w:rsidR="00C83FB4" w:rsidRDefault="00C83FB4">
            <w:pPr>
              <w:pStyle w:val="TableParagraph"/>
              <w:ind w:left="0"/>
              <w:rPr>
                <w:sz w:val="18"/>
              </w:rPr>
            </w:pPr>
          </w:p>
        </w:tc>
      </w:tr>
      <w:tr w:rsidR="00C83FB4" w:rsidTr="00312399">
        <w:trPr>
          <w:trHeight w:val="918"/>
        </w:trPr>
        <w:tc>
          <w:tcPr>
            <w:tcW w:w="5274" w:type="dxa"/>
          </w:tcPr>
          <w:p w:rsidR="00C83FB4" w:rsidRDefault="00E05BAF">
            <w:pPr>
              <w:pStyle w:val="TableParagraph"/>
              <w:ind w:left="467" w:right="200"/>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C83FB4" w:rsidRDefault="00E05BAF">
            <w:pPr>
              <w:pStyle w:val="TableParagraph"/>
              <w:ind w:right="200"/>
              <w:rPr>
                <w:sz w:val="20"/>
              </w:rPr>
            </w:pPr>
            <w:r>
              <w:rPr>
                <w:sz w:val="20"/>
              </w:rPr>
              <w:t>The manuscript is based on solid scientific methods and carefully planned experiments. The results were measured and explained clearly. The study used a fair way to test the treatments and checked the findings with</w:t>
            </w:r>
          </w:p>
          <w:p w:rsidR="00C83FB4" w:rsidRDefault="00E05BAF">
            <w:pPr>
              <w:pStyle w:val="TableParagraph"/>
              <w:spacing w:line="228" w:lineRule="exact"/>
              <w:rPr>
                <w:sz w:val="20"/>
              </w:rPr>
            </w:pPr>
            <w:r>
              <w:rPr>
                <w:sz w:val="20"/>
              </w:rPr>
              <w:t>proper statistics. The discussion makes sense and matches well with previous research. It aligns well with cited literature, supporting the observations effectively.</w:t>
            </w:r>
          </w:p>
        </w:tc>
        <w:tc>
          <w:tcPr>
            <w:tcW w:w="6349" w:type="dxa"/>
          </w:tcPr>
          <w:p w:rsidR="00C83FB4" w:rsidRDefault="00C83FB4">
            <w:pPr>
              <w:pStyle w:val="TableParagraph"/>
              <w:ind w:left="0"/>
              <w:rPr>
                <w:sz w:val="18"/>
              </w:rPr>
            </w:pPr>
          </w:p>
        </w:tc>
      </w:tr>
      <w:tr w:rsidR="00C83FB4" w:rsidTr="00312399">
        <w:trPr>
          <w:trHeight w:val="702"/>
        </w:trPr>
        <w:tc>
          <w:tcPr>
            <w:tcW w:w="5274" w:type="dxa"/>
          </w:tcPr>
          <w:p w:rsidR="00C83FB4" w:rsidRDefault="00E05BAF">
            <w:pPr>
              <w:pStyle w:val="TableParagraph"/>
              <w:spacing w:line="230" w:lineRule="exact"/>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C83FB4" w:rsidRDefault="00E05BAF">
            <w:pPr>
              <w:pStyle w:val="TableParagraph"/>
              <w:rPr>
                <w:sz w:val="20"/>
              </w:rPr>
            </w:pPr>
            <w:r>
              <w:rPr>
                <w:sz w:val="20"/>
              </w:rPr>
              <w:t>Yes, the references cited are sufficient, covering foundational work as well as recent studies relevant to edible coatings</w:t>
            </w:r>
            <w:r>
              <w:rPr>
                <w:spacing w:val="1"/>
                <w:sz w:val="20"/>
              </w:rPr>
              <w:t xml:space="preserve"> </w:t>
            </w:r>
            <w:r>
              <w:rPr>
                <w:sz w:val="20"/>
              </w:rPr>
              <w:t>and</w:t>
            </w:r>
            <w:r>
              <w:rPr>
                <w:spacing w:val="3"/>
                <w:sz w:val="20"/>
              </w:rPr>
              <w:t xml:space="preserve"> </w:t>
            </w:r>
            <w:r>
              <w:rPr>
                <w:sz w:val="20"/>
              </w:rPr>
              <w:t>citrus</w:t>
            </w:r>
            <w:r>
              <w:rPr>
                <w:spacing w:val="2"/>
                <w:sz w:val="20"/>
              </w:rPr>
              <w:t xml:space="preserve"> </w:t>
            </w:r>
            <w:r>
              <w:rPr>
                <w:sz w:val="20"/>
              </w:rPr>
              <w:t>fruit</w:t>
            </w:r>
            <w:r>
              <w:rPr>
                <w:spacing w:val="-1"/>
                <w:sz w:val="20"/>
              </w:rPr>
              <w:t xml:space="preserve"> </w:t>
            </w:r>
            <w:r>
              <w:rPr>
                <w:sz w:val="20"/>
              </w:rPr>
              <w:t>preservation,</w:t>
            </w:r>
            <w:r>
              <w:rPr>
                <w:spacing w:val="5"/>
                <w:sz w:val="20"/>
              </w:rPr>
              <w:t xml:space="preserve"> </w:t>
            </w:r>
            <w:r>
              <w:rPr>
                <w:sz w:val="20"/>
              </w:rPr>
              <w:t>with</w:t>
            </w:r>
            <w:r>
              <w:rPr>
                <w:spacing w:val="1"/>
                <w:sz w:val="20"/>
              </w:rPr>
              <w:t xml:space="preserve"> </w:t>
            </w:r>
            <w:r>
              <w:rPr>
                <w:sz w:val="20"/>
              </w:rPr>
              <w:t>publication</w:t>
            </w:r>
            <w:r>
              <w:rPr>
                <w:spacing w:val="-1"/>
                <w:sz w:val="20"/>
              </w:rPr>
              <w:t xml:space="preserve"> </w:t>
            </w:r>
            <w:r>
              <w:rPr>
                <w:sz w:val="20"/>
              </w:rPr>
              <w:t>dates</w:t>
            </w:r>
            <w:r>
              <w:rPr>
                <w:spacing w:val="-1"/>
                <w:sz w:val="20"/>
              </w:rPr>
              <w:t xml:space="preserve"> </w:t>
            </w:r>
            <w:r>
              <w:rPr>
                <w:sz w:val="20"/>
              </w:rPr>
              <w:t>ranging</w:t>
            </w:r>
            <w:r>
              <w:rPr>
                <w:spacing w:val="3"/>
                <w:sz w:val="20"/>
              </w:rPr>
              <w:t xml:space="preserve"> </w:t>
            </w:r>
            <w:r>
              <w:rPr>
                <w:sz w:val="20"/>
              </w:rPr>
              <w:t>up</w:t>
            </w:r>
            <w:r>
              <w:rPr>
                <w:spacing w:val="3"/>
                <w:sz w:val="20"/>
              </w:rPr>
              <w:t xml:space="preserve"> </w:t>
            </w:r>
            <w:r>
              <w:rPr>
                <w:sz w:val="20"/>
              </w:rPr>
              <w:t>to 2023.</w:t>
            </w:r>
            <w:r>
              <w:rPr>
                <w:spacing w:val="8"/>
                <w:sz w:val="20"/>
              </w:rPr>
              <w:t xml:space="preserve"> </w:t>
            </w:r>
            <w:r>
              <w:rPr>
                <w:sz w:val="20"/>
              </w:rPr>
              <w:t>All</w:t>
            </w:r>
            <w:r>
              <w:rPr>
                <w:spacing w:val="2"/>
                <w:sz w:val="20"/>
              </w:rPr>
              <w:t xml:space="preserve"> </w:t>
            </w:r>
            <w:r>
              <w:rPr>
                <w:sz w:val="20"/>
              </w:rPr>
              <w:t>this</w:t>
            </w:r>
            <w:r>
              <w:rPr>
                <w:spacing w:val="2"/>
                <w:sz w:val="20"/>
              </w:rPr>
              <w:t xml:space="preserve"> </w:t>
            </w:r>
            <w:r>
              <w:rPr>
                <w:sz w:val="20"/>
              </w:rPr>
              <w:t>ensures</w:t>
            </w:r>
            <w:r>
              <w:rPr>
                <w:spacing w:val="2"/>
                <w:sz w:val="20"/>
              </w:rPr>
              <w:t xml:space="preserve"> </w:t>
            </w:r>
            <w:r>
              <w:rPr>
                <w:sz w:val="20"/>
              </w:rPr>
              <w:t>the</w:t>
            </w:r>
            <w:r>
              <w:rPr>
                <w:spacing w:val="2"/>
                <w:sz w:val="20"/>
              </w:rPr>
              <w:t xml:space="preserve"> </w:t>
            </w:r>
            <w:r>
              <w:rPr>
                <w:spacing w:val="-2"/>
                <w:sz w:val="20"/>
              </w:rPr>
              <w:t>literature</w:t>
            </w:r>
          </w:p>
          <w:p w:rsidR="00C83FB4" w:rsidRDefault="00E05BAF">
            <w:pPr>
              <w:pStyle w:val="TableParagraph"/>
              <w:spacing w:line="229" w:lineRule="exact"/>
              <w:rPr>
                <w:sz w:val="20"/>
              </w:rPr>
            </w:pPr>
            <w:r>
              <w:rPr>
                <w:sz w:val="20"/>
              </w:rPr>
              <w:t>review</w:t>
            </w:r>
            <w:r>
              <w:rPr>
                <w:spacing w:val="-2"/>
                <w:sz w:val="20"/>
              </w:rPr>
              <w:t xml:space="preserve"> </w:t>
            </w:r>
            <w:r>
              <w:rPr>
                <w:sz w:val="20"/>
              </w:rPr>
              <w:t>is</w:t>
            </w:r>
            <w:r>
              <w:rPr>
                <w:spacing w:val="2"/>
                <w:sz w:val="20"/>
              </w:rPr>
              <w:t xml:space="preserve"> </w:t>
            </w:r>
            <w:r>
              <w:rPr>
                <w:sz w:val="20"/>
              </w:rPr>
              <w:t>well-grounded and</w:t>
            </w:r>
            <w:r>
              <w:rPr>
                <w:spacing w:val="3"/>
                <w:sz w:val="20"/>
              </w:rPr>
              <w:t xml:space="preserve"> </w:t>
            </w:r>
            <w:r>
              <w:rPr>
                <w:spacing w:val="-2"/>
                <w:sz w:val="20"/>
              </w:rPr>
              <w:t>latest.</w:t>
            </w:r>
          </w:p>
        </w:tc>
        <w:tc>
          <w:tcPr>
            <w:tcW w:w="6349" w:type="dxa"/>
          </w:tcPr>
          <w:p w:rsidR="00C83FB4" w:rsidRDefault="00C83FB4">
            <w:pPr>
              <w:pStyle w:val="TableParagraph"/>
              <w:ind w:left="0"/>
              <w:rPr>
                <w:sz w:val="18"/>
              </w:rPr>
            </w:pPr>
          </w:p>
        </w:tc>
      </w:tr>
      <w:tr w:rsidR="00C83FB4" w:rsidTr="00312399">
        <w:trPr>
          <w:trHeight w:val="691"/>
        </w:trPr>
        <w:tc>
          <w:tcPr>
            <w:tcW w:w="5274" w:type="dxa"/>
          </w:tcPr>
          <w:p w:rsidR="00C83FB4" w:rsidRDefault="00E05BAF">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C83FB4" w:rsidRDefault="00E05BAF">
            <w:pPr>
              <w:pStyle w:val="TableParagraph"/>
              <w:ind w:right="200"/>
              <w:rPr>
                <w:sz w:val="20"/>
              </w:rPr>
            </w:pPr>
            <w:r>
              <w:rPr>
                <w:sz w:val="20"/>
              </w:rPr>
              <w:t>The manuscript is mostly clear and easy to read for academic purposes. There are a few minor language mistakes, but they do not make the meaning unclear. Careful proofreading and small changes would help make</w:t>
            </w:r>
          </w:p>
          <w:p w:rsidR="00C83FB4" w:rsidRDefault="00E05BAF">
            <w:pPr>
              <w:pStyle w:val="TableParagraph"/>
              <w:spacing w:line="217" w:lineRule="exact"/>
              <w:rPr>
                <w:sz w:val="20"/>
              </w:rPr>
            </w:pPr>
            <w:r>
              <w:rPr>
                <w:sz w:val="20"/>
              </w:rPr>
              <w:t>the</w:t>
            </w:r>
            <w:r>
              <w:rPr>
                <w:spacing w:val="3"/>
                <w:sz w:val="20"/>
              </w:rPr>
              <w:t xml:space="preserve"> </w:t>
            </w:r>
            <w:r>
              <w:rPr>
                <w:sz w:val="20"/>
              </w:rPr>
              <w:t>writing</w:t>
            </w:r>
            <w:r>
              <w:rPr>
                <w:spacing w:val="-1"/>
                <w:sz w:val="20"/>
              </w:rPr>
              <w:t xml:space="preserve"> </w:t>
            </w:r>
            <w:r>
              <w:rPr>
                <w:sz w:val="20"/>
              </w:rPr>
              <w:t>even</w:t>
            </w:r>
            <w:r>
              <w:rPr>
                <w:spacing w:val="-1"/>
                <w:sz w:val="20"/>
              </w:rPr>
              <w:t xml:space="preserve"> </w:t>
            </w:r>
            <w:r>
              <w:rPr>
                <w:sz w:val="20"/>
              </w:rPr>
              <w:t>better</w:t>
            </w:r>
            <w:r>
              <w:rPr>
                <w:spacing w:val="-1"/>
                <w:sz w:val="20"/>
              </w:rPr>
              <w:t xml:space="preserve"> </w:t>
            </w:r>
            <w:r>
              <w:rPr>
                <w:sz w:val="20"/>
              </w:rPr>
              <w:t>and</w:t>
            </w:r>
            <w:r>
              <w:rPr>
                <w:spacing w:val="2"/>
                <w:sz w:val="20"/>
              </w:rPr>
              <w:t xml:space="preserve"> </w:t>
            </w:r>
            <w:r>
              <w:rPr>
                <w:sz w:val="20"/>
              </w:rPr>
              <w:t>more</w:t>
            </w:r>
            <w:r>
              <w:rPr>
                <w:spacing w:val="-2"/>
                <w:sz w:val="20"/>
              </w:rPr>
              <w:t xml:space="preserve"> professional.</w:t>
            </w:r>
          </w:p>
        </w:tc>
        <w:tc>
          <w:tcPr>
            <w:tcW w:w="6349" w:type="dxa"/>
          </w:tcPr>
          <w:p w:rsidR="00C83FB4" w:rsidRDefault="00C83FB4">
            <w:pPr>
              <w:pStyle w:val="TableParagraph"/>
              <w:ind w:left="0"/>
              <w:rPr>
                <w:sz w:val="18"/>
              </w:rPr>
            </w:pPr>
          </w:p>
        </w:tc>
      </w:tr>
      <w:tr w:rsidR="00C83FB4" w:rsidTr="00312399">
        <w:trPr>
          <w:trHeight w:val="474"/>
        </w:trPr>
        <w:tc>
          <w:tcPr>
            <w:tcW w:w="5274" w:type="dxa"/>
          </w:tcPr>
          <w:p w:rsidR="00C83FB4" w:rsidRDefault="00E05BAF">
            <w:pPr>
              <w:pStyle w:val="TableParagraph"/>
              <w:spacing w:line="223" w:lineRule="exact"/>
              <w:ind w:left="107"/>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C83FB4" w:rsidRDefault="00C83FB4">
            <w:pPr>
              <w:pStyle w:val="TableParagraph"/>
              <w:ind w:left="0"/>
              <w:rPr>
                <w:sz w:val="18"/>
              </w:rPr>
            </w:pPr>
          </w:p>
        </w:tc>
        <w:tc>
          <w:tcPr>
            <w:tcW w:w="6349" w:type="dxa"/>
          </w:tcPr>
          <w:p w:rsidR="00C83FB4" w:rsidRDefault="00C83FB4">
            <w:pPr>
              <w:pStyle w:val="TableParagraph"/>
              <w:ind w:left="0"/>
              <w:rPr>
                <w:sz w:val="18"/>
              </w:rPr>
            </w:pPr>
          </w:p>
        </w:tc>
      </w:tr>
    </w:tbl>
    <w:p w:rsidR="00C83FB4" w:rsidRDefault="00C83FB4">
      <w:pPr>
        <w:rPr>
          <w:sz w:val="20"/>
        </w:rPr>
      </w:pPr>
    </w:p>
    <w:p w:rsidR="00C83FB4" w:rsidRDefault="00C83FB4">
      <w:pPr>
        <w:rPr>
          <w:sz w:val="20"/>
        </w:rPr>
      </w:pPr>
    </w:p>
    <w:p w:rsidR="00312399" w:rsidRDefault="00312399">
      <w:pPr>
        <w:rPr>
          <w:sz w:val="20"/>
        </w:rPr>
      </w:pPr>
    </w:p>
    <w:p w:rsidR="00312399" w:rsidRDefault="00312399">
      <w:pPr>
        <w:rPr>
          <w:sz w:val="20"/>
        </w:rPr>
      </w:pPr>
    </w:p>
    <w:p w:rsidR="00312399" w:rsidRDefault="00312399">
      <w:pPr>
        <w:rPr>
          <w:sz w:val="20"/>
        </w:rPr>
      </w:pPr>
    </w:p>
    <w:p w:rsidR="00312399" w:rsidRDefault="00312399">
      <w:pPr>
        <w:rPr>
          <w:sz w:val="20"/>
        </w:rPr>
      </w:pPr>
    </w:p>
    <w:p w:rsidR="00312399" w:rsidRDefault="00312399">
      <w:pPr>
        <w:rPr>
          <w:sz w:val="20"/>
        </w:rPr>
      </w:pPr>
    </w:p>
    <w:p w:rsidR="00312399" w:rsidRDefault="00312399">
      <w:pPr>
        <w:rPr>
          <w:sz w:val="20"/>
        </w:rPr>
      </w:pPr>
    </w:p>
    <w:p w:rsidR="00312399" w:rsidRDefault="00312399">
      <w:pPr>
        <w:rPr>
          <w:sz w:val="20"/>
        </w:rPr>
      </w:pPr>
    </w:p>
    <w:p w:rsidR="00312399" w:rsidRDefault="00312399">
      <w:pPr>
        <w:rPr>
          <w:sz w:val="20"/>
        </w:rPr>
      </w:pPr>
    </w:p>
    <w:p w:rsidR="00312399" w:rsidRDefault="00312399">
      <w:pPr>
        <w:rPr>
          <w:sz w:val="20"/>
        </w:rPr>
      </w:pPr>
    </w:p>
    <w:p w:rsidR="00312399" w:rsidRDefault="00312399">
      <w:pPr>
        <w:rPr>
          <w:sz w:val="20"/>
        </w:rPr>
      </w:pPr>
    </w:p>
    <w:p w:rsidR="00312399" w:rsidRDefault="00312399">
      <w:pPr>
        <w:rPr>
          <w:sz w:val="20"/>
        </w:rPr>
      </w:pPr>
    </w:p>
    <w:p w:rsidR="00312399" w:rsidRDefault="00312399">
      <w:pPr>
        <w:rPr>
          <w:sz w:val="20"/>
        </w:rPr>
      </w:pPr>
    </w:p>
    <w:p w:rsidR="00C83FB4" w:rsidRDefault="00C83FB4">
      <w:pPr>
        <w:rPr>
          <w:sz w:val="20"/>
        </w:rPr>
      </w:pPr>
    </w:p>
    <w:p w:rsidR="00C83FB4" w:rsidRDefault="00C83FB4">
      <w:pPr>
        <w:spacing w:before="10" w:after="1"/>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DB0985" w:rsidTr="00DB098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B0985" w:rsidRDefault="00DB0985">
            <w:pPr>
              <w:spacing w:line="276" w:lineRule="auto"/>
              <w:rPr>
                <w:rFonts w:ascii="Arial" w:eastAsia="Arial Unicode MS" w:hAnsi="Arial" w:cs="Arial"/>
                <w:b/>
                <w:sz w:val="20"/>
                <w:szCs w:val="20"/>
                <w:u w:val="single"/>
                <w:lang w:val="en-GB"/>
              </w:rPr>
            </w:pPr>
            <w:bookmarkStart w:id="0" w:name="_Hlk156057883"/>
            <w:bookmarkStart w:id="1" w:name="_Hlk156057704"/>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DB0985" w:rsidRDefault="00DB0985">
            <w:pPr>
              <w:spacing w:line="276" w:lineRule="auto"/>
              <w:rPr>
                <w:rFonts w:ascii="Arial" w:eastAsia="Arial Unicode MS" w:hAnsi="Arial" w:cs="Arial"/>
                <w:b/>
                <w:sz w:val="20"/>
                <w:szCs w:val="20"/>
                <w:u w:val="single"/>
                <w:lang w:val="en-GB"/>
              </w:rPr>
            </w:pPr>
          </w:p>
        </w:tc>
      </w:tr>
      <w:tr w:rsidR="00DB0985" w:rsidTr="00DB098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B0985" w:rsidRDefault="00DB098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B0985" w:rsidRDefault="00DB0985">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B0985" w:rsidRDefault="00DB0985">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DB0985" w:rsidRDefault="00DB0985">
            <w:pPr>
              <w:keepNext/>
              <w:spacing w:line="276" w:lineRule="auto"/>
              <w:outlineLvl w:val="1"/>
              <w:rPr>
                <w:rFonts w:ascii="Arial" w:eastAsia="MS Mincho" w:hAnsi="Arial" w:cs="Arial"/>
                <w:bCs/>
                <w:sz w:val="20"/>
                <w:szCs w:val="20"/>
                <w:lang w:val="en-GB"/>
              </w:rPr>
            </w:pPr>
          </w:p>
        </w:tc>
      </w:tr>
      <w:tr w:rsidR="00DB0985" w:rsidTr="00DB098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B0985" w:rsidRDefault="00DB0985">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DB0985" w:rsidRDefault="00DB098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B0985" w:rsidRDefault="00DB0985">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DB0985" w:rsidRDefault="00DB098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B0985" w:rsidRDefault="00DB0985">
            <w:pPr>
              <w:spacing w:line="276" w:lineRule="auto"/>
              <w:rPr>
                <w:rFonts w:ascii="Arial" w:eastAsia="Arial Unicode MS" w:hAnsi="Arial" w:cs="Arial"/>
                <w:sz w:val="20"/>
                <w:szCs w:val="20"/>
                <w:lang w:val="en-GB"/>
              </w:rPr>
            </w:pPr>
          </w:p>
          <w:p w:rsidR="00DB0985" w:rsidRDefault="00DB0985">
            <w:pPr>
              <w:spacing w:line="276" w:lineRule="auto"/>
              <w:rPr>
                <w:rFonts w:ascii="Arial" w:eastAsia="Arial Unicode MS" w:hAnsi="Arial" w:cs="Arial"/>
                <w:sz w:val="20"/>
                <w:szCs w:val="20"/>
                <w:lang w:val="en-GB"/>
              </w:rPr>
            </w:pPr>
          </w:p>
          <w:p w:rsidR="00DB0985" w:rsidRDefault="00DB0985">
            <w:pPr>
              <w:spacing w:line="276" w:lineRule="auto"/>
              <w:rPr>
                <w:rFonts w:ascii="Arial" w:eastAsia="Arial Unicode MS" w:hAnsi="Arial" w:cs="Arial"/>
                <w:sz w:val="20"/>
                <w:szCs w:val="20"/>
                <w:lang w:val="en-GB"/>
              </w:rPr>
            </w:pPr>
          </w:p>
        </w:tc>
      </w:tr>
      <w:bookmarkEnd w:id="0"/>
    </w:tbl>
    <w:p w:rsidR="00D97C25" w:rsidRPr="009D2EC0" w:rsidRDefault="00D97C25" w:rsidP="00D97C25">
      <w:pPr>
        <w:pStyle w:val="Affiliation"/>
        <w:spacing w:after="0" w:line="240" w:lineRule="auto"/>
        <w:jc w:val="left"/>
        <w:rPr>
          <w:rFonts w:ascii="Arial" w:hAnsi="Arial" w:cs="Arial"/>
          <w:b/>
        </w:rPr>
      </w:pPr>
    </w:p>
    <w:p w:rsidR="00D97C25" w:rsidRPr="009D2EC0" w:rsidRDefault="00D97C25" w:rsidP="00D97C25">
      <w:pPr>
        <w:pStyle w:val="Affiliation"/>
        <w:spacing w:after="0" w:line="240" w:lineRule="auto"/>
        <w:jc w:val="left"/>
        <w:rPr>
          <w:rFonts w:ascii="Arial" w:hAnsi="Arial" w:cs="Arial"/>
          <w:b/>
          <w:u w:val="single"/>
        </w:rPr>
      </w:pPr>
      <w:r w:rsidRPr="009D2EC0">
        <w:rPr>
          <w:rFonts w:ascii="Arial" w:hAnsi="Arial" w:cs="Arial"/>
          <w:b/>
          <w:u w:val="single"/>
        </w:rPr>
        <w:t>Reviewer details:</w:t>
      </w:r>
    </w:p>
    <w:p w:rsidR="00D97C25" w:rsidRPr="009D2EC0" w:rsidRDefault="00D97C25" w:rsidP="00D97C25">
      <w:pPr>
        <w:pStyle w:val="Affiliation"/>
        <w:spacing w:after="0" w:line="240" w:lineRule="auto"/>
        <w:jc w:val="left"/>
        <w:rPr>
          <w:rFonts w:ascii="Arial" w:hAnsi="Arial" w:cs="Arial"/>
        </w:rPr>
      </w:pPr>
    </w:p>
    <w:p w:rsidR="00D97C25" w:rsidRPr="009D2EC0" w:rsidRDefault="00D97C25" w:rsidP="00D97C25">
      <w:pPr>
        <w:rPr>
          <w:rFonts w:ascii="Arial" w:hAnsi="Arial" w:cs="Arial"/>
          <w:sz w:val="20"/>
          <w:szCs w:val="20"/>
        </w:rPr>
      </w:pPr>
      <w:proofErr w:type="spellStart"/>
      <w:r w:rsidRPr="009D2EC0">
        <w:rPr>
          <w:rFonts w:ascii="Arial" w:hAnsi="Arial" w:cs="Arial"/>
          <w:sz w:val="20"/>
          <w:szCs w:val="20"/>
        </w:rPr>
        <w:t>Bindoo</w:t>
      </w:r>
      <w:proofErr w:type="spellEnd"/>
      <w:r w:rsidRPr="009D2EC0">
        <w:rPr>
          <w:rFonts w:ascii="Arial" w:hAnsi="Arial" w:cs="Arial"/>
          <w:sz w:val="20"/>
          <w:szCs w:val="20"/>
        </w:rPr>
        <w:t xml:space="preserve"> Malviya, </w:t>
      </w:r>
      <w:proofErr w:type="spellStart"/>
      <w:r w:rsidRPr="009D2EC0">
        <w:rPr>
          <w:rFonts w:ascii="Arial" w:hAnsi="Arial" w:cs="Arial"/>
          <w:sz w:val="20"/>
          <w:szCs w:val="20"/>
        </w:rPr>
        <w:t>Teerthanker</w:t>
      </w:r>
      <w:proofErr w:type="spellEnd"/>
      <w:r w:rsidRPr="009D2EC0">
        <w:rPr>
          <w:rFonts w:ascii="Arial" w:hAnsi="Arial" w:cs="Arial"/>
          <w:sz w:val="20"/>
          <w:szCs w:val="20"/>
        </w:rPr>
        <w:t xml:space="preserve"> Mahaveer University, India</w:t>
      </w:r>
      <w:r w:rsidRPr="009D2EC0">
        <w:rPr>
          <w:rFonts w:ascii="Arial" w:hAnsi="Arial" w:cs="Arial"/>
          <w:sz w:val="20"/>
          <w:szCs w:val="20"/>
        </w:rPr>
        <w:br/>
      </w:r>
    </w:p>
    <w:p w:rsidR="00D97C25" w:rsidRPr="009D2EC0" w:rsidRDefault="00D97C25" w:rsidP="00D97C25">
      <w:pPr>
        <w:pStyle w:val="Affiliation"/>
        <w:spacing w:after="0" w:line="240" w:lineRule="auto"/>
        <w:jc w:val="left"/>
        <w:rPr>
          <w:rFonts w:ascii="Arial" w:hAnsi="Arial" w:cs="Arial"/>
        </w:rPr>
      </w:pPr>
    </w:p>
    <w:p w:rsidR="00DB0985" w:rsidRDefault="00DB0985" w:rsidP="00DB0985">
      <w:pPr>
        <w:rPr>
          <w:sz w:val="24"/>
          <w:szCs w:val="24"/>
        </w:rPr>
      </w:pPr>
      <w:bookmarkStart w:id="2" w:name="_GoBack"/>
      <w:bookmarkEnd w:id="2"/>
    </w:p>
    <w:p w:rsidR="00DB0985" w:rsidRDefault="00DB0985" w:rsidP="00DB0985"/>
    <w:p w:rsidR="00DB0985" w:rsidRDefault="00DB0985" w:rsidP="00DB0985">
      <w:pPr>
        <w:rPr>
          <w:bCs/>
          <w:u w:val="single"/>
          <w:lang w:val="en-GB"/>
        </w:rPr>
      </w:pPr>
    </w:p>
    <w:bookmarkEnd w:id="1"/>
    <w:p w:rsidR="00DB0985" w:rsidRDefault="00DB0985" w:rsidP="00DB0985"/>
    <w:p w:rsidR="00E05BAF" w:rsidRDefault="00E05BAF"/>
    <w:sectPr w:rsidR="00E05BAF" w:rsidSect="00DB0985">
      <w:headerReference w:type="default" r:id="rId7"/>
      <w:footerReference w:type="default" r:id="rId8"/>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FAC" w:rsidRDefault="00120FAC">
      <w:r>
        <w:separator/>
      </w:r>
    </w:p>
  </w:endnote>
  <w:endnote w:type="continuationSeparator" w:id="0">
    <w:p w:rsidR="00120FAC" w:rsidRDefault="0012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B4" w:rsidRDefault="00E05BAF">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C83FB4" w:rsidRDefault="00E05BA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C83FB4" w:rsidRDefault="00E05BAF">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83FB4" w:rsidRDefault="00E05BA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C83FB4" w:rsidRDefault="00E05BA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83FB4" w:rsidRDefault="00E05BA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C83FB4" w:rsidRDefault="00E05BAF">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C83FB4" w:rsidRDefault="00E05BA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C83FB4" w:rsidRDefault="00E05BA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FAC" w:rsidRDefault="00120FAC">
      <w:r>
        <w:separator/>
      </w:r>
    </w:p>
  </w:footnote>
  <w:footnote w:type="continuationSeparator" w:id="0">
    <w:p w:rsidR="00120FAC" w:rsidRDefault="0012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FB4" w:rsidRDefault="00E05BAF">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83FB4" w:rsidRDefault="00E05BA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C83FB4" w:rsidRDefault="00E05BA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3FB4"/>
    <w:rsid w:val="000A0962"/>
    <w:rsid w:val="00120FAC"/>
    <w:rsid w:val="001B5EF7"/>
    <w:rsid w:val="00312399"/>
    <w:rsid w:val="0062077E"/>
    <w:rsid w:val="00927C95"/>
    <w:rsid w:val="00C83FB4"/>
    <w:rsid w:val="00D97C25"/>
    <w:rsid w:val="00DB0985"/>
    <w:rsid w:val="00E0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C1B42-F7D4-4BBF-8ED0-43DFD7D8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927C95"/>
    <w:rPr>
      <w:color w:val="0000FF"/>
      <w:u w:val="single"/>
    </w:rPr>
  </w:style>
  <w:style w:type="paragraph" w:customStyle="1" w:styleId="Affiliation">
    <w:name w:val="Affiliation"/>
    <w:basedOn w:val="Normal"/>
    <w:rsid w:val="00D97C2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346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cri.com/index.php/AC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2025-11-19T07:58:00Z</dcterms:created>
  <dcterms:modified xsi:type="dcterms:W3CDTF">2025-11-21T06:26:00Z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2010</vt:lpwstr>
  </property>
  <property fmtid="{D5CDD505-2E9C-101B-9397-08002B2CF9AE}" pid="4" name="LastSaved">
    <vt:filetime>2025-11-19T00:00:00Z</vt:filetime>
  </property>
  <property fmtid="{D5CDD505-2E9C-101B-9397-08002B2CF9AE}" pid="5" name="Producer">
    <vt:lpwstr>3-Heights(TM) PDF Security Shell 4.8.25.2 (http://www.pdf-tools.com)</vt:lpwstr>
  </property>
</Properties>
</file>