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EC9C2" w14:textId="53A76572" w:rsidR="00754C9A" w:rsidRDefault="00E16479" w:rsidP="00441B6F">
      <w:pPr>
        <w:pStyle w:val="Title"/>
        <w:spacing w:after="0"/>
        <w:jc w:val="both"/>
        <w:rPr>
          <w:rFonts w:ascii="Arial" w:hAnsi="Arial" w:cs="Arial"/>
        </w:rPr>
      </w:pPr>
      <w:r w:rsidRPr="00E16479">
        <w:rPr>
          <w:rFonts w:ascii="Arial" w:hAnsi="Arial" w:cs="Arial"/>
        </w:rPr>
        <w:t>Original Research Article</w:t>
      </w:r>
    </w:p>
    <w:p w14:paraId="05EE2999" w14:textId="77777777" w:rsidR="00E16479" w:rsidRDefault="00E16479" w:rsidP="00441B6F">
      <w:pPr>
        <w:pStyle w:val="Title"/>
        <w:spacing w:after="0"/>
        <w:jc w:val="both"/>
        <w:rPr>
          <w:rFonts w:ascii="Arial" w:hAnsi="Arial" w:cs="Arial"/>
        </w:rPr>
      </w:pPr>
    </w:p>
    <w:p w14:paraId="14AED67F" w14:textId="58EA8C7F" w:rsidR="00163BC4" w:rsidRPr="00163BC4" w:rsidRDefault="0032054B" w:rsidP="00441B6F">
      <w:pPr>
        <w:pStyle w:val="Author"/>
        <w:spacing w:line="240" w:lineRule="auto"/>
        <w:rPr>
          <w:rFonts w:ascii="Arial" w:hAnsi="Arial" w:cs="Arial"/>
          <w:bCs/>
          <w:iCs/>
          <w:kern w:val="28"/>
          <w:sz w:val="36"/>
        </w:rPr>
      </w:pPr>
      <w:r w:rsidRPr="0032054B">
        <w:rPr>
          <w:rFonts w:ascii="Arial" w:hAnsi="Arial" w:cs="Arial"/>
          <w:bCs/>
          <w:iCs/>
          <w:kern w:val="28"/>
          <w:sz w:val="36"/>
        </w:rPr>
        <w:t>Sustainable Hospitality in Bali: Synergy of Good Corporate Governance, Internal Control System, and Quadruple Bottom Line</w:t>
      </w:r>
    </w:p>
    <w:p w14:paraId="12677066" w14:textId="77777777" w:rsidR="00A258C3" w:rsidRPr="00790ADA" w:rsidRDefault="00A258C3" w:rsidP="00441B6F">
      <w:pPr>
        <w:pStyle w:val="Author"/>
        <w:spacing w:line="240" w:lineRule="auto"/>
        <w:jc w:val="both"/>
        <w:rPr>
          <w:rFonts w:ascii="Arial" w:hAnsi="Arial" w:cs="Arial"/>
          <w:sz w:val="36"/>
        </w:rPr>
      </w:pPr>
    </w:p>
    <w:p w14:paraId="6C4E2665" w14:textId="77777777" w:rsidR="00B01FCD" w:rsidRPr="00FB3A86" w:rsidRDefault="00270C56" w:rsidP="00441B6F">
      <w:pPr>
        <w:pStyle w:val="Copyright"/>
        <w:spacing w:after="0" w:line="240" w:lineRule="auto"/>
        <w:jc w:val="both"/>
        <w:rPr>
          <w:rFonts w:ascii="Arial" w:hAnsi="Arial" w:cs="Arial"/>
        </w:rPr>
        <w:sectPr w:rsidR="00B01FCD" w:rsidRPr="00FB3A86" w:rsidSect="009F66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B9DB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D23F2C5" w14:textId="1EEB783B" w:rsidR="00B01FCD" w:rsidRDefault="00B01FCD" w:rsidP="0032054B">
      <w:pPr>
        <w:pStyle w:val="AbstHead"/>
        <w:spacing w:after="0"/>
        <w:ind w:left="720" w:hanging="720"/>
        <w:jc w:val="both"/>
        <w:rPr>
          <w:rFonts w:ascii="Arial" w:hAnsi="Arial" w:cs="Arial"/>
        </w:rPr>
      </w:pPr>
      <w:r w:rsidRPr="00FB3A86">
        <w:rPr>
          <w:rFonts w:ascii="Arial" w:hAnsi="Arial" w:cs="Arial"/>
        </w:rPr>
        <w:t>ABSTRACT</w:t>
      </w:r>
    </w:p>
    <w:p w14:paraId="37252F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AE3E1" w14:textId="77777777" w:rsidTr="001E44FE">
        <w:tc>
          <w:tcPr>
            <w:tcW w:w="9576" w:type="dxa"/>
            <w:shd w:val="clear" w:color="auto" w:fill="F2F2F2"/>
          </w:tcPr>
          <w:p w14:paraId="0A2C1CD6" w14:textId="0E1C6CAB" w:rsidR="00505F06" w:rsidRPr="00BA1B01" w:rsidRDefault="0032054B" w:rsidP="00441B6F">
            <w:pPr>
              <w:pStyle w:val="Body"/>
              <w:spacing w:after="0"/>
              <w:rPr>
                <w:rFonts w:ascii="Arial" w:eastAsia="Calibri" w:hAnsi="Arial" w:cs="Arial"/>
                <w:szCs w:val="22"/>
              </w:rPr>
            </w:pPr>
            <w:r w:rsidRPr="0032054B">
              <w:rPr>
                <w:rFonts w:ascii="Arial" w:eastAsia="Calibri" w:hAnsi="Arial" w:cs="Arial"/>
                <w:szCs w:val="22"/>
              </w:rPr>
              <w:t>The urgency of this research is that the hotel industry in Bali is experiencing rapid growth which has an impact on environmental quality degradation, thus requiring a sustainable management strategy. A sustainability approach based on relevant local values is needed, so that the integration of the Quadruple Bottom Line in this research can provide new insights in improving the competitiveness and sustainability of the hotel industry in Bali. The purpose of this research is to analyze the influence of Good Corporate Governance (GCG) and Internal Control System (SPI) on company performance, and to test the moderating role of Quadruple Bottom Line (QBL) in this relationship. This research method uses a quantitative method and the research procedure carried out is by distributing research questionnaires. The samples in this study are companies in the hospi</w:t>
            </w:r>
            <w:bookmarkStart w:id="0" w:name="_GoBack"/>
            <w:bookmarkEnd w:id="0"/>
            <w:r w:rsidRPr="0032054B">
              <w:rPr>
                <w:rFonts w:ascii="Arial" w:eastAsia="Calibri" w:hAnsi="Arial" w:cs="Arial"/>
                <w:szCs w:val="22"/>
              </w:rPr>
              <w:t>tality sector and tourist attractions participating in the Tri Hita Karana Award for the last five years. The number of samples in this study is 33 (thirty-three) research samples. The collected data are processed using the structural equation modeling (SEM) method based on partial least squares (PLS). The results show that good corporate governance and internal control system variables have a significant positive effect on company performance, and the quadruple bottom line variable can strengthen the positive influence of good corporate governance and internal control system variables on company performance.</w:t>
            </w:r>
          </w:p>
        </w:tc>
      </w:tr>
    </w:tbl>
    <w:p w14:paraId="0EE51A0A" w14:textId="77777777" w:rsidR="00636EB2" w:rsidRDefault="00636EB2" w:rsidP="00441B6F">
      <w:pPr>
        <w:pStyle w:val="Body"/>
        <w:spacing w:after="0"/>
        <w:rPr>
          <w:rFonts w:ascii="Arial" w:hAnsi="Arial" w:cs="Arial"/>
          <w:i/>
        </w:rPr>
      </w:pPr>
    </w:p>
    <w:p w14:paraId="0624A94F" w14:textId="0ABD7BAA" w:rsidR="00A24E7E" w:rsidRDefault="00A24E7E" w:rsidP="00441B6F">
      <w:pPr>
        <w:pStyle w:val="Body"/>
        <w:spacing w:after="0"/>
        <w:rPr>
          <w:rFonts w:ascii="Arial" w:hAnsi="Arial" w:cs="Arial"/>
          <w:i/>
        </w:rPr>
      </w:pPr>
      <w:r>
        <w:rPr>
          <w:rFonts w:ascii="Arial" w:hAnsi="Arial" w:cs="Arial"/>
          <w:i/>
        </w:rPr>
        <w:t xml:space="preserve">Keywords: </w:t>
      </w:r>
      <w:r w:rsidR="0032054B" w:rsidRPr="0032054B">
        <w:rPr>
          <w:rFonts w:ascii="Arial" w:hAnsi="Arial" w:cs="Arial"/>
          <w:i/>
        </w:rPr>
        <w:t>Good Corporate Governance; Internal Control System; Quadruple Bottom Line; Company Performance</w:t>
      </w:r>
    </w:p>
    <w:p w14:paraId="477FED9A" w14:textId="77777777" w:rsidR="00790ADA" w:rsidRDefault="00790ADA" w:rsidP="00441B6F">
      <w:pPr>
        <w:pStyle w:val="Body"/>
        <w:spacing w:after="0"/>
        <w:rPr>
          <w:rFonts w:ascii="Arial" w:hAnsi="Arial" w:cs="Arial"/>
          <w:i/>
        </w:rPr>
      </w:pPr>
    </w:p>
    <w:p w14:paraId="1F533066" w14:textId="54FEC5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747FB6" w14:textId="77777777" w:rsidR="00790ADA" w:rsidRPr="00FB3A86" w:rsidRDefault="00790ADA" w:rsidP="00441B6F">
      <w:pPr>
        <w:pStyle w:val="AbstHead"/>
        <w:spacing w:after="0"/>
        <w:jc w:val="both"/>
        <w:rPr>
          <w:rFonts w:ascii="Arial" w:hAnsi="Arial" w:cs="Arial"/>
        </w:rPr>
      </w:pPr>
    </w:p>
    <w:p w14:paraId="26F9FD0C" w14:textId="77777777" w:rsidR="0032054B" w:rsidRPr="0032054B" w:rsidRDefault="0032054B" w:rsidP="0032054B">
      <w:pPr>
        <w:pStyle w:val="Body"/>
        <w:rPr>
          <w:rFonts w:ascii="Arial" w:hAnsi="Arial" w:cs="Arial"/>
        </w:rPr>
      </w:pPr>
      <w:r w:rsidRPr="0032054B">
        <w:rPr>
          <w:rFonts w:ascii="Arial" w:hAnsi="Arial" w:cs="Arial"/>
        </w:rPr>
        <w:t>Tourism industry is a strategic sector that contributes significantly to economic growth, particularly in tourist destinations like Bali. However, despite its significant economic benefits, the tourism industry also faces various challenges that require adaptive and sustainable management strategies. The exponential growth in the number of hotels and room availability in Bali Province is a consequence of the high number of international tourist visits. This increasing demand for accommodation is directly proportional to the intensification of resource use to meet tourist needs, which has the potential to impact environmental conditions, particularly around the hotel area. This phenomenon has led to the increasing issue of environmental preservation in hotel management. Increased hotel development and operations that ignore environmental aspects have the potential to cause environmental degradation.</w:t>
      </w:r>
    </w:p>
    <w:p w14:paraId="5F6D8DA0" w14:textId="77777777" w:rsidR="0032054B" w:rsidRPr="0032054B" w:rsidRDefault="0032054B" w:rsidP="0032054B">
      <w:pPr>
        <w:pStyle w:val="Body"/>
        <w:rPr>
          <w:rFonts w:ascii="Arial" w:hAnsi="Arial" w:cs="Arial"/>
        </w:rPr>
      </w:pPr>
      <w:r w:rsidRPr="0032054B">
        <w:rPr>
          <w:rFonts w:ascii="Arial" w:hAnsi="Arial" w:cs="Arial"/>
        </w:rPr>
        <w:t xml:space="preserve">Quoted from </w:t>
      </w:r>
      <w:proofErr w:type="spellStart"/>
      <w:r w:rsidRPr="0032054B">
        <w:rPr>
          <w:rFonts w:ascii="Arial" w:hAnsi="Arial" w:cs="Arial"/>
        </w:rPr>
        <w:t>Marsellus</w:t>
      </w:r>
      <w:proofErr w:type="spellEnd"/>
      <w:r w:rsidRPr="0032054B">
        <w:rPr>
          <w:rFonts w:ascii="Arial" w:hAnsi="Arial" w:cs="Arial"/>
        </w:rPr>
        <w:t xml:space="preserve"> </w:t>
      </w:r>
      <w:proofErr w:type="spellStart"/>
      <w:r w:rsidRPr="0032054B">
        <w:rPr>
          <w:rFonts w:ascii="Arial" w:hAnsi="Arial" w:cs="Arial"/>
        </w:rPr>
        <w:t>Nabunome</w:t>
      </w:r>
      <w:proofErr w:type="spellEnd"/>
      <w:r w:rsidRPr="0032054B">
        <w:rPr>
          <w:rFonts w:ascii="Arial" w:hAnsi="Arial" w:cs="Arial"/>
        </w:rPr>
        <w:t xml:space="preserve"> </w:t>
      </w:r>
      <w:proofErr w:type="spellStart"/>
      <w:r w:rsidRPr="0032054B">
        <w:rPr>
          <w:rFonts w:ascii="Arial" w:hAnsi="Arial" w:cs="Arial"/>
        </w:rPr>
        <w:t>Pampur</w:t>
      </w:r>
      <w:proofErr w:type="spellEnd"/>
      <w:r w:rsidRPr="0032054B">
        <w:rPr>
          <w:rFonts w:ascii="Arial" w:hAnsi="Arial" w:cs="Arial"/>
        </w:rPr>
        <w:t xml:space="preserve"> (2025) and </w:t>
      </w:r>
      <w:proofErr w:type="spellStart"/>
      <w:r w:rsidRPr="0032054B">
        <w:rPr>
          <w:rFonts w:ascii="Arial" w:hAnsi="Arial" w:cs="Arial"/>
        </w:rPr>
        <w:t>Setwan</w:t>
      </w:r>
      <w:proofErr w:type="spellEnd"/>
      <w:r w:rsidRPr="0032054B">
        <w:rPr>
          <w:rFonts w:ascii="Arial" w:hAnsi="Arial" w:cs="Arial"/>
        </w:rPr>
        <w:t xml:space="preserve"> (2023), a new hotel under construction on Jalan Pantai </w:t>
      </w:r>
      <w:proofErr w:type="spellStart"/>
      <w:r w:rsidRPr="0032054B">
        <w:rPr>
          <w:rFonts w:ascii="Arial" w:hAnsi="Arial" w:cs="Arial"/>
        </w:rPr>
        <w:t>Berawa</w:t>
      </w:r>
      <w:proofErr w:type="spellEnd"/>
      <w:r w:rsidRPr="0032054B">
        <w:rPr>
          <w:rFonts w:ascii="Arial" w:hAnsi="Arial" w:cs="Arial"/>
        </w:rPr>
        <w:t xml:space="preserve">, </w:t>
      </w:r>
      <w:proofErr w:type="spellStart"/>
      <w:r w:rsidRPr="0032054B">
        <w:rPr>
          <w:rFonts w:ascii="Arial" w:hAnsi="Arial" w:cs="Arial"/>
        </w:rPr>
        <w:t>Tibubeneng</w:t>
      </w:r>
      <w:proofErr w:type="spellEnd"/>
      <w:r w:rsidRPr="0032054B">
        <w:rPr>
          <w:rFonts w:ascii="Arial" w:hAnsi="Arial" w:cs="Arial"/>
        </w:rPr>
        <w:t xml:space="preserve"> Village, North Kuta, Badung, has been identified as potentially damaging to the environment. The project site is confirmed to be disaster-prone and there are alleged violations of spatial planning along the coastline. </w:t>
      </w:r>
      <w:r w:rsidRPr="0032054B">
        <w:rPr>
          <w:rFonts w:ascii="Arial" w:hAnsi="Arial" w:cs="Arial"/>
        </w:rPr>
        <w:lastRenderedPageBreak/>
        <w:t xml:space="preserve">Another case occurred at the Four Points Hotel in </w:t>
      </w:r>
      <w:proofErr w:type="spellStart"/>
      <w:r w:rsidRPr="0032054B">
        <w:rPr>
          <w:rFonts w:ascii="Arial" w:hAnsi="Arial" w:cs="Arial"/>
        </w:rPr>
        <w:t>Ungasan</w:t>
      </w:r>
      <w:proofErr w:type="spellEnd"/>
      <w:r w:rsidRPr="0032054B">
        <w:rPr>
          <w:rFonts w:ascii="Arial" w:hAnsi="Arial" w:cs="Arial"/>
        </w:rPr>
        <w:t xml:space="preserve">, South </w:t>
      </w:r>
      <w:proofErr w:type="spellStart"/>
      <w:r w:rsidRPr="0032054B">
        <w:rPr>
          <w:rFonts w:ascii="Arial" w:hAnsi="Arial" w:cs="Arial"/>
        </w:rPr>
        <w:t>Kuta</w:t>
      </w:r>
      <w:proofErr w:type="spellEnd"/>
      <w:r w:rsidRPr="0032054B">
        <w:rPr>
          <w:rFonts w:ascii="Arial" w:hAnsi="Arial" w:cs="Arial"/>
        </w:rPr>
        <w:t>, where residents complained about overflowing hotel waste, disrupting public comfort. This case illustrates that the hotel industry often produces pollution and significantly increases waste volumes. Therefore, companies have a crucial responsibility to implement effective environmental management. To fulfill this responsibility, companies need to allocate significant funds to mitigate negative environmental impacts. If not managed properly, these costs have the potential to degrade company performance and reduce competitiveness in the hotel industry.</w:t>
      </w:r>
    </w:p>
    <w:p w14:paraId="08DF0BEB" w14:textId="77777777" w:rsidR="0032054B" w:rsidRPr="0032054B" w:rsidRDefault="0032054B" w:rsidP="0032054B">
      <w:pPr>
        <w:pStyle w:val="Body"/>
        <w:rPr>
          <w:rFonts w:ascii="Arial" w:hAnsi="Arial" w:cs="Arial"/>
        </w:rPr>
      </w:pPr>
      <w:r w:rsidRPr="0032054B">
        <w:rPr>
          <w:rFonts w:ascii="Arial" w:hAnsi="Arial" w:cs="Arial"/>
        </w:rPr>
        <w:t xml:space="preserve">To address these challenges, companies are required to implement good corporate governance (GCG) and an effective internal control system. The application of GCG principles plays a crucial role in mitigating the negative impacts of environmentally unfriendly hotel operations, which in turn impacts company performance. In general, GCG provides a structured framework to ensure that companies operate ethically, transparently, and responsibly. Through consistent application of GCG principles, hotel companies can optimize their operational efficiency, reduce environmental management costs, and increase competitiveness in the industry. Meanwhile, the implementation of an internal control system plays a central role in managing and preventing the potentially damaging impacts of hotel operations, which can then trigger environmental responsibility costs and impact company performance. With an internal control system in place, management can closely monitor various operational aspects and ensure the hotel complies with applicable environmental regulations, thereby reducing the risk of violations that could result in legal sanctions and fines. Furthermore, the internal control system also serves to identify potential environmental risks that may arise from operational activities. </w:t>
      </w:r>
    </w:p>
    <w:p w14:paraId="6FD8F336" w14:textId="77777777" w:rsidR="0032054B" w:rsidRPr="0032054B" w:rsidRDefault="0032054B" w:rsidP="0032054B">
      <w:pPr>
        <w:pStyle w:val="Body"/>
        <w:rPr>
          <w:rFonts w:ascii="Arial" w:hAnsi="Arial" w:cs="Arial"/>
        </w:rPr>
      </w:pPr>
      <w:r w:rsidRPr="0032054B">
        <w:rPr>
          <w:rFonts w:ascii="Arial" w:hAnsi="Arial" w:cs="Arial"/>
        </w:rPr>
        <w:t>Previous research examining the influence of good corporate governance variables on company performance has yielded mixed results. Suprina, et al (2021) found that the application of GCG principles had a positive effect on restaurant, hotel, and tourism sector companies. A positive effect of GCG implementation on company performance was also found when applied to Regionally-Owned Enterprises (</w:t>
      </w:r>
      <w:proofErr w:type="spellStart"/>
      <w:r w:rsidRPr="0032054B">
        <w:rPr>
          <w:rFonts w:ascii="Arial" w:hAnsi="Arial" w:cs="Arial"/>
        </w:rPr>
        <w:t>Abdurahman</w:t>
      </w:r>
      <w:proofErr w:type="spellEnd"/>
      <w:r w:rsidRPr="0032054B">
        <w:rPr>
          <w:rFonts w:ascii="Arial" w:hAnsi="Arial" w:cs="Arial"/>
        </w:rPr>
        <w:t xml:space="preserve"> &amp; </w:t>
      </w:r>
      <w:proofErr w:type="spellStart"/>
      <w:r w:rsidRPr="0032054B">
        <w:rPr>
          <w:rFonts w:ascii="Arial" w:hAnsi="Arial" w:cs="Arial"/>
        </w:rPr>
        <w:t>Widhar</w:t>
      </w:r>
      <w:proofErr w:type="spellEnd"/>
      <w:r w:rsidRPr="0032054B">
        <w:rPr>
          <w:rFonts w:ascii="Arial" w:hAnsi="Arial" w:cs="Arial"/>
        </w:rPr>
        <w:t xml:space="preserve"> 2018; Arifin 2018; </w:t>
      </w:r>
      <w:proofErr w:type="spellStart"/>
      <w:r w:rsidRPr="0032054B">
        <w:rPr>
          <w:rFonts w:ascii="Arial" w:hAnsi="Arial" w:cs="Arial"/>
        </w:rPr>
        <w:t>Hadi</w:t>
      </w:r>
      <w:proofErr w:type="spellEnd"/>
      <w:r w:rsidRPr="0032054B">
        <w:rPr>
          <w:rFonts w:ascii="Arial" w:hAnsi="Arial" w:cs="Arial"/>
        </w:rPr>
        <w:t xml:space="preserve">, &amp; </w:t>
      </w:r>
      <w:proofErr w:type="spellStart"/>
      <w:r w:rsidRPr="0032054B">
        <w:rPr>
          <w:rFonts w:ascii="Arial" w:hAnsi="Arial" w:cs="Arial"/>
        </w:rPr>
        <w:t>Swandari</w:t>
      </w:r>
      <w:proofErr w:type="spellEnd"/>
      <w:r w:rsidRPr="0032054B">
        <w:rPr>
          <w:rFonts w:ascii="Arial" w:hAnsi="Arial" w:cs="Arial"/>
        </w:rPr>
        <w:t xml:space="preserve"> 2019). Furthermore, GCG implementation has a positive effect on performance in various types of companies. Such as research conducted by </w:t>
      </w:r>
      <w:proofErr w:type="spellStart"/>
      <w:r w:rsidRPr="0032054B">
        <w:rPr>
          <w:rFonts w:ascii="Arial" w:hAnsi="Arial" w:cs="Arial"/>
        </w:rPr>
        <w:t>Mahrani</w:t>
      </w:r>
      <w:proofErr w:type="spellEnd"/>
      <w:r w:rsidRPr="0032054B">
        <w:rPr>
          <w:rFonts w:ascii="Arial" w:hAnsi="Arial" w:cs="Arial"/>
        </w:rPr>
        <w:t xml:space="preserve"> &amp; </w:t>
      </w:r>
      <w:proofErr w:type="spellStart"/>
      <w:r w:rsidRPr="0032054B">
        <w:rPr>
          <w:rFonts w:ascii="Arial" w:hAnsi="Arial" w:cs="Arial"/>
        </w:rPr>
        <w:t>Soewarno</w:t>
      </w:r>
      <w:proofErr w:type="spellEnd"/>
      <w:r w:rsidRPr="0032054B">
        <w:rPr>
          <w:rFonts w:ascii="Arial" w:hAnsi="Arial" w:cs="Arial"/>
        </w:rPr>
        <w:t xml:space="preserve"> (2018) on issuers on the Indonesia Stock Exchange, then research from Dwija Putri, et al (2017) on Rural Credit Banks in Badung Regency and Denpasar City, research by </w:t>
      </w:r>
      <w:proofErr w:type="spellStart"/>
      <w:r w:rsidRPr="0032054B">
        <w:rPr>
          <w:rFonts w:ascii="Arial" w:hAnsi="Arial" w:cs="Arial"/>
        </w:rPr>
        <w:t>Yuliantari</w:t>
      </w:r>
      <w:proofErr w:type="spellEnd"/>
      <w:r w:rsidRPr="0032054B">
        <w:rPr>
          <w:rFonts w:ascii="Arial" w:hAnsi="Arial" w:cs="Arial"/>
        </w:rPr>
        <w:t>, et al (2020) which examined the implementation of GCG in Gianyar Regency. However, different results were found regarding the application of GCG principles on company performance, such as the absence of a significant effect (Abdallah &amp; Ismail 2017; Al-</w:t>
      </w:r>
      <w:proofErr w:type="spellStart"/>
      <w:r w:rsidRPr="0032054B">
        <w:rPr>
          <w:rFonts w:ascii="Arial" w:hAnsi="Arial" w:cs="Arial"/>
        </w:rPr>
        <w:t>ahdal</w:t>
      </w:r>
      <w:proofErr w:type="spellEnd"/>
      <w:r w:rsidRPr="0032054B">
        <w:rPr>
          <w:rFonts w:ascii="Arial" w:hAnsi="Arial" w:cs="Arial"/>
        </w:rPr>
        <w:t xml:space="preserve">, et al 2020; </w:t>
      </w:r>
      <w:proofErr w:type="gramStart"/>
      <w:r w:rsidRPr="0032054B">
        <w:rPr>
          <w:rFonts w:ascii="Arial" w:hAnsi="Arial" w:cs="Arial"/>
        </w:rPr>
        <w:t>Aslam,&amp;</w:t>
      </w:r>
      <w:proofErr w:type="gramEnd"/>
      <w:r w:rsidRPr="0032054B">
        <w:rPr>
          <w:rFonts w:ascii="Arial" w:hAnsi="Arial" w:cs="Arial"/>
        </w:rPr>
        <w:t xml:space="preserve"> Haron 2020; </w:t>
      </w:r>
      <w:proofErr w:type="spellStart"/>
      <w:r w:rsidRPr="0032054B">
        <w:rPr>
          <w:rFonts w:ascii="Arial" w:hAnsi="Arial" w:cs="Arial"/>
        </w:rPr>
        <w:t>Muslih</w:t>
      </w:r>
      <w:proofErr w:type="spellEnd"/>
      <w:r w:rsidRPr="0032054B">
        <w:rPr>
          <w:rFonts w:ascii="Arial" w:hAnsi="Arial" w:cs="Arial"/>
        </w:rPr>
        <w:t xml:space="preserve"> &amp; </w:t>
      </w:r>
      <w:proofErr w:type="spellStart"/>
      <w:r w:rsidRPr="0032054B">
        <w:rPr>
          <w:rFonts w:ascii="Arial" w:hAnsi="Arial" w:cs="Arial"/>
        </w:rPr>
        <w:t>Halliawan</w:t>
      </w:r>
      <w:proofErr w:type="spellEnd"/>
      <w:r w:rsidRPr="0032054B">
        <w:rPr>
          <w:rFonts w:ascii="Arial" w:hAnsi="Arial" w:cs="Arial"/>
        </w:rPr>
        <w:t xml:space="preserve"> 2021; </w:t>
      </w:r>
      <w:proofErr w:type="spellStart"/>
      <w:r w:rsidRPr="0032054B">
        <w:rPr>
          <w:rFonts w:ascii="Arial" w:hAnsi="Arial" w:cs="Arial"/>
        </w:rPr>
        <w:t>Rifuddin</w:t>
      </w:r>
      <w:proofErr w:type="spellEnd"/>
      <w:r w:rsidRPr="0032054B">
        <w:rPr>
          <w:rFonts w:ascii="Arial" w:hAnsi="Arial" w:cs="Arial"/>
        </w:rPr>
        <w:t xml:space="preserve">, &amp; Jamaluddin 2020). Furthermore, inconsistencies were also found in the results of previous research examining the influence of internal control system variables on company performance. Research from Aprilia, et al (2016) and </w:t>
      </w:r>
      <w:proofErr w:type="spellStart"/>
      <w:r w:rsidRPr="0032054B">
        <w:rPr>
          <w:rFonts w:ascii="Arial" w:hAnsi="Arial" w:cs="Arial"/>
        </w:rPr>
        <w:t>Nining</w:t>
      </w:r>
      <w:proofErr w:type="spellEnd"/>
      <w:r w:rsidRPr="0032054B">
        <w:rPr>
          <w:rFonts w:ascii="Arial" w:hAnsi="Arial" w:cs="Arial"/>
        </w:rPr>
        <w:t xml:space="preserve"> (2023) found that internal control systems had a positive effect on the performance of hotel companies. However, a different result was obtained </w:t>
      </w:r>
      <w:proofErr w:type="spellStart"/>
      <w:r w:rsidRPr="0032054B">
        <w:rPr>
          <w:rFonts w:ascii="Arial" w:hAnsi="Arial" w:cs="Arial"/>
        </w:rPr>
        <w:t>Sopian</w:t>
      </w:r>
      <w:proofErr w:type="spellEnd"/>
      <w:r w:rsidRPr="0032054B">
        <w:rPr>
          <w:rFonts w:ascii="Arial" w:hAnsi="Arial" w:cs="Arial"/>
        </w:rPr>
        <w:t xml:space="preserve"> (2019), where the internal control system had no impact on company performance.</w:t>
      </w:r>
    </w:p>
    <w:p w14:paraId="70F74B56" w14:textId="77777777" w:rsidR="0032054B" w:rsidRPr="0032054B" w:rsidRDefault="0032054B" w:rsidP="0032054B">
      <w:pPr>
        <w:pStyle w:val="Body"/>
        <w:rPr>
          <w:rFonts w:ascii="Arial" w:hAnsi="Arial" w:cs="Arial"/>
        </w:rPr>
      </w:pPr>
      <w:proofErr w:type="spellStart"/>
      <w:r w:rsidRPr="0032054B">
        <w:rPr>
          <w:rFonts w:ascii="Arial" w:hAnsi="Arial" w:cs="Arial"/>
        </w:rPr>
        <w:t>Undang-Undang</w:t>
      </w:r>
      <w:proofErr w:type="spellEnd"/>
      <w:r w:rsidRPr="0032054B">
        <w:rPr>
          <w:rFonts w:ascii="Arial" w:hAnsi="Arial" w:cs="Arial"/>
        </w:rPr>
        <w:t xml:space="preserve"> </w:t>
      </w:r>
      <w:proofErr w:type="spellStart"/>
      <w:r w:rsidRPr="0032054B">
        <w:rPr>
          <w:rFonts w:ascii="Arial" w:hAnsi="Arial" w:cs="Arial"/>
        </w:rPr>
        <w:t>Republik</w:t>
      </w:r>
      <w:proofErr w:type="spellEnd"/>
      <w:r w:rsidRPr="0032054B">
        <w:rPr>
          <w:rFonts w:ascii="Arial" w:hAnsi="Arial" w:cs="Arial"/>
        </w:rPr>
        <w:t xml:space="preserve"> Indonesia </w:t>
      </w:r>
      <w:proofErr w:type="spellStart"/>
      <w:r w:rsidRPr="0032054B">
        <w:rPr>
          <w:rFonts w:ascii="Arial" w:hAnsi="Arial" w:cs="Arial"/>
        </w:rPr>
        <w:t>Nomor</w:t>
      </w:r>
      <w:proofErr w:type="spellEnd"/>
      <w:r w:rsidRPr="0032054B">
        <w:rPr>
          <w:rFonts w:ascii="Arial" w:hAnsi="Arial" w:cs="Arial"/>
        </w:rPr>
        <w:t xml:space="preserve"> 10 </w:t>
      </w:r>
      <w:proofErr w:type="spellStart"/>
      <w:r w:rsidRPr="0032054B">
        <w:rPr>
          <w:rFonts w:ascii="Arial" w:hAnsi="Arial" w:cs="Arial"/>
        </w:rPr>
        <w:t>Tahun</w:t>
      </w:r>
      <w:proofErr w:type="spellEnd"/>
      <w:r w:rsidRPr="0032054B">
        <w:rPr>
          <w:rFonts w:ascii="Arial" w:hAnsi="Arial" w:cs="Arial"/>
        </w:rPr>
        <w:t xml:space="preserve"> 2009 concerning Tourism states that one of the basic principles in implementing tourism is maintaining the sustainability of nature and the environment. In line with this regulation, maintaining environmental sustainability is a top priority for hotel managers. This sustainability concept is often associated with the Triple Bottom Line (TBL) framework, which emphasizes the balance between three main aspects: people, planet, and profit. In Bali, the concept of sustainability is closely linked to local cultural values, particularly the Tri Hita Karana philosophy, which consists of three main elements: </w:t>
      </w:r>
      <w:proofErr w:type="spellStart"/>
      <w:r w:rsidRPr="0032054B">
        <w:rPr>
          <w:rFonts w:ascii="Arial" w:hAnsi="Arial" w:cs="Arial"/>
        </w:rPr>
        <w:t>parahyangan</w:t>
      </w:r>
      <w:proofErr w:type="spellEnd"/>
      <w:r w:rsidRPr="0032054B">
        <w:rPr>
          <w:rFonts w:ascii="Arial" w:hAnsi="Arial" w:cs="Arial"/>
        </w:rPr>
        <w:t xml:space="preserve">, </w:t>
      </w:r>
      <w:proofErr w:type="spellStart"/>
      <w:r w:rsidRPr="0032054B">
        <w:rPr>
          <w:rFonts w:ascii="Arial" w:hAnsi="Arial" w:cs="Arial"/>
        </w:rPr>
        <w:t>pawongan</w:t>
      </w:r>
      <w:proofErr w:type="spellEnd"/>
      <w:r w:rsidRPr="0032054B">
        <w:rPr>
          <w:rFonts w:ascii="Arial" w:hAnsi="Arial" w:cs="Arial"/>
        </w:rPr>
        <w:t xml:space="preserve">, and </w:t>
      </w:r>
      <w:proofErr w:type="spellStart"/>
      <w:r w:rsidRPr="0032054B">
        <w:rPr>
          <w:rFonts w:ascii="Arial" w:hAnsi="Arial" w:cs="Arial"/>
        </w:rPr>
        <w:t>palemahan</w:t>
      </w:r>
      <w:proofErr w:type="spellEnd"/>
      <w:r w:rsidRPr="0032054B">
        <w:rPr>
          <w:rFonts w:ascii="Arial" w:hAnsi="Arial" w:cs="Arial"/>
        </w:rPr>
        <w:t xml:space="preserve">. In the context of sustainability, </w:t>
      </w:r>
      <w:proofErr w:type="spellStart"/>
      <w:r w:rsidRPr="0032054B">
        <w:rPr>
          <w:rFonts w:ascii="Arial" w:hAnsi="Arial" w:cs="Arial"/>
        </w:rPr>
        <w:t>palemahan</w:t>
      </w:r>
      <w:proofErr w:type="spellEnd"/>
      <w:r w:rsidRPr="0032054B">
        <w:rPr>
          <w:rFonts w:ascii="Arial" w:hAnsi="Arial" w:cs="Arial"/>
        </w:rPr>
        <w:t xml:space="preserve"> can be aligned with the planet, </w:t>
      </w:r>
      <w:proofErr w:type="spellStart"/>
      <w:r w:rsidRPr="0032054B">
        <w:rPr>
          <w:rFonts w:ascii="Arial" w:hAnsi="Arial" w:cs="Arial"/>
        </w:rPr>
        <w:t>pawongan</w:t>
      </w:r>
      <w:proofErr w:type="spellEnd"/>
      <w:r w:rsidRPr="0032054B">
        <w:rPr>
          <w:rFonts w:ascii="Arial" w:hAnsi="Arial" w:cs="Arial"/>
        </w:rPr>
        <w:t xml:space="preserve"> with people, and supplemented with </w:t>
      </w:r>
      <w:r w:rsidRPr="0032054B">
        <w:rPr>
          <w:rFonts w:ascii="Arial" w:hAnsi="Arial" w:cs="Arial"/>
        </w:rPr>
        <w:lastRenderedPageBreak/>
        <w:t xml:space="preserve">profit and </w:t>
      </w:r>
      <w:proofErr w:type="spellStart"/>
      <w:r w:rsidRPr="0032054B">
        <w:rPr>
          <w:rFonts w:ascii="Arial" w:hAnsi="Arial" w:cs="Arial"/>
        </w:rPr>
        <w:t>parahyangan</w:t>
      </w:r>
      <w:proofErr w:type="spellEnd"/>
      <w:r w:rsidRPr="0032054B">
        <w:rPr>
          <w:rFonts w:ascii="Arial" w:hAnsi="Arial" w:cs="Arial"/>
        </w:rPr>
        <w:t>, forming a new concept called the Quadruple Bottom Line (QBL) (Putra, et al 2024). This concept expands the sustainability framework by incorporating elements of piety or spiritual values, which are integral to Balinese life.</w:t>
      </w:r>
    </w:p>
    <w:p w14:paraId="5A1211A9" w14:textId="77777777" w:rsidR="0032054B" w:rsidRPr="0032054B" w:rsidRDefault="0032054B" w:rsidP="0032054B">
      <w:pPr>
        <w:pStyle w:val="Body"/>
        <w:rPr>
          <w:rFonts w:ascii="Arial" w:hAnsi="Arial" w:cs="Arial"/>
        </w:rPr>
      </w:pPr>
      <w:r w:rsidRPr="0032054B">
        <w:rPr>
          <w:rFonts w:ascii="Arial" w:hAnsi="Arial" w:cs="Arial"/>
        </w:rPr>
        <w:t>The inconsistency of previous research results motivated the researchers to add a moderating variable to the research model. The rationale for this study was the presence of other variables that influence the relationship between the independent variable and the dependent variable, either strengthening or weakening it. The moderating variable in this study is the quadruple bottom line. Previous studies examining the effect of TBL and THK on company performance found a significant positive effect (</w:t>
      </w:r>
      <w:proofErr w:type="spellStart"/>
      <w:r w:rsidRPr="0032054B">
        <w:rPr>
          <w:rFonts w:ascii="Arial" w:hAnsi="Arial" w:cs="Arial"/>
        </w:rPr>
        <w:t>Mahrani</w:t>
      </w:r>
      <w:proofErr w:type="spellEnd"/>
      <w:r w:rsidRPr="0032054B">
        <w:rPr>
          <w:rFonts w:ascii="Arial" w:hAnsi="Arial" w:cs="Arial"/>
        </w:rPr>
        <w:t xml:space="preserve"> &amp; </w:t>
      </w:r>
      <w:proofErr w:type="spellStart"/>
      <w:r w:rsidRPr="0032054B">
        <w:rPr>
          <w:rFonts w:ascii="Arial" w:hAnsi="Arial" w:cs="Arial"/>
        </w:rPr>
        <w:t>Soewarno</w:t>
      </w:r>
      <w:proofErr w:type="spellEnd"/>
      <w:r w:rsidRPr="0032054B">
        <w:rPr>
          <w:rFonts w:ascii="Arial" w:hAnsi="Arial" w:cs="Arial"/>
        </w:rPr>
        <w:t xml:space="preserve"> 2018; </w:t>
      </w:r>
      <w:proofErr w:type="spellStart"/>
      <w:r w:rsidRPr="0032054B">
        <w:rPr>
          <w:rFonts w:ascii="Arial" w:hAnsi="Arial" w:cs="Arial"/>
        </w:rPr>
        <w:t>Buallay</w:t>
      </w:r>
      <w:proofErr w:type="spellEnd"/>
      <w:r w:rsidRPr="0032054B">
        <w:rPr>
          <w:rFonts w:ascii="Arial" w:hAnsi="Arial" w:cs="Arial"/>
        </w:rPr>
        <w:t xml:space="preserve"> 2019; Agyemang &amp; </w:t>
      </w:r>
      <w:proofErr w:type="spellStart"/>
      <w:r w:rsidRPr="0032054B">
        <w:rPr>
          <w:rFonts w:ascii="Arial" w:hAnsi="Arial" w:cs="Arial"/>
        </w:rPr>
        <w:t>Ansong</w:t>
      </w:r>
      <w:proofErr w:type="spellEnd"/>
      <w:r w:rsidRPr="0032054B">
        <w:rPr>
          <w:rFonts w:ascii="Arial" w:hAnsi="Arial" w:cs="Arial"/>
        </w:rPr>
        <w:t xml:space="preserve"> 2017; </w:t>
      </w:r>
      <w:proofErr w:type="spellStart"/>
      <w:r w:rsidRPr="0032054B">
        <w:rPr>
          <w:rFonts w:ascii="Arial" w:hAnsi="Arial" w:cs="Arial"/>
        </w:rPr>
        <w:t>Suarna</w:t>
      </w:r>
      <w:proofErr w:type="spellEnd"/>
      <w:r w:rsidRPr="0032054B">
        <w:rPr>
          <w:rFonts w:ascii="Arial" w:hAnsi="Arial" w:cs="Arial"/>
        </w:rPr>
        <w:t xml:space="preserve"> </w:t>
      </w:r>
      <w:proofErr w:type="spellStart"/>
      <w:r w:rsidRPr="0032054B">
        <w:rPr>
          <w:rFonts w:ascii="Arial" w:hAnsi="Arial" w:cs="Arial"/>
        </w:rPr>
        <w:t>Bumi</w:t>
      </w:r>
      <w:proofErr w:type="spellEnd"/>
      <w:r w:rsidRPr="0032054B">
        <w:rPr>
          <w:rFonts w:ascii="Arial" w:hAnsi="Arial" w:cs="Arial"/>
        </w:rPr>
        <w:t xml:space="preserve"> &amp; </w:t>
      </w:r>
      <w:proofErr w:type="spellStart"/>
      <w:r w:rsidRPr="0032054B">
        <w:rPr>
          <w:rFonts w:ascii="Arial" w:hAnsi="Arial" w:cs="Arial"/>
        </w:rPr>
        <w:t>Suartana</w:t>
      </w:r>
      <w:proofErr w:type="spellEnd"/>
      <w:r w:rsidRPr="0032054B">
        <w:rPr>
          <w:rFonts w:ascii="Arial" w:hAnsi="Arial" w:cs="Arial"/>
        </w:rPr>
        <w:t xml:space="preserve"> 2019; Dwija Putri, et al 2017; Bagus, et al 2017; Saha, et al 2019). </w:t>
      </w:r>
    </w:p>
    <w:p w14:paraId="16A5CE3E" w14:textId="023C5E22" w:rsidR="00B01FCD" w:rsidRDefault="0032054B" w:rsidP="0032054B">
      <w:pPr>
        <w:pStyle w:val="Body"/>
        <w:spacing w:after="0"/>
        <w:rPr>
          <w:rFonts w:ascii="Arial" w:hAnsi="Arial" w:cs="Arial"/>
        </w:rPr>
      </w:pPr>
      <w:r w:rsidRPr="0032054B">
        <w:rPr>
          <w:rFonts w:ascii="Arial" w:hAnsi="Arial" w:cs="Arial"/>
        </w:rPr>
        <w:t xml:space="preserve">The state of the art of this research is that most previous studies use the Triple Bottom Line as a sustainability approach </w:t>
      </w:r>
      <w:proofErr w:type="spellStart"/>
      <w:r w:rsidRPr="0032054B">
        <w:rPr>
          <w:rFonts w:ascii="Arial" w:hAnsi="Arial" w:cs="Arial"/>
        </w:rPr>
        <w:t>Suartana</w:t>
      </w:r>
      <w:proofErr w:type="spellEnd"/>
      <w:r w:rsidRPr="0032054B">
        <w:rPr>
          <w:rFonts w:ascii="Arial" w:hAnsi="Arial" w:cs="Arial"/>
        </w:rPr>
        <w:t xml:space="preserve">, &amp; Utama (2013) and </w:t>
      </w:r>
      <w:proofErr w:type="spellStart"/>
      <w:r w:rsidRPr="0032054B">
        <w:rPr>
          <w:rFonts w:ascii="Arial" w:hAnsi="Arial" w:cs="Arial"/>
        </w:rPr>
        <w:t>Suartana</w:t>
      </w:r>
      <w:proofErr w:type="spellEnd"/>
      <w:r w:rsidRPr="0032054B">
        <w:rPr>
          <w:rFonts w:ascii="Arial" w:hAnsi="Arial" w:cs="Arial"/>
        </w:rPr>
        <w:t xml:space="preserve"> (2010), while studies integrating the Quadruple Bottom Line as a moderating variable are still limited. Therefore, further research is needed to understand the role of QBL in the relationship between GCG, internal control systems, and company performance. This research is novel in integrating the Quadruple Bottom Line as a moderating variable, adding the dimension of </w:t>
      </w:r>
      <w:proofErr w:type="spellStart"/>
      <w:r w:rsidRPr="0032054B">
        <w:rPr>
          <w:rFonts w:ascii="Arial" w:hAnsi="Arial" w:cs="Arial"/>
        </w:rPr>
        <w:t>parahyangan</w:t>
      </w:r>
      <w:proofErr w:type="spellEnd"/>
      <w:r w:rsidRPr="0032054B">
        <w:rPr>
          <w:rFonts w:ascii="Arial" w:hAnsi="Arial" w:cs="Arial"/>
        </w:rPr>
        <w:t xml:space="preserve"> (piety) to the Tri Hita Karana-based sustainability model. The focus on companies participating in the Tri Hita Karana Award is also a new aspect of this research, as it provides a perspective on the effectiveness of sustainability implementation in the hospitality industry based on local cultural values. This research uses a quantitative problem-solving approach. By focusing on companies participating in the Tri Hita Karana Award, this study aims to understand how sustainability practices can improve company performance and is expected to provide academic and practical contributions to developing more sustainable hospitality industry management strategies based on local wisdom.</w:t>
      </w:r>
    </w:p>
    <w:p w14:paraId="71E5E00F" w14:textId="77777777" w:rsidR="00790ADA" w:rsidRPr="00FB3A86" w:rsidRDefault="00790ADA" w:rsidP="00441B6F">
      <w:pPr>
        <w:pStyle w:val="Body"/>
        <w:spacing w:after="0"/>
        <w:rPr>
          <w:rFonts w:ascii="Arial" w:hAnsi="Arial" w:cs="Arial"/>
        </w:rPr>
      </w:pPr>
    </w:p>
    <w:p w14:paraId="1AD1A0DA" w14:textId="0D6D30E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7149958" w14:textId="77777777" w:rsidR="00790ADA" w:rsidRPr="00FB3A86" w:rsidRDefault="00790ADA" w:rsidP="00441B6F">
      <w:pPr>
        <w:pStyle w:val="AbstHead"/>
        <w:spacing w:after="0"/>
        <w:jc w:val="both"/>
        <w:rPr>
          <w:rFonts w:ascii="Arial" w:hAnsi="Arial" w:cs="Arial"/>
        </w:rPr>
      </w:pPr>
    </w:p>
    <w:p w14:paraId="1F9AA762" w14:textId="58763EA1" w:rsidR="00AA74E0" w:rsidRDefault="0032054B" w:rsidP="00441B6F">
      <w:pPr>
        <w:pStyle w:val="Body"/>
        <w:spacing w:after="0"/>
        <w:rPr>
          <w:rFonts w:ascii="Arial" w:hAnsi="Arial" w:cs="Arial"/>
        </w:rPr>
      </w:pPr>
      <w:r w:rsidRPr="0032054B">
        <w:rPr>
          <w:rFonts w:ascii="Arial" w:hAnsi="Arial" w:cs="Arial"/>
        </w:rPr>
        <w:t>This study uses quantitative methods to analyze the influence of Good Corporate Governance (GCG) and Internal Control Systems (ISC) on company performance and to examine the moderating role of the Quadruple Bottom Line (QBL) in this relationship. This research procedure was conducted by distributing research questionnaires to top and middle management (general managers, finance and accounting departments, sales and marketing departments) in hospitality companies and tourist attractions participating in the Tri Hita Karana Award. The sample in this study was 99 hospitality companies and tourist attractions participating in the Tri Hita Karana Award over the past five years. The sample size for this study was 99 (thirty-three). This is a causal study, analyzing cause-and-effect relationships or influences. The form of causal relationships requires inferential statistical analysis tools capable of explaining these relationships. To answer the research questions, the collected data was processed using structural equation modeling (SEM) based on partial least squares (PLS).</w:t>
      </w:r>
      <w:r w:rsidR="00AA74E0" w:rsidRPr="00FB3A86">
        <w:rPr>
          <w:rFonts w:ascii="Arial" w:hAnsi="Arial" w:cs="Arial"/>
        </w:rPr>
        <w:t xml:space="preserve">  </w:t>
      </w:r>
    </w:p>
    <w:p w14:paraId="0B140B62" w14:textId="77777777" w:rsidR="00790ADA" w:rsidRDefault="00790ADA" w:rsidP="00441B6F">
      <w:pPr>
        <w:pStyle w:val="Body"/>
        <w:spacing w:after="0"/>
        <w:rPr>
          <w:rFonts w:ascii="Arial" w:hAnsi="Arial" w:cs="Arial"/>
        </w:rPr>
      </w:pPr>
    </w:p>
    <w:p w14:paraId="66FAF3BB" w14:textId="77777777" w:rsidR="00755EA3" w:rsidRDefault="00755EA3" w:rsidP="00441B6F">
      <w:pPr>
        <w:pStyle w:val="Body"/>
        <w:spacing w:after="0"/>
        <w:rPr>
          <w:rFonts w:ascii="Arial" w:hAnsi="Arial" w:cs="Arial"/>
        </w:rPr>
      </w:pPr>
    </w:p>
    <w:p w14:paraId="7A282D98" w14:textId="77777777" w:rsidR="00755EA3" w:rsidRDefault="00755EA3" w:rsidP="00441B6F">
      <w:pPr>
        <w:pStyle w:val="Body"/>
        <w:spacing w:after="0"/>
        <w:rPr>
          <w:rFonts w:ascii="Arial" w:hAnsi="Arial" w:cs="Arial"/>
        </w:rPr>
      </w:pPr>
    </w:p>
    <w:p w14:paraId="6CCC5C95" w14:textId="77777777" w:rsidR="00755EA3" w:rsidRPr="00FB3A86" w:rsidRDefault="00755EA3" w:rsidP="00441B6F">
      <w:pPr>
        <w:pStyle w:val="Body"/>
        <w:spacing w:after="0"/>
        <w:rPr>
          <w:rFonts w:ascii="Arial" w:hAnsi="Arial" w:cs="Arial"/>
        </w:rPr>
      </w:pPr>
    </w:p>
    <w:p w14:paraId="1B056B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FD7A84" w14:textId="77777777" w:rsidR="00790ADA" w:rsidRPr="00FB3A86" w:rsidRDefault="00790ADA" w:rsidP="00441B6F">
      <w:pPr>
        <w:pStyle w:val="Head1"/>
        <w:spacing w:after="0"/>
        <w:jc w:val="both"/>
        <w:rPr>
          <w:rFonts w:ascii="Arial" w:hAnsi="Arial" w:cs="Arial"/>
        </w:rPr>
      </w:pPr>
    </w:p>
    <w:p w14:paraId="1E28B680"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3A08AE65"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65EF091A"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25A89E9B" w14:textId="7A172B8F"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Measurement Model Evaluation (Outer Model)</w:t>
      </w:r>
    </w:p>
    <w:p w14:paraId="50D96C23" w14:textId="46CDB160" w:rsidR="0032054B" w:rsidRPr="0032054B" w:rsidRDefault="0032054B" w:rsidP="0032054B">
      <w:pPr>
        <w:pStyle w:val="Body"/>
        <w:numPr>
          <w:ilvl w:val="2"/>
          <w:numId w:val="32"/>
        </w:numPr>
        <w:ind w:left="567" w:hanging="567"/>
        <w:rPr>
          <w:rFonts w:ascii="Arial" w:hAnsi="Arial" w:cs="Arial"/>
          <w:b/>
          <w:bCs/>
        </w:rPr>
      </w:pPr>
      <w:r w:rsidRPr="0032054B">
        <w:rPr>
          <w:rFonts w:ascii="Arial" w:hAnsi="Arial" w:cs="Arial"/>
          <w:b/>
          <w:bCs/>
        </w:rPr>
        <w:t>Validity Test</w:t>
      </w:r>
    </w:p>
    <w:p w14:paraId="40164DA9" w14:textId="77777777" w:rsidR="0032054B" w:rsidRPr="0032054B" w:rsidRDefault="0032054B" w:rsidP="0032054B">
      <w:pPr>
        <w:pStyle w:val="Body"/>
        <w:rPr>
          <w:rFonts w:ascii="Arial" w:hAnsi="Arial" w:cs="Arial"/>
        </w:rPr>
      </w:pPr>
      <w:r w:rsidRPr="0032054B">
        <w:rPr>
          <w:rFonts w:ascii="Arial" w:hAnsi="Arial" w:cs="Arial"/>
        </w:rPr>
        <w:lastRenderedPageBreak/>
        <w:t>The outer loading value for the research variables is greater than 0.5, indicating that all measurement indicators meet convergent validity requirements, and each indicator is valid. Furthermore, based on the construct validity test using the Average Variance Extracted value, the test results met the test criteria of more than 0.50, indicating that the research variables met construct validity.</w:t>
      </w:r>
    </w:p>
    <w:p w14:paraId="32AE2928" w14:textId="77777777" w:rsidR="0032054B" w:rsidRPr="0032054B" w:rsidRDefault="0032054B" w:rsidP="0032054B">
      <w:pPr>
        <w:pStyle w:val="Body"/>
        <w:rPr>
          <w:rFonts w:ascii="Arial" w:hAnsi="Arial" w:cs="Arial"/>
        </w:rPr>
      </w:pPr>
      <w:r w:rsidRPr="0032054B">
        <w:rPr>
          <w:rFonts w:ascii="Arial" w:hAnsi="Arial" w:cs="Arial"/>
        </w:rPr>
        <w:t>The next test result showed that the factor loading value in each variable column was the highest compared to the cross-loading values of the other variables, thus, the indicators for each research variable met discriminant validity.</w:t>
      </w:r>
    </w:p>
    <w:p w14:paraId="2D310CB9"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2407F084"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01CD87A6"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6D341EBD" w14:textId="77777777" w:rsidR="0032054B" w:rsidRPr="0032054B" w:rsidRDefault="0032054B" w:rsidP="0032054B">
      <w:pPr>
        <w:pStyle w:val="ListParagraph"/>
        <w:numPr>
          <w:ilvl w:val="1"/>
          <w:numId w:val="33"/>
        </w:numPr>
        <w:spacing w:after="240"/>
        <w:contextualSpacing w:val="0"/>
        <w:jc w:val="both"/>
        <w:rPr>
          <w:rFonts w:ascii="Arial" w:hAnsi="Arial" w:cs="Arial"/>
          <w:vanish/>
        </w:rPr>
      </w:pPr>
    </w:p>
    <w:p w14:paraId="354EA961" w14:textId="77777777" w:rsidR="0032054B" w:rsidRPr="0032054B" w:rsidRDefault="0032054B" w:rsidP="0032054B">
      <w:pPr>
        <w:pStyle w:val="ListParagraph"/>
        <w:numPr>
          <w:ilvl w:val="2"/>
          <w:numId w:val="33"/>
        </w:numPr>
        <w:spacing w:after="240"/>
        <w:contextualSpacing w:val="0"/>
        <w:jc w:val="both"/>
        <w:rPr>
          <w:rFonts w:ascii="Arial" w:hAnsi="Arial" w:cs="Arial"/>
          <w:vanish/>
        </w:rPr>
      </w:pPr>
    </w:p>
    <w:p w14:paraId="3248FFB8" w14:textId="038C380B" w:rsidR="0032054B" w:rsidRPr="0032054B" w:rsidRDefault="0032054B" w:rsidP="0032054B">
      <w:pPr>
        <w:pStyle w:val="Body"/>
        <w:numPr>
          <w:ilvl w:val="2"/>
          <w:numId w:val="33"/>
        </w:numPr>
        <w:ind w:left="567"/>
        <w:rPr>
          <w:rFonts w:ascii="Arial" w:hAnsi="Arial" w:cs="Arial"/>
          <w:b/>
          <w:bCs/>
        </w:rPr>
      </w:pPr>
      <w:r w:rsidRPr="0032054B">
        <w:rPr>
          <w:rFonts w:ascii="Arial" w:hAnsi="Arial" w:cs="Arial"/>
          <w:b/>
          <w:bCs/>
        </w:rPr>
        <w:t>Reliability Test</w:t>
      </w:r>
    </w:p>
    <w:p w14:paraId="358712AE" w14:textId="77777777" w:rsidR="0032054B" w:rsidRPr="0032054B" w:rsidRDefault="0032054B" w:rsidP="0032054B">
      <w:pPr>
        <w:pStyle w:val="Body"/>
        <w:rPr>
          <w:rFonts w:ascii="Arial" w:hAnsi="Arial" w:cs="Arial"/>
        </w:rPr>
      </w:pPr>
      <w:r w:rsidRPr="0032054B">
        <w:rPr>
          <w:rFonts w:ascii="Arial" w:hAnsi="Arial" w:cs="Arial"/>
        </w:rPr>
        <w:t>The reliability test results using the composite reliability value and Cronbach's Alpha value showed values above 0.70, indicating that each variable in this study is reliable.</w:t>
      </w:r>
    </w:p>
    <w:p w14:paraId="6D059BE6" w14:textId="159CC0AB"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Inner Model Evaluation (Structural Model)</w:t>
      </w:r>
    </w:p>
    <w:p w14:paraId="0B3ACA22" w14:textId="77777777" w:rsidR="0032054B" w:rsidRPr="0032054B" w:rsidRDefault="0032054B" w:rsidP="0032054B">
      <w:pPr>
        <w:pStyle w:val="Body"/>
        <w:rPr>
          <w:rFonts w:ascii="Arial" w:hAnsi="Arial" w:cs="Arial"/>
        </w:rPr>
      </w:pPr>
      <w:r w:rsidRPr="0032054B">
        <w:rPr>
          <w:rFonts w:ascii="Arial" w:hAnsi="Arial" w:cs="Arial"/>
        </w:rPr>
        <w:t>The R square value is 0.763, meaning that 76.3 percent of the diversity in company performance variables can be explained by good corporate governance and internal control systems. The remaining 23.7 percent is contributed by other variables outside the research model.</w:t>
      </w:r>
    </w:p>
    <w:p w14:paraId="02D67247" w14:textId="77777777"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Hypothesis Testing</w:t>
      </w:r>
    </w:p>
    <w:p w14:paraId="458E2733" w14:textId="77EAC683" w:rsidR="00231920" w:rsidRDefault="0032054B" w:rsidP="0032054B">
      <w:pPr>
        <w:pStyle w:val="Body"/>
        <w:spacing w:after="0"/>
        <w:rPr>
          <w:rFonts w:ascii="Arial" w:hAnsi="Arial" w:cs="Arial"/>
        </w:rPr>
      </w:pPr>
      <w:r w:rsidRPr="0032054B">
        <w:rPr>
          <w:rFonts w:ascii="Arial" w:hAnsi="Arial" w:cs="Arial"/>
        </w:rPr>
        <w:t>Hypothesis testing is conducted to evaluate whether the relationship between latent variables is significant. Hypothesis testing can be calculated from the p-value and the t-statistic. A relationship between two variables is considered significant if the p-value is less than 0.05 (5 percent) or the t-statistic is greater than 1.96.</w:t>
      </w:r>
      <w:r w:rsidR="00863BD3">
        <w:rPr>
          <w:rFonts w:ascii="Arial" w:hAnsi="Arial" w:cs="Arial"/>
        </w:rPr>
        <w:t xml:space="preserve"> </w:t>
      </w:r>
    </w:p>
    <w:p w14:paraId="334E4E6F" w14:textId="77777777" w:rsidR="0032054B" w:rsidRDefault="0032054B" w:rsidP="0032054B">
      <w:pPr>
        <w:pStyle w:val="Body"/>
        <w:spacing w:after="0"/>
        <w:rPr>
          <w:rFonts w:ascii="Arial" w:hAnsi="Arial" w:cs="Arial"/>
        </w:rPr>
      </w:pPr>
    </w:p>
    <w:p w14:paraId="46CE86BC" w14:textId="77777777" w:rsidR="0032054B" w:rsidRDefault="0032054B" w:rsidP="0032054B">
      <w:pPr>
        <w:pStyle w:val="Body"/>
        <w:spacing w:after="0"/>
        <w:jc w:val="center"/>
        <w:rPr>
          <w:rFonts w:ascii="Arial" w:hAnsi="Arial" w:cs="Arial"/>
          <w:b/>
          <w:bCs/>
        </w:rPr>
      </w:pPr>
      <w:r>
        <w:rPr>
          <w:rFonts w:ascii="Times New Roman" w:hAnsi="Times New Roman"/>
          <w:iCs/>
          <w:noProof/>
          <w:sz w:val="24"/>
          <w:szCs w:val="24"/>
        </w:rPr>
        <w:drawing>
          <wp:inline distT="0" distB="0" distL="0" distR="0" wp14:anchorId="073B515B" wp14:editId="32400CB2">
            <wp:extent cx="3862425" cy="2497241"/>
            <wp:effectExtent l="0" t="0" r="0" b="0"/>
            <wp:docPr id="154659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2425" cy="2497241"/>
                    </a:xfrm>
                    <a:prstGeom prst="rect">
                      <a:avLst/>
                    </a:prstGeom>
                    <a:noFill/>
                  </pic:spPr>
                </pic:pic>
              </a:graphicData>
            </a:graphic>
          </wp:inline>
        </w:drawing>
      </w:r>
    </w:p>
    <w:p w14:paraId="07E43D0D" w14:textId="60480AAD" w:rsidR="0032054B" w:rsidRPr="0032054B" w:rsidRDefault="0032054B" w:rsidP="0032054B">
      <w:pPr>
        <w:pStyle w:val="Body"/>
        <w:spacing w:after="0"/>
        <w:jc w:val="center"/>
        <w:rPr>
          <w:rFonts w:ascii="Arial" w:hAnsi="Arial" w:cs="Arial"/>
        </w:rPr>
      </w:pPr>
      <w:r w:rsidRPr="0032054B">
        <w:rPr>
          <w:rFonts w:ascii="Arial" w:hAnsi="Arial" w:cs="Arial"/>
          <w:b/>
          <w:bCs/>
        </w:rPr>
        <w:t>Figure 1. Bootstrapping Model</w:t>
      </w:r>
    </w:p>
    <w:p w14:paraId="23387461" w14:textId="7EF49C10"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32054B" w:rsidRPr="0032054B">
        <w:rPr>
          <w:rFonts w:ascii="Arial" w:hAnsi="Arial"/>
          <w:b/>
        </w:rPr>
        <w:t>Hypothesis Test Results</w:t>
      </w:r>
    </w:p>
    <w:p w14:paraId="38DF836C" w14:textId="77777777" w:rsidR="0032054B" w:rsidRDefault="0032054B" w:rsidP="00441B6F">
      <w:pPr>
        <w:tabs>
          <w:tab w:val="left" w:pos="1080"/>
        </w:tabs>
        <w:jc w:val="both"/>
        <w:rPr>
          <w:rFonts w:ascii="Arial" w:hAnsi="Arial"/>
          <w:b/>
        </w:rPr>
      </w:pPr>
    </w:p>
    <w:tbl>
      <w:tblPr>
        <w:tblStyle w:val="PlainTable2"/>
        <w:tblW w:w="7564" w:type="dxa"/>
        <w:jc w:val="center"/>
        <w:tblLayout w:type="fixed"/>
        <w:tblLook w:val="04A0" w:firstRow="1" w:lastRow="0" w:firstColumn="1" w:lastColumn="0" w:noHBand="0" w:noVBand="1"/>
      </w:tblPr>
      <w:tblGrid>
        <w:gridCol w:w="1409"/>
        <w:gridCol w:w="1567"/>
        <w:gridCol w:w="849"/>
        <w:gridCol w:w="2270"/>
        <w:gridCol w:w="1469"/>
      </w:tblGrid>
      <w:tr w:rsidR="0032054B" w:rsidRPr="0032054B" w14:paraId="01F9A668" w14:textId="77777777" w:rsidTr="00245F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225535BC" w14:textId="77777777" w:rsidR="0032054B" w:rsidRPr="0032054B" w:rsidRDefault="0032054B" w:rsidP="00245FBB">
            <w:pPr>
              <w:jc w:val="center"/>
              <w:rPr>
                <w:rFonts w:ascii="Arial" w:hAnsi="Arial" w:cs="Arial"/>
                <w:b w:val="0"/>
                <w:bCs w:val="0"/>
                <w:sz w:val="20"/>
                <w:szCs w:val="20"/>
              </w:rPr>
            </w:pPr>
            <w:bookmarkStart w:id="1" w:name="_Hlk151259595"/>
            <w:r w:rsidRPr="0032054B">
              <w:rPr>
                <w:rFonts w:ascii="Arial" w:hAnsi="Arial" w:cs="Arial"/>
                <w:sz w:val="20"/>
                <w:szCs w:val="20"/>
              </w:rPr>
              <w:t>Relation between variables</w:t>
            </w:r>
          </w:p>
        </w:tc>
        <w:tc>
          <w:tcPr>
            <w:tcW w:w="1567" w:type="dxa"/>
            <w:vAlign w:val="center"/>
          </w:tcPr>
          <w:p w14:paraId="39FB27E4"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Path Coefficient</w:t>
            </w:r>
          </w:p>
        </w:tc>
        <w:tc>
          <w:tcPr>
            <w:tcW w:w="849" w:type="dxa"/>
            <w:vAlign w:val="center"/>
          </w:tcPr>
          <w:p w14:paraId="73363150"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P-</w:t>
            </w:r>
            <w:r w:rsidRPr="0032054B">
              <w:rPr>
                <w:rFonts w:ascii="Arial" w:hAnsi="Arial" w:cs="Arial"/>
                <w:i/>
                <w:iCs/>
                <w:sz w:val="20"/>
                <w:szCs w:val="20"/>
              </w:rPr>
              <w:t>value</w:t>
            </w:r>
          </w:p>
        </w:tc>
        <w:tc>
          <w:tcPr>
            <w:tcW w:w="2270" w:type="dxa"/>
            <w:vAlign w:val="center"/>
          </w:tcPr>
          <w:p w14:paraId="010EC1F4"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Hypothesis Direction</w:t>
            </w:r>
          </w:p>
        </w:tc>
        <w:tc>
          <w:tcPr>
            <w:tcW w:w="1469" w:type="dxa"/>
            <w:vAlign w:val="center"/>
          </w:tcPr>
          <w:p w14:paraId="2E3352BB"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Information</w:t>
            </w:r>
          </w:p>
        </w:tc>
      </w:tr>
      <w:tr w:rsidR="0032054B" w:rsidRPr="0032054B" w14:paraId="2C8CD9FE" w14:textId="77777777" w:rsidTr="00245F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tcPr>
          <w:p w14:paraId="617193EC" w14:textId="77777777" w:rsidR="0032054B" w:rsidRPr="0032054B" w:rsidRDefault="0032054B" w:rsidP="00245FBB">
            <w:pPr>
              <w:rPr>
                <w:rFonts w:ascii="Arial" w:hAnsi="Arial" w:cs="Arial"/>
                <w:sz w:val="20"/>
                <w:szCs w:val="20"/>
              </w:rPr>
            </w:pPr>
            <w:r w:rsidRPr="0032054B">
              <w:rPr>
                <w:rFonts w:ascii="Arial" w:hAnsi="Arial" w:cs="Arial"/>
                <w:sz w:val="20"/>
                <w:szCs w:val="20"/>
              </w:rPr>
              <w:t>X1-&gt;Y</w:t>
            </w:r>
          </w:p>
        </w:tc>
        <w:tc>
          <w:tcPr>
            <w:tcW w:w="1567" w:type="dxa"/>
          </w:tcPr>
          <w:p w14:paraId="5D44A667"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0,268</w:t>
            </w:r>
          </w:p>
        </w:tc>
        <w:tc>
          <w:tcPr>
            <w:tcW w:w="849" w:type="dxa"/>
          </w:tcPr>
          <w:p w14:paraId="2DB0B887"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0,003</w:t>
            </w:r>
          </w:p>
        </w:tc>
        <w:tc>
          <w:tcPr>
            <w:tcW w:w="2270" w:type="dxa"/>
          </w:tcPr>
          <w:p w14:paraId="6FA3D73A"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Significant positive</w:t>
            </w:r>
          </w:p>
        </w:tc>
        <w:tc>
          <w:tcPr>
            <w:tcW w:w="1469" w:type="dxa"/>
          </w:tcPr>
          <w:p w14:paraId="7B84B125" w14:textId="77777777" w:rsidR="0032054B" w:rsidRPr="0032054B" w:rsidRDefault="0032054B" w:rsidP="00245FB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1</w:t>
            </w:r>
            <w:r w:rsidRPr="0032054B">
              <w:rPr>
                <w:rFonts w:ascii="Arial" w:hAnsi="Arial" w:cs="Arial"/>
                <w:sz w:val="20"/>
                <w:szCs w:val="20"/>
              </w:rPr>
              <w:t xml:space="preserve"> accepted</w:t>
            </w:r>
          </w:p>
        </w:tc>
      </w:tr>
      <w:tr w:rsidR="0032054B" w:rsidRPr="0032054B" w14:paraId="6F2F060B" w14:textId="77777777" w:rsidTr="00245FBB">
        <w:trPr>
          <w:jc w:val="center"/>
        </w:trPr>
        <w:tc>
          <w:tcPr>
            <w:cnfStyle w:val="001000000000" w:firstRow="0" w:lastRow="0" w:firstColumn="1" w:lastColumn="0" w:oddVBand="0" w:evenVBand="0" w:oddHBand="0" w:evenHBand="0" w:firstRowFirstColumn="0" w:firstRowLastColumn="0" w:lastRowFirstColumn="0" w:lastRowLastColumn="0"/>
            <w:tcW w:w="1409" w:type="dxa"/>
          </w:tcPr>
          <w:p w14:paraId="3293C15D" w14:textId="77777777" w:rsidR="0032054B" w:rsidRPr="0032054B" w:rsidRDefault="0032054B" w:rsidP="00245FBB">
            <w:pPr>
              <w:rPr>
                <w:rFonts w:ascii="Arial" w:hAnsi="Arial" w:cs="Arial"/>
                <w:sz w:val="20"/>
                <w:szCs w:val="20"/>
              </w:rPr>
            </w:pPr>
            <w:r w:rsidRPr="0032054B">
              <w:rPr>
                <w:rFonts w:ascii="Arial" w:hAnsi="Arial" w:cs="Arial"/>
                <w:sz w:val="20"/>
                <w:szCs w:val="20"/>
              </w:rPr>
              <w:lastRenderedPageBreak/>
              <w:t>X2-&gt;Y</w:t>
            </w:r>
          </w:p>
        </w:tc>
        <w:tc>
          <w:tcPr>
            <w:tcW w:w="1567" w:type="dxa"/>
          </w:tcPr>
          <w:p w14:paraId="696DC953"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0,160</w:t>
            </w:r>
          </w:p>
        </w:tc>
        <w:tc>
          <w:tcPr>
            <w:tcW w:w="849" w:type="dxa"/>
          </w:tcPr>
          <w:p w14:paraId="33D16C5D"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0,048</w:t>
            </w:r>
          </w:p>
        </w:tc>
        <w:tc>
          <w:tcPr>
            <w:tcW w:w="2270" w:type="dxa"/>
          </w:tcPr>
          <w:p w14:paraId="04370541"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Significant positive</w:t>
            </w:r>
          </w:p>
        </w:tc>
        <w:tc>
          <w:tcPr>
            <w:tcW w:w="1469" w:type="dxa"/>
          </w:tcPr>
          <w:p w14:paraId="4DD13D71" w14:textId="77777777" w:rsidR="0032054B" w:rsidRPr="0032054B" w:rsidRDefault="0032054B" w:rsidP="00245F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2</w:t>
            </w:r>
            <w:r w:rsidRPr="0032054B">
              <w:rPr>
                <w:rFonts w:ascii="Arial" w:hAnsi="Arial" w:cs="Arial"/>
                <w:sz w:val="20"/>
                <w:szCs w:val="20"/>
              </w:rPr>
              <w:t xml:space="preserve"> accepted</w:t>
            </w:r>
          </w:p>
        </w:tc>
      </w:tr>
      <w:tr w:rsidR="0032054B" w:rsidRPr="0032054B" w14:paraId="6620F8A1" w14:textId="77777777" w:rsidTr="00245F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7A07C6B5" w14:textId="77777777" w:rsidR="0032054B" w:rsidRPr="0032054B" w:rsidRDefault="0032054B" w:rsidP="00245FBB">
            <w:pPr>
              <w:rPr>
                <w:rFonts w:ascii="Arial" w:hAnsi="Arial" w:cs="Arial"/>
                <w:sz w:val="20"/>
                <w:szCs w:val="20"/>
              </w:rPr>
            </w:pPr>
            <w:r w:rsidRPr="0032054B">
              <w:rPr>
                <w:rFonts w:ascii="Arial" w:hAnsi="Arial" w:cs="Arial"/>
                <w:sz w:val="20"/>
                <w:szCs w:val="20"/>
              </w:rPr>
              <w:t>X1*X3-&gt;Y</w:t>
            </w:r>
          </w:p>
        </w:tc>
        <w:tc>
          <w:tcPr>
            <w:tcW w:w="1567" w:type="dxa"/>
            <w:vAlign w:val="center"/>
          </w:tcPr>
          <w:p w14:paraId="175F118E"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0,229</w:t>
            </w:r>
          </w:p>
        </w:tc>
        <w:tc>
          <w:tcPr>
            <w:tcW w:w="849" w:type="dxa"/>
            <w:vAlign w:val="center"/>
          </w:tcPr>
          <w:p w14:paraId="35313B8B"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0,015</w:t>
            </w:r>
          </w:p>
        </w:tc>
        <w:tc>
          <w:tcPr>
            <w:tcW w:w="2270" w:type="dxa"/>
            <w:vAlign w:val="center"/>
          </w:tcPr>
          <w:p w14:paraId="3CC61DDC"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Strengthen</w:t>
            </w:r>
          </w:p>
        </w:tc>
        <w:tc>
          <w:tcPr>
            <w:tcW w:w="1469" w:type="dxa"/>
            <w:vAlign w:val="center"/>
          </w:tcPr>
          <w:p w14:paraId="17745D03" w14:textId="77777777" w:rsidR="0032054B" w:rsidRPr="0032054B" w:rsidRDefault="0032054B" w:rsidP="00245FB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3</w:t>
            </w:r>
            <w:r w:rsidRPr="0032054B">
              <w:rPr>
                <w:rFonts w:ascii="Arial" w:hAnsi="Arial" w:cs="Arial"/>
                <w:sz w:val="20"/>
                <w:szCs w:val="20"/>
              </w:rPr>
              <w:t xml:space="preserve"> accepted</w:t>
            </w:r>
          </w:p>
        </w:tc>
      </w:tr>
      <w:tr w:rsidR="0032054B" w:rsidRPr="0032054B" w14:paraId="16D41019" w14:textId="77777777" w:rsidTr="00245FBB">
        <w:trPr>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19EF2FB4" w14:textId="77777777" w:rsidR="0032054B" w:rsidRPr="0032054B" w:rsidRDefault="0032054B" w:rsidP="00245FBB">
            <w:pPr>
              <w:rPr>
                <w:rFonts w:ascii="Arial" w:hAnsi="Arial" w:cs="Arial"/>
                <w:sz w:val="20"/>
                <w:szCs w:val="20"/>
              </w:rPr>
            </w:pPr>
            <w:r w:rsidRPr="0032054B">
              <w:rPr>
                <w:rFonts w:ascii="Arial" w:hAnsi="Arial" w:cs="Arial"/>
                <w:sz w:val="20"/>
                <w:szCs w:val="20"/>
              </w:rPr>
              <w:t>X2*X3-&gt;Y</w:t>
            </w:r>
          </w:p>
        </w:tc>
        <w:tc>
          <w:tcPr>
            <w:tcW w:w="1567" w:type="dxa"/>
            <w:vAlign w:val="center"/>
          </w:tcPr>
          <w:p w14:paraId="0805BF7F"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0,242</w:t>
            </w:r>
          </w:p>
        </w:tc>
        <w:tc>
          <w:tcPr>
            <w:tcW w:w="849" w:type="dxa"/>
            <w:vAlign w:val="center"/>
          </w:tcPr>
          <w:p w14:paraId="5F9019F7"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0,046</w:t>
            </w:r>
          </w:p>
        </w:tc>
        <w:tc>
          <w:tcPr>
            <w:tcW w:w="2270" w:type="dxa"/>
            <w:vAlign w:val="center"/>
          </w:tcPr>
          <w:p w14:paraId="364106BA"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Strengthen</w:t>
            </w:r>
          </w:p>
        </w:tc>
        <w:tc>
          <w:tcPr>
            <w:tcW w:w="1469" w:type="dxa"/>
            <w:vAlign w:val="center"/>
          </w:tcPr>
          <w:p w14:paraId="77ABD9EB" w14:textId="77777777" w:rsidR="0032054B" w:rsidRPr="0032054B" w:rsidRDefault="0032054B" w:rsidP="00245F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4</w:t>
            </w:r>
            <w:r w:rsidRPr="0032054B">
              <w:rPr>
                <w:rFonts w:ascii="Arial" w:hAnsi="Arial" w:cs="Arial"/>
                <w:sz w:val="20"/>
                <w:szCs w:val="20"/>
              </w:rPr>
              <w:t xml:space="preserve"> accepted</w:t>
            </w:r>
          </w:p>
        </w:tc>
      </w:tr>
      <w:bookmarkEnd w:id="1"/>
    </w:tbl>
    <w:p w14:paraId="2C23EAB4" w14:textId="77777777" w:rsidR="0032054B" w:rsidRDefault="0032054B" w:rsidP="00441B6F">
      <w:pPr>
        <w:tabs>
          <w:tab w:val="left" w:pos="1080"/>
        </w:tabs>
        <w:jc w:val="both"/>
        <w:rPr>
          <w:rFonts w:ascii="Arial" w:hAnsi="Arial"/>
          <w:b/>
        </w:rPr>
      </w:pPr>
    </w:p>
    <w:p w14:paraId="54CE4F0D" w14:textId="77777777" w:rsidR="0050325E" w:rsidRPr="0050325E" w:rsidRDefault="0050325E" w:rsidP="0050325E">
      <w:pPr>
        <w:pStyle w:val="Body"/>
        <w:rPr>
          <w:rFonts w:ascii="Arial" w:hAnsi="Arial" w:cs="Arial"/>
        </w:rPr>
      </w:pPr>
      <w:r w:rsidRPr="0050325E">
        <w:rPr>
          <w:rFonts w:ascii="Arial" w:hAnsi="Arial" w:cs="Arial"/>
        </w:rPr>
        <w:t>The following discussion of the hypothesis testing results is explained in detail to understand the research findings.</w:t>
      </w:r>
    </w:p>
    <w:p w14:paraId="7A3BDBEB" w14:textId="77777777" w:rsidR="0050325E" w:rsidRPr="0050325E" w:rsidRDefault="0050325E" w:rsidP="0050325E">
      <w:pPr>
        <w:pStyle w:val="Body"/>
        <w:numPr>
          <w:ilvl w:val="2"/>
          <w:numId w:val="32"/>
        </w:numPr>
        <w:ind w:left="567"/>
        <w:rPr>
          <w:rFonts w:ascii="Arial" w:hAnsi="Arial" w:cs="Arial"/>
          <w:b/>
          <w:bCs/>
        </w:rPr>
      </w:pPr>
      <w:r w:rsidRPr="0050325E">
        <w:rPr>
          <w:rFonts w:ascii="Arial" w:hAnsi="Arial" w:cs="Arial"/>
          <w:b/>
          <w:bCs/>
        </w:rPr>
        <w:t>The Effect of Implementing Good Corporate Governance Principles on Company Performance</w:t>
      </w:r>
    </w:p>
    <w:p w14:paraId="6570CBE4" w14:textId="77777777" w:rsidR="0050325E" w:rsidRPr="0050325E" w:rsidRDefault="0050325E" w:rsidP="0050325E">
      <w:pPr>
        <w:pStyle w:val="Body"/>
        <w:rPr>
          <w:rFonts w:ascii="Arial" w:hAnsi="Arial" w:cs="Arial"/>
        </w:rPr>
      </w:pPr>
      <w:r w:rsidRPr="0050325E">
        <w:rPr>
          <w:rFonts w:ascii="Arial" w:hAnsi="Arial" w:cs="Arial"/>
        </w:rPr>
        <w:t>The statistical test results indicate that the implementation of good corporate governance principles has a positive and significant effect on the performance of hospitality companies and the tourist appeal of Tri Hita Karana Award participants. This is indicated by a significance value of 0.003, which is lower than the established level of significance (α = 0.05), and a path coefficient of 0.268, thus accepting the first hypothesis.</w:t>
      </w:r>
    </w:p>
    <w:p w14:paraId="334ADE0B" w14:textId="77777777" w:rsidR="0050325E" w:rsidRPr="0050325E" w:rsidRDefault="0050325E" w:rsidP="0050325E">
      <w:pPr>
        <w:pStyle w:val="Body"/>
        <w:rPr>
          <w:rFonts w:ascii="Arial" w:hAnsi="Arial" w:cs="Arial"/>
        </w:rPr>
      </w:pPr>
      <w:r w:rsidRPr="0050325E">
        <w:rPr>
          <w:rFonts w:ascii="Arial" w:hAnsi="Arial" w:cs="Arial"/>
        </w:rPr>
        <w:t>The implementation of good corporate governance (GCG) principles plays a crucial role in mitigating the negative impacts of environmentally unfriendly hotel operations, which in turn impacts company performance. In general, GCG provides a structured framework to ensure that companies operate ethically, transparently, and responsibly. Through consistent application of GCG principles, hotel companies can optimize their operational efficiency, reduce environmental management costs, and increase competitiveness in the industry. Strong GCG implementation also enables companies to face business challenges more adaptively, thus creating sustainable growth and providing long-term benefits for all stakeholders.</w:t>
      </w:r>
    </w:p>
    <w:p w14:paraId="5A351B45" w14:textId="77777777" w:rsidR="0050325E" w:rsidRPr="0050325E" w:rsidRDefault="0050325E" w:rsidP="0050325E">
      <w:pPr>
        <w:pStyle w:val="Body"/>
        <w:rPr>
          <w:rFonts w:ascii="Arial" w:hAnsi="Arial" w:cs="Arial"/>
        </w:rPr>
      </w:pPr>
      <w:r w:rsidRPr="0050325E">
        <w:rPr>
          <w:rFonts w:ascii="Arial" w:hAnsi="Arial" w:cs="Arial"/>
        </w:rPr>
        <w:t xml:space="preserve">The participation dimension emphasizes the importance of active involvement of all stakeholders in the decision-making process. In the hospitality sector, where service success is heavily influenced by human interaction, this participation enables companies to be more adaptive to customer needs and market conditions. High participation also encourages service innovation and increases customer loyalty, which directly impacts the company's image and performance. Furthermore, the responsibility dimension requires companies to act in accordance with applicable laws and social norms, while also paying attention to the social and environmental impacts of their operations. In the hospitality industry, this includes responsibility for guest comfort and safety, fair treatment of employees, and positive contributions to the surrounding community. When these responsibilities are consistently carried out, companies not only avoid legal risks but also gain the trust of customers and the community, ultimately strengthening their reputation and long-term performance. Independence in GCG ensures that companies are able to make decisions objectively and free from interference from unauthorized external parties. In the dynamic and competitive hospitality sector, management independence enables accurate, swift, and professional decision-making, particularly in the face of operational challenges and changing market preferences. This supports the company's resilience and flexibility in implementing a results-oriented business strategy. The dimension of fairness requires companies to treat all stakeholders fairly. In practice, this means providing equal opportunities for employees, respecting consumer rights, and establishing honest and mutually beneficial business relationships. In the hospitality sector, a culture of fairness strengthens employee motivation and creates a positive customer experience, ultimately increasing productivity and customer satisfaction. Accountability encourages companies to be responsible for every policy and action taken. In daily operations, this is reflected in the existence of clear work systems, accurate reporting, and effective oversight. In the hospitality industry, accountability strengthens management's trust in employees and vice versa, while facilitating performance evaluations and timely corrective action. Finally, </w:t>
      </w:r>
      <w:r w:rsidRPr="0050325E">
        <w:rPr>
          <w:rFonts w:ascii="Arial" w:hAnsi="Arial" w:cs="Arial"/>
        </w:rPr>
        <w:lastRenderedPageBreak/>
        <w:t>transparency is a crucial principle in building trust. In the hospitality sector, transparency is important not only in financial reports but also in communications with customers, such as clarity on pricing, amenities, and service policies. Transparency creates an open and honest relationship between the company and its customers and enhances the company's credibility in the public eye.</w:t>
      </w:r>
    </w:p>
    <w:p w14:paraId="426406A6" w14:textId="77777777" w:rsidR="0050325E" w:rsidRPr="0050325E" w:rsidRDefault="0050325E" w:rsidP="0050325E">
      <w:pPr>
        <w:pStyle w:val="Body"/>
        <w:rPr>
          <w:rFonts w:ascii="Arial" w:hAnsi="Arial" w:cs="Arial"/>
        </w:rPr>
      </w:pPr>
      <w:r w:rsidRPr="0050325E">
        <w:rPr>
          <w:rFonts w:ascii="Arial" w:hAnsi="Arial" w:cs="Arial"/>
        </w:rPr>
        <w:t>The results of this study are in line with previous research, where research (24) found that the application of GCG principles had a positive effect on restaurant, hotel, and tourism sector companies. The positive effect of GCG implementation on company performance was also obtained when applied to Regionally-Owned Enterprises (</w:t>
      </w:r>
      <w:proofErr w:type="spellStart"/>
      <w:r w:rsidRPr="0050325E">
        <w:rPr>
          <w:rFonts w:ascii="Arial" w:hAnsi="Arial" w:cs="Arial"/>
        </w:rPr>
        <w:t>Abdurahman</w:t>
      </w:r>
      <w:proofErr w:type="spellEnd"/>
      <w:r w:rsidRPr="0050325E">
        <w:rPr>
          <w:rFonts w:ascii="Arial" w:hAnsi="Arial" w:cs="Arial"/>
        </w:rPr>
        <w:t xml:space="preserve"> &amp; </w:t>
      </w:r>
      <w:proofErr w:type="spellStart"/>
      <w:r w:rsidRPr="0050325E">
        <w:rPr>
          <w:rFonts w:ascii="Arial" w:hAnsi="Arial" w:cs="Arial"/>
        </w:rPr>
        <w:t>Widhar</w:t>
      </w:r>
      <w:proofErr w:type="spellEnd"/>
      <w:r w:rsidRPr="0050325E">
        <w:rPr>
          <w:rFonts w:ascii="Arial" w:hAnsi="Arial" w:cs="Arial"/>
        </w:rPr>
        <w:t xml:space="preserve"> </w:t>
      </w:r>
      <w:proofErr w:type="spellStart"/>
      <w:r w:rsidRPr="0050325E">
        <w:rPr>
          <w:rFonts w:ascii="Arial" w:hAnsi="Arial" w:cs="Arial"/>
        </w:rPr>
        <w:t>Pahlevi</w:t>
      </w:r>
      <w:proofErr w:type="spellEnd"/>
      <w:r w:rsidRPr="0050325E">
        <w:rPr>
          <w:rFonts w:ascii="Arial" w:hAnsi="Arial" w:cs="Arial"/>
        </w:rPr>
        <w:t xml:space="preserve"> 2018; Arifin 2018; </w:t>
      </w:r>
      <w:proofErr w:type="spellStart"/>
      <w:r w:rsidRPr="0050325E">
        <w:rPr>
          <w:rFonts w:ascii="Arial" w:hAnsi="Arial" w:cs="Arial"/>
        </w:rPr>
        <w:t>Hadi</w:t>
      </w:r>
      <w:proofErr w:type="spellEnd"/>
      <w:r w:rsidRPr="0050325E">
        <w:rPr>
          <w:rFonts w:ascii="Arial" w:hAnsi="Arial" w:cs="Arial"/>
        </w:rPr>
        <w:t xml:space="preserve"> &amp; </w:t>
      </w:r>
      <w:proofErr w:type="spellStart"/>
      <w:r w:rsidRPr="0050325E">
        <w:rPr>
          <w:rFonts w:ascii="Arial" w:hAnsi="Arial" w:cs="Arial"/>
        </w:rPr>
        <w:t>Swandari</w:t>
      </w:r>
      <w:proofErr w:type="spellEnd"/>
      <w:r w:rsidRPr="0050325E">
        <w:rPr>
          <w:rFonts w:ascii="Arial" w:hAnsi="Arial" w:cs="Arial"/>
        </w:rPr>
        <w:t xml:space="preserve"> 2019). Furthermore, the positive effect of GCG implementation on performance in various types of companies. Such as research conducted by </w:t>
      </w:r>
      <w:proofErr w:type="spellStart"/>
      <w:r w:rsidRPr="0050325E">
        <w:rPr>
          <w:rFonts w:ascii="Arial" w:hAnsi="Arial" w:cs="Arial"/>
        </w:rPr>
        <w:t>Mahrani</w:t>
      </w:r>
      <w:proofErr w:type="spellEnd"/>
      <w:r w:rsidRPr="0050325E">
        <w:rPr>
          <w:rFonts w:ascii="Arial" w:hAnsi="Arial" w:cs="Arial"/>
        </w:rPr>
        <w:t xml:space="preserve"> &amp; </w:t>
      </w:r>
      <w:proofErr w:type="spellStart"/>
      <w:r w:rsidRPr="0050325E">
        <w:rPr>
          <w:rFonts w:ascii="Arial" w:hAnsi="Arial" w:cs="Arial"/>
        </w:rPr>
        <w:t>Soewarno</w:t>
      </w:r>
      <w:proofErr w:type="spellEnd"/>
      <w:r w:rsidRPr="0050325E">
        <w:rPr>
          <w:rFonts w:ascii="Arial" w:hAnsi="Arial" w:cs="Arial"/>
        </w:rPr>
        <w:t xml:space="preserve"> (2018) on issuers on the Indonesia Stock Exchange, then research from Dwija Putri, et al (2017) on Rural Credit Banks in Badung Regency and Denpasar City, research by </w:t>
      </w:r>
      <w:proofErr w:type="spellStart"/>
      <w:r w:rsidRPr="0050325E">
        <w:rPr>
          <w:rFonts w:ascii="Arial" w:hAnsi="Arial" w:cs="Arial"/>
        </w:rPr>
        <w:t>Yuliantari</w:t>
      </w:r>
      <w:proofErr w:type="spellEnd"/>
      <w:r w:rsidRPr="0050325E">
        <w:rPr>
          <w:rFonts w:ascii="Arial" w:hAnsi="Arial" w:cs="Arial"/>
        </w:rPr>
        <w:t>, et al (2020) which tested the implementation of GCG in Gianyar Regency.</w:t>
      </w:r>
    </w:p>
    <w:p w14:paraId="38A96E71"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06A03A7C"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60B082A0"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271E5249"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D8A1358"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BE06F7B"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1EBA47FA" w14:textId="77777777" w:rsidR="0050325E" w:rsidRPr="0050325E" w:rsidRDefault="0050325E" w:rsidP="0050325E">
      <w:pPr>
        <w:pStyle w:val="ListParagraph"/>
        <w:numPr>
          <w:ilvl w:val="2"/>
          <w:numId w:val="34"/>
        </w:numPr>
        <w:spacing w:after="240"/>
        <w:contextualSpacing w:val="0"/>
        <w:jc w:val="both"/>
        <w:rPr>
          <w:rFonts w:ascii="Arial" w:hAnsi="Arial" w:cs="Arial"/>
          <w:vanish/>
        </w:rPr>
      </w:pPr>
    </w:p>
    <w:p w14:paraId="125FED51" w14:textId="2C2190BC"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t>The Effect of Internal Control Systems on Company Performance</w:t>
      </w:r>
    </w:p>
    <w:p w14:paraId="051FFC32" w14:textId="77777777" w:rsidR="0050325E" w:rsidRPr="0050325E" w:rsidRDefault="0050325E" w:rsidP="0050325E">
      <w:pPr>
        <w:pStyle w:val="Body"/>
        <w:rPr>
          <w:rFonts w:ascii="Arial" w:hAnsi="Arial" w:cs="Arial"/>
        </w:rPr>
      </w:pPr>
      <w:r w:rsidRPr="0050325E">
        <w:rPr>
          <w:rFonts w:ascii="Arial" w:hAnsi="Arial" w:cs="Arial"/>
        </w:rPr>
        <w:t>Statistical test results indicate that internal control systems have a positive and significant impact on company performance in the hospitality sector and the tourist attractions of Tri Hita Karana Award participants. This is indicated by a significance value of 0.048, which is lower than the established significance level (α = 0.05), and a path coefficient of 0.160, thus accepting the first hypothesis.</w:t>
      </w:r>
    </w:p>
    <w:p w14:paraId="371AAD62" w14:textId="77777777" w:rsidR="0050325E" w:rsidRPr="0050325E" w:rsidRDefault="0050325E" w:rsidP="0050325E">
      <w:pPr>
        <w:pStyle w:val="Body"/>
        <w:rPr>
          <w:rFonts w:ascii="Arial" w:hAnsi="Arial" w:cs="Arial"/>
        </w:rPr>
      </w:pPr>
      <w:r w:rsidRPr="0050325E">
        <w:rPr>
          <w:rFonts w:ascii="Arial" w:hAnsi="Arial" w:cs="Arial"/>
        </w:rPr>
        <w:t xml:space="preserve">The implementation of internal control systems plays a central role in managing and mitigating the impacts of hotel operational activities that have the potential to harm the environment, which can then trigger environmental responsibility costs and impact company performance. Internal control systems have a significant impact on mitigating the negative impacts of environmentally unfriendly hotel operations. With this system, management can maintain strict oversight of various operational aspects, such as energy use, waste management, and natural resource consumption. Effective oversight ensures that hotels comply with applicable environmental regulations, thereby reducing the risk of violations that could result in legal sanctions and fines. Furthermore, internal control systems also function to identify potential environmental risks that may arise from operational activities. Thus, hotels can take proactive steps to reduce their negative environmental impact. Furthermore, internal control systems contribute to hotel operational efficiency through better resource management. The implementation of environmentally friendly practices and efficient technology can reduce energy and water consumption and minimize waste generation. This efficiency not only positively impacts the environment but also contributes to reduced operational costs. With lower costs, hotels can increase profitability and competitiveness in the market. Therefore, internal control systems become a strategic tool in achieving both economic and environmental sustainability. Finally, a company's reputation and image are also influenced by the effectiveness of internal control systems in managing environmental impacts. Hotels that demonstrate a commitment to sustainable practices tend to gain greater trust from customers and other stakeholders. This positive reputation can increase customer loyalty and attract investors concerned with sustainability issues. Furthermore, accurate and relevant information regarding environmental performance supports management in making better strategic decisions. Thus, internal control systems serve not only as a tool for regulatory compliance but also as a driver of overall company performance. The results of this study align with previous research, such as studies from Aprilia, et al (2016) and </w:t>
      </w:r>
      <w:proofErr w:type="spellStart"/>
      <w:r w:rsidRPr="0050325E">
        <w:rPr>
          <w:rFonts w:ascii="Arial" w:hAnsi="Arial" w:cs="Arial"/>
        </w:rPr>
        <w:t>Nining</w:t>
      </w:r>
      <w:proofErr w:type="spellEnd"/>
      <w:r w:rsidRPr="0050325E">
        <w:rPr>
          <w:rFonts w:ascii="Arial" w:hAnsi="Arial" w:cs="Arial"/>
        </w:rPr>
        <w:t xml:space="preserve"> (2023) that found that internal control systems have a positive effect on hotel company performance.</w:t>
      </w:r>
    </w:p>
    <w:p w14:paraId="0F81C45E" w14:textId="77777777"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lastRenderedPageBreak/>
        <w:t>Quadruple Bottom Line Moderates the Effect of Good Corporate Governance Principles on Company Performance</w:t>
      </w:r>
    </w:p>
    <w:p w14:paraId="005713CF" w14:textId="77777777" w:rsidR="0050325E" w:rsidRPr="0050325E" w:rsidRDefault="0050325E" w:rsidP="0050325E">
      <w:pPr>
        <w:pStyle w:val="Body"/>
        <w:rPr>
          <w:rFonts w:ascii="Arial" w:hAnsi="Arial" w:cs="Arial"/>
        </w:rPr>
      </w:pPr>
      <w:r w:rsidRPr="0050325E">
        <w:rPr>
          <w:rFonts w:ascii="Arial" w:hAnsi="Arial" w:cs="Arial"/>
        </w:rPr>
        <w:t>Data analysis shows that the coefficient value of the quadruple bottom line in influencing the implementation of good corporate governance principles on company performance is 0.229 with a significance level (p-value) of 0.015, which is less than the alpha (α) value of 0.05. This indicates that the quadruple bottom line variable can strengthen the positive influence of the implementation of good corporate governance principles on company performance in the hospitality sector and the tourist attractions of Tri Hita Karana Award participants (the third hypothesis in this study is accepted).</w:t>
      </w:r>
    </w:p>
    <w:p w14:paraId="279F8E85" w14:textId="77777777" w:rsidR="0050325E" w:rsidRPr="0050325E" w:rsidRDefault="0050325E" w:rsidP="0050325E">
      <w:pPr>
        <w:pStyle w:val="Body"/>
        <w:rPr>
          <w:rFonts w:ascii="Arial" w:hAnsi="Arial" w:cs="Arial"/>
        </w:rPr>
      </w:pPr>
      <w:r w:rsidRPr="0050325E">
        <w:rPr>
          <w:rFonts w:ascii="Arial" w:hAnsi="Arial" w:cs="Arial"/>
        </w:rPr>
        <w:t>Good implementation of internal corporate governance (GCG), coupled with synergy with external aspects such as social and environmental responsibility activities, based on spiritual beliefs, which is a form of quadruple bottom line implementation, can improve company performance. Good corporate governance principles often focus more on internal aspects of the company, such as the effectiveness and efficiency of operational management. The presence of the quadruple bottom line variable can broaden the company's focus to include social, environmental, and spiritual aspects. The quadruple bottom line helps companies focus not only on short-term profits but also on the long-term consequences of their operational activities. The quadruple bottom line helps companies prioritize business sustainability. Furthermore, from a spiritual perspective, a high level of religiosity can encourage company leaders and employees to adhere more closely to ethical principles, which in turn supports the implementation of good corporate governance. Thus, the implementation of good corporate governance will be more in sync with the company's sustainability goals and environmental protection.</w:t>
      </w:r>
    </w:p>
    <w:p w14:paraId="2F2B3F23" w14:textId="77777777" w:rsidR="0050325E" w:rsidRPr="0050325E" w:rsidRDefault="0050325E" w:rsidP="0050325E">
      <w:pPr>
        <w:pStyle w:val="Body"/>
        <w:rPr>
          <w:rFonts w:ascii="Arial" w:hAnsi="Arial" w:cs="Arial"/>
        </w:rPr>
      </w:pPr>
      <w:r w:rsidRPr="0050325E">
        <w:rPr>
          <w:rFonts w:ascii="Arial" w:hAnsi="Arial" w:cs="Arial"/>
        </w:rPr>
        <w:t>The quadruple bottom line approach, which encompasses the dimensions of people, planet, profit, and piety, broadens the scope of corporate responsibility beyond shareholder interests to a balance between economic, social, ecological, and spiritual interests. The people aspect encourages companies to internalize the values of justice and social participation in their operations, in line with the principles of fairness and participation in good corporate governance. Meanwhile, the planet dimension requires companies to have ecological responsibilities aligned with the principle of responsibility and prioritize transparency in managing environmental impacts. The profit aspect, while maintaining an economic performance orientation, is reinforced by the principles of accountability and transparency, so that financial accountability is assessed not only in terms of profitability but also in terms of sustainability impact. Equally important, the piety dimension is rooted in spiritual values and local wisdom, strengthening the company's moral integrity and encouraging the implementation of the principle of independence in a more ethical and recognized manner.</w:t>
      </w:r>
    </w:p>
    <w:p w14:paraId="2921FA22" w14:textId="77777777" w:rsidR="0050325E" w:rsidRPr="0050325E" w:rsidRDefault="0050325E" w:rsidP="0050325E">
      <w:pPr>
        <w:pStyle w:val="Body"/>
        <w:rPr>
          <w:rFonts w:ascii="Arial" w:hAnsi="Arial" w:cs="Arial"/>
        </w:rPr>
      </w:pPr>
      <w:r w:rsidRPr="0050325E">
        <w:rPr>
          <w:rFonts w:ascii="Arial" w:hAnsi="Arial" w:cs="Arial"/>
        </w:rPr>
        <w:t>In the context of companies in the hospitality and tourism sector, particularly Tri Hita Karana Award participants, the synergy between GCG and the quadruple bottom line contributes significantly to establishing a reputation as a business entity that prioritizes harmony between people, nature, and spirituality. This implementation not only improves the company's performance holistically but also creates added value by increasing the competitiveness of tourist destinations, strengthening public trust, and consistently upholding ethical and sustainable principles as part of the corporate identity.</w:t>
      </w:r>
    </w:p>
    <w:p w14:paraId="7DF30971" w14:textId="77777777"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t>Quadruple Bottom Line Moderates the Effect of Internal Control Systems on Company Performance</w:t>
      </w:r>
    </w:p>
    <w:p w14:paraId="6FBE2185" w14:textId="77777777" w:rsidR="0050325E" w:rsidRPr="0050325E" w:rsidRDefault="0050325E" w:rsidP="0050325E">
      <w:pPr>
        <w:pStyle w:val="Body"/>
        <w:rPr>
          <w:rFonts w:ascii="Arial" w:hAnsi="Arial" w:cs="Arial"/>
        </w:rPr>
      </w:pPr>
      <w:r w:rsidRPr="0050325E">
        <w:rPr>
          <w:rFonts w:ascii="Arial" w:hAnsi="Arial" w:cs="Arial"/>
        </w:rPr>
        <w:t xml:space="preserve">Data analysis results indicate that the coefficient value of the quadruple bottom line in influencing the implementation of internal control systems on company performance is 0.242 </w:t>
      </w:r>
      <w:r w:rsidRPr="0050325E">
        <w:rPr>
          <w:rFonts w:ascii="Arial" w:hAnsi="Arial" w:cs="Arial"/>
        </w:rPr>
        <w:lastRenderedPageBreak/>
        <w:t>with a significance level (p-value) of 0.046, which is less than the alpha (α) value of 0.05. This indicates that the quadruple bottom line variable can strengthen the positive influence of internal control systems on company performance in the hospitality sector and the tourist attractions of Tri Hita Karana Award participants (the fourth hypothesis in this study is accepted).</w:t>
      </w:r>
    </w:p>
    <w:p w14:paraId="6C18D3B0" w14:textId="77777777" w:rsidR="0050325E" w:rsidRPr="0050325E" w:rsidRDefault="0050325E" w:rsidP="0050325E">
      <w:pPr>
        <w:pStyle w:val="Body"/>
        <w:rPr>
          <w:rFonts w:ascii="Arial" w:hAnsi="Arial" w:cs="Arial"/>
        </w:rPr>
      </w:pPr>
      <w:r w:rsidRPr="0050325E">
        <w:rPr>
          <w:rFonts w:ascii="Arial" w:hAnsi="Arial" w:cs="Arial"/>
        </w:rPr>
        <w:t>Essentially, SPI functions to ensure that business processes run in accordance with company objectives by monitoring operational and financial performance, and regulatory compliance. However, internal control that focuses solely on internal aspects is often insufficient to address the sustainability challenges faced by the hospitality sector. In this context, the implementation of QBL serves as a strengthening element that complements the control function with a broader and more comprehensive sustainability perspective.</w:t>
      </w:r>
    </w:p>
    <w:p w14:paraId="0F7E0831" w14:textId="77777777" w:rsidR="0050325E" w:rsidRPr="0050325E" w:rsidRDefault="0050325E" w:rsidP="0050325E">
      <w:pPr>
        <w:pStyle w:val="Body"/>
        <w:rPr>
          <w:rFonts w:ascii="Arial" w:hAnsi="Arial" w:cs="Arial"/>
        </w:rPr>
      </w:pPr>
      <w:r w:rsidRPr="0050325E">
        <w:rPr>
          <w:rFonts w:ascii="Arial" w:hAnsi="Arial" w:cs="Arial"/>
        </w:rPr>
        <w:t>The People dimension in QBL encourages companies to prioritize the interests and well-being of employees, customers, and local communities as strategic priorities. By considering these aspects, the internal control system focuses not only on procedural oversight but also on creating an inclusive, participatory, and ethical organizational culture. This directly strengthens control effectiveness because all human resources are part of the early warning system for operational deviations and risks.</w:t>
      </w:r>
    </w:p>
    <w:p w14:paraId="710D0003" w14:textId="77777777" w:rsidR="0050325E" w:rsidRPr="0050325E" w:rsidRDefault="0050325E" w:rsidP="0050325E">
      <w:pPr>
        <w:pStyle w:val="Body"/>
        <w:rPr>
          <w:rFonts w:ascii="Arial" w:hAnsi="Arial" w:cs="Arial"/>
        </w:rPr>
      </w:pPr>
      <w:r w:rsidRPr="0050325E">
        <w:rPr>
          <w:rFonts w:ascii="Arial" w:hAnsi="Arial" w:cs="Arial"/>
        </w:rPr>
        <w:t>Furthermore, the Planet dimension strengthens oversight of the environmental impacts of hotel operations, such as waste management, energy use, and water conservation. An internal control system integrated with planetary principles will be more sensitive to environmental risks and encourage the company to develop structured and measurable environmental management policies. Thus, potential violations of environmental laws and damage to the company's reputation can be prevented early through a responsive and sustainable monitoring system.</w:t>
      </w:r>
    </w:p>
    <w:p w14:paraId="1AC6667B" w14:textId="77777777" w:rsidR="0050325E" w:rsidRPr="0050325E" w:rsidRDefault="0050325E" w:rsidP="0050325E">
      <w:pPr>
        <w:pStyle w:val="Body"/>
        <w:rPr>
          <w:rFonts w:ascii="Arial" w:hAnsi="Arial" w:cs="Arial"/>
        </w:rPr>
      </w:pPr>
      <w:r w:rsidRPr="0050325E">
        <w:rPr>
          <w:rFonts w:ascii="Arial" w:hAnsi="Arial" w:cs="Arial"/>
        </w:rPr>
        <w:t>The Profit dimension remains a key focus, but with a long-term orientation. QBL helps companies recognize that financial returns must be achieved without sacrificing social and ecological aspects. Internal controls strengthened by this approach will promote strategic efficiency, not just cost efficiency, resulting in sustainable performance and resilience to changes in the business environment.</w:t>
      </w:r>
    </w:p>
    <w:p w14:paraId="48564C08" w14:textId="77777777" w:rsidR="0050325E" w:rsidRPr="0050325E" w:rsidRDefault="0050325E" w:rsidP="0050325E">
      <w:pPr>
        <w:pStyle w:val="Body"/>
        <w:rPr>
          <w:rFonts w:ascii="Arial" w:hAnsi="Arial" w:cs="Arial"/>
        </w:rPr>
      </w:pPr>
      <w:r w:rsidRPr="0050325E">
        <w:rPr>
          <w:rFonts w:ascii="Arial" w:hAnsi="Arial" w:cs="Arial"/>
        </w:rPr>
        <w:t>Furthermore, the Piety or spirituality dimension provides a strong moral foundation for the implementation of internal controls. In the hospitality business, which is closely tied to service, trust, and image, spiritual values such as honesty, integrity, and responsibility play a crucial role. When these spiritual values are internalized in the behavior of leaders and employees, the control system operates not only formally but also morally and culturally, ultimately creating compliance that stems from awareness, not simply procedural obligations.</w:t>
      </w:r>
    </w:p>
    <w:p w14:paraId="40A9D59C" w14:textId="31AFB675" w:rsidR="00376BBE" w:rsidRDefault="0050325E" w:rsidP="0050325E">
      <w:pPr>
        <w:pStyle w:val="Body"/>
        <w:spacing w:after="0"/>
        <w:rPr>
          <w:rFonts w:ascii="Arial" w:hAnsi="Arial" w:cs="Arial"/>
        </w:rPr>
      </w:pPr>
      <w:r w:rsidRPr="0050325E">
        <w:rPr>
          <w:rFonts w:ascii="Arial" w:hAnsi="Arial" w:cs="Arial"/>
        </w:rPr>
        <w:t>Thus, the implementation of the Quadruple Bottom Line strengthens the positive influence of the internal control system on the overall performance of a hospitality company. This synergy helps the company not only achieve financial targets but also build a good reputation, strengthen social relations with stakeholders, maintain environmental sustainability, and implement business practices aligned with spiritual values. All of these aspects ultimately contribute to increasing the company's competitiveness and long-term sustainability.</w:t>
      </w:r>
    </w:p>
    <w:p w14:paraId="4E74A447" w14:textId="77777777" w:rsidR="00376BBE" w:rsidRDefault="00376BBE" w:rsidP="00441B6F">
      <w:pPr>
        <w:pStyle w:val="Body"/>
        <w:spacing w:after="0"/>
        <w:rPr>
          <w:rFonts w:ascii="Arial" w:hAnsi="Arial" w:cs="Arial"/>
        </w:rPr>
      </w:pPr>
    </w:p>
    <w:p w14:paraId="5D14AF72" w14:textId="77777777" w:rsidR="00E053D0" w:rsidRDefault="00E053D0" w:rsidP="00441B6F">
      <w:pPr>
        <w:pStyle w:val="Body"/>
        <w:spacing w:after="0"/>
        <w:rPr>
          <w:rFonts w:ascii="Arial" w:hAnsi="Arial" w:cs="Arial"/>
        </w:rPr>
      </w:pPr>
    </w:p>
    <w:p w14:paraId="54C0A82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E00B311" w14:textId="77777777" w:rsidR="00790ADA" w:rsidRPr="00FB3A86" w:rsidRDefault="00790ADA" w:rsidP="00441B6F">
      <w:pPr>
        <w:pStyle w:val="ConcHead"/>
        <w:spacing w:after="0"/>
        <w:jc w:val="both"/>
        <w:rPr>
          <w:rFonts w:ascii="Arial" w:hAnsi="Arial" w:cs="Arial"/>
        </w:rPr>
      </w:pPr>
    </w:p>
    <w:p w14:paraId="2CCAAFDF" w14:textId="77777777" w:rsidR="0050325E" w:rsidRPr="0050325E" w:rsidRDefault="0050325E" w:rsidP="0050325E">
      <w:pPr>
        <w:pStyle w:val="Body"/>
        <w:rPr>
          <w:rFonts w:ascii="Arial" w:hAnsi="Arial" w:cs="Arial"/>
        </w:rPr>
      </w:pPr>
      <w:r w:rsidRPr="0050325E">
        <w:rPr>
          <w:rFonts w:ascii="Arial" w:hAnsi="Arial" w:cs="Arial"/>
        </w:rPr>
        <w:t>Based on the results of hypothesis testing, this study shows that the implementation of Good Corporate Governance (GCG) principles and Internal Control Systems (IBS) has a positive and significant impact on the performance of companies in the hospitality sector and the tourist attractions of Tri Hita Karana Award participants. This confirms that good governance, transparency, accountability, and effective internal control mechanisms can improve operational efficiency, strengthen reputation, and create sustainable competitiveness. Thus, these two variables are proven to be important factors in driving improved company performance, both financially and non-financially.</w:t>
      </w:r>
    </w:p>
    <w:p w14:paraId="7BE28284" w14:textId="76C9C138" w:rsidR="00B01FCD" w:rsidRDefault="0050325E" w:rsidP="0050325E">
      <w:pPr>
        <w:pStyle w:val="Body"/>
        <w:spacing w:after="0"/>
        <w:rPr>
          <w:rFonts w:ascii="Arial" w:hAnsi="Arial" w:cs="Arial"/>
        </w:rPr>
      </w:pPr>
      <w:r w:rsidRPr="0050325E">
        <w:rPr>
          <w:rFonts w:ascii="Arial" w:hAnsi="Arial" w:cs="Arial"/>
        </w:rPr>
        <w:t>Furthermore, the study also found that the Quadruple Bottom Line (QBL) strengthens the relationship between GCG and IBS on company performance. The presence of the dimensions of people, planet, profit, and piety broadens the company's perspective on managing its business more sustainably by balancing economic, social, environmental, and spiritual interests. The synergy between GCG, IBS, and IBS not only results in more optimal performance but also strengthens the company's identity as an entity oriented towards sustainability and harmony. Therefore, this study emphasizes the importance of integrating good governance, effective internal control, and a sustainability paradigm in building strong company performance in the hospitality sector.</w:t>
      </w:r>
    </w:p>
    <w:p w14:paraId="3BB5FF29" w14:textId="77777777" w:rsidR="00790ADA" w:rsidRPr="00FB3A86" w:rsidRDefault="00790ADA" w:rsidP="00441B6F">
      <w:pPr>
        <w:pStyle w:val="Body"/>
        <w:spacing w:after="0"/>
        <w:rPr>
          <w:rFonts w:ascii="Arial" w:hAnsi="Arial" w:cs="Arial"/>
        </w:rPr>
      </w:pPr>
    </w:p>
    <w:p w14:paraId="557352A4" w14:textId="77777777" w:rsidR="0050325E" w:rsidRPr="0050325E" w:rsidRDefault="0050325E" w:rsidP="0050325E">
      <w:pPr>
        <w:rPr>
          <w:rFonts w:ascii="Arial" w:hAnsi="Arial" w:cs="Arial"/>
          <w:b/>
          <w:bCs/>
          <w:sz w:val="22"/>
          <w:szCs w:val="22"/>
        </w:rPr>
      </w:pPr>
      <w:r w:rsidRPr="0050325E">
        <w:rPr>
          <w:rFonts w:ascii="Arial" w:hAnsi="Arial" w:cs="Arial"/>
          <w:b/>
          <w:bCs/>
          <w:sz w:val="22"/>
          <w:szCs w:val="22"/>
        </w:rPr>
        <w:t xml:space="preserve">DISCLAIMER (ARTIFICIAL INTELLIGENCE) </w:t>
      </w:r>
    </w:p>
    <w:p w14:paraId="44364162" w14:textId="77777777" w:rsidR="0050325E" w:rsidRDefault="0050325E" w:rsidP="0050325E">
      <w:r>
        <w:t xml:space="preserve"> </w:t>
      </w:r>
    </w:p>
    <w:p w14:paraId="272A6DEB" w14:textId="637662E2" w:rsidR="00315186" w:rsidRPr="00755EA3" w:rsidRDefault="00755EA3" w:rsidP="00755EA3">
      <w:pPr>
        <w:jc w:val="both"/>
        <w:rPr>
          <w:rFonts w:ascii="Arial" w:hAnsi="Arial" w:cs="Arial"/>
        </w:rPr>
      </w:pPr>
      <w:r w:rsidRPr="00755EA3">
        <w:rPr>
          <w:rFonts w:ascii="Arial" w:hAnsi="Arial" w:cs="Arial"/>
        </w:rPr>
        <w:t>The author(s) hereby declare that No generative AI technologies such as Large Language Models (ChatGPT, COPILOT, etc.) and text-to-image generators have been used during the writing or editing of this manuscript.</w:t>
      </w:r>
    </w:p>
    <w:p w14:paraId="5A808FA7" w14:textId="77777777" w:rsidR="00371FB6" w:rsidRDefault="00371FB6" w:rsidP="00441B6F">
      <w:pPr>
        <w:pStyle w:val="ReferHead"/>
        <w:spacing w:after="0"/>
        <w:jc w:val="both"/>
        <w:rPr>
          <w:rFonts w:ascii="Arial" w:hAnsi="Arial" w:cs="Arial"/>
          <w:b w:val="0"/>
          <w:caps w:val="0"/>
          <w:sz w:val="20"/>
        </w:rPr>
      </w:pPr>
    </w:p>
    <w:p w14:paraId="15C86D8F" w14:textId="77777777" w:rsidR="00860000" w:rsidRDefault="00860000" w:rsidP="00441B6F">
      <w:pPr>
        <w:pStyle w:val="ReferHead"/>
        <w:spacing w:after="0"/>
        <w:jc w:val="both"/>
        <w:rPr>
          <w:rFonts w:ascii="Arial" w:hAnsi="Arial" w:cs="Arial"/>
        </w:rPr>
      </w:pPr>
    </w:p>
    <w:p w14:paraId="451FD0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9B3299" w14:textId="77777777" w:rsidR="00790ADA" w:rsidRPr="00FB3A86" w:rsidRDefault="00790ADA" w:rsidP="00441B6F">
      <w:pPr>
        <w:pStyle w:val="ReferHead"/>
        <w:spacing w:after="0"/>
        <w:jc w:val="both"/>
        <w:rPr>
          <w:rFonts w:ascii="Arial" w:hAnsi="Arial" w:cs="Arial"/>
        </w:rPr>
      </w:pPr>
    </w:p>
    <w:p w14:paraId="57D7DA79" w14:textId="77777777" w:rsidR="0050325E" w:rsidRPr="0050325E" w:rsidRDefault="0050325E" w:rsidP="0050325E">
      <w:pPr>
        <w:pStyle w:val="Body"/>
        <w:rPr>
          <w:rFonts w:ascii="Arial" w:hAnsi="Arial" w:cs="Arial"/>
        </w:rPr>
      </w:pPr>
      <w:r w:rsidRPr="0050325E">
        <w:rPr>
          <w:rFonts w:ascii="Arial" w:hAnsi="Arial" w:cs="Arial"/>
        </w:rPr>
        <w:t>Abdallah, A. A. N., &amp; Ismail, A. K. 2017. “Corporate Governance Practices, Ownership Structure, and Corporate Performance in The GCC Countries.” Journal of International Financial Markets, Institutions and Money 46:98–115.</w:t>
      </w:r>
    </w:p>
    <w:p w14:paraId="0EE53CB6" w14:textId="61ECD5A2" w:rsidR="0050325E" w:rsidRPr="0050325E" w:rsidRDefault="002E0257" w:rsidP="0050325E">
      <w:pPr>
        <w:pStyle w:val="Body"/>
        <w:rPr>
          <w:rFonts w:ascii="Arial" w:hAnsi="Arial" w:cs="Arial"/>
        </w:rPr>
      </w:pPr>
      <w:r w:rsidRPr="002E0257">
        <w:rPr>
          <w:rFonts w:ascii="Arial" w:hAnsi="Arial" w:cs="Arial"/>
        </w:rPr>
        <w:t xml:space="preserve">Abdurahman, A., &amp; </w:t>
      </w:r>
      <w:proofErr w:type="spellStart"/>
      <w:r w:rsidRPr="002E0257">
        <w:rPr>
          <w:rFonts w:ascii="Arial" w:hAnsi="Arial" w:cs="Arial"/>
        </w:rPr>
        <w:t>Widhar</w:t>
      </w:r>
      <w:proofErr w:type="spellEnd"/>
      <w:r w:rsidRPr="002E0257">
        <w:rPr>
          <w:rFonts w:ascii="Arial" w:hAnsi="Arial" w:cs="Arial"/>
        </w:rPr>
        <w:t xml:space="preserve"> </w:t>
      </w:r>
      <w:proofErr w:type="spellStart"/>
      <w:r w:rsidRPr="002E0257">
        <w:rPr>
          <w:rFonts w:ascii="Arial" w:hAnsi="Arial" w:cs="Arial"/>
        </w:rPr>
        <w:t>Pahlevi</w:t>
      </w:r>
      <w:proofErr w:type="spellEnd"/>
      <w:r w:rsidRPr="002E0257">
        <w:rPr>
          <w:rFonts w:ascii="Arial" w:hAnsi="Arial" w:cs="Arial"/>
        </w:rPr>
        <w:t>, R. 2018. “Procedures for Implementing Good Corporate Governance Principles in the Corporate Social Responsibility Program at the Regional Company PDAM, Bantul Regency.” JBTI: Journal of Business Theory and Implementation 9 (1): 76–88</w:t>
      </w:r>
      <w:r w:rsidR="0050325E" w:rsidRPr="0050325E">
        <w:rPr>
          <w:rFonts w:ascii="Arial" w:hAnsi="Arial" w:cs="Arial"/>
        </w:rPr>
        <w:t>.</w:t>
      </w:r>
    </w:p>
    <w:p w14:paraId="0B56C30D" w14:textId="77777777" w:rsidR="0050325E" w:rsidRPr="0050325E" w:rsidRDefault="0050325E" w:rsidP="0050325E">
      <w:pPr>
        <w:pStyle w:val="Body"/>
        <w:rPr>
          <w:rFonts w:ascii="Arial" w:hAnsi="Arial" w:cs="Arial"/>
        </w:rPr>
      </w:pPr>
      <w:r w:rsidRPr="0050325E">
        <w:rPr>
          <w:rFonts w:ascii="Arial" w:hAnsi="Arial" w:cs="Arial"/>
        </w:rPr>
        <w:t>Agyemang, O. S., &amp; Ansong, A. 2017. “Corporate Social Responsibility and Firm Performance of Ghanaian SMEs: Mediating Role of Access to Capital and Firm Reputation.” Journal of Global Responsibility 8 (1): 47–62.</w:t>
      </w:r>
    </w:p>
    <w:p w14:paraId="1A856E4A" w14:textId="77777777" w:rsidR="0050325E" w:rsidRPr="0050325E" w:rsidRDefault="0050325E" w:rsidP="0050325E">
      <w:pPr>
        <w:pStyle w:val="Body"/>
        <w:rPr>
          <w:rFonts w:ascii="Arial" w:hAnsi="Arial" w:cs="Arial"/>
        </w:rPr>
      </w:pPr>
      <w:r w:rsidRPr="0050325E">
        <w:rPr>
          <w:rFonts w:ascii="Arial" w:hAnsi="Arial" w:cs="Arial"/>
        </w:rPr>
        <w:t>Al-</w:t>
      </w:r>
      <w:proofErr w:type="spellStart"/>
      <w:r w:rsidRPr="0050325E">
        <w:rPr>
          <w:rFonts w:ascii="Arial" w:hAnsi="Arial" w:cs="Arial"/>
        </w:rPr>
        <w:t>ahdal</w:t>
      </w:r>
      <w:proofErr w:type="spellEnd"/>
      <w:r w:rsidRPr="0050325E">
        <w:rPr>
          <w:rFonts w:ascii="Arial" w:hAnsi="Arial" w:cs="Arial"/>
        </w:rPr>
        <w:t xml:space="preserve">, W. M., </w:t>
      </w:r>
      <w:proofErr w:type="spellStart"/>
      <w:r w:rsidRPr="0050325E">
        <w:rPr>
          <w:rFonts w:ascii="Arial" w:hAnsi="Arial" w:cs="Arial"/>
        </w:rPr>
        <w:t>Alsamhi</w:t>
      </w:r>
      <w:proofErr w:type="spellEnd"/>
      <w:r w:rsidRPr="0050325E">
        <w:rPr>
          <w:rFonts w:ascii="Arial" w:hAnsi="Arial" w:cs="Arial"/>
        </w:rPr>
        <w:t>, M. H., Tabash, M. I., &amp; Farhan, N. H. S. 2020. “The Impact of Corporate Governance on Financial Performance of Indian and GCC Listed Firms: An Empirical Investigation.” Research in International Business and Finance 51 (September 2018).</w:t>
      </w:r>
    </w:p>
    <w:p w14:paraId="02C3BF92" w14:textId="77777777" w:rsidR="002E0257" w:rsidRDefault="002E0257" w:rsidP="0050325E">
      <w:pPr>
        <w:pStyle w:val="Body"/>
        <w:rPr>
          <w:rFonts w:ascii="Arial" w:hAnsi="Arial" w:cs="Arial"/>
        </w:rPr>
      </w:pPr>
      <w:r w:rsidRPr="002E0257">
        <w:rPr>
          <w:rFonts w:ascii="Arial" w:hAnsi="Arial" w:cs="Arial"/>
        </w:rPr>
        <w:t xml:space="preserve">Aprilia, N. R., Nazar, M. R., </w:t>
      </w:r>
      <w:proofErr w:type="spellStart"/>
      <w:r w:rsidRPr="002E0257">
        <w:rPr>
          <w:rFonts w:ascii="Arial" w:hAnsi="Arial" w:cs="Arial"/>
        </w:rPr>
        <w:t>Zultilisna</w:t>
      </w:r>
      <w:proofErr w:type="spellEnd"/>
      <w:r w:rsidRPr="002E0257">
        <w:rPr>
          <w:rFonts w:ascii="Arial" w:hAnsi="Arial" w:cs="Arial"/>
        </w:rPr>
        <w:t>, D. 2016. “The Influence of Operational Audit and Internal Control on Company Performance (Case Study at Hotel Inna Bali).” Accounting Review 17 (2).</w:t>
      </w:r>
    </w:p>
    <w:p w14:paraId="63B9E624" w14:textId="77777777" w:rsidR="002E0257" w:rsidRDefault="002E0257" w:rsidP="0050325E">
      <w:pPr>
        <w:pStyle w:val="Body"/>
        <w:rPr>
          <w:rFonts w:ascii="Arial" w:hAnsi="Arial" w:cs="Arial"/>
        </w:rPr>
      </w:pPr>
      <w:r w:rsidRPr="002E0257">
        <w:rPr>
          <w:rFonts w:ascii="Arial" w:hAnsi="Arial" w:cs="Arial"/>
        </w:rPr>
        <w:lastRenderedPageBreak/>
        <w:t xml:space="preserve">Arifin, A. 2018. “The Effect of Performance Audit and Internal Control on the Performance of the Regional Drinking Water Company (PDAM) of Gorontalo City with Good Corporate Governance as an Intervening Variable.” </w:t>
      </w:r>
      <w:proofErr w:type="spellStart"/>
      <w:r w:rsidRPr="002E0257">
        <w:rPr>
          <w:rFonts w:ascii="Arial" w:hAnsi="Arial" w:cs="Arial"/>
        </w:rPr>
        <w:t>Bongaya</w:t>
      </w:r>
      <w:proofErr w:type="spellEnd"/>
      <w:r w:rsidRPr="002E0257">
        <w:rPr>
          <w:rFonts w:ascii="Arial" w:hAnsi="Arial" w:cs="Arial"/>
        </w:rPr>
        <w:t xml:space="preserve"> Journal for Research in Accounting (BJRA) 1 (1): 48–57.</w:t>
      </w:r>
    </w:p>
    <w:p w14:paraId="294F2D3F" w14:textId="4DDE4996" w:rsidR="0050325E" w:rsidRPr="0050325E" w:rsidRDefault="0050325E" w:rsidP="0050325E">
      <w:pPr>
        <w:pStyle w:val="Body"/>
        <w:rPr>
          <w:rFonts w:ascii="Arial" w:hAnsi="Arial" w:cs="Arial"/>
        </w:rPr>
      </w:pPr>
      <w:r w:rsidRPr="0050325E">
        <w:rPr>
          <w:rFonts w:ascii="Arial" w:hAnsi="Arial" w:cs="Arial"/>
        </w:rPr>
        <w:t>Aslam, E., &amp; Haron, R. 2020. “Does Corporate Governance Affect the Performance of Islamic Banks? New Insight into Islamic Countries.” Corporate Governance (Bingley) 20 (6): 1073–1090.</w:t>
      </w:r>
    </w:p>
    <w:p w14:paraId="5D879FE7" w14:textId="77777777" w:rsidR="0050325E" w:rsidRPr="0050325E" w:rsidRDefault="0050325E" w:rsidP="0050325E">
      <w:pPr>
        <w:pStyle w:val="Body"/>
        <w:rPr>
          <w:rFonts w:ascii="Arial" w:hAnsi="Arial" w:cs="Arial"/>
        </w:rPr>
      </w:pPr>
      <w:r w:rsidRPr="0050325E">
        <w:rPr>
          <w:rFonts w:ascii="Arial" w:hAnsi="Arial" w:cs="Arial"/>
        </w:rPr>
        <w:t xml:space="preserve">Bagus, I., Surya, K., Kesuma, I. K. W., Agung, A., &amp; Kartika, S. 2017. “The Effect of Tri Hita Karana Culture on The Organizational Commitment and Performance of The Company (A Study on Regional Water Company of Tabanan Regency).” Udayana Journal of Social Sciences and </w:t>
      </w:r>
      <w:proofErr w:type="spellStart"/>
      <w:r w:rsidRPr="0050325E">
        <w:rPr>
          <w:rFonts w:ascii="Arial" w:hAnsi="Arial" w:cs="Arial"/>
        </w:rPr>
        <w:t>Humanitis</w:t>
      </w:r>
      <w:proofErr w:type="spellEnd"/>
      <w:r w:rsidRPr="0050325E">
        <w:rPr>
          <w:rFonts w:ascii="Arial" w:hAnsi="Arial" w:cs="Arial"/>
        </w:rPr>
        <w:t xml:space="preserve"> 1 (1).</w:t>
      </w:r>
    </w:p>
    <w:p w14:paraId="370E4ED7" w14:textId="77777777" w:rsidR="0050325E" w:rsidRPr="0050325E" w:rsidRDefault="0050325E" w:rsidP="0050325E">
      <w:pPr>
        <w:pStyle w:val="Body"/>
        <w:rPr>
          <w:rFonts w:ascii="Arial" w:hAnsi="Arial" w:cs="Arial"/>
        </w:rPr>
      </w:pPr>
      <w:proofErr w:type="spellStart"/>
      <w:r w:rsidRPr="0050325E">
        <w:rPr>
          <w:rFonts w:ascii="Arial" w:hAnsi="Arial" w:cs="Arial"/>
        </w:rPr>
        <w:t>Buallay</w:t>
      </w:r>
      <w:proofErr w:type="spellEnd"/>
      <w:r w:rsidRPr="0050325E">
        <w:rPr>
          <w:rFonts w:ascii="Arial" w:hAnsi="Arial" w:cs="Arial"/>
        </w:rPr>
        <w:t>, A. 2019. “Management of Environmental Quality: An International Journal Is Sustainability Reporting (ESG) Associated with Performance? Evidence from the European Banking Sector.” Management of Environmental Quality: An International Journal 30 (1): 98–115.</w:t>
      </w:r>
    </w:p>
    <w:p w14:paraId="29ED91C0" w14:textId="77777777" w:rsidR="002E0257" w:rsidRDefault="002E0257" w:rsidP="0050325E">
      <w:pPr>
        <w:pStyle w:val="Body"/>
        <w:rPr>
          <w:rFonts w:ascii="Arial" w:hAnsi="Arial" w:cs="Arial"/>
        </w:rPr>
      </w:pPr>
      <w:r w:rsidRPr="002E0257">
        <w:rPr>
          <w:rFonts w:ascii="Arial" w:hAnsi="Arial" w:cs="Arial"/>
        </w:rPr>
        <w:t xml:space="preserve">Dwija Putri, I. G. A. M. A., </w:t>
      </w:r>
      <w:proofErr w:type="spellStart"/>
      <w:r w:rsidRPr="002E0257">
        <w:rPr>
          <w:rFonts w:ascii="Arial" w:hAnsi="Arial" w:cs="Arial"/>
        </w:rPr>
        <w:t>Ulupui</w:t>
      </w:r>
      <w:proofErr w:type="spellEnd"/>
      <w:r w:rsidRPr="002E0257">
        <w:rPr>
          <w:rFonts w:ascii="Arial" w:hAnsi="Arial" w:cs="Arial"/>
        </w:rPr>
        <w:t xml:space="preserve">, I. G. </w:t>
      </w:r>
      <w:proofErr w:type="gramStart"/>
      <w:r w:rsidRPr="002E0257">
        <w:rPr>
          <w:rFonts w:ascii="Arial" w:hAnsi="Arial" w:cs="Arial"/>
        </w:rPr>
        <w:t>K. .</w:t>
      </w:r>
      <w:proofErr w:type="gramEnd"/>
      <w:r w:rsidRPr="002E0257">
        <w:rPr>
          <w:rFonts w:ascii="Arial" w:hAnsi="Arial" w:cs="Arial"/>
        </w:rPr>
        <w:t xml:space="preserve">, &amp; </w:t>
      </w:r>
      <w:proofErr w:type="spellStart"/>
      <w:r w:rsidRPr="002E0257">
        <w:rPr>
          <w:rFonts w:ascii="Arial" w:hAnsi="Arial" w:cs="Arial"/>
        </w:rPr>
        <w:t>Wirawati</w:t>
      </w:r>
      <w:proofErr w:type="spellEnd"/>
      <w:r w:rsidRPr="002E0257">
        <w:rPr>
          <w:rFonts w:ascii="Arial" w:hAnsi="Arial" w:cs="Arial"/>
        </w:rPr>
        <w:t>, N. G. P. 2017. “The Influence of Good Corporate Governance and Tri Hita Karana Culture on the Performance of Rural Credit Banks.” Scientific Journal of Accounting and Business 17.</w:t>
      </w:r>
    </w:p>
    <w:p w14:paraId="11A03F76" w14:textId="4673D749" w:rsidR="002E0257" w:rsidRDefault="002E0257" w:rsidP="0050325E">
      <w:pPr>
        <w:pStyle w:val="Body"/>
        <w:rPr>
          <w:rFonts w:ascii="Arial" w:hAnsi="Arial" w:cs="Arial"/>
        </w:rPr>
      </w:pPr>
      <w:r w:rsidRPr="002E0257">
        <w:rPr>
          <w:rFonts w:ascii="Arial" w:hAnsi="Arial" w:cs="Arial"/>
        </w:rPr>
        <w:t xml:space="preserve">Hadi, A., &amp; </w:t>
      </w:r>
      <w:proofErr w:type="spellStart"/>
      <w:r w:rsidRPr="002E0257">
        <w:rPr>
          <w:rFonts w:ascii="Arial" w:hAnsi="Arial" w:cs="Arial"/>
        </w:rPr>
        <w:t>Swandari</w:t>
      </w:r>
      <w:proofErr w:type="spellEnd"/>
      <w:r w:rsidRPr="002E0257">
        <w:rPr>
          <w:rFonts w:ascii="Arial" w:hAnsi="Arial" w:cs="Arial"/>
        </w:rPr>
        <w:t xml:space="preserve">, F. 2019. “Good Corporate Governance (GCG) and Performance in Regional Government-Owned Companies.” In Proceedings of the 2019 </w:t>
      </w:r>
      <w:proofErr w:type="spellStart"/>
      <w:r w:rsidRPr="002E0257">
        <w:rPr>
          <w:rFonts w:ascii="Arial" w:hAnsi="Arial" w:cs="Arial"/>
        </w:rPr>
        <w:t>Senama</w:t>
      </w:r>
      <w:proofErr w:type="spellEnd"/>
      <w:r w:rsidRPr="002E0257">
        <w:rPr>
          <w:rFonts w:ascii="Arial" w:hAnsi="Arial" w:cs="Arial"/>
        </w:rPr>
        <w:t xml:space="preserve"> National Seminar on Management and Call for Paper, 28–33. </w:t>
      </w:r>
      <w:hyperlink r:id="rId15" w:history="1">
        <w:r w:rsidRPr="00406F28">
          <w:rPr>
            <w:rStyle w:val="Hyperlink"/>
            <w:rFonts w:ascii="Arial" w:hAnsi="Arial" w:cs="Arial"/>
          </w:rPr>
          <w:t>http://repository.upnjatim.ac.id/310/</w:t>
        </w:r>
      </w:hyperlink>
      <w:r w:rsidRPr="002E0257">
        <w:rPr>
          <w:rFonts w:ascii="Arial" w:hAnsi="Arial" w:cs="Arial"/>
        </w:rPr>
        <w:t>.</w:t>
      </w:r>
    </w:p>
    <w:p w14:paraId="0125E7BC" w14:textId="4D3BFE86" w:rsidR="0050325E" w:rsidRPr="0050325E" w:rsidRDefault="0050325E" w:rsidP="0050325E">
      <w:pPr>
        <w:pStyle w:val="Body"/>
        <w:rPr>
          <w:rFonts w:ascii="Arial" w:hAnsi="Arial" w:cs="Arial"/>
        </w:rPr>
      </w:pPr>
      <w:r w:rsidRPr="0050325E">
        <w:rPr>
          <w:rFonts w:ascii="Arial" w:hAnsi="Arial" w:cs="Arial"/>
        </w:rPr>
        <w:t xml:space="preserve">Mahrani, M., &amp; </w:t>
      </w:r>
      <w:proofErr w:type="spellStart"/>
      <w:r w:rsidRPr="0050325E">
        <w:rPr>
          <w:rFonts w:ascii="Arial" w:hAnsi="Arial" w:cs="Arial"/>
        </w:rPr>
        <w:t>Soewarno</w:t>
      </w:r>
      <w:proofErr w:type="spellEnd"/>
      <w:r w:rsidRPr="0050325E">
        <w:rPr>
          <w:rFonts w:ascii="Arial" w:hAnsi="Arial" w:cs="Arial"/>
        </w:rPr>
        <w:t xml:space="preserve">, N. 2018. “The Effect of Good Corporate Governance Mechanism and Corporate Social Responsibility on Financial Performance with Earnings Management as Mediating </w:t>
      </w:r>
      <w:proofErr w:type="spellStart"/>
      <w:r w:rsidRPr="0050325E">
        <w:rPr>
          <w:rFonts w:ascii="Arial" w:hAnsi="Arial" w:cs="Arial"/>
        </w:rPr>
        <w:t>Variabel</w:t>
      </w:r>
      <w:proofErr w:type="spellEnd"/>
      <w:r w:rsidRPr="0050325E">
        <w:rPr>
          <w:rFonts w:ascii="Arial" w:hAnsi="Arial" w:cs="Arial"/>
        </w:rPr>
        <w:t>.” Asian Journal of Accounting Research 3 (1): 41–60.</w:t>
      </w:r>
    </w:p>
    <w:p w14:paraId="18D2DA7D" w14:textId="1BC4E133" w:rsidR="002E0257" w:rsidRDefault="002E0257" w:rsidP="0050325E">
      <w:pPr>
        <w:pStyle w:val="Body"/>
        <w:rPr>
          <w:rFonts w:ascii="Arial" w:hAnsi="Arial" w:cs="Arial"/>
        </w:rPr>
      </w:pPr>
      <w:proofErr w:type="spellStart"/>
      <w:r w:rsidRPr="002E0257">
        <w:rPr>
          <w:rFonts w:ascii="Arial" w:hAnsi="Arial" w:cs="Arial"/>
        </w:rPr>
        <w:t>Marsellus</w:t>
      </w:r>
      <w:proofErr w:type="spellEnd"/>
      <w:r w:rsidRPr="002E0257">
        <w:rPr>
          <w:rFonts w:ascii="Arial" w:hAnsi="Arial" w:cs="Arial"/>
        </w:rPr>
        <w:t xml:space="preserve"> </w:t>
      </w:r>
      <w:proofErr w:type="spellStart"/>
      <w:r w:rsidRPr="002E0257">
        <w:rPr>
          <w:rFonts w:ascii="Arial" w:hAnsi="Arial" w:cs="Arial"/>
        </w:rPr>
        <w:t>Nabunome</w:t>
      </w:r>
      <w:proofErr w:type="spellEnd"/>
      <w:r w:rsidRPr="002E0257">
        <w:rPr>
          <w:rFonts w:ascii="Arial" w:hAnsi="Arial" w:cs="Arial"/>
        </w:rPr>
        <w:t xml:space="preserve"> </w:t>
      </w:r>
      <w:proofErr w:type="spellStart"/>
      <w:r w:rsidRPr="002E0257">
        <w:rPr>
          <w:rFonts w:ascii="Arial" w:hAnsi="Arial" w:cs="Arial"/>
        </w:rPr>
        <w:t>Pampur</w:t>
      </w:r>
      <w:proofErr w:type="spellEnd"/>
      <w:r w:rsidRPr="002E0257">
        <w:rPr>
          <w:rFonts w:ascii="Arial" w:hAnsi="Arial" w:cs="Arial"/>
        </w:rPr>
        <w:t xml:space="preserve">. 2025. “Revealed! New Hotel Development in </w:t>
      </w:r>
      <w:proofErr w:type="spellStart"/>
      <w:r w:rsidRPr="002E0257">
        <w:rPr>
          <w:rFonts w:ascii="Arial" w:hAnsi="Arial" w:cs="Arial"/>
        </w:rPr>
        <w:t>Tibubeneng</w:t>
      </w:r>
      <w:proofErr w:type="spellEnd"/>
      <w:r w:rsidRPr="002E0257">
        <w:rPr>
          <w:rFonts w:ascii="Arial" w:hAnsi="Arial" w:cs="Arial"/>
        </w:rPr>
        <w:t xml:space="preserve"> Said to Have the Potential to Damage the Environment.” Radar Buleleng, 2025. </w:t>
      </w:r>
      <w:hyperlink r:id="rId16" w:history="1">
        <w:r w:rsidRPr="00406F28">
          <w:rPr>
            <w:rStyle w:val="Hyperlink"/>
            <w:rFonts w:ascii="Arial" w:hAnsi="Arial" w:cs="Arial"/>
          </w:rPr>
          <w:t>https://radarbuleleng.jawapos.com/bali/2165504584/terungkap-pembangunan-hotel-baru-di-tibubeneng-disebut-berpotensi-merusak-lingkungan</w:t>
        </w:r>
      </w:hyperlink>
      <w:r w:rsidRPr="002E0257">
        <w:rPr>
          <w:rFonts w:ascii="Arial" w:hAnsi="Arial" w:cs="Arial"/>
        </w:rPr>
        <w:t>.</w:t>
      </w:r>
    </w:p>
    <w:p w14:paraId="4598DD89" w14:textId="000D49BF" w:rsidR="0050325E" w:rsidRPr="0050325E" w:rsidRDefault="0050325E" w:rsidP="0050325E">
      <w:pPr>
        <w:pStyle w:val="Body"/>
        <w:rPr>
          <w:rFonts w:ascii="Arial" w:hAnsi="Arial" w:cs="Arial"/>
        </w:rPr>
      </w:pPr>
      <w:r w:rsidRPr="0050325E">
        <w:rPr>
          <w:rFonts w:ascii="Arial" w:hAnsi="Arial" w:cs="Arial"/>
        </w:rPr>
        <w:t xml:space="preserve">Muslih, M., &amp; </w:t>
      </w:r>
      <w:proofErr w:type="spellStart"/>
      <w:r w:rsidRPr="0050325E">
        <w:rPr>
          <w:rFonts w:ascii="Arial" w:hAnsi="Arial" w:cs="Arial"/>
        </w:rPr>
        <w:t>Halliawan</w:t>
      </w:r>
      <w:proofErr w:type="spellEnd"/>
      <w:r w:rsidRPr="0050325E">
        <w:rPr>
          <w:rFonts w:ascii="Arial" w:hAnsi="Arial" w:cs="Arial"/>
        </w:rPr>
        <w:t xml:space="preserve">, P. 2021. “Organizational Culture </w:t>
      </w:r>
      <w:proofErr w:type="gramStart"/>
      <w:r w:rsidRPr="0050325E">
        <w:rPr>
          <w:rFonts w:ascii="Arial" w:hAnsi="Arial" w:cs="Arial"/>
        </w:rPr>
        <w:t>And</w:t>
      </w:r>
      <w:proofErr w:type="gramEnd"/>
      <w:r w:rsidRPr="0050325E">
        <w:rPr>
          <w:rFonts w:ascii="Arial" w:hAnsi="Arial" w:cs="Arial"/>
        </w:rPr>
        <w:t xml:space="preserve"> Corporate Governance As A Performance Driver Of Indonesia State-Owned Enterprises (SOE).” South East Asia Journal of Contemporary Business, Economics and Law 24 (1): 48–57.</w:t>
      </w:r>
    </w:p>
    <w:p w14:paraId="0B1A166B" w14:textId="77777777" w:rsidR="002E0257" w:rsidRDefault="002E0257" w:rsidP="0050325E">
      <w:pPr>
        <w:pStyle w:val="Body"/>
        <w:rPr>
          <w:rFonts w:ascii="Arial" w:hAnsi="Arial" w:cs="Arial"/>
        </w:rPr>
      </w:pPr>
      <w:proofErr w:type="spellStart"/>
      <w:r w:rsidRPr="002E0257">
        <w:rPr>
          <w:rFonts w:ascii="Arial" w:hAnsi="Arial" w:cs="Arial"/>
        </w:rPr>
        <w:t>Nining</w:t>
      </w:r>
      <w:proofErr w:type="spellEnd"/>
      <w:r w:rsidRPr="002E0257">
        <w:rPr>
          <w:rFonts w:ascii="Arial" w:hAnsi="Arial" w:cs="Arial"/>
        </w:rPr>
        <w:t>. 2023. “The Influence of Internal Control System Effectiveness on Business Success at Same Hotel Kendari.” JITAA: Journal of International Taxation Accounting and Auditing 2 (1): 67–89.</w:t>
      </w:r>
    </w:p>
    <w:p w14:paraId="4B5F20E6" w14:textId="119B3A59" w:rsidR="0050325E" w:rsidRPr="0050325E" w:rsidRDefault="0050325E" w:rsidP="0050325E">
      <w:pPr>
        <w:pStyle w:val="Body"/>
        <w:rPr>
          <w:rFonts w:ascii="Arial" w:hAnsi="Arial" w:cs="Arial"/>
        </w:rPr>
      </w:pPr>
      <w:r w:rsidRPr="0050325E">
        <w:rPr>
          <w:rFonts w:ascii="Arial" w:hAnsi="Arial" w:cs="Arial"/>
        </w:rPr>
        <w:t xml:space="preserve">Putra I G.B.N.P., </w:t>
      </w:r>
      <w:proofErr w:type="spellStart"/>
      <w:r w:rsidRPr="0050325E">
        <w:rPr>
          <w:rFonts w:ascii="Arial" w:hAnsi="Arial" w:cs="Arial"/>
        </w:rPr>
        <w:t>Ramantha</w:t>
      </w:r>
      <w:proofErr w:type="spellEnd"/>
      <w:r w:rsidRPr="0050325E">
        <w:rPr>
          <w:rFonts w:ascii="Arial" w:hAnsi="Arial" w:cs="Arial"/>
        </w:rPr>
        <w:t xml:space="preserve"> I W., Gayatri, </w:t>
      </w:r>
      <w:proofErr w:type="spellStart"/>
      <w:r w:rsidRPr="0050325E">
        <w:rPr>
          <w:rFonts w:ascii="Arial" w:hAnsi="Arial" w:cs="Arial"/>
        </w:rPr>
        <w:t>Budiartha</w:t>
      </w:r>
      <w:proofErr w:type="spellEnd"/>
      <w:r w:rsidRPr="0050325E">
        <w:rPr>
          <w:rFonts w:ascii="Arial" w:hAnsi="Arial" w:cs="Arial"/>
        </w:rPr>
        <w:t xml:space="preserve"> I K. 2024. “Beyond </w:t>
      </w:r>
      <w:proofErr w:type="gramStart"/>
      <w:r w:rsidRPr="0050325E">
        <w:rPr>
          <w:rFonts w:ascii="Arial" w:hAnsi="Arial" w:cs="Arial"/>
        </w:rPr>
        <w:t>The</w:t>
      </w:r>
      <w:proofErr w:type="gramEnd"/>
      <w:r w:rsidRPr="0050325E">
        <w:rPr>
          <w:rFonts w:ascii="Arial" w:hAnsi="Arial" w:cs="Arial"/>
        </w:rPr>
        <w:t xml:space="preserve"> Triple Bottom Line Concept: Adding Spiritual Level Dimension.” RJOAS: Russian Journal of Agricultural and Socio-Economic Sciences 2 (146): 106–14.</w:t>
      </w:r>
    </w:p>
    <w:p w14:paraId="1B7DE868" w14:textId="323E841D" w:rsidR="0050325E" w:rsidRPr="0050325E" w:rsidRDefault="002E0257" w:rsidP="0050325E">
      <w:pPr>
        <w:pStyle w:val="Body"/>
        <w:rPr>
          <w:rFonts w:ascii="Arial" w:hAnsi="Arial" w:cs="Arial"/>
        </w:rPr>
      </w:pPr>
      <w:proofErr w:type="spellStart"/>
      <w:r w:rsidRPr="002E0257">
        <w:rPr>
          <w:rFonts w:ascii="Arial" w:hAnsi="Arial" w:cs="Arial"/>
        </w:rPr>
        <w:t>Rifuddin</w:t>
      </w:r>
      <w:proofErr w:type="spellEnd"/>
      <w:r w:rsidRPr="002E0257">
        <w:rPr>
          <w:rFonts w:ascii="Arial" w:hAnsi="Arial" w:cs="Arial"/>
        </w:rPr>
        <w:t xml:space="preserve">, &amp; Jamaluddin, A. K. 2020. “Analysis of the Implementation of Good Corporate Governance (CCG) Principles on Public Perception and Financial Performance at the Regional Drinking Water Company (PDAM) of </w:t>
      </w:r>
      <w:proofErr w:type="spellStart"/>
      <w:r w:rsidRPr="002E0257">
        <w:rPr>
          <w:rFonts w:ascii="Arial" w:hAnsi="Arial" w:cs="Arial"/>
        </w:rPr>
        <w:t>Palopo</w:t>
      </w:r>
      <w:proofErr w:type="spellEnd"/>
      <w:r w:rsidRPr="002E0257">
        <w:rPr>
          <w:rFonts w:ascii="Arial" w:hAnsi="Arial" w:cs="Arial"/>
        </w:rPr>
        <w:t xml:space="preserve"> City.” Journal of Institution and Sharia Finance 3 (1): 21–50</w:t>
      </w:r>
      <w:r w:rsidR="0050325E" w:rsidRPr="0050325E">
        <w:rPr>
          <w:rFonts w:ascii="Arial" w:hAnsi="Arial" w:cs="Arial"/>
        </w:rPr>
        <w:t>.</w:t>
      </w:r>
    </w:p>
    <w:p w14:paraId="484990E2" w14:textId="77777777" w:rsidR="0050325E" w:rsidRPr="0050325E" w:rsidRDefault="0050325E" w:rsidP="0050325E">
      <w:pPr>
        <w:pStyle w:val="Body"/>
        <w:rPr>
          <w:rFonts w:ascii="Arial" w:hAnsi="Arial" w:cs="Arial"/>
        </w:rPr>
      </w:pPr>
      <w:r w:rsidRPr="0050325E">
        <w:rPr>
          <w:rFonts w:ascii="Arial" w:hAnsi="Arial" w:cs="Arial"/>
        </w:rPr>
        <w:lastRenderedPageBreak/>
        <w:t xml:space="preserve">Saha, R., Shashi, </w:t>
      </w:r>
      <w:proofErr w:type="spellStart"/>
      <w:r w:rsidRPr="0050325E">
        <w:rPr>
          <w:rFonts w:ascii="Arial" w:hAnsi="Arial" w:cs="Arial"/>
        </w:rPr>
        <w:t>Cerchione</w:t>
      </w:r>
      <w:proofErr w:type="spellEnd"/>
      <w:r w:rsidRPr="0050325E">
        <w:rPr>
          <w:rFonts w:ascii="Arial" w:hAnsi="Arial" w:cs="Arial"/>
        </w:rPr>
        <w:t xml:space="preserve">, R., Singh, R., &amp; Dahiya, R. 2019. “Effect </w:t>
      </w:r>
      <w:proofErr w:type="gramStart"/>
      <w:r w:rsidRPr="0050325E">
        <w:rPr>
          <w:rFonts w:ascii="Arial" w:hAnsi="Arial" w:cs="Arial"/>
        </w:rPr>
        <w:t>Of</w:t>
      </w:r>
      <w:proofErr w:type="gramEnd"/>
      <w:r w:rsidRPr="0050325E">
        <w:rPr>
          <w:rFonts w:ascii="Arial" w:hAnsi="Arial" w:cs="Arial"/>
        </w:rPr>
        <w:t xml:space="preserve"> Ethical Leadership And Corporate Social Responsibility On Firm Performance: A Systematic Review.” Corporate Social Responsibility and Environmental Management2 27 (2): 409–29.</w:t>
      </w:r>
    </w:p>
    <w:p w14:paraId="6928CCC5" w14:textId="40A4B826" w:rsidR="002E0257" w:rsidRDefault="002E0257" w:rsidP="0050325E">
      <w:pPr>
        <w:pStyle w:val="Body"/>
        <w:rPr>
          <w:rFonts w:ascii="Arial" w:hAnsi="Arial" w:cs="Arial"/>
        </w:rPr>
      </w:pPr>
      <w:r w:rsidRPr="002E0257">
        <w:rPr>
          <w:rFonts w:ascii="Arial" w:hAnsi="Arial" w:cs="Arial"/>
        </w:rPr>
        <w:t xml:space="preserve">Secretariat of the Badung Regency DPRD, 2023. “Waste Overflowing, Two Commissions of the Badung DPRD Conduct a Surprise Inspection of the Four Point </w:t>
      </w:r>
      <w:proofErr w:type="spellStart"/>
      <w:r w:rsidRPr="002E0257">
        <w:rPr>
          <w:rFonts w:ascii="Arial" w:hAnsi="Arial" w:cs="Arial"/>
        </w:rPr>
        <w:t>Ungasan</w:t>
      </w:r>
      <w:proofErr w:type="spellEnd"/>
      <w:r w:rsidRPr="002E0257">
        <w:rPr>
          <w:rFonts w:ascii="Arial" w:hAnsi="Arial" w:cs="Arial"/>
        </w:rPr>
        <w:t xml:space="preserve"> Hotel.” Secretariat of the Badung Regency DPRD, 2023. </w:t>
      </w:r>
      <w:hyperlink r:id="rId17" w:history="1">
        <w:r w:rsidRPr="00406F28">
          <w:rPr>
            <w:rStyle w:val="Hyperlink"/>
            <w:rFonts w:ascii="Arial" w:hAnsi="Arial" w:cs="Arial"/>
          </w:rPr>
          <w:t>https://setwan.badungkab.go.id/berita/51041-limbah-meluber-dua-komisi-dprd-badung-sidak-hotel-four-point-ungasan-</w:t>
        </w:r>
      </w:hyperlink>
      <w:r w:rsidRPr="002E0257">
        <w:rPr>
          <w:rFonts w:ascii="Arial" w:hAnsi="Arial" w:cs="Arial"/>
        </w:rPr>
        <w:t>.</w:t>
      </w:r>
    </w:p>
    <w:p w14:paraId="4ED25419" w14:textId="77777777" w:rsidR="002E0257" w:rsidRDefault="002E0257" w:rsidP="0050325E">
      <w:pPr>
        <w:pStyle w:val="Body"/>
        <w:rPr>
          <w:rFonts w:ascii="Arial" w:hAnsi="Arial" w:cs="Arial"/>
        </w:rPr>
      </w:pPr>
      <w:proofErr w:type="spellStart"/>
      <w:r w:rsidRPr="002E0257">
        <w:rPr>
          <w:rFonts w:ascii="Arial" w:hAnsi="Arial" w:cs="Arial"/>
        </w:rPr>
        <w:t>Sopian</w:t>
      </w:r>
      <w:proofErr w:type="spellEnd"/>
      <w:r w:rsidRPr="002E0257">
        <w:rPr>
          <w:rFonts w:ascii="Arial" w:hAnsi="Arial" w:cs="Arial"/>
        </w:rPr>
        <w:t xml:space="preserve">, D., </w:t>
      </w:r>
      <w:proofErr w:type="spellStart"/>
      <w:r w:rsidRPr="002E0257">
        <w:rPr>
          <w:rFonts w:ascii="Arial" w:hAnsi="Arial" w:cs="Arial"/>
        </w:rPr>
        <w:t>Suwartika</w:t>
      </w:r>
      <w:proofErr w:type="spellEnd"/>
      <w:r w:rsidRPr="002E0257">
        <w:rPr>
          <w:rFonts w:ascii="Arial" w:hAnsi="Arial" w:cs="Arial"/>
        </w:rPr>
        <w:t>. W. 2019. “The Influence of Accounting Information Systems and Internal Control Systems on Employee Performance.” JSMA (Journal of Management Science &amp; Accounting) 11 (2): 40–53.</w:t>
      </w:r>
    </w:p>
    <w:p w14:paraId="7C67D1AA" w14:textId="77777777" w:rsidR="002E0257" w:rsidRDefault="002E0257" w:rsidP="0050325E">
      <w:pPr>
        <w:pStyle w:val="Body"/>
        <w:rPr>
          <w:rFonts w:ascii="Arial" w:hAnsi="Arial" w:cs="Arial"/>
        </w:rPr>
      </w:pPr>
      <w:proofErr w:type="spellStart"/>
      <w:r w:rsidRPr="002E0257">
        <w:rPr>
          <w:rFonts w:ascii="Arial" w:hAnsi="Arial" w:cs="Arial"/>
        </w:rPr>
        <w:t>Suarna</w:t>
      </w:r>
      <w:proofErr w:type="spellEnd"/>
      <w:r w:rsidRPr="002E0257">
        <w:rPr>
          <w:rFonts w:ascii="Arial" w:hAnsi="Arial" w:cs="Arial"/>
        </w:rPr>
        <w:t xml:space="preserve"> </w:t>
      </w:r>
      <w:proofErr w:type="spellStart"/>
      <w:r w:rsidRPr="002E0257">
        <w:rPr>
          <w:rFonts w:ascii="Arial" w:hAnsi="Arial" w:cs="Arial"/>
        </w:rPr>
        <w:t>Bumi</w:t>
      </w:r>
      <w:proofErr w:type="spellEnd"/>
      <w:r w:rsidRPr="002E0257">
        <w:rPr>
          <w:rFonts w:ascii="Arial" w:hAnsi="Arial" w:cs="Arial"/>
        </w:rPr>
        <w:t xml:space="preserve">, I. P., &amp; </w:t>
      </w:r>
      <w:proofErr w:type="spellStart"/>
      <w:r w:rsidRPr="002E0257">
        <w:rPr>
          <w:rFonts w:ascii="Arial" w:hAnsi="Arial" w:cs="Arial"/>
        </w:rPr>
        <w:t>Suartana</w:t>
      </w:r>
      <w:proofErr w:type="spellEnd"/>
      <w:r w:rsidRPr="002E0257">
        <w:rPr>
          <w:rFonts w:ascii="Arial" w:hAnsi="Arial" w:cs="Arial"/>
        </w:rPr>
        <w:t>, I. W. 2019. “The Influence of Transformational Leadership Style and Tri Hita Karana Culture on LPD Performance.” E-Journal of Accounting 29 (2): 818.</w:t>
      </w:r>
    </w:p>
    <w:p w14:paraId="04FBFA9F" w14:textId="77777777" w:rsidR="002E0257" w:rsidRDefault="002E0257" w:rsidP="0050325E">
      <w:pPr>
        <w:pStyle w:val="Body"/>
        <w:rPr>
          <w:rFonts w:ascii="Arial" w:hAnsi="Arial" w:cs="Arial"/>
        </w:rPr>
      </w:pPr>
      <w:proofErr w:type="spellStart"/>
      <w:r w:rsidRPr="002E0257">
        <w:rPr>
          <w:rFonts w:ascii="Arial" w:hAnsi="Arial" w:cs="Arial"/>
        </w:rPr>
        <w:t>Suartana</w:t>
      </w:r>
      <w:proofErr w:type="spellEnd"/>
      <w:r w:rsidRPr="002E0257">
        <w:rPr>
          <w:rFonts w:ascii="Arial" w:hAnsi="Arial" w:cs="Arial"/>
        </w:rPr>
        <w:t xml:space="preserve">, I </w:t>
      </w:r>
      <w:proofErr w:type="spellStart"/>
      <w:r w:rsidRPr="002E0257">
        <w:rPr>
          <w:rFonts w:ascii="Arial" w:hAnsi="Arial" w:cs="Arial"/>
        </w:rPr>
        <w:t>Wayan</w:t>
      </w:r>
      <w:proofErr w:type="spellEnd"/>
      <w:r w:rsidRPr="002E0257">
        <w:rPr>
          <w:rFonts w:ascii="Arial" w:hAnsi="Arial" w:cs="Arial"/>
        </w:rPr>
        <w:t>. Utama, Karya, I Made. 2013. “Sustainability Accounting as an Implementation of Tri Hita Karana (Case Study of a Five-Star Hotel in Badung Regency).” Udayana Excellence Research Grant.</w:t>
      </w:r>
    </w:p>
    <w:p w14:paraId="628AA065" w14:textId="77777777" w:rsidR="002E0257" w:rsidRPr="002E0257" w:rsidRDefault="002E0257" w:rsidP="002E0257">
      <w:pPr>
        <w:pStyle w:val="Body"/>
        <w:rPr>
          <w:rFonts w:ascii="Arial" w:hAnsi="Arial" w:cs="Arial"/>
        </w:rPr>
      </w:pPr>
      <w:proofErr w:type="spellStart"/>
      <w:r w:rsidRPr="002E0257">
        <w:rPr>
          <w:rFonts w:ascii="Arial" w:hAnsi="Arial" w:cs="Arial"/>
        </w:rPr>
        <w:t>Suartana</w:t>
      </w:r>
      <w:proofErr w:type="spellEnd"/>
      <w:r w:rsidRPr="002E0257">
        <w:rPr>
          <w:rFonts w:ascii="Arial" w:hAnsi="Arial" w:cs="Arial"/>
        </w:rPr>
        <w:t>, I. W. 2010. “Environmental Accounting and Triple Bottom Line Accounting: A New Paradigm of Value-Added Accounting.” Bumi Lestari Journal 10 (1): 105–112.</w:t>
      </w:r>
    </w:p>
    <w:p w14:paraId="5B234DC1" w14:textId="77777777" w:rsidR="002E0257" w:rsidRDefault="002E0257" w:rsidP="002E0257">
      <w:pPr>
        <w:pStyle w:val="Body"/>
        <w:rPr>
          <w:rFonts w:ascii="Arial" w:hAnsi="Arial" w:cs="Arial"/>
        </w:rPr>
      </w:pPr>
      <w:r w:rsidRPr="002E0257">
        <w:rPr>
          <w:rFonts w:ascii="Arial" w:hAnsi="Arial" w:cs="Arial"/>
        </w:rPr>
        <w:t xml:space="preserve">Suprina, R., </w:t>
      </w:r>
      <w:proofErr w:type="spellStart"/>
      <w:r w:rsidRPr="002E0257">
        <w:rPr>
          <w:rFonts w:ascii="Arial" w:hAnsi="Arial" w:cs="Arial"/>
        </w:rPr>
        <w:t>Ratnaningtyas</w:t>
      </w:r>
      <w:proofErr w:type="spellEnd"/>
      <w:r w:rsidRPr="002E0257">
        <w:rPr>
          <w:rFonts w:ascii="Arial" w:hAnsi="Arial" w:cs="Arial"/>
        </w:rPr>
        <w:t xml:space="preserve">. H., </w:t>
      </w:r>
      <w:proofErr w:type="spellStart"/>
      <w:r w:rsidRPr="002E0257">
        <w:rPr>
          <w:rFonts w:ascii="Arial" w:hAnsi="Arial" w:cs="Arial"/>
        </w:rPr>
        <w:t>Nurbaeti</w:t>
      </w:r>
      <w:proofErr w:type="spellEnd"/>
      <w:r w:rsidRPr="002E0257">
        <w:rPr>
          <w:rFonts w:ascii="Arial" w:hAnsi="Arial" w:cs="Arial"/>
        </w:rPr>
        <w:t xml:space="preserve">., </w:t>
      </w:r>
      <w:proofErr w:type="spellStart"/>
      <w:r w:rsidRPr="002E0257">
        <w:rPr>
          <w:rFonts w:ascii="Arial" w:hAnsi="Arial" w:cs="Arial"/>
        </w:rPr>
        <w:t>Asmaniati</w:t>
      </w:r>
      <w:proofErr w:type="spellEnd"/>
      <w:r w:rsidRPr="002E0257">
        <w:rPr>
          <w:rFonts w:ascii="Arial" w:hAnsi="Arial" w:cs="Arial"/>
        </w:rPr>
        <w:t xml:space="preserve">., F. 2021. “Factors Influencing Financial Performance in Restaurant, Hotel, and Tourism Companies.” JAD: </w:t>
      </w:r>
      <w:proofErr w:type="spellStart"/>
      <w:r w:rsidRPr="002E0257">
        <w:rPr>
          <w:rFonts w:ascii="Arial" w:hAnsi="Arial" w:cs="Arial"/>
        </w:rPr>
        <w:t>Dewantara</w:t>
      </w:r>
      <w:proofErr w:type="spellEnd"/>
      <w:r w:rsidRPr="002E0257">
        <w:rPr>
          <w:rFonts w:ascii="Arial" w:hAnsi="Arial" w:cs="Arial"/>
        </w:rPr>
        <w:t xml:space="preserve"> Accounting &amp; Financial Research Journal 4 (2): 123–32.</w:t>
      </w:r>
    </w:p>
    <w:p w14:paraId="140AE8FD" w14:textId="3693B213" w:rsidR="0050325E" w:rsidRPr="0050325E" w:rsidRDefault="0050325E" w:rsidP="002E0257">
      <w:pPr>
        <w:pStyle w:val="Body"/>
        <w:rPr>
          <w:rFonts w:ascii="Arial" w:hAnsi="Arial" w:cs="Arial"/>
        </w:rPr>
      </w:pPr>
      <w:proofErr w:type="spellStart"/>
      <w:r w:rsidRPr="0050325E">
        <w:rPr>
          <w:rFonts w:ascii="Arial" w:hAnsi="Arial" w:cs="Arial"/>
        </w:rPr>
        <w:t>Yuliantari</w:t>
      </w:r>
      <w:proofErr w:type="spellEnd"/>
      <w:r w:rsidRPr="0050325E">
        <w:rPr>
          <w:rFonts w:ascii="Arial" w:hAnsi="Arial" w:cs="Arial"/>
        </w:rPr>
        <w:t xml:space="preserve">, P. P. I., </w:t>
      </w:r>
      <w:proofErr w:type="spellStart"/>
      <w:r w:rsidRPr="0050325E">
        <w:rPr>
          <w:rFonts w:ascii="Arial" w:hAnsi="Arial" w:cs="Arial"/>
        </w:rPr>
        <w:t>Budiasih</w:t>
      </w:r>
      <w:proofErr w:type="spellEnd"/>
      <w:r w:rsidRPr="0050325E">
        <w:rPr>
          <w:rFonts w:ascii="Arial" w:hAnsi="Arial" w:cs="Arial"/>
        </w:rPr>
        <w:t xml:space="preserve">, I. G. A. N., </w:t>
      </w:r>
      <w:proofErr w:type="spellStart"/>
      <w:r w:rsidRPr="0050325E">
        <w:rPr>
          <w:rFonts w:ascii="Arial" w:hAnsi="Arial" w:cs="Arial"/>
        </w:rPr>
        <w:t>Ratnadi</w:t>
      </w:r>
      <w:proofErr w:type="spellEnd"/>
      <w:r w:rsidRPr="0050325E">
        <w:rPr>
          <w:rFonts w:ascii="Arial" w:hAnsi="Arial" w:cs="Arial"/>
        </w:rPr>
        <w:t xml:space="preserve">, N. M. D., &amp; Putra, I. N. W. A. 2020. “Tri Hita Karana As a Moderating </w:t>
      </w:r>
      <w:proofErr w:type="spellStart"/>
      <w:r w:rsidRPr="0050325E">
        <w:rPr>
          <w:rFonts w:ascii="Arial" w:hAnsi="Arial" w:cs="Arial"/>
        </w:rPr>
        <w:t>Variabel</w:t>
      </w:r>
      <w:proofErr w:type="spellEnd"/>
      <w:r w:rsidRPr="0050325E">
        <w:rPr>
          <w:rFonts w:ascii="Arial" w:hAnsi="Arial" w:cs="Arial"/>
        </w:rPr>
        <w:t xml:space="preserve"> of Good Corporate Governance and Crossed Credits in Financial Performance of Rural Credit Institution of Gianyar District, Indonesia.” Russian Journal of Agricultural and Socio-Economic Sciences 97 (1): 56–65.</w:t>
      </w:r>
    </w:p>
    <w:p w14:paraId="22EC1019" w14:textId="31D35E9F" w:rsidR="004D4277" w:rsidRPr="00FB3A86" w:rsidRDefault="004D4277" w:rsidP="00441B6F">
      <w:pPr>
        <w:pStyle w:val="Appendix"/>
        <w:spacing w:after="0"/>
        <w:jc w:val="both"/>
        <w:rPr>
          <w:rFonts w:ascii="Arial" w:hAnsi="Arial" w:cs="Arial"/>
          <w:b w:val="0"/>
        </w:rPr>
        <w:sectPr w:rsidR="004D4277" w:rsidRPr="00FB3A86" w:rsidSect="009F662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532475A" w14:textId="77777777" w:rsidR="00B01FCD" w:rsidRPr="00FB3A86" w:rsidRDefault="00B01FCD" w:rsidP="00441B6F">
      <w:pPr>
        <w:pStyle w:val="Appendix"/>
        <w:spacing w:after="0"/>
        <w:jc w:val="both"/>
        <w:rPr>
          <w:rFonts w:ascii="Arial" w:hAnsi="Arial" w:cs="Arial"/>
          <w:b w:val="0"/>
        </w:rPr>
      </w:pPr>
    </w:p>
    <w:sectPr w:rsidR="00B01FCD" w:rsidRPr="00FB3A86" w:rsidSect="009F66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3B263" w14:textId="77777777" w:rsidR="00270C56" w:rsidRDefault="00270C56" w:rsidP="00C37E61">
      <w:r>
        <w:separator/>
      </w:r>
    </w:p>
  </w:endnote>
  <w:endnote w:type="continuationSeparator" w:id="0">
    <w:p w14:paraId="10ADF7E5" w14:textId="77777777" w:rsidR="00270C56" w:rsidRDefault="00270C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26AA" w14:textId="77777777" w:rsidR="006C2196" w:rsidRDefault="006C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F133" w14:textId="77777777" w:rsidR="006C2196" w:rsidRDefault="006C2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C691" w14:textId="77777777" w:rsidR="009E048A" w:rsidRDefault="009E048A">
    <w:pPr>
      <w:pStyle w:val="Footer"/>
      <w:rPr>
        <w:rFonts w:ascii="Arial" w:hAnsi="Arial" w:cs="Arial"/>
        <w:sz w:val="16"/>
      </w:rPr>
    </w:pPr>
  </w:p>
  <w:p w14:paraId="78A986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8ACD6C" w14:textId="77777777" w:rsidR="009E048A" w:rsidRDefault="009E048A">
    <w:pPr>
      <w:pStyle w:val="Footer"/>
      <w:rPr>
        <w:rFonts w:ascii="Arial" w:hAnsi="Arial" w:cs="Arial"/>
        <w:sz w:val="16"/>
      </w:rPr>
    </w:pPr>
  </w:p>
  <w:p w14:paraId="59F755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2D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B35F" w14:textId="77777777" w:rsidR="00270C56" w:rsidRDefault="00270C56" w:rsidP="00C37E61">
      <w:r>
        <w:separator/>
      </w:r>
    </w:p>
  </w:footnote>
  <w:footnote w:type="continuationSeparator" w:id="0">
    <w:p w14:paraId="74B7446E" w14:textId="77777777" w:rsidR="00270C56" w:rsidRDefault="00270C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0E98" w14:textId="2AD4920B" w:rsidR="006C2196" w:rsidRDefault="006C2196">
    <w:pPr>
      <w:pStyle w:val="Header"/>
    </w:pPr>
    <w:r>
      <w:rPr>
        <w:noProof/>
      </w:rPr>
      <w:pict w14:anchorId="109E7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80EF" w14:textId="0BFAB86B" w:rsidR="006C2196" w:rsidRDefault="006C2196">
    <w:pPr>
      <w:pStyle w:val="Header"/>
    </w:pPr>
    <w:r>
      <w:rPr>
        <w:noProof/>
      </w:rPr>
      <w:pict w14:anchorId="4300A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2B9B" w14:textId="3161552E" w:rsidR="00296529" w:rsidRPr="00296529" w:rsidRDefault="006C2196" w:rsidP="00296529">
    <w:pPr>
      <w:ind w:left="2160"/>
      <w:jc w:val="center"/>
      <w:rPr>
        <w:rFonts w:ascii="Times New Roman" w:eastAsia="Calibri" w:hAnsi="Times New Roman"/>
        <w:i/>
        <w:sz w:val="18"/>
        <w:szCs w:val="22"/>
      </w:rPr>
    </w:pPr>
    <w:r>
      <w:rPr>
        <w:noProof/>
      </w:rPr>
      <w:pict w14:anchorId="7813F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CBA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599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EEDE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D8B0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ED81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9982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432F" w14:textId="174B1BC0" w:rsidR="006C2196" w:rsidRDefault="006C2196">
    <w:pPr>
      <w:pStyle w:val="Header"/>
    </w:pPr>
    <w:r>
      <w:rPr>
        <w:noProof/>
      </w:rPr>
      <w:pict w14:anchorId="62E21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A38F" w14:textId="7B319BA7" w:rsidR="006C2196" w:rsidRDefault="006C2196">
    <w:pPr>
      <w:pStyle w:val="Header"/>
    </w:pPr>
    <w:r>
      <w:rPr>
        <w:noProof/>
      </w:rPr>
      <w:pict w14:anchorId="69D3B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65A9" w14:textId="44840DED" w:rsidR="006C2196" w:rsidRDefault="006C2196">
    <w:pPr>
      <w:pStyle w:val="Header"/>
    </w:pPr>
    <w:r>
      <w:rPr>
        <w:noProof/>
      </w:rPr>
      <w:pict w14:anchorId="645C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33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6E7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B01F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DC2309"/>
    <w:multiLevelType w:val="hybridMultilevel"/>
    <w:tmpl w:val="91AA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7"/>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27"/>
  </w:num>
  <w:num w:numId="32">
    <w:abstractNumId w:val="14"/>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40AC"/>
    <w:rsid w:val="000D689F"/>
    <w:rsid w:val="000E7B7B"/>
    <w:rsid w:val="000E7D62"/>
    <w:rsid w:val="00103357"/>
    <w:rsid w:val="00123C9F"/>
    <w:rsid w:val="00126190"/>
    <w:rsid w:val="00130F17"/>
    <w:rsid w:val="001320BF"/>
    <w:rsid w:val="0014517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419"/>
    <w:rsid w:val="0024282C"/>
    <w:rsid w:val="002460DC"/>
    <w:rsid w:val="00250985"/>
    <w:rsid w:val="002556F6"/>
    <w:rsid w:val="00270C56"/>
    <w:rsid w:val="00283105"/>
    <w:rsid w:val="00284C4C"/>
    <w:rsid w:val="00287E68"/>
    <w:rsid w:val="00296529"/>
    <w:rsid w:val="002B27FB"/>
    <w:rsid w:val="002B685A"/>
    <w:rsid w:val="002C57D2"/>
    <w:rsid w:val="002E0257"/>
    <w:rsid w:val="002E0D56"/>
    <w:rsid w:val="003053C3"/>
    <w:rsid w:val="00315186"/>
    <w:rsid w:val="0032054B"/>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4BD"/>
    <w:rsid w:val="00471A80"/>
    <w:rsid w:val="004D305E"/>
    <w:rsid w:val="004D4277"/>
    <w:rsid w:val="004E29FF"/>
    <w:rsid w:val="004E5B98"/>
    <w:rsid w:val="00502516"/>
    <w:rsid w:val="0050325E"/>
    <w:rsid w:val="00505F06"/>
    <w:rsid w:val="00506828"/>
    <w:rsid w:val="0053056E"/>
    <w:rsid w:val="00554FDA"/>
    <w:rsid w:val="00582753"/>
    <w:rsid w:val="005B1F74"/>
    <w:rsid w:val="005C784C"/>
    <w:rsid w:val="005D17F6"/>
    <w:rsid w:val="005E5539"/>
    <w:rsid w:val="005E5F46"/>
    <w:rsid w:val="00602BF5"/>
    <w:rsid w:val="00617FDD"/>
    <w:rsid w:val="00633614"/>
    <w:rsid w:val="00633F68"/>
    <w:rsid w:val="00636EB2"/>
    <w:rsid w:val="006375B8"/>
    <w:rsid w:val="0066510A"/>
    <w:rsid w:val="006710DA"/>
    <w:rsid w:val="00673F9F"/>
    <w:rsid w:val="00675F7D"/>
    <w:rsid w:val="0068120E"/>
    <w:rsid w:val="00686953"/>
    <w:rsid w:val="00687DEA"/>
    <w:rsid w:val="00687E67"/>
    <w:rsid w:val="006967F7"/>
    <w:rsid w:val="006A250C"/>
    <w:rsid w:val="006A28DD"/>
    <w:rsid w:val="006B21D3"/>
    <w:rsid w:val="006B57D0"/>
    <w:rsid w:val="006C2196"/>
    <w:rsid w:val="006D30FF"/>
    <w:rsid w:val="006D6940"/>
    <w:rsid w:val="006F11EC"/>
    <w:rsid w:val="0070082C"/>
    <w:rsid w:val="007369E6"/>
    <w:rsid w:val="00746E59"/>
    <w:rsid w:val="00754C9A"/>
    <w:rsid w:val="0075599A"/>
    <w:rsid w:val="00755EA3"/>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3B9"/>
    <w:rsid w:val="008B459E"/>
    <w:rsid w:val="008E13AE"/>
    <w:rsid w:val="008E1506"/>
    <w:rsid w:val="008E710C"/>
    <w:rsid w:val="008F69D6"/>
    <w:rsid w:val="00902823"/>
    <w:rsid w:val="00915CA6"/>
    <w:rsid w:val="00927834"/>
    <w:rsid w:val="009500A6"/>
    <w:rsid w:val="00957C18"/>
    <w:rsid w:val="009659BA"/>
    <w:rsid w:val="00983040"/>
    <w:rsid w:val="00991232"/>
    <w:rsid w:val="009B3FB9"/>
    <w:rsid w:val="009C2465"/>
    <w:rsid w:val="009D35A0"/>
    <w:rsid w:val="009D7EB7"/>
    <w:rsid w:val="009E048A"/>
    <w:rsid w:val="009E08E9"/>
    <w:rsid w:val="009E3DB9"/>
    <w:rsid w:val="009E6E35"/>
    <w:rsid w:val="009F0EDA"/>
    <w:rsid w:val="009F662F"/>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9EF"/>
    <w:rsid w:val="00B01FCD"/>
    <w:rsid w:val="00B1776C"/>
    <w:rsid w:val="00B52583"/>
    <w:rsid w:val="00B52896"/>
    <w:rsid w:val="00B95236"/>
    <w:rsid w:val="00B96BD9"/>
    <w:rsid w:val="00BA1B01"/>
    <w:rsid w:val="00BA2641"/>
    <w:rsid w:val="00BB37AA"/>
    <w:rsid w:val="00BC53A0"/>
    <w:rsid w:val="00BD5AC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17F40"/>
    <w:rsid w:val="00D37C77"/>
    <w:rsid w:val="00D74CB0"/>
    <w:rsid w:val="00D74FBA"/>
    <w:rsid w:val="00D8295D"/>
    <w:rsid w:val="00DC2A65"/>
    <w:rsid w:val="00DE15F0"/>
    <w:rsid w:val="00DE5663"/>
    <w:rsid w:val="00DE78AA"/>
    <w:rsid w:val="00E053D0"/>
    <w:rsid w:val="00E15994"/>
    <w:rsid w:val="00E1647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5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5319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054B"/>
    <w:pPr>
      <w:ind w:left="720"/>
      <w:contextualSpacing/>
    </w:pPr>
  </w:style>
  <w:style w:type="table" w:styleId="PlainTable2">
    <w:name w:val="Plain Table 2"/>
    <w:basedOn w:val="TableNormal"/>
    <w:uiPriority w:val="42"/>
    <w:rsid w:val="0032054B"/>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etwan.badungkab.go.id/berita/51041-limbah-meluber-dua-komisi-dprd-badung-sidak-hotel-four-point-ungasan-" TargetMode="External"/><Relationship Id="rId2" Type="http://schemas.openxmlformats.org/officeDocument/2006/relationships/numbering" Target="numbering.xml"/><Relationship Id="rId16" Type="http://schemas.openxmlformats.org/officeDocument/2006/relationships/hyperlink" Target="https://radarbuleleng.jawapos.com/bali/2165504584/terungkap-pembangunan-hotel-baru-di-tibubeneng-disebut-berpotensi-merusak-lingkunga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pository.upnjatim.ac.id/31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AFB7-12A0-4D15-A6E0-114DFDB1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11</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25</cp:revision>
  <cp:lastPrinted>1999-07-06T11:00:00Z</cp:lastPrinted>
  <dcterms:created xsi:type="dcterms:W3CDTF">2014-10-25T14:34:00Z</dcterms:created>
  <dcterms:modified xsi:type="dcterms:W3CDTF">2025-10-30T07:49:00Z</dcterms:modified>
</cp:coreProperties>
</file>