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085916" w14:textId="77777777" w:rsidR="00754C9A" w:rsidRDefault="00754C9A" w:rsidP="00441B6F">
      <w:pPr>
        <w:pStyle w:val="Title"/>
        <w:spacing w:after="0"/>
        <w:jc w:val="both"/>
        <w:rPr>
          <w:rFonts w:ascii="Arial" w:hAnsi="Arial" w:cs="Arial"/>
        </w:rPr>
      </w:pPr>
    </w:p>
    <w:p w14:paraId="22109D9D" w14:textId="77777777" w:rsidR="00F47566" w:rsidRPr="00F47566" w:rsidRDefault="00F47566" w:rsidP="00F47566">
      <w:pPr>
        <w:pStyle w:val="Author"/>
        <w:rPr>
          <w:rFonts w:ascii="Times New Roman" w:hAnsi="Times New Roman"/>
          <w:bCs/>
          <w:i/>
          <w:iCs/>
          <w:sz w:val="28"/>
          <w:szCs w:val="28"/>
          <w:u w:val="single"/>
        </w:rPr>
      </w:pPr>
      <w:bookmarkStart w:id="0" w:name="_Hlk212623783"/>
      <w:r w:rsidRPr="00F47566">
        <w:rPr>
          <w:rFonts w:ascii="Times New Roman" w:hAnsi="Times New Roman"/>
          <w:bCs/>
          <w:i/>
          <w:iCs/>
          <w:sz w:val="28"/>
          <w:szCs w:val="28"/>
          <w:u w:val="single"/>
        </w:rPr>
        <w:t>Short Research Article</w:t>
      </w:r>
    </w:p>
    <w:p w14:paraId="2899DA3B" w14:textId="4495404B" w:rsidR="00A258C3" w:rsidRPr="00755E45" w:rsidRDefault="00755E45" w:rsidP="00755E45">
      <w:pPr>
        <w:pStyle w:val="Author"/>
        <w:spacing w:line="240" w:lineRule="auto"/>
        <w:rPr>
          <w:rFonts w:ascii="Arial" w:hAnsi="Arial" w:cs="Arial"/>
          <w:bCs/>
          <w:sz w:val="36"/>
        </w:rPr>
      </w:pPr>
      <w:r w:rsidRPr="00755E45">
        <w:rPr>
          <w:rFonts w:ascii="Times New Roman" w:hAnsi="Times New Roman"/>
          <w:bCs/>
          <w:sz w:val="28"/>
          <w:szCs w:val="28"/>
        </w:rPr>
        <w:t>The Structural Erosion and the Decline of Tourism’s GDP Share in Kerala</w:t>
      </w:r>
    </w:p>
    <w:bookmarkEnd w:id="0"/>
    <w:p w14:paraId="018221AF" w14:textId="6455BBA5"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7852D91D"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1178C99F" w14:textId="77777777" w:rsidTr="001E44FE">
        <w:tc>
          <w:tcPr>
            <w:tcW w:w="9576" w:type="dxa"/>
            <w:shd w:val="clear" w:color="auto" w:fill="F2F2F2"/>
          </w:tcPr>
          <w:p w14:paraId="6BEE0CE4" w14:textId="77777777" w:rsidR="00BA298F" w:rsidRPr="00BA298F" w:rsidRDefault="00BA298F" w:rsidP="00BA298F">
            <w:pPr>
              <w:spacing w:before="240"/>
              <w:jc w:val="both"/>
              <w:rPr>
                <w:rFonts w:ascii="Arial" w:hAnsi="Arial" w:cs="Arial"/>
              </w:rPr>
            </w:pPr>
            <w:r w:rsidRPr="00BA298F">
              <w:rPr>
                <w:rFonts w:ascii="Arial" w:hAnsi="Arial" w:cs="Arial"/>
              </w:rPr>
              <w:t>The paper analyses the role of foreign exchange earnings from tourism in Kerala, India. Tourism in Kerala has been often hailed as a key driver of economic growth in the state. The findings confirm a statistically significant positive relationship between foreign exchange earnings and state GDP. However, the descriptive evidence reveals a paradox: the overall share in of FEET in SGDP has steadily declined over the past three decades. The paper has revealed the structural erosion in the sector relative significance by analyzing the data from 1991 to 2023. This is mainly due to the explosive growth of non-tourism sectors in Kerala especially migrant remittances. The paper concludes that while tourism rema</w:t>
            </w:r>
            <w:bookmarkStart w:id="1" w:name="_GoBack"/>
            <w:bookmarkEnd w:id="1"/>
            <w:r w:rsidRPr="00BA298F">
              <w:rPr>
                <w:rFonts w:ascii="Arial" w:hAnsi="Arial" w:cs="Arial"/>
              </w:rPr>
              <w:t>ins a vital sector, its capacity to drive overall state growth is diminishing relative to external economic flows, necessitating targeted policy interventions to enhance tourist yield and diversify high-value tourism offerings.</w:t>
            </w:r>
          </w:p>
          <w:p w14:paraId="16608FC9" w14:textId="0DBF0B2F" w:rsidR="00505F06" w:rsidRPr="00BA1B01" w:rsidRDefault="00505F06" w:rsidP="00441B6F">
            <w:pPr>
              <w:pStyle w:val="Body"/>
              <w:spacing w:after="0"/>
              <w:rPr>
                <w:rFonts w:ascii="Arial" w:eastAsia="Calibri" w:hAnsi="Arial" w:cs="Arial"/>
                <w:szCs w:val="22"/>
              </w:rPr>
            </w:pPr>
          </w:p>
        </w:tc>
      </w:tr>
    </w:tbl>
    <w:p w14:paraId="61DB83B2" w14:textId="77777777" w:rsidR="00636EB2" w:rsidRDefault="00636EB2" w:rsidP="00441B6F">
      <w:pPr>
        <w:pStyle w:val="Body"/>
        <w:spacing w:after="0"/>
        <w:rPr>
          <w:rFonts w:ascii="Arial" w:hAnsi="Arial" w:cs="Arial"/>
          <w:i/>
        </w:rPr>
      </w:pPr>
    </w:p>
    <w:p w14:paraId="3D582093" w14:textId="1971957C" w:rsidR="00A24E7E" w:rsidRDefault="00A24E7E" w:rsidP="00441B6F">
      <w:pPr>
        <w:pStyle w:val="Body"/>
        <w:spacing w:after="0"/>
        <w:rPr>
          <w:rFonts w:ascii="Arial" w:hAnsi="Arial" w:cs="Arial"/>
          <w:i/>
        </w:rPr>
      </w:pPr>
      <w:r>
        <w:rPr>
          <w:rFonts w:ascii="Arial" w:hAnsi="Arial" w:cs="Arial"/>
          <w:i/>
        </w:rPr>
        <w:t xml:space="preserve">Keywords: </w:t>
      </w:r>
      <w:r w:rsidR="00BA298F" w:rsidRPr="00BA298F">
        <w:rPr>
          <w:rFonts w:ascii="Arial" w:hAnsi="Arial" w:cs="Arial"/>
        </w:rPr>
        <w:t>Tourist arrivals,</w:t>
      </w:r>
      <w:r w:rsidR="00BA298F" w:rsidRPr="00BA298F">
        <w:rPr>
          <w:rFonts w:ascii="Arial" w:hAnsi="Arial" w:cs="Arial"/>
          <w:b/>
          <w:bCs/>
        </w:rPr>
        <w:t xml:space="preserve"> </w:t>
      </w:r>
      <w:r w:rsidR="00BA298F" w:rsidRPr="00BA298F">
        <w:rPr>
          <w:rFonts w:ascii="Arial" w:hAnsi="Arial" w:cs="Arial"/>
        </w:rPr>
        <w:t>foreign exchange earnings, structural erosion, remittances, SGDP</w:t>
      </w:r>
    </w:p>
    <w:p w14:paraId="78E68A3B" w14:textId="77777777" w:rsidR="00790ADA" w:rsidRDefault="00790ADA" w:rsidP="00441B6F">
      <w:pPr>
        <w:pStyle w:val="Body"/>
        <w:spacing w:after="0"/>
        <w:rPr>
          <w:rFonts w:ascii="Arial" w:hAnsi="Arial" w:cs="Arial"/>
          <w:i/>
        </w:rPr>
      </w:pPr>
    </w:p>
    <w:p w14:paraId="0F89C894" w14:textId="22527DA6"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215D4C4F" w14:textId="77777777" w:rsidR="00BA298F" w:rsidRPr="00BA298F" w:rsidRDefault="00BA298F" w:rsidP="00C71650">
      <w:pPr>
        <w:spacing w:before="240" w:after="240"/>
        <w:jc w:val="both"/>
        <w:rPr>
          <w:rFonts w:ascii="Arial" w:hAnsi="Arial" w:cs="Arial"/>
        </w:rPr>
      </w:pPr>
      <w:r w:rsidRPr="00BA298F">
        <w:rPr>
          <w:rFonts w:ascii="Arial" w:hAnsi="Arial" w:cs="Arial"/>
        </w:rPr>
        <w:t xml:space="preserve">Kerala globally marketed as “God’s own country” has leveraged its natural and cultural assets to became a globally recognized tourism brand. For decades, the sector has boosted the employment, income and foreign exchange to the economy. </w:t>
      </w:r>
      <w:r w:rsidRPr="00BA298F">
        <w:rPr>
          <w:rFonts w:ascii="Arial" w:hAnsi="Arial" w:cs="Arial"/>
          <w:bCs/>
        </w:rPr>
        <w:t xml:space="preserve">There is a </w:t>
      </w:r>
      <w:proofErr w:type="spellStart"/>
      <w:r w:rsidRPr="00BA298F">
        <w:rPr>
          <w:rFonts w:ascii="Arial" w:hAnsi="Arial" w:cs="Arial"/>
          <w:bCs/>
        </w:rPr>
        <w:t>tonne</w:t>
      </w:r>
      <w:proofErr w:type="spellEnd"/>
      <w:r w:rsidRPr="00BA298F">
        <w:rPr>
          <w:rFonts w:ascii="Arial" w:hAnsi="Arial" w:cs="Arial"/>
          <w:bCs/>
        </w:rPr>
        <w:t xml:space="preserve"> of literature highlighting the role of tourism as a growth driver. The tourism sector is expanding quickly and plays a significant role in economic development and growth (</w:t>
      </w:r>
      <w:proofErr w:type="spellStart"/>
      <w:r w:rsidRPr="00BA298F">
        <w:rPr>
          <w:rFonts w:ascii="Arial" w:hAnsi="Arial" w:cs="Arial"/>
          <w:shd w:val="clear" w:color="auto" w:fill="FFFFFF"/>
        </w:rPr>
        <w:t>Nugraha</w:t>
      </w:r>
      <w:proofErr w:type="spellEnd"/>
      <w:r w:rsidRPr="00BA298F">
        <w:rPr>
          <w:rFonts w:ascii="Arial" w:hAnsi="Arial" w:cs="Arial"/>
          <w:shd w:val="clear" w:color="auto" w:fill="FFFFFF"/>
        </w:rPr>
        <w:t>, I. G. P et.al. 2021)</w:t>
      </w:r>
      <w:r w:rsidRPr="00BA298F">
        <w:rPr>
          <w:rFonts w:ascii="Arial" w:hAnsi="Arial" w:cs="Arial"/>
          <w:b/>
        </w:rPr>
        <w:t>.</w:t>
      </w:r>
      <w:r w:rsidRPr="00BA298F">
        <w:rPr>
          <w:rFonts w:ascii="Arial" w:hAnsi="Arial" w:cs="Arial"/>
          <w:bCs/>
        </w:rPr>
        <w:t xml:space="preserve"> The tourism industry has a significant impact on economic growth because it fosters commercial activity that significantly increases growth, development, and demand (</w:t>
      </w:r>
      <w:r w:rsidRPr="00BA298F">
        <w:rPr>
          <w:rFonts w:ascii="Arial" w:hAnsi="Arial" w:cs="Arial"/>
          <w:shd w:val="clear" w:color="auto" w:fill="FFFFFF"/>
        </w:rPr>
        <w:t>Mishra, R. K., et.al. 2022)</w:t>
      </w:r>
      <w:r w:rsidRPr="00BA298F">
        <w:rPr>
          <w:rFonts w:ascii="Arial" w:hAnsi="Arial" w:cs="Arial"/>
          <w:bCs/>
        </w:rPr>
        <w:t>. The global travel and tourism sector has been expanding and now accounts for 10% of the world's gross domestic product. Additionally,</w:t>
      </w:r>
      <w:r w:rsidRPr="00BA298F">
        <w:rPr>
          <w:rFonts w:ascii="Arial" w:hAnsi="Arial" w:cs="Arial"/>
        </w:rPr>
        <w:t xml:space="preserve"> t</w:t>
      </w:r>
      <w:r w:rsidRPr="00BA298F">
        <w:rPr>
          <w:rFonts w:ascii="Arial" w:hAnsi="Arial" w:cs="Arial"/>
          <w:bCs/>
        </w:rPr>
        <w:t>he tourism industry employs about 10% of all workers worldwide. The connection between economic development and tourism activity has been examined in many literatures. According to researches, the expansion of the economy and the level of tourism are interdependent. As tourism activities increases in an area growth also increases (</w:t>
      </w:r>
      <w:r w:rsidRPr="00BA298F">
        <w:rPr>
          <w:rFonts w:ascii="Arial" w:hAnsi="Arial" w:cs="Arial"/>
          <w:shd w:val="clear" w:color="auto" w:fill="FFFFFF"/>
        </w:rPr>
        <w:t>de Paula et.al 2021)</w:t>
      </w:r>
      <w:r w:rsidRPr="00BA298F">
        <w:rPr>
          <w:rFonts w:ascii="Arial" w:hAnsi="Arial" w:cs="Arial"/>
          <w:bCs/>
        </w:rPr>
        <w:t xml:space="preserve">. The significance of tourism industry in the economic growth has been also assessed by </w:t>
      </w:r>
      <w:r w:rsidRPr="00BA298F">
        <w:rPr>
          <w:rFonts w:ascii="Arial" w:hAnsi="Arial" w:cs="Arial"/>
        </w:rPr>
        <w:t>many researchers. They suggested that tourism contributes significantly to the nation's foreign exchange reserves and provides both direct and indirect employment for a significant portion of the population. Additionally, it would promote national unity and international brotherhood by fostering the nation's artistic and cultural traditions in order to preserve the natural beauty, historical significance, and cultural legacies of the nation (</w:t>
      </w:r>
      <w:proofErr w:type="spellStart"/>
      <w:r w:rsidRPr="00BA298F">
        <w:rPr>
          <w:rFonts w:ascii="Arial" w:hAnsi="Arial" w:cs="Arial"/>
          <w:shd w:val="clear" w:color="auto" w:fill="FFFFFF"/>
        </w:rPr>
        <w:t>Thommandru</w:t>
      </w:r>
      <w:proofErr w:type="spellEnd"/>
      <w:r w:rsidRPr="00BA298F">
        <w:rPr>
          <w:rFonts w:ascii="Arial" w:hAnsi="Arial" w:cs="Arial"/>
          <w:shd w:val="clear" w:color="auto" w:fill="FFFFFF"/>
        </w:rPr>
        <w:t>, A et.al. 2023)</w:t>
      </w:r>
      <w:r w:rsidRPr="00BA298F">
        <w:rPr>
          <w:rFonts w:ascii="Arial" w:hAnsi="Arial" w:cs="Arial"/>
        </w:rPr>
        <w:t xml:space="preserve">. </w:t>
      </w:r>
      <w:r w:rsidRPr="00BA298F">
        <w:rPr>
          <w:rFonts w:ascii="Arial" w:hAnsi="Arial" w:cs="Arial"/>
          <w:bCs/>
        </w:rPr>
        <w:t>A study on the connection between Taiwan's tourism industry development and economic expansion has looked at the causal link between Taiwan's economic growth and tourism expansion. The direction of causality between economic growth and tourism expansion in Taiwan was determined by the authors using the Granger causality test. According to test results, there is a long-term equilibrium relationship and also a causal relationship in both directions between the two factors (</w:t>
      </w:r>
      <w:r w:rsidRPr="00BA298F">
        <w:rPr>
          <w:rFonts w:ascii="Arial" w:hAnsi="Arial" w:cs="Arial"/>
          <w:shd w:val="clear" w:color="auto" w:fill="FFFFFF"/>
        </w:rPr>
        <w:t>Kim, H. J., &amp; Chen, M. H. 2006)</w:t>
      </w:r>
      <w:r w:rsidRPr="00BA298F">
        <w:rPr>
          <w:rFonts w:ascii="Arial" w:hAnsi="Arial" w:cs="Arial"/>
          <w:bCs/>
        </w:rPr>
        <w:t xml:space="preserve">. </w:t>
      </w:r>
    </w:p>
    <w:p w14:paraId="13453F81" w14:textId="77777777" w:rsidR="00BA298F" w:rsidRPr="00BA298F" w:rsidRDefault="00BA298F" w:rsidP="00C71650">
      <w:pPr>
        <w:spacing w:after="240"/>
        <w:jc w:val="both"/>
        <w:rPr>
          <w:rFonts w:ascii="Arial" w:hAnsi="Arial" w:cs="Arial"/>
          <w:bCs/>
        </w:rPr>
      </w:pPr>
      <w:r w:rsidRPr="00BA298F">
        <w:rPr>
          <w:rFonts w:ascii="Arial" w:hAnsi="Arial" w:cs="Arial"/>
          <w:bCs/>
        </w:rPr>
        <w:lastRenderedPageBreak/>
        <w:t>A study has</w:t>
      </w:r>
      <w:r w:rsidRPr="00BA298F">
        <w:rPr>
          <w:rFonts w:ascii="Arial" w:hAnsi="Arial" w:cs="Arial"/>
          <w:b/>
        </w:rPr>
        <w:t xml:space="preserve"> </w:t>
      </w:r>
      <w:r w:rsidRPr="00BA298F">
        <w:rPr>
          <w:rFonts w:ascii="Arial" w:hAnsi="Arial" w:cs="Arial"/>
          <w:bCs/>
        </w:rPr>
        <w:t>examined the effect of the tourism industry on the economic growth and development of Latin American countries within the framework of the traditional neoclassical growth model using panel data from seventeen Latin American countries for the years that span from 1995 to 2004. The empirical findings demonstrate that tourism-related revenues, along with investments in both human and physical capital, positively contribute to Latin American countries' current levels of gross domestic product and economic growth (</w:t>
      </w:r>
      <w:proofErr w:type="spellStart"/>
      <w:r w:rsidRPr="00BA298F">
        <w:rPr>
          <w:rFonts w:ascii="Arial" w:hAnsi="Arial" w:cs="Arial"/>
          <w:shd w:val="clear" w:color="auto" w:fill="FFFFFF"/>
        </w:rPr>
        <w:t>Fayissa</w:t>
      </w:r>
      <w:proofErr w:type="spellEnd"/>
      <w:r w:rsidRPr="00BA298F">
        <w:rPr>
          <w:rFonts w:ascii="Arial" w:hAnsi="Arial" w:cs="Arial"/>
          <w:shd w:val="clear" w:color="auto" w:fill="FFFFFF"/>
        </w:rPr>
        <w:t>, B et.al 2009)</w:t>
      </w:r>
      <w:r w:rsidRPr="00BA298F">
        <w:rPr>
          <w:rFonts w:ascii="Arial" w:hAnsi="Arial" w:cs="Arial"/>
          <w:bCs/>
        </w:rPr>
        <w:t xml:space="preserve">. </w:t>
      </w:r>
      <w:r w:rsidRPr="00BA298F">
        <w:rPr>
          <w:rFonts w:ascii="Arial" w:hAnsi="Arial" w:cs="Arial"/>
        </w:rPr>
        <w:t>Another study</w:t>
      </w:r>
      <w:r w:rsidRPr="00BA298F">
        <w:rPr>
          <w:rFonts w:ascii="Arial" w:hAnsi="Arial" w:cs="Arial"/>
          <w:b/>
          <w:bCs/>
        </w:rPr>
        <w:t xml:space="preserve"> </w:t>
      </w:r>
      <w:r w:rsidRPr="00BA298F">
        <w:rPr>
          <w:rFonts w:ascii="Arial" w:hAnsi="Arial" w:cs="Arial"/>
        </w:rPr>
        <w:t>has explored the connection between tourism and economic growth in Latin American nations between 1985 and 1998. The research results demonstrate that, unlike developed nations, medium- or low-income countries can benefit from tourism development's ability to boost their economies (</w:t>
      </w:r>
      <w:r w:rsidRPr="00BA298F">
        <w:rPr>
          <w:rFonts w:ascii="Arial" w:hAnsi="Arial" w:cs="Arial"/>
          <w:shd w:val="clear" w:color="auto" w:fill="FFFFFF"/>
        </w:rPr>
        <w:t>Eugenio-Martin et.al. 2004)</w:t>
      </w:r>
      <w:r w:rsidRPr="00BA298F">
        <w:rPr>
          <w:rFonts w:ascii="Arial" w:hAnsi="Arial" w:cs="Arial"/>
        </w:rPr>
        <w:t xml:space="preserve">. Yet another study has tried to ascertain the effect of the tourism industry on economic growth in Jordan from 1990 to 2008 found out that the tourism industry has seen significant growth in terms of tourism services, infrastructure, legalizations, institutional framework, and visitor numbers. The study also showed that the tourism sector's contributions to GDP between 1990 and 2008 ranged from 12.3 to 14.6%, and that these contributions increased in the employment field to reach 2.5% of total recruitment of </w:t>
      </w:r>
      <w:proofErr w:type="spellStart"/>
      <w:r w:rsidRPr="00BA298F">
        <w:rPr>
          <w:rFonts w:ascii="Arial" w:hAnsi="Arial" w:cs="Arial"/>
        </w:rPr>
        <w:t>labourers</w:t>
      </w:r>
      <w:proofErr w:type="spellEnd"/>
      <w:r w:rsidRPr="00BA298F">
        <w:rPr>
          <w:rFonts w:ascii="Arial" w:hAnsi="Arial" w:cs="Arial"/>
        </w:rPr>
        <w:t xml:space="preserve"> (</w:t>
      </w:r>
      <w:proofErr w:type="spellStart"/>
      <w:r w:rsidRPr="00BA298F">
        <w:rPr>
          <w:rFonts w:ascii="Arial" w:hAnsi="Arial" w:cs="Arial"/>
          <w:shd w:val="clear" w:color="auto" w:fill="FFFFFF"/>
        </w:rPr>
        <w:t>Aliqah</w:t>
      </w:r>
      <w:proofErr w:type="spellEnd"/>
      <w:r w:rsidRPr="00BA298F">
        <w:rPr>
          <w:rFonts w:ascii="Arial" w:hAnsi="Arial" w:cs="Arial"/>
          <w:shd w:val="clear" w:color="auto" w:fill="FFFFFF"/>
        </w:rPr>
        <w:t>, K. M. A., &amp; Al-</w:t>
      </w:r>
      <w:proofErr w:type="spellStart"/>
      <w:r w:rsidRPr="00BA298F">
        <w:rPr>
          <w:rFonts w:ascii="Arial" w:hAnsi="Arial" w:cs="Arial"/>
          <w:shd w:val="clear" w:color="auto" w:fill="FFFFFF"/>
        </w:rPr>
        <w:t>rfou</w:t>
      </w:r>
      <w:proofErr w:type="spellEnd"/>
      <w:r w:rsidRPr="00BA298F">
        <w:rPr>
          <w:rFonts w:ascii="Arial" w:hAnsi="Arial" w:cs="Arial"/>
          <w:shd w:val="clear" w:color="auto" w:fill="FFFFFF"/>
        </w:rPr>
        <w:t>, A. N. 2010)</w:t>
      </w:r>
      <w:r w:rsidRPr="00BA298F">
        <w:rPr>
          <w:rFonts w:ascii="Arial" w:hAnsi="Arial" w:cs="Arial"/>
        </w:rPr>
        <w:t>.</w:t>
      </w:r>
    </w:p>
    <w:p w14:paraId="62A1F24E" w14:textId="77777777" w:rsidR="00BA298F" w:rsidRPr="00BA298F" w:rsidRDefault="00BA298F" w:rsidP="00C71650">
      <w:pPr>
        <w:spacing w:after="240"/>
        <w:jc w:val="both"/>
        <w:rPr>
          <w:rFonts w:ascii="Arial" w:hAnsi="Arial" w:cs="Arial"/>
          <w:bCs/>
        </w:rPr>
      </w:pPr>
      <w:r w:rsidRPr="00BA298F">
        <w:rPr>
          <w:rFonts w:ascii="Arial" w:hAnsi="Arial" w:cs="Arial"/>
          <w:bCs/>
        </w:rPr>
        <w:t>The challenges faced by tourism industry has also been analyzed in many literatures. The cross-border impacts of terrorism on visitor arrivals in the Mediterranean region demonstrated that the tourism sector is in fact susceptible to terrorism. In particular, their research has produced three conclusions: (1) Terrorism can result in a significant drop in tourist arrivals to these nations; (2) the number of casualties and the location of terrorist incidents can have a significant impact on the affected nations; and (3) when one of the nation’s experiences a terrorist-related incident, it is clear that Greece and Turkey can be substituted as tourist destinations (</w:t>
      </w:r>
      <w:r w:rsidRPr="00BA298F">
        <w:rPr>
          <w:rFonts w:ascii="Arial" w:hAnsi="Arial" w:cs="Arial"/>
          <w:shd w:val="clear" w:color="auto" w:fill="FFFFFF"/>
        </w:rPr>
        <w:t>Drakos, K., &amp; Kutan, A. M. 2001, 2003)</w:t>
      </w:r>
      <w:r w:rsidRPr="00BA298F">
        <w:rPr>
          <w:rFonts w:ascii="Arial" w:hAnsi="Arial" w:cs="Arial"/>
          <w:bCs/>
        </w:rPr>
        <w:t xml:space="preserve">. A Recent study has examined the challenges exerted by Covid-19 pandemic in tourism industry. The study analyzed how international travel initially facilitated the Corona virus's spread and the resulting immense economic pressure placed on the tourism sector. Its core argument is that the industry cannot merely return to its pre-pandemic state; instead, future recovery and growth must prioritize </w:t>
      </w:r>
      <w:r w:rsidRPr="00BA298F">
        <w:rPr>
          <w:rFonts w:ascii="Arial" w:hAnsi="Arial" w:cs="Arial"/>
        </w:rPr>
        <w:t>pandemic resilience and health security (</w:t>
      </w:r>
      <w:r w:rsidRPr="00BA298F">
        <w:rPr>
          <w:rFonts w:ascii="Arial" w:hAnsi="Arial" w:cs="Arial"/>
          <w:shd w:val="clear" w:color="auto" w:fill="FFFFFF"/>
        </w:rPr>
        <w:t xml:space="preserve">Cherian A M &amp; </w:t>
      </w:r>
      <w:proofErr w:type="spellStart"/>
      <w:r w:rsidRPr="00BA298F">
        <w:rPr>
          <w:rFonts w:ascii="Arial" w:hAnsi="Arial" w:cs="Arial"/>
          <w:shd w:val="clear" w:color="auto" w:fill="FFFFFF"/>
        </w:rPr>
        <w:t>Natarajamurthy</w:t>
      </w:r>
      <w:proofErr w:type="spellEnd"/>
      <w:r w:rsidRPr="00BA298F">
        <w:rPr>
          <w:rFonts w:ascii="Arial" w:hAnsi="Arial" w:cs="Arial"/>
          <w:shd w:val="clear" w:color="auto" w:fill="FFFFFF"/>
        </w:rPr>
        <w:t xml:space="preserve"> P. 2024)</w:t>
      </w:r>
      <w:r w:rsidRPr="00BA298F">
        <w:rPr>
          <w:rFonts w:ascii="Arial" w:hAnsi="Arial" w:cs="Arial"/>
          <w:bCs/>
        </w:rPr>
        <w:t xml:space="preserve">. Another paper reviews the evolution of tourism's spatial patterns, noting that historical changes have been largely </w:t>
      </w:r>
      <w:r w:rsidRPr="00BA298F">
        <w:rPr>
          <w:rFonts w:ascii="Arial" w:hAnsi="Arial" w:cs="Arial"/>
        </w:rPr>
        <w:t>evolutionary.</w:t>
      </w:r>
      <w:r w:rsidRPr="00BA298F">
        <w:rPr>
          <w:rFonts w:ascii="Arial" w:hAnsi="Arial" w:cs="Arial"/>
          <w:bCs/>
        </w:rPr>
        <w:t xml:space="preserve"> The study found out that after Covid-19 pandemic people have preferred closer-to-home tourism (</w:t>
      </w:r>
      <w:r w:rsidRPr="00BA298F">
        <w:rPr>
          <w:rFonts w:ascii="Arial" w:hAnsi="Arial" w:cs="Arial"/>
        </w:rPr>
        <w:t>Butler RW 2025)</w:t>
      </w:r>
      <w:r w:rsidRPr="00BA298F">
        <w:rPr>
          <w:rFonts w:ascii="Arial" w:hAnsi="Arial" w:cs="Arial"/>
          <w:bCs/>
        </w:rPr>
        <w:t>.</w:t>
      </w:r>
    </w:p>
    <w:p w14:paraId="79D98E3F" w14:textId="77777777" w:rsidR="00BA298F" w:rsidRPr="00BA298F" w:rsidRDefault="00BA298F" w:rsidP="00C71650">
      <w:pPr>
        <w:spacing w:after="240"/>
        <w:jc w:val="both"/>
        <w:rPr>
          <w:rFonts w:ascii="Arial" w:hAnsi="Arial" w:cs="Arial"/>
          <w:shd w:val="clear" w:color="auto" w:fill="FFFFFF"/>
        </w:rPr>
      </w:pPr>
      <w:r w:rsidRPr="00BA298F">
        <w:rPr>
          <w:rFonts w:ascii="Arial" w:hAnsi="Arial" w:cs="Arial"/>
          <w:lang w:eastAsia="en-IN"/>
        </w:rPr>
        <w:t>Enormous literatures have carried out exceptional analyses on the growth of tourism industry in Kerala. The tourism sector has shown a tremendous growth over the past three decades (</w:t>
      </w:r>
      <w:r w:rsidRPr="00BA298F">
        <w:rPr>
          <w:rFonts w:ascii="Arial" w:hAnsi="Arial" w:cs="Arial"/>
          <w:shd w:val="clear" w:color="auto" w:fill="FFFFFF"/>
        </w:rPr>
        <w:t>Praveen, A. 2024)</w:t>
      </w:r>
      <w:r w:rsidRPr="00BA298F">
        <w:rPr>
          <w:rFonts w:ascii="Arial" w:hAnsi="Arial" w:cs="Arial"/>
          <w:lang w:eastAsia="en-IN"/>
        </w:rPr>
        <w:t>. The growth of tourism has been analyzed on the basis of foreign tourist arrivals, domestic tourist arrivals and foreign exchange earnings have increased drastically from 1991 to 2022 (</w:t>
      </w:r>
      <w:r w:rsidRPr="00BA298F">
        <w:rPr>
          <w:rFonts w:ascii="Arial" w:hAnsi="Arial" w:cs="Arial"/>
          <w:shd w:val="clear" w:color="auto" w:fill="FFFFFF"/>
        </w:rPr>
        <w:t xml:space="preserve">Cherian A M &amp; </w:t>
      </w:r>
      <w:proofErr w:type="spellStart"/>
      <w:r w:rsidRPr="00BA298F">
        <w:rPr>
          <w:rFonts w:ascii="Arial" w:hAnsi="Arial" w:cs="Arial"/>
          <w:shd w:val="clear" w:color="auto" w:fill="FFFFFF"/>
        </w:rPr>
        <w:t>Natarajamurthy</w:t>
      </w:r>
      <w:proofErr w:type="spellEnd"/>
      <w:r w:rsidRPr="00BA298F">
        <w:rPr>
          <w:rFonts w:ascii="Arial" w:hAnsi="Arial" w:cs="Arial"/>
          <w:shd w:val="clear" w:color="auto" w:fill="FFFFFF"/>
        </w:rPr>
        <w:t xml:space="preserve"> P. 2023)</w:t>
      </w:r>
      <w:r w:rsidRPr="00BA298F">
        <w:rPr>
          <w:rFonts w:ascii="Arial" w:hAnsi="Arial" w:cs="Arial"/>
          <w:lang w:eastAsia="en-IN"/>
        </w:rPr>
        <w:t xml:space="preserve">. </w:t>
      </w:r>
      <w:r w:rsidRPr="00BA298F">
        <w:rPr>
          <w:rFonts w:ascii="Arial" w:hAnsi="Arial" w:cs="Arial"/>
          <w:shd w:val="clear" w:color="auto" w:fill="FFFFFF"/>
        </w:rPr>
        <w:t xml:space="preserve">Netto N has also analyzed the trend of tourist arrivals to Kerala from 1990 to 2000. In the study it was found that after 1990 foreign tourist arrivals, domestic tourist arrivals and foreign exchange earnings has undergone a remarkable increase over the decade. The study also found that the government over the years has allotted only very little for tourism development but after 1995 the priority has shifted towards tourism sector it was evident from the plan allocations. The study has also concentrated on the role of government, agencies and private sector for the development of tourism in Kerala. The study has criticized Kerala for formulating the tourism policy only 39 years after the formation of the State. The study has recognized Kerala’s tourism potential like wildlife tourism, ecotourism, pilgrimage tourism etc. But has also recognized its negative socio-economic, cultural and environmental impact. Study suggest that a proper planning and policy implementation can boost tourism growth in Kerala (Netto, N. 2004). </w:t>
      </w:r>
    </w:p>
    <w:p w14:paraId="2A330704" w14:textId="77777777" w:rsidR="00BA298F" w:rsidRPr="00BA298F" w:rsidRDefault="00BA298F" w:rsidP="00C71650">
      <w:pPr>
        <w:spacing w:after="240"/>
        <w:jc w:val="both"/>
        <w:rPr>
          <w:rFonts w:ascii="Arial" w:hAnsi="Arial" w:cs="Arial"/>
        </w:rPr>
      </w:pPr>
      <w:r w:rsidRPr="00BA298F">
        <w:rPr>
          <w:rFonts w:ascii="Arial" w:hAnsi="Arial" w:cs="Arial"/>
        </w:rPr>
        <w:lastRenderedPageBreak/>
        <w:t xml:space="preserve">Despite Kerala’s commendable status, its tourism sector experiences certain unique challenges especially, structural erosion. Structural erosion does not mean that tourism is failing or declining in absolute terms; rather, it describes the marginalization of tourism's relative importance in State Gross Domestic Product (SGDP). Most existing studies focus on tourism led economic growth and confirmed a positive statistical relationship between FEET and SGDP. However, they fail to quantify how the continuous, high-magnitude growth in non-tourism sectors has steadily marginalized tourism's overall share over time. The central objective of this paper is to bring into light this structural erosion of tourism exports in Kerala since 1990. This paper addresses this research gap by undertaking a two-fold analysis. First, it employs an Ordinary Least Squares (OLS) regression model on the growth rates of FEET and SGDP to rigorously test the relationship. Second, and more critically, it conducts a descriptive time-series analysis of the structural share of FEET in SGDP to quantify the extent of the long-term erosion. </w:t>
      </w:r>
    </w:p>
    <w:p w14:paraId="02A0EF50" w14:textId="77777777" w:rsidR="00BA298F" w:rsidRPr="00BA298F" w:rsidRDefault="00BA298F" w:rsidP="00C71650">
      <w:pPr>
        <w:spacing w:before="240"/>
        <w:jc w:val="both"/>
        <w:rPr>
          <w:rFonts w:ascii="Arial" w:hAnsi="Arial" w:cs="Arial"/>
        </w:rPr>
      </w:pPr>
      <w:r w:rsidRPr="00BA298F">
        <w:rPr>
          <w:rFonts w:ascii="Arial" w:hAnsi="Arial" w:cs="Arial"/>
        </w:rPr>
        <w:t>Based on the research problem of the structural erosion of tourism's relative economic share, the specific objectives of the study are:</w:t>
      </w:r>
    </w:p>
    <w:p w14:paraId="73096EC8" w14:textId="77777777" w:rsidR="00BA298F" w:rsidRPr="00BA298F" w:rsidRDefault="00BA298F" w:rsidP="00BA298F">
      <w:pPr>
        <w:numPr>
          <w:ilvl w:val="0"/>
          <w:numId w:val="31"/>
        </w:numPr>
        <w:jc w:val="both"/>
        <w:rPr>
          <w:rFonts w:ascii="Arial" w:hAnsi="Arial" w:cs="Arial"/>
        </w:rPr>
      </w:pPr>
      <w:r w:rsidRPr="00BA298F">
        <w:rPr>
          <w:rFonts w:ascii="Arial" w:hAnsi="Arial" w:cs="Arial"/>
        </w:rPr>
        <w:t>To analyze the relationship between Foreign Exchange Earnings from Tourism (FEET) and State Gross Domestic Product (SGDP) in Kerala since 1991.</w:t>
      </w:r>
    </w:p>
    <w:p w14:paraId="4BEBDAA1" w14:textId="77777777" w:rsidR="00BA298F" w:rsidRPr="00BA298F" w:rsidRDefault="00BA298F" w:rsidP="00BA298F">
      <w:pPr>
        <w:numPr>
          <w:ilvl w:val="0"/>
          <w:numId w:val="31"/>
        </w:numPr>
        <w:jc w:val="both"/>
        <w:rPr>
          <w:rFonts w:ascii="Arial" w:hAnsi="Arial" w:cs="Arial"/>
        </w:rPr>
      </w:pPr>
      <w:r w:rsidRPr="00BA298F">
        <w:rPr>
          <w:rFonts w:ascii="Arial" w:hAnsi="Arial" w:cs="Arial"/>
        </w:rPr>
        <w:t>To examine the long-term trend of the relative share of FEET in SGDP to determine the extent of structural erosion over the study period.</w:t>
      </w:r>
    </w:p>
    <w:p w14:paraId="0CFEF257" w14:textId="77777777" w:rsidR="00790ADA" w:rsidRPr="00FB3A86" w:rsidRDefault="00790ADA" w:rsidP="00441B6F">
      <w:pPr>
        <w:pStyle w:val="Body"/>
        <w:spacing w:after="0"/>
        <w:rPr>
          <w:rFonts w:ascii="Arial" w:hAnsi="Arial" w:cs="Arial"/>
        </w:rPr>
      </w:pPr>
    </w:p>
    <w:p w14:paraId="2BA39A58" w14:textId="119726AC" w:rsidR="007F7B32" w:rsidRDefault="00902823" w:rsidP="00441B6F">
      <w:pPr>
        <w:pStyle w:val="AbstHead"/>
        <w:spacing w:after="0"/>
        <w:jc w:val="both"/>
        <w:rPr>
          <w:rFonts w:ascii="Arial" w:hAnsi="Arial" w:cs="Arial"/>
        </w:rPr>
      </w:pPr>
      <w:r>
        <w:rPr>
          <w:rFonts w:ascii="Arial" w:hAnsi="Arial" w:cs="Arial"/>
        </w:rPr>
        <w:t xml:space="preserve">2. </w:t>
      </w:r>
      <w:r w:rsidR="006B57D0">
        <w:rPr>
          <w:rFonts w:ascii="Arial" w:hAnsi="Arial" w:cs="Arial"/>
        </w:rPr>
        <w:t>methodology</w:t>
      </w:r>
    </w:p>
    <w:p w14:paraId="3E64F849" w14:textId="77777777" w:rsidR="00790ADA" w:rsidRPr="00FB3A86" w:rsidRDefault="00790ADA" w:rsidP="00441B6F">
      <w:pPr>
        <w:pStyle w:val="AbstHead"/>
        <w:spacing w:after="0"/>
        <w:jc w:val="both"/>
        <w:rPr>
          <w:rFonts w:ascii="Arial" w:hAnsi="Arial" w:cs="Arial"/>
        </w:rPr>
      </w:pPr>
    </w:p>
    <w:p w14:paraId="368E9E28" w14:textId="77777777" w:rsidR="00BA298F" w:rsidRPr="00BA298F" w:rsidRDefault="00BA298F" w:rsidP="00BA298F">
      <w:pPr>
        <w:jc w:val="both"/>
        <w:rPr>
          <w:rFonts w:ascii="Arial" w:hAnsi="Arial" w:cs="Arial"/>
        </w:rPr>
      </w:pPr>
      <w:r w:rsidRPr="00BA298F">
        <w:rPr>
          <w:rFonts w:ascii="Arial" w:hAnsi="Arial" w:cs="Arial"/>
        </w:rPr>
        <w:t xml:space="preserve">The study employs dual method to analyze the relationship between FEET and SGDP and to quantify the structural erosion. The study concentrates on secondary data collected mainly from Economic Review and Tourism Statistics. </w:t>
      </w:r>
    </w:p>
    <w:p w14:paraId="185630F6" w14:textId="44E9C2C3" w:rsidR="00BA298F" w:rsidRPr="00BA298F" w:rsidRDefault="00BA298F" w:rsidP="00C71650">
      <w:pPr>
        <w:pStyle w:val="ListParagraph"/>
        <w:numPr>
          <w:ilvl w:val="1"/>
          <w:numId w:val="35"/>
        </w:numPr>
        <w:spacing w:before="240"/>
        <w:rPr>
          <w:rFonts w:ascii="Arial" w:hAnsi="Arial" w:cs="Arial"/>
          <w:b/>
          <w:bCs/>
          <w:sz w:val="20"/>
          <w:szCs w:val="20"/>
        </w:rPr>
      </w:pPr>
      <w:r w:rsidRPr="00BA298F">
        <w:rPr>
          <w:rFonts w:ascii="Arial" w:hAnsi="Arial" w:cs="Arial"/>
          <w:b/>
          <w:bCs/>
          <w:sz w:val="20"/>
          <w:szCs w:val="20"/>
        </w:rPr>
        <w:t>Data and Variable Definition</w:t>
      </w:r>
    </w:p>
    <w:p w14:paraId="7A22C183" w14:textId="1DAE514C" w:rsidR="00C71650" w:rsidRDefault="00BA298F" w:rsidP="00C71650">
      <w:pPr>
        <w:spacing w:after="240"/>
        <w:jc w:val="both"/>
        <w:rPr>
          <w:rFonts w:ascii="Arial" w:hAnsi="Arial" w:cs="Arial"/>
        </w:rPr>
      </w:pPr>
      <w:r w:rsidRPr="00BA298F">
        <w:rPr>
          <w:rFonts w:ascii="Arial" w:hAnsi="Arial" w:cs="Arial"/>
        </w:rPr>
        <w:t>The analysis utilizes annual time-series data for the state of Kerala spanning the period from 1991–2019.</w:t>
      </w:r>
      <w:r w:rsidR="00C71650">
        <w:rPr>
          <w:rFonts w:ascii="Arial" w:hAnsi="Arial" w:cs="Arial"/>
        </w:rPr>
        <w:t xml:space="preserve"> The variables details are given below.</w:t>
      </w:r>
    </w:p>
    <w:p w14:paraId="185A2306" w14:textId="00A7CBF9" w:rsidR="00BE36B1" w:rsidRPr="00BA298F" w:rsidRDefault="00BE36B1" w:rsidP="00C71650">
      <w:pPr>
        <w:spacing w:after="240"/>
        <w:jc w:val="both"/>
        <w:rPr>
          <w:rFonts w:ascii="Arial" w:hAnsi="Arial" w:cs="Arial"/>
        </w:rPr>
      </w:pPr>
      <w:r>
        <w:rPr>
          <w:rFonts w:ascii="Arial" w:hAnsi="Arial" w:cs="Arial"/>
        </w:rPr>
        <w:t xml:space="preserve">List </w:t>
      </w:r>
      <w:proofErr w:type="gramStart"/>
      <w:r>
        <w:rPr>
          <w:rFonts w:ascii="Arial" w:hAnsi="Arial" w:cs="Arial"/>
        </w:rPr>
        <w:t>1 :</w:t>
      </w:r>
      <w:proofErr w:type="gramEnd"/>
      <w:r>
        <w:rPr>
          <w:rFonts w:ascii="Arial" w:hAnsi="Arial" w:cs="Arial"/>
        </w:rPr>
        <w:t xml:space="preserve"> </w:t>
      </w:r>
      <w:r w:rsidR="00920C55" w:rsidRPr="00920C55">
        <w:rPr>
          <w:rFonts w:ascii="Arial" w:hAnsi="Arial" w:cs="Arial"/>
          <w:b/>
          <w:bCs/>
        </w:rPr>
        <w:t>Description of Variables Used in the Study</w:t>
      </w:r>
    </w:p>
    <w:tbl>
      <w:tblPr>
        <w:tblStyle w:val="PlainTable2"/>
        <w:tblW w:w="9157" w:type="dxa"/>
        <w:tblLook w:val="04A0" w:firstRow="1" w:lastRow="0" w:firstColumn="1" w:lastColumn="0" w:noHBand="0" w:noVBand="1"/>
      </w:tblPr>
      <w:tblGrid>
        <w:gridCol w:w="2197"/>
        <w:gridCol w:w="1439"/>
        <w:gridCol w:w="3052"/>
        <w:gridCol w:w="2469"/>
      </w:tblGrid>
      <w:tr w:rsidR="00BA298F" w:rsidRPr="00BA298F" w14:paraId="2AC4F3F4" w14:textId="77777777" w:rsidTr="00C71650">
        <w:trPr>
          <w:cnfStyle w:val="100000000000" w:firstRow="1" w:lastRow="0" w:firstColumn="0" w:lastColumn="0" w:oddVBand="0" w:evenVBand="0" w:oddHBand="0" w:evenHBand="0" w:firstRowFirstColumn="0" w:firstRowLastColumn="0" w:lastRowFirstColumn="0" w:lastRowLastColumn="0"/>
          <w:trHeight w:val="175"/>
        </w:trPr>
        <w:tc>
          <w:tcPr>
            <w:cnfStyle w:val="001000000000" w:firstRow="0" w:lastRow="0" w:firstColumn="1" w:lastColumn="0" w:oddVBand="0" w:evenVBand="0" w:oddHBand="0" w:evenHBand="0" w:firstRowFirstColumn="0" w:firstRowLastColumn="0" w:lastRowFirstColumn="0" w:lastRowLastColumn="0"/>
            <w:tcW w:w="0" w:type="auto"/>
            <w:hideMark/>
          </w:tcPr>
          <w:p w14:paraId="663C9E08" w14:textId="77777777" w:rsidR="00BA298F" w:rsidRPr="00BA298F" w:rsidRDefault="00BA298F" w:rsidP="003824C9">
            <w:pPr>
              <w:rPr>
                <w:rFonts w:ascii="Arial" w:hAnsi="Arial" w:cs="Arial"/>
                <w:b w:val="0"/>
                <w:bCs w:val="0"/>
              </w:rPr>
            </w:pPr>
            <w:r w:rsidRPr="00BA298F">
              <w:rPr>
                <w:rFonts w:ascii="Arial" w:hAnsi="Arial" w:cs="Arial"/>
              </w:rPr>
              <w:t>Variable</w:t>
            </w:r>
          </w:p>
        </w:tc>
        <w:tc>
          <w:tcPr>
            <w:tcW w:w="0" w:type="auto"/>
            <w:hideMark/>
          </w:tcPr>
          <w:p w14:paraId="3E879729" w14:textId="77777777" w:rsidR="00BA298F" w:rsidRPr="00BA298F" w:rsidRDefault="00BA298F" w:rsidP="003824C9">
            <w:pP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BA298F">
              <w:rPr>
                <w:rFonts w:ascii="Arial" w:hAnsi="Arial" w:cs="Arial"/>
              </w:rPr>
              <w:t>Abbreviation</w:t>
            </w:r>
          </w:p>
        </w:tc>
        <w:tc>
          <w:tcPr>
            <w:tcW w:w="0" w:type="auto"/>
            <w:hideMark/>
          </w:tcPr>
          <w:p w14:paraId="72BEDC34" w14:textId="77777777" w:rsidR="00BA298F" w:rsidRPr="00BA298F" w:rsidRDefault="00BA298F" w:rsidP="003824C9">
            <w:pP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BA298F">
              <w:rPr>
                <w:rFonts w:ascii="Arial" w:hAnsi="Arial" w:cs="Arial"/>
              </w:rPr>
              <w:t>Definition and Measurement</w:t>
            </w:r>
          </w:p>
        </w:tc>
        <w:tc>
          <w:tcPr>
            <w:tcW w:w="0" w:type="auto"/>
            <w:hideMark/>
          </w:tcPr>
          <w:p w14:paraId="1F12AEB4" w14:textId="77777777" w:rsidR="00BA298F" w:rsidRPr="00BA298F" w:rsidRDefault="00BA298F" w:rsidP="003824C9">
            <w:pP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BA298F">
              <w:rPr>
                <w:rFonts w:ascii="Arial" w:hAnsi="Arial" w:cs="Arial"/>
              </w:rPr>
              <w:t>Data Source</w:t>
            </w:r>
          </w:p>
        </w:tc>
      </w:tr>
      <w:tr w:rsidR="00BA298F" w:rsidRPr="00BA298F" w14:paraId="18349B33" w14:textId="77777777" w:rsidTr="00C71650">
        <w:trPr>
          <w:cnfStyle w:val="000000100000" w:firstRow="0" w:lastRow="0" w:firstColumn="0" w:lastColumn="0" w:oddVBand="0" w:evenVBand="0" w:oddHBand="1" w:evenHBand="0" w:firstRowFirstColumn="0" w:firstRowLastColumn="0" w:lastRowFirstColumn="0" w:lastRowLastColumn="0"/>
          <w:trHeight w:val="518"/>
        </w:trPr>
        <w:tc>
          <w:tcPr>
            <w:cnfStyle w:val="001000000000" w:firstRow="0" w:lastRow="0" w:firstColumn="1" w:lastColumn="0" w:oddVBand="0" w:evenVBand="0" w:oddHBand="0" w:evenHBand="0" w:firstRowFirstColumn="0" w:firstRowLastColumn="0" w:lastRowFirstColumn="0" w:lastRowLastColumn="0"/>
            <w:tcW w:w="0" w:type="auto"/>
            <w:hideMark/>
          </w:tcPr>
          <w:p w14:paraId="60CF92D5" w14:textId="77777777" w:rsidR="00BA298F" w:rsidRPr="00BA298F" w:rsidRDefault="00BA298F" w:rsidP="003824C9">
            <w:pPr>
              <w:rPr>
                <w:rFonts w:ascii="Arial" w:hAnsi="Arial" w:cs="Arial"/>
              </w:rPr>
            </w:pPr>
            <w:r w:rsidRPr="00BA298F">
              <w:rPr>
                <w:rFonts w:ascii="Arial" w:hAnsi="Arial" w:cs="Arial"/>
              </w:rPr>
              <w:t>State Gross Domestic Product (SGDP)</w:t>
            </w:r>
          </w:p>
        </w:tc>
        <w:tc>
          <w:tcPr>
            <w:tcW w:w="0" w:type="auto"/>
            <w:hideMark/>
          </w:tcPr>
          <w:p w14:paraId="1640E241" w14:textId="77777777" w:rsidR="00BA298F" w:rsidRPr="00BA298F" w:rsidRDefault="00B372A2" w:rsidP="003824C9">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m:oMathPara>
              <m:oMath>
                <m:sSub>
                  <m:sSubPr>
                    <m:ctrlPr>
                      <w:rPr>
                        <w:rFonts w:ascii="Cambria Math" w:hAnsi="Cambria Math" w:cs="Arial"/>
                        <w:i/>
                      </w:rPr>
                    </m:ctrlPr>
                  </m:sSubPr>
                  <m:e>
                    <m:r>
                      <w:rPr>
                        <w:rFonts w:ascii="Cambria Math" w:hAnsi="Cambria Math" w:cs="Arial"/>
                      </w:rPr>
                      <m:t>SGDP</m:t>
                    </m:r>
                  </m:e>
                  <m:sub>
                    <m:r>
                      <w:rPr>
                        <w:rFonts w:ascii="Cambria Math" w:hAnsi="Cambria Math" w:cs="Arial"/>
                      </w:rPr>
                      <m:t>t</m:t>
                    </m:r>
                  </m:sub>
                </m:sSub>
              </m:oMath>
            </m:oMathPara>
          </w:p>
        </w:tc>
        <w:tc>
          <w:tcPr>
            <w:tcW w:w="0" w:type="auto"/>
            <w:hideMark/>
          </w:tcPr>
          <w:p w14:paraId="5234882B" w14:textId="77777777" w:rsidR="00BA298F" w:rsidRPr="00BA298F" w:rsidRDefault="00BA298F" w:rsidP="003824C9">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BA298F">
              <w:rPr>
                <w:rFonts w:ascii="Arial" w:hAnsi="Arial" w:cs="Arial"/>
              </w:rPr>
              <w:t>Real SGDP at Constant Prices (Dependent Variable)</w:t>
            </w:r>
          </w:p>
        </w:tc>
        <w:tc>
          <w:tcPr>
            <w:tcW w:w="0" w:type="auto"/>
            <w:hideMark/>
          </w:tcPr>
          <w:p w14:paraId="4458A812" w14:textId="77777777" w:rsidR="00BA298F" w:rsidRPr="00BA298F" w:rsidRDefault="00BA298F" w:rsidP="003824C9">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BA298F">
              <w:rPr>
                <w:rFonts w:ascii="Arial" w:hAnsi="Arial" w:cs="Arial"/>
              </w:rPr>
              <w:t>Economic review of Kerala, Kerala State Planning Board</w:t>
            </w:r>
          </w:p>
        </w:tc>
      </w:tr>
      <w:tr w:rsidR="00BA298F" w:rsidRPr="00BA298F" w14:paraId="1A4B372A" w14:textId="77777777" w:rsidTr="00C71650">
        <w:trPr>
          <w:trHeight w:val="525"/>
        </w:trPr>
        <w:tc>
          <w:tcPr>
            <w:cnfStyle w:val="001000000000" w:firstRow="0" w:lastRow="0" w:firstColumn="1" w:lastColumn="0" w:oddVBand="0" w:evenVBand="0" w:oddHBand="0" w:evenHBand="0" w:firstRowFirstColumn="0" w:firstRowLastColumn="0" w:lastRowFirstColumn="0" w:lastRowLastColumn="0"/>
            <w:tcW w:w="0" w:type="auto"/>
            <w:hideMark/>
          </w:tcPr>
          <w:p w14:paraId="3532B324" w14:textId="77777777" w:rsidR="00BA298F" w:rsidRPr="00BA298F" w:rsidRDefault="00BA298F" w:rsidP="003824C9">
            <w:pPr>
              <w:rPr>
                <w:rFonts w:ascii="Arial" w:hAnsi="Arial" w:cs="Arial"/>
              </w:rPr>
            </w:pPr>
            <w:r w:rsidRPr="00BA298F">
              <w:rPr>
                <w:rFonts w:ascii="Arial" w:hAnsi="Arial" w:cs="Arial"/>
              </w:rPr>
              <w:t>Foreign Exchange Earnings from Tourism (FEET)</w:t>
            </w:r>
          </w:p>
        </w:tc>
        <w:tc>
          <w:tcPr>
            <w:tcW w:w="0" w:type="auto"/>
            <w:hideMark/>
          </w:tcPr>
          <w:p w14:paraId="750F4E15" w14:textId="77777777" w:rsidR="00BA298F" w:rsidRPr="00BA298F" w:rsidRDefault="00B372A2" w:rsidP="003824C9">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m:oMathPara>
              <m:oMath>
                <m:sSub>
                  <m:sSubPr>
                    <m:ctrlPr>
                      <w:rPr>
                        <w:rFonts w:ascii="Cambria Math" w:hAnsi="Cambria Math" w:cs="Arial"/>
                        <w:i/>
                      </w:rPr>
                    </m:ctrlPr>
                  </m:sSubPr>
                  <m:e>
                    <m:r>
                      <w:rPr>
                        <w:rFonts w:ascii="Cambria Math" w:hAnsi="Cambria Math" w:cs="Arial"/>
                      </w:rPr>
                      <m:t>FEET</m:t>
                    </m:r>
                  </m:e>
                  <m:sub>
                    <m:r>
                      <w:rPr>
                        <w:rFonts w:ascii="Cambria Math" w:hAnsi="Cambria Math" w:cs="Arial"/>
                      </w:rPr>
                      <m:t>t</m:t>
                    </m:r>
                  </m:sub>
                </m:sSub>
              </m:oMath>
            </m:oMathPara>
          </w:p>
        </w:tc>
        <w:tc>
          <w:tcPr>
            <w:tcW w:w="0" w:type="auto"/>
            <w:hideMark/>
          </w:tcPr>
          <w:p w14:paraId="67336BF2" w14:textId="77777777" w:rsidR="00BA298F" w:rsidRPr="00BA298F" w:rsidRDefault="00BA298F" w:rsidP="003824C9">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BA298F">
              <w:rPr>
                <w:rFonts w:ascii="Arial" w:hAnsi="Arial" w:cs="Arial"/>
              </w:rPr>
              <w:t>Estimated foreign exchange earnings from foreign tourist arrivals in real terms</w:t>
            </w:r>
          </w:p>
        </w:tc>
        <w:tc>
          <w:tcPr>
            <w:tcW w:w="0" w:type="auto"/>
            <w:hideMark/>
          </w:tcPr>
          <w:p w14:paraId="3AC1078B" w14:textId="77777777" w:rsidR="00BA298F" w:rsidRPr="00BA298F" w:rsidRDefault="00BA298F" w:rsidP="003824C9">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BA298F">
              <w:rPr>
                <w:rFonts w:ascii="Arial" w:hAnsi="Arial" w:cs="Arial"/>
              </w:rPr>
              <w:t>Tourism statistics, Ministry of Tourism, Government of India</w:t>
            </w:r>
          </w:p>
        </w:tc>
      </w:tr>
    </w:tbl>
    <w:p w14:paraId="52900DAA" w14:textId="2AD82B5D" w:rsidR="00BA298F" w:rsidRPr="00BA298F" w:rsidRDefault="00BA298F" w:rsidP="00BA298F">
      <w:pPr>
        <w:pStyle w:val="ListParagraph"/>
        <w:numPr>
          <w:ilvl w:val="1"/>
          <w:numId w:val="34"/>
        </w:numPr>
        <w:spacing w:before="240"/>
        <w:rPr>
          <w:rFonts w:ascii="Arial" w:hAnsi="Arial" w:cs="Arial"/>
          <w:b/>
          <w:bCs/>
          <w:sz w:val="20"/>
          <w:szCs w:val="20"/>
        </w:rPr>
      </w:pPr>
      <w:r w:rsidRPr="00BA298F">
        <w:rPr>
          <w:rFonts w:ascii="Arial" w:hAnsi="Arial" w:cs="Arial"/>
          <w:b/>
          <w:bCs/>
          <w:sz w:val="20"/>
          <w:szCs w:val="20"/>
        </w:rPr>
        <w:t>Data Transformation</w:t>
      </w:r>
    </w:p>
    <w:p w14:paraId="7B691091" w14:textId="77777777" w:rsidR="00BA298F" w:rsidRPr="00BA298F" w:rsidRDefault="00BA298F" w:rsidP="00BA298F">
      <w:pPr>
        <w:rPr>
          <w:rFonts w:ascii="Arial" w:hAnsi="Arial" w:cs="Arial"/>
        </w:rPr>
      </w:pPr>
      <w:r w:rsidRPr="00BA298F">
        <w:rPr>
          <w:rFonts w:ascii="Arial" w:hAnsi="Arial" w:cs="Arial"/>
        </w:rPr>
        <w:t xml:space="preserve">To estimate the relationship between SGDP and FEET the variables were converted into their natural logarithmic form. </w:t>
      </w:r>
    </w:p>
    <w:p w14:paraId="08AD7467" w14:textId="1C3D1AFD" w:rsidR="00BA298F" w:rsidRPr="00BA298F" w:rsidRDefault="00BA298F" w:rsidP="00C71650">
      <w:pPr>
        <w:pStyle w:val="ListParagraph"/>
        <w:numPr>
          <w:ilvl w:val="1"/>
          <w:numId w:val="34"/>
        </w:numPr>
        <w:spacing w:before="240" w:line="240" w:lineRule="auto"/>
        <w:rPr>
          <w:rFonts w:ascii="Arial" w:hAnsi="Arial" w:cs="Arial"/>
          <w:b/>
          <w:bCs/>
          <w:sz w:val="20"/>
          <w:szCs w:val="20"/>
        </w:rPr>
      </w:pPr>
      <w:r w:rsidRPr="00BA298F">
        <w:rPr>
          <w:rFonts w:ascii="Arial" w:hAnsi="Arial" w:cs="Arial"/>
          <w:b/>
          <w:bCs/>
          <w:sz w:val="20"/>
          <w:szCs w:val="20"/>
        </w:rPr>
        <w:t>Data Analysis</w:t>
      </w:r>
    </w:p>
    <w:p w14:paraId="01575249" w14:textId="77777777" w:rsidR="00BA298F" w:rsidRPr="00BA298F" w:rsidRDefault="00BA298F" w:rsidP="00BA298F">
      <w:pPr>
        <w:rPr>
          <w:rFonts w:ascii="Arial" w:hAnsi="Arial" w:cs="Arial"/>
        </w:rPr>
      </w:pPr>
      <w:r w:rsidRPr="00BA298F">
        <w:rPr>
          <w:rFonts w:ascii="Arial" w:hAnsi="Arial" w:cs="Arial"/>
        </w:rPr>
        <w:t>The paper employed Simple Log-Linear Regression Model using Ordinary Least Squares (OLS) and a descriptive time-series analysis.</w:t>
      </w:r>
    </w:p>
    <w:p w14:paraId="7BD01F4E" w14:textId="77777777" w:rsidR="00790ADA" w:rsidRPr="00FB3A86" w:rsidRDefault="00790ADA" w:rsidP="00441B6F">
      <w:pPr>
        <w:pStyle w:val="Body"/>
        <w:spacing w:after="0"/>
        <w:rPr>
          <w:rFonts w:ascii="Arial" w:hAnsi="Arial" w:cs="Arial"/>
        </w:rPr>
      </w:pPr>
    </w:p>
    <w:p w14:paraId="7A4DF901" w14:textId="77777777" w:rsidR="00902823" w:rsidRDefault="00000F8F" w:rsidP="00441B6F">
      <w:pPr>
        <w:pStyle w:val="Head1"/>
        <w:spacing w:after="0"/>
        <w:jc w:val="both"/>
        <w:rPr>
          <w:rFonts w:ascii="Arial" w:hAnsi="Arial" w:cs="Arial"/>
        </w:rPr>
      </w:pPr>
      <w:r>
        <w:rPr>
          <w:rFonts w:ascii="Arial" w:hAnsi="Arial" w:cs="Arial"/>
        </w:rPr>
        <w:lastRenderedPageBreak/>
        <w:t>3</w:t>
      </w:r>
      <w:r w:rsidR="00902823">
        <w:rPr>
          <w:rFonts w:ascii="Arial" w:hAnsi="Arial" w:cs="Arial"/>
        </w:rPr>
        <w:t xml:space="preserve">. </w:t>
      </w:r>
      <w:r>
        <w:rPr>
          <w:rFonts w:ascii="Arial" w:hAnsi="Arial" w:cs="Arial"/>
        </w:rPr>
        <w:t>results and discussion</w:t>
      </w:r>
    </w:p>
    <w:p w14:paraId="3B798202" w14:textId="0622DE51" w:rsidR="00C71650" w:rsidRPr="00C71650" w:rsidRDefault="00C71650" w:rsidP="00C71650">
      <w:pPr>
        <w:pStyle w:val="ListParagraph"/>
        <w:numPr>
          <w:ilvl w:val="1"/>
          <w:numId w:val="37"/>
        </w:numPr>
        <w:autoSpaceDE w:val="0"/>
        <w:autoSpaceDN w:val="0"/>
        <w:adjustRightInd w:val="0"/>
        <w:spacing w:before="240" w:line="240" w:lineRule="auto"/>
        <w:ind w:right="29"/>
        <w:jc w:val="both"/>
        <w:rPr>
          <w:rFonts w:ascii="Arial" w:hAnsi="Arial" w:cs="Arial"/>
          <w:b/>
          <w:bCs/>
          <w:sz w:val="20"/>
          <w:szCs w:val="20"/>
        </w:rPr>
      </w:pPr>
      <w:r w:rsidRPr="00C71650">
        <w:rPr>
          <w:rFonts w:ascii="Arial" w:hAnsi="Arial" w:cs="Arial"/>
          <w:b/>
          <w:bCs/>
          <w:sz w:val="20"/>
          <w:szCs w:val="20"/>
        </w:rPr>
        <w:t>Relationship Between Foreign Exchange Earnings and SGDP</w:t>
      </w:r>
    </w:p>
    <w:p w14:paraId="3F7D4D9C" w14:textId="77777777" w:rsidR="00C71650" w:rsidRPr="00C71650" w:rsidRDefault="00C71650" w:rsidP="00C71650">
      <w:pPr>
        <w:spacing w:after="240"/>
        <w:jc w:val="both"/>
        <w:rPr>
          <w:rFonts w:ascii="Arial" w:hAnsi="Arial" w:cs="Arial"/>
        </w:rPr>
      </w:pPr>
      <w:r w:rsidRPr="00C71650">
        <w:rPr>
          <w:rFonts w:ascii="Arial" w:hAnsi="Arial" w:cs="Arial"/>
        </w:rPr>
        <w:t>The relationship between foreign exchange earnings and State Gross Domestic Product has been analyzed using a first-difference log-linear regression model. Foreign exchange earnings are considered as independent variable and SGDP as dependent variable. The relationship is depicted below:</w:t>
      </w:r>
    </w:p>
    <w:p w14:paraId="45172D11" w14:textId="77777777" w:rsidR="00C71650" w:rsidRPr="00C71650" w:rsidRDefault="00C71650" w:rsidP="00C71650">
      <w:pPr>
        <w:spacing w:after="240"/>
        <w:jc w:val="both"/>
        <w:rPr>
          <w:rFonts w:ascii="Arial" w:hAnsi="Arial" w:cs="Arial"/>
        </w:rPr>
      </w:pPr>
      <w:r w:rsidRPr="00C71650">
        <w:rPr>
          <w:rFonts w:ascii="Arial" w:hAnsi="Arial" w:cs="Arial"/>
        </w:rPr>
        <w:t>GDP= f (forex earnings)</w:t>
      </w:r>
    </w:p>
    <w:p w14:paraId="2528C563" w14:textId="77777777" w:rsidR="00C71650" w:rsidRPr="00C71650" w:rsidRDefault="00C71650" w:rsidP="00C71650">
      <w:pPr>
        <w:spacing w:after="240"/>
        <w:jc w:val="both"/>
        <w:rPr>
          <w:rFonts w:ascii="Arial" w:hAnsi="Arial" w:cs="Arial"/>
          <w:b/>
          <w:bCs/>
        </w:rPr>
      </w:pPr>
      <m:oMathPara>
        <m:oMath>
          <m:r>
            <m:rPr>
              <m:sty m:val="bi"/>
            </m:rPr>
            <w:rPr>
              <w:rFonts w:ascii="Cambria Math" w:eastAsiaTheme="minorEastAsia" w:hAnsi="Cambria Math" w:cs="Arial"/>
            </w:rPr>
            <m:t xml:space="preserve">∆ Log </m:t>
          </m:r>
          <m:d>
            <m:dPr>
              <m:ctrlPr>
                <w:rPr>
                  <w:rFonts w:ascii="Cambria Math" w:eastAsiaTheme="minorEastAsia" w:hAnsi="Cambria Math" w:cs="Arial"/>
                  <w:b/>
                  <w:bCs/>
                  <w:i/>
                </w:rPr>
              </m:ctrlPr>
            </m:dPr>
            <m:e>
              <m:sSub>
                <m:sSubPr>
                  <m:ctrlPr>
                    <w:rPr>
                      <w:rFonts w:ascii="Cambria Math" w:hAnsi="Cambria Math" w:cs="Arial"/>
                      <w:b/>
                      <w:bCs/>
                      <w:i/>
                    </w:rPr>
                  </m:ctrlPr>
                </m:sSubPr>
                <m:e>
                  <m:r>
                    <m:rPr>
                      <m:sty m:val="bi"/>
                    </m:rPr>
                    <w:rPr>
                      <w:rFonts w:ascii="Cambria Math" w:hAnsi="Cambria Math" w:cs="Arial"/>
                    </w:rPr>
                    <m:t>SGDP</m:t>
                  </m:r>
                </m:e>
                <m:sub>
                  <m:r>
                    <m:rPr>
                      <m:sty m:val="bi"/>
                    </m:rPr>
                    <w:rPr>
                      <w:rFonts w:ascii="Cambria Math" w:hAnsi="Cambria Math" w:cs="Arial"/>
                    </w:rPr>
                    <m:t>t</m:t>
                  </m:r>
                </m:sub>
              </m:sSub>
              <m:ctrlPr>
                <w:rPr>
                  <w:rFonts w:ascii="Cambria Math" w:hAnsi="Cambria Math" w:cs="Arial"/>
                  <w:b/>
                  <w:i/>
                </w:rPr>
              </m:ctrlPr>
            </m:e>
          </m:d>
          <m:r>
            <m:rPr>
              <m:sty m:val="bi"/>
            </m:rPr>
            <w:rPr>
              <w:rFonts w:ascii="Cambria Math" w:hAnsi="Cambria Math" w:cs="Arial"/>
            </w:rPr>
            <m:t>=</m:t>
          </m:r>
          <m:sSub>
            <m:sSubPr>
              <m:ctrlPr>
                <w:rPr>
                  <w:rFonts w:ascii="Cambria Math" w:hAnsi="Cambria Math" w:cs="Arial"/>
                  <w:b/>
                  <w:bCs/>
                  <w:i/>
                </w:rPr>
              </m:ctrlPr>
            </m:sSubPr>
            <m:e>
              <m:r>
                <m:rPr>
                  <m:sty m:val="bi"/>
                </m:rPr>
                <w:rPr>
                  <w:rFonts w:ascii="Cambria Math" w:hAnsi="Cambria Math" w:cs="Arial"/>
                </w:rPr>
                <m:t>α</m:t>
              </m:r>
            </m:e>
            <m:sub>
              <m:r>
                <m:rPr>
                  <m:sty m:val="bi"/>
                </m:rPr>
                <w:rPr>
                  <w:rFonts w:ascii="Cambria Math" w:hAnsi="Cambria Math" w:cs="Arial"/>
                </w:rPr>
                <m:t>0</m:t>
              </m:r>
            </m:sub>
          </m:sSub>
          <m:r>
            <m:rPr>
              <m:sty m:val="bi"/>
            </m:rPr>
            <w:rPr>
              <w:rFonts w:ascii="Cambria Math" w:hAnsi="Cambria Math" w:cs="Arial"/>
            </w:rPr>
            <m:t>+</m:t>
          </m:r>
          <m:sSub>
            <m:sSubPr>
              <m:ctrlPr>
                <w:rPr>
                  <w:rFonts w:ascii="Cambria Math" w:hAnsi="Cambria Math" w:cs="Arial"/>
                  <w:b/>
                  <w:bCs/>
                  <w:i/>
                </w:rPr>
              </m:ctrlPr>
            </m:sSubPr>
            <m:e>
              <m:r>
                <m:rPr>
                  <m:sty m:val="bi"/>
                </m:rPr>
                <w:rPr>
                  <w:rFonts w:ascii="Cambria Math" w:hAnsi="Cambria Math" w:cs="Arial"/>
                </w:rPr>
                <m:t>β</m:t>
              </m:r>
            </m:e>
            <m:sub>
              <m:r>
                <m:rPr>
                  <m:sty m:val="bi"/>
                </m:rPr>
                <w:rPr>
                  <w:rFonts w:ascii="Cambria Math" w:hAnsi="Cambria Math" w:cs="Arial"/>
                </w:rPr>
                <m:t>1</m:t>
              </m:r>
            </m:sub>
          </m:sSub>
          <m:r>
            <m:rPr>
              <m:sty m:val="bi"/>
            </m:rPr>
            <w:rPr>
              <w:rFonts w:ascii="Cambria Math" w:eastAsiaTheme="minorEastAsia" w:hAnsi="Cambria Math" w:cs="Arial"/>
            </w:rPr>
            <m:t xml:space="preserve">∆Log </m:t>
          </m:r>
          <m:sSub>
            <m:sSubPr>
              <m:ctrlPr>
                <w:rPr>
                  <w:rFonts w:ascii="Cambria Math" w:hAnsi="Cambria Math" w:cs="Arial"/>
                  <w:b/>
                  <w:bCs/>
                  <w:i/>
                </w:rPr>
              </m:ctrlPr>
            </m:sSubPr>
            <m:e>
              <m:r>
                <m:rPr>
                  <m:sty m:val="bi"/>
                </m:rPr>
                <w:rPr>
                  <w:rFonts w:ascii="Cambria Math" w:hAnsi="Cambria Math" w:cs="Arial"/>
                </w:rPr>
                <m:t>FEET</m:t>
              </m:r>
            </m:e>
            <m:sub>
              <m:r>
                <m:rPr>
                  <m:sty m:val="bi"/>
                </m:rPr>
                <w:rPr>
                  <w:rFonts w:ascii="Cambria Math" w:hAnsi="Cambria Math" w:cs="Arial"/>
                </w:rPr>
                <m:t>t</m:t>
              </m:r>
            </m:sub>
          </m:sSub>
          <m:r>
            <m:rPr>
              <m:sty m:val="bi"/>
            </m:rPr>
            <w:rPr>
              <w:rFonts w:ascii="Cambria Math" w:hAnsi="Cambria Math" w:cs="Arial"/>
            </w:rPr>
            <m:t>+</m:t>
          </m:r>
          <m:sSub>
            <m:sSubPr>
              <m:ctrlPr>
                <w:rPr>
                  <w:rFonts w:ascii="Cambria Math" w:hAnsi="Cambria Math" w:cs="Arial"/>
                  <w:b/>
                  <w:bCs/>
                  <w:i/>
                </w:rPr>
              </m:ctrlPr>
            </m:sSubPr>
            <m:e>
              <m:r>
                <m:rPr>
                  <m:sty m:val="bi"/>
                </m:rPr>
                <w:rPr>
                  <w:rFonts w:ascii="Cambria Math" w:hAnsi="Cambria Math" w:cs="Arial"/>
                </w:rPr>
                <m:t>ε</m:t>
              </m:r>
            </m:e>
            <m:sub>
              <m:r>
                <m:rPr>
                  <m:sty m:val="bi"/>
                </m:rPr>
                <w:rPr>
                  <w:rFonts w:ascii="Cambria Math" w:hAnsi="Cambria Math" w:cs="Arial"/>
                </w:rPr>
                <m:t>t</m:t>
              </m:r>
            </m:sub>
          </m:sSub>
        </m:oMath>
      </m:oMathPara>
    </w:p>
    <w:p w14:paraId="28292322" w14:textId="77777777" w:rsidR="00C71650" w:rsidRPr="00C71650" w:rsidRDefault="00C71650" w:rsidP="00C71650">
      <w:pPr>
        <w:spacing w:after="240"/>
        <w:jc w:val="both"/>
        <w:rPr>
          <w:rFonts w:ascii="Arial" w:hAnsi="Arial" w:cs="Arial"/>
        </w:rPr>
      </w:pPr>
      <w:r w:rsidRPr="00C71650">
        <w:rPr>
          <w:rFonts w:ascii="Arial" w:hAnsi="Arial" w:cs="Arial"/>
        </w:rPr>
        <w:t>Here,</w:t>
      </w:r>
    </w:p>
    <w:p w14:paraId="4D35A3B8" w14:textId="77777777" w:rsidR="00C71650" w:rsidRPr="00C71650" w:rsidRDefault="00B372A2" w:rsidP="00C71650">
      <w:pPr>
        <w:spacing w:after="240"/>
        <w:jc w:val="both"/>
        <w:rPr>
          <w:rFonts w:ascii="Arial" w:hAnsi="Arial" w:cs="Arial"/>
        </w:rPr>
      </w:pPr>
      <m:oMath>
        <m:sSub>
          <m:sSubPr>
            <m:ctrlPr>
              <w:rPr>
                <w:rFonts w:ascii="Cambria Math" w:hAnsi="Cambria Math" w:cs="Arial"/>
                <w:i/>
              </w:rPr>
            </m:ctrlPr>
          </m:sSubPr>
          <m:e>
            <m:r>
              <w:rPr>
                <w:rFonts w:ascii="Cambria Math" w:hAnsi="Cambria Math" w:cs="Arial"/>
              </w:rPr>
              <m:t>SGDP</m:t>
            </m:r>
          </m:e>
          <m:sub>
            <m:r>
              <w:rPr>
                <w:rFonts w:ascii="Cambria Math" w:hAnsi="Cambria Math" w:cs="Arial"/>
              </w:rPr>
              <m:t>t</m:t>
            </m:r>
          </m:sub>
        </m:sSub>
      </m:oMath>
      <w:r w:rsidR="00C71650" w:rsidRPr="00C71650">
        <w:rPr>
          <w:rFonts w:ascii="Arial" w:hAnsi="Arial" w:cs="Arial"/>
        </w:rPr>
        <w:t xml:space="preserve"> is the State Gross Domestic Product at time t, </w:t>
      </w:r>
      <m:oMath>
        <m:sSub>
          <m:sSubPr>
            <m:ctrlPr>
              <w:rPr>
                <w:rFonts w:ascii="Cambria Math" w:hAnsi="Cambria Math" w:cs="Arial"/>
                <w:i/>
              </w:rPr>
            </m:ctrlPr>
          </m:sSubPr>
          <m:e>
            <m:r>
              <w:rPr>
                <w:rFonts w:ascii="Cambria Math" w:hAnsi="Cambria Math" w:cs="Arial"/>
              </w:rPr>
              <m:t>β</m:t>
            </m:r>
          </m:e>
          <m:sub>
            <m:r>
              <w:rPr>
                <w:rFonts w:ascii="Cambria Math" w:hAnsi="Cambria Math" w:cs="Arial"/>
              </w:rPr>
              <m:t>1</m:t>
            </m:r>
          </m:sub>
        </m:sSub>
      </m:oMath>
      <w:r w:rsidR="00C71650" w:rsidRPr="00C71650">
        <w:rPr>
          <w:rFonts w:ascii="Arial" w:hAnsi="Arial" w:cs="Arial"/>
        </w:rPr>
        <w:t xml:space="preserve"> is the constant term, </w:t>
      </w:r>
      <m:oMath>
        <m:sSub>
          <m:sSubPr>
            <m:ctrlPr>
              <w:rPr>
                <w:rFonts w:ascii="Cambria Math" w:hAnsi="Cambria Math" w:cs="Arial"/>
                <w:i/>
              </w:rPr>
            </m:ctrlPr>
          </m:sSubPr>
          <m:e>
            <m:r>
              <w:rPr>
                <w:rFonts w:ascii="Cambria Math" w:hAnsi="Cambria Math" w:cs="Arial"/>
              </w:rPr>
              <m:t>FEET</m:t>
            </m:r>
          </m:e>
          <m:sub>
            <m:r>
              <w:rPr>
                <w:rFonts w:ascii="Cambria Math" w:hAnsi="Cambria Math" w:cs="Arial"/>
              </w:rPr>
              <m:t>t</m:t>
            </m:r>
          </m:sub>
        </m:sSub>
      </m:oMath>
      <w:r w:rsidR="00C71650" w:rsidRPr="00C71650">
        <w:rPr>
          <w:rFonts w:ascii="Arial" w:hAnsi="Arial" w:cs="Arial"/>
        </w:rPr>
        <w:t xml:space="preserve"> is the component that shows foreign exchange earnings, </w:t>
      </w:r>
      <m:oMath>
        <m:sSub>
          <m:sSubPr>
            <m:ctrlPr>
              <w:rPr>
                <w:rFonts w:ascii="Cambria Math" w:hAnsi="Cambria Math" w:cs="Arial"/>
                <w:i/>
              </w:rPr>
            </m:ctrlPr>
          </m:sSubPr>
          <m:e>
            <m:r>
              <w:rPr>
                <w:rFonts w:ascii="Cambria Math" w:hAnsi="Cambria Math" w:cs="Arial"/>
              </w:rPr>
              <m:t>α</m:t>
            </m:r>
          </m:e>
          <m:sub>
            <m:r>
              <w:rPr>
                <w:rFonts w:ascii="Cambria Math" w:hAnsi="Cambria Math" w:cs="Arial"/>
              </w:rPr>
              <m:t>0</m:t>
            </m:r>
          </m:sub>
        </m:sSub>
      </m:oMath>
      <w:r w:rsidR="00C71650" w:rsidRPr="00C71650">
        <w:rPr>
          <w:rFonts w:ascii="Arial" w:eastAsiaTheme="minorEastAsia" w:hAnsi="Arial" w:cs="Arial"/>
        </w:rPr>
        <w:t xml:space="preserve"> is the autonomous growth rate of SGDP.</w:t>
      </w:r>
    </w:p>
    <w:p w14:paraId="1DD6B7EA" w14:textId="77777777" w:rsidR="00C71650" w:rsidRPr="00C71650" w:rsidRDefault="00C71650" w:rsidP="00C71650">
      <w:pPr>
        <w:shd w:val="clear" w:color="auto" w:fill="FFFFFF" w:themeFill="background1"/>
        <w:spacing w:after="240"/>
        <w:jc w:val="both"/>
        <w:rPr>
          <w:rFonts w:ascii="Arial" w:hAnsi="Arial" w:cs="Arial"/>
          <w:b/>
          <w:bCs/>
          <w:shd w:val="clear" w:color="auto" w:fill="FFFFFF" w:themeFill="background1"/>
        </w:rPr>
      </w:pPr>
      <w:r w:rsidRPr="00C71650">
        <w:rPr>
          <w:rFonts w:ascii="Arial" w:hAnsi="Arial" w:cs="Arial"/>
          <w:b/>
          <w:bCs/>
          <w:shd w:val="clear" w:color="auto" w:fill="FFFFFF" w:themeFill="background1"/>
        </w:rPr>
        <w:t>Model 1: OLS, using observations 1992-2022 (T=31)</w:t>
      </w:r>
    </w:p>
    <w:p w14:paraId="515A5F54" w14:textId="77777777" w:rsidR="00C71650" w:rsidRPr="00C71650" w:rsidRDefault="00C71650" w:rsidP="00C71650">
      <w:pPr>
        <w:shd w:val="clear" w:color="auto" w:fill="FFFFFF" w:themeFill="background1"/>
        <w:spacing w:after="240"/>
        <w:jc w:val="both"/>
        <w:rPr>
          <w:rFonts w:ascii="Arial" w:hAnsi="Arial" w:cs="Arial"/>
        </w:rPr>
      </w:pPr>
      <w:r w:rsidRPr="00C71650">
        <w:rPr>
          <w:rFonts w:ascii="Arial" w:hAnsi="Arial" w:cs="Arial"/>
          <w:shd w:val="clear" w:color="auto" w:fill="FFFFFF" w:themeFill="background1"/>
        </w:rPr>
        <w:t xml:space="preserve">Dependent variable: first difference form of SGDP at </w:t>
      </w:r>
      <w:r w:rsidRPr="00C71650">
        <w:rPr>
          <w:rFonts w:ascii="Arial" w:hAnsi="Arial" w:cs="Arial"/>
        </w:rPr>
        <w:t>constant price</w:t>
      </w:r>
    </w:p>
    <w:p w14:paraId="1307F2C2" w14:textId="77777777" w:rsidR="00C71650" w:rsidRPr="00C71650" w:rsidRDefault="00C71650" w:rsidP="00C71650">
      <w:pPr>
        <w:jc w:val="center"/>
        <w:rPr>
          <w:rFonts w:ascii="Arial" w:hAnsi="Arial" w:cs="Arial"/>
          <w:b/>
          <w:bCs/>
        </w:rPr>
      </w:pPr>
      <w:r w:rsidRPr="00C71650">
        <w:rPr>
          <w:rFonts w:ascii="Arial" w:hAnsi="Arial" w:cs="Arial"/>
          <w:b/>
          <w:bCs/>
        </w:rPr>
        <w:t>Table 1: Relationship between SGDP and foreign exchange earnings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2684"/>
        <w:gridCol w:w="1421"/>
        <w:gridCol w:w="1421"/>
        <w:gridCol w:w="1421"/>
        <w:gridCol w:w="1421"/>
      </w:tblGrid>
      <w:tr w:rsidR="00C71650" w:rsidRPr="00C71650" w14:paraId="16F4BAE6" w14:textId="77777777" w:rsidTr="003824C9">
        <w:trPr>
          <w:trHeight w:val="145"/>
          <w:jc w:val="center"/>
        </w:trPr>
        <w:tc>
          <w:tcPr>
            <w:tcW w:w="2684" w:type="dxa"/>
          </w:tcPr>
          <w:p w14:paraId="32F8BCC4" w14:textId="77777777" w:rsidR="00C71650" w:rsidRPr="00C71650" w:rsidRDefault="00C71650" w:rsidP="003824C9">
            <w:pPr>
              <w:jc w:val="both"/>
              <w:rPr>
                <w:rFonts w:ascii="Arial" w:hAnsi="Arial" w:cs="Arial"/>
              </w:rPr>
            </w:pPr>
            <w:r w:rsidRPr="00C71650">
              <w:rPr>
                <w:rFonts w:ascii="Arial" w:hAnsi="Arial" w:cs="Arial"/>
                <w:i/>
                <w:iCs/>
              </w:rPr>
              <w:t xml:space="preserve"> </w:t>
            </w:r>
          </w:p>
        </w:tc>
        <w:tc>
          <w:tcPr>
            <w:tcW w:w="1421" w:type="dxa"/>
          </w:tcPr>
          <w:p w14:paraId="0B6E7F34" w14:textId="77777777" w:rsidR="00C71650" w:rsidRPr="00C71650" w:rsidRDefault="00C71650" w:rsidP="003824C9">
            <w:pPr>
              <w:jc w:val="both"/>
              <w:rPr>
                <w:rFonts w:ascii="Arial" w:hAnsi="Arial" w:cs="Arial"/>
              </w:rPr>
            </w:pPr>
            <w:r w:rsidRPr="00C71650">
              <w:rPr>
                <w:rFonts w:ascii="Arial" w:hAnsi="Arial" w:cs="Arial"/>
                <w:i/>
                <w:iCs/>
              </w:rPr>
              <w:t>Coefficient</w:t>
            </w:r>
          </w:p>
        </w:tc>
        <w:tc>
          <w:tcPr>
            <w:tcW w:w="1421" w:type="dxa"/>
          </w:tcPr>
          <w:p w14:paraId="291292C2" w14:textId="77777777" w:rsidR="00C71650" w:rsidRPr="00C71650" w:rsidRDefault="00C71650" w:rsidP="003824C9">
            <w:pPr>
              <w:jc w:val="both"/>
              <w:rPr>
                <w:rFonts w:ascii="Arial" w:hAnsi="Arial" w:cs="Arial"/>
              </w:rPr>
            </w:pPr>
            <w:r w:rsidRPr="00C71650">
              <w:rPr>
                <w:rFonts w:ascii="Arial" w:hAnsi="Arial" w:cs="Arial"/>
                <w:i/>
                <w:iCs/>
              </w:rPr>
              <w:t>Std. Error</w:t>
            </w:r>
          </w:p>
        </w:tc>
        <w:tc>
          <w:tcPr>
            <w:tcW w:w="1421" w:type="dxa"/>
          </w:tcPr>
          <w:p w14:paraId="4894DE0A" w14:textId="77777777" w:rsidR="00C71650" w:rsidRPr="00C71650" w:rsidRDefault="00C71650" w:rsidP="003824C9">
            <w:pPr>
              <w:jc w:val="both"/>
              <w:rPr>
                <w:rFonts w:ascii="Arial" w:hAnsi="Arial" w:cs="Arial"/>
              </w:rPr>
            </w:pPr>
            <w:r w:rsidRPr="00C71650">
              <w:rPr>
                <w:rFonts w:ascii="Arial" w:hAnsi="Arial" w:cs="Arial"/>
                <w:i/>
                <w:iCs/>
              </w:rPr>
              <w:t>t-ratio</w:t>
            </w:r>
          </w:p>
        </w:tc>
        <w:tc>
          <w:tcPr>
            <w:tcW w:w="1421" w:type="dxa"/>
          </w:tcPr>
          <w:p w14:paraId="1216FD01" w14:textId="77777777" w:rsidR="00C71650" w:rsidRPr="00C71650" w:rsidRDefault="00C71650" w:rsidP="003824C9">
            <w:pPr>
              <w:jc w:val="both"/>
              <w:rPr>
                <w:rFonts w:ascii="Arial" w:hAnsi="Arial" w:cs="Arial"/>
              </w:rPr>
            </w:pPr>
            <w:r w:rsidRPr="00C71650">
              <w:rPr>
                <w:rFonts w:ascii="Arial" w:hAnsi="Arial" w:cs="Arial"/>
                <w:i/>
                <w:iCs/>
              </w:rPr>
              <w:t>p-value</w:t>
            </w:r>
          </w:p>
        </w:tc>
      </w:tr>
      <w:tr w:rsidR="00C71650" w:rsidRPr="00C71650" w14:paraId="3BB102A7" w14:textId="77777777" w:rsidTr="003824C9">
        <w:trPr>
          <w:trHeight w:val="108"/>
          <w:jc w:val="center"/>
        </w:trPr>
        <w:tc>
          <w:tcPr>
            <w:tcW w:w="2684" w:type="dxa"/>
          </w:tcPr>
          <w:p w14:paraId="45B2D17C" w14:textId="77777777" w:rsidR="00C71650" w:rsidRPr="00C71650" w:rsidRDefault="00C71650" w:rsidP="003824C9">
            <w:pPr>
              <w:jc w:val="both"/>
              <w:rPr>
                <w:rFonts w:ascii="Arial" w:hAnsi="Arial" w:cs="Arial"/>
              </w:rPr>
            </w:pPr>
            <w:r w:rsidRPr="00C71650">
              <w:rPr>
                <w:rFonts w:ascii="Arial" w:hAnsi="Arial" w:cs="Arial"/>
              </w:rPr>
              <w:t>Const</w:t>
            </w:r>
          </w:p>
        </w:tc>
        <w:tc>
          <w:tcPr>
            <w:tcW w:w="1421" w:type="dxa"/>
          </w:tcPr>
          <w:p w14:paraId="781B6A45" w14:textId="77777777" w:rsidR="00C71650" w:rsidRPr="00C71650" w:rsidRDefault="00C71650" w:rsidP="003824C9">
            <w:pPr>
              <w:jc w:val="both"/>
              <w:rPr>
                <w:rFonts w:ascii="Arial" w:hAnsi="Arial" w:cs="Arial"/>
              </w:rPr>
            </w:pPr>
            <w:r w:rsidRPr="00C71650">
              <w:rPr>
                <w:rFonts w:ascii="Arial" w:hAnsi="Arial" w:cs="Arial"/>
              </w:rPr>
              <w:t>0.114022</w:t>
            </w:r>
          </w:p>
        </w:tc>
        <w:tc>
          <w:tcPr>
            <w:tcW w:w="1421" w:type="dxa"/>
          </w:tcPr>
          <w:p w14:paraId="4EC8CC4E" w14:textId="77777777" w:rsidR="00C71650" w:rsidRPr="00C71650" w:rsidRDefault="00C71650" w:rsidP="003824C9">
            <w:pPr>
              <w:jc w:val="both"/>
              <w:rPr>
                <w:rFonts w:ascii="Arial" w:hAnsi="Arial" w:cs="Arial"/>
              </w:rPr>
            </w:pPr>
            <w:r w:rsidRPr="00C71650">
              <w:rPr>
                <w:rFonts w:ascii="Arial" w:hAnsi="Arial" w:cs="Arial"/>
              </w:rPr>
              <w:t>0.00714948</w:t>
            </w:r>
          </w:p>
        </w:tc>
        <w:tc>
          <w:tcPr>
            <w:tcW w:w="1421" w:type="dxa"/>
          </w:tcPr>
          <w:p w14:paraId="0852B444" w14:textId="77777777" w:rsidR="00C71650" w:rsidRPr="00C71650" w:rsidRDefault="00C71650" w:rsidP="003824C9">
            <w:pPr>
              <w:jc w:val="both"/>
              <w:rPr>
                <w:rFonts w:ascii="Arial" w:hAnsi="Arial" w:cs="Arial"/>
              </w:rPr>
            </w:pPr>
            <w:r w:rsidRPr="00C71650">
              <w:rPr>
                <w:rFonts w:ascii="Arial" w:hAnsi="Arial" w:cs="Arial"/>
              </w:rPr>
              <w:t>15.95</w:t>
            </w:r>
          </w:p>
        </w:tc>
        <w:tc>
          <w:tcPr>
            <w:tcW w:w="1421" w:type="dxa"/>
          </w:tcPr>
          <w:p w14:paraId="67DA45B4" w14:textId="77777777" w:rsidR="00C71650" w:rsidRPr="00C71650" w:rsidRDefault="00C71650" w:rsidP="003824C9">
            <w:pPr>
              <w:jc w:val="both"/>
              <w:rPr>
                <w:rFonts w:ascii="Arial" w:hAnsi="Arial" w:cs="Arial"/>
              </w:rPr>
            </w:pPr>
            <w:r w:rsidRPr="00C71650">
              <w:rPr>
                <w:rFonts w:ascii="Arial" w:hAnsi="Arial" w:cs="Arial"/>
              </w:rPr>
              <w:t>0.0001***</w:t>
            </w:r>
          </w:p>
        </w:tc>
      </w:tr>
      <w:tr w:rsidR="00C71650" w:rsidRPr="00C71650" w14:paraId="031900B9" w14:textId="77777777" w:rsidTr="003824C9">
        <w:trPr>
          <w:trHeight w:val="108"/>
          <w:jc w:val="center"/>
        </w:trPr>
        <w:tc>
          <w:tcPr>
            <w:tcW w:w="2684" w:type="dxa"/>
          </w:tcPr>
          <w:p w14:paraId="10BF889A" w14:textId="77777777" w:rsidR="00C71650" w:rsidRPr="00C71650" w:rsidRDefault="00C71650" w:rsidP="003824C9">
            <w:pPr>
              <w:jc w:val="both"/>
              <w:rPr>
                <w:rFonts w:ascii="Arial" w:hAnsi="Arial" w:cs="Arial"/>
              </w:rPr>
            </w:pPr>
            <w:proofErr w:type="spellStart"/>
            <w:r w:rsidRPr="00C71650">
              <w:rPr>
                <w:rFonts w:ascii="Arial" w:hAnsi="Arial" w:cs="Arial"/>
              </w:rPr>
              <w:t>d_l_FEET</w:t>
            </w:r>
            <w:proofErr w:type="spellEnd"/>
          </w:p>
        </w:tc>
        <w:tc>
          <w:tcPr>
            <w:tcW w:w="1421" w:type="dxa"/>
          </w:tcPr>
          <w:p w14:paraId="1EE83DCF" w14:textId="77777777" w:rsidR="00C71650" w:rsidRPr="00C71650" w:rsidRDefault="00C71650" w:rsidP="003824C9">
            <w:pPr>
              <w:jc w:val="both"/>
              <w:rPr>
                <w:rFonts w:ascii="Arial" w:hAnsi="Arial" w:cs="Arial"/>
              </w:rPr>
            </w:pPr>
            <w:r w:rsidRPr="00C71650">
              <w:rPr>
                <w:rFonts w:ascii="Arial" w:hAnsi="Arial" w:cs="Arial"/>
              </w:rPr>
              <w:t>0.0525905</w:t>
            </w:r>
          </w:p>
        </w:tc>
        <w:tc>
          <w:tcPr>
            <w:tcW w:w="1421" w:type="dxa"/>
          </w:tcPr>
          <w:p w14:paraId="4E97FB13" w14:textId="77777777" w:rsidR="00C71650" w:rsidRPr="00C71650" w:rsidRDefault="00C71650" w:rsidP="003824C9">
            <w:pPr>
              <w:jc w:val="both"/>
              <w:rPr>
                <w:rFonts w:ascii="Arial" w:hAnsi="Arial" w:cs="Arial"/>
              </w:rPr>
            </w:pPr>
            <w:r w:rsidRPr="00C71650">
              <w:rPr>
                <w:rFonts w:ascii="Arial" w:hAnsi="Arial" w:cs="Arial"/>
              </w:rPr>
              <w:t>0.0124856</w:t>
            </w:r>
          </w:p>
        </w:tc>
        <w:tc>
          <w:tcPr>
            <w:tcW w:w="1421" w:type="dxa"/>
          </w:tcPr>
          <w:p w14:paraId="3787EFAE" w14:textId="77777777" w:rsidR="00C71650" w:rsidRPr="00C71650" w:rsidRDefault="00C71650" w:rsidP="003824C9">
            <w:pPr>
              <w:jc w:val="both"/>
              <w:rPr>
                <w:rFonts w:ascii="Arial" w:hAnsi="Arial" w:cs="Arial"/>
              </w:rPr>
            </w:pPr>
            <w:r w:rsidRPr="00C71650">
              <w:rPr>
                <w:rFonts w:ascii="Arial" w:hAnsi="Arial" w:cs="Arial"/>
              </w:rPr>
              <w:t>4.212</w:t>
            </w:r>
          </w:p>
        </w:tc>
        <w:tc>
          <w:tcPr>
            <w:tcW w:w="1421" w:type="dxa"/>
          </w:tcPr>
          <w:p w14:paraId="7502AFA3" w14:textId="77777777" w:rsidR="00C71650" w:rsidRPr="00C71650" w:rsidRDefault="00C71650" w:rsidP="003824C9">
            <w:pPr>
              <w:jc w:val="both"/>
              <w:rPr>
                <w:rFonts w:ascii="Arial" w:hAnsi="Arial" w:cs="Arial"/>
              </w:rPr>
            </w:pPr>
            <w:r w:rsidRPr="00C71650">
              <w:rPr>
                <w:rFonts w:ascii="Arial" w:hAnsi="Arial" w:cs="Arial"/>
              </w:rPr>
              <w:t>0.0002***</w:t>
            </w:r>
          </w:p>
        </w:tc>
      </w:tr>
      <w:tr w:rsidR="00C71650" w:rsidRPr="00C71650" w14:paraId="71BBC4AB" w14:textId="77777777" w:rsidTr="003824C9">
        <w:trPr>
          <w:trHeight w:val="108"/>
          <w:jc w:val="center"/>
        </w:trPr>
        <w:tc>
          <w:tcPr>
            <w:tcW w:w="2684" w:type="dxa"/>
          </w:tcPr>
          <w:p w14:paraId="713D5A19" w14:textId="77777777" w:rsidR="00C71650" w:rsidRPr="00C71650" w:rsidRDefault="00C71650" w:rsidP="003824C9">
            <w:pPr>
              <w:jc w:val="both"/>
              <w:rPr>
                <w:rFonts w:ascii="Arial" w:hAnsi="Arial" w:cs="Arial"/>
              </w:rPr>
            </w:pPr>
            <w:r w:rsidRPr="00C71650">
              <w:rPr>
                <w:rFonts w:ascii="Arial" w:hAnsi="Arial" w:cs="Arial"/>
              </w:rPr>
              <w:t>R-squared</w:t>
            </w:r>
          </w:p>
        </w:tc>
        <w:tc>
          <w:tcPr>
            <w:tcW w:w="1421" w:type="dxa"/>
          </w:tcPr>
          <w:p w14:paraId="59B66752" w14:textId="77777777" w:rsidR="00C71650" w:rsidRPr="00C71650" w:rsidRDefault="00C71650" w:rsidP="003824C9">
            <w:pPr>
              <w:jc w:val="both"/>
              <w:rPr>
                <w:rFonts w:ascii="Arial" w:hAnsi="Arial" w:cs="Arial"/>
              </w:rPr>
            </w:pPr>
            <w:r w:rsidRPr="00C71650">
              <w:rPr>
                <w:rFonts w:ascii="Arial" w:hAnsi="Arial" w:cs="Arial"/>
              </w:rPr>
              <w:t>0.379569</w:t>
            </w:r>
          </w:p>
        </w:tc>
        <w:tc>
          <w:tcPr>
            <w:tcW w:w="1421" w:type="dxa"/>
          </w:tcPr>
          <w:p w14:paraId="45A69778" w14:textId="77777777" w:rsidR="00C71650" w:rsidRPr="00C71650" w:rsidRDefault="00C71650" w:rsidP="003824C9">
            <w:pPr>
              <w:jc w:val="both"/>
              <w:rPr>
                <w:rFonts w:ascii="Arial" w:hAnsi="Arial" w:cs="Arial"/>
              </w:rPr>
            </w:pPr>
          </w:p>
        </w:tc>
        <w:tc>
          <w:tcPr>
            <w:tcW w:w="1421" w:type="dxa"/>
          </w:tcPr>
          <w:p w14:paraId="230DB8E7" w14:textId="77777777" w:rsidR="00C71650" w:rsidRPr="00C71650" w:rsidRDefault="00C71650" w:rsidP="003824C9">
            <w:pPr>
              <w:jc w:val="both"/>
              <w:rPr>
                <w:rFonts w:ascii="Arial" w:hAnsi="Arial" w:cs="Arial"/>
              </w:rPr>
            </w:pPr>
          </w:p>
        </w:tc>
        <w:tc>
          <w:tcPr>
            <w:tcW w:w="1421" w:type="dxa"/>
          </w:tcPr>
          <w:p w14:paraId="607B3561" w14:textId="77777777" w:rsidR="00C71650" w:rsidRPr="00C71650" w:rsidRDefault="00C71650" w:rsidP="003824C9">
            <w:pPr>
              <w:jc w:val="both"/>
              <w:rPr>
                <w:rFonts w:ascii="Arial" w:hAnsi="Arial" w:cs="Arial"/>
              </w:rPr>
            </w:pPr>
          </w:p>
        </w:tc>
      </w:tr>
      <w:tr w:rsidR="00C71650" w:rsidRPr="00C71650" w14:paraId="15C088A1" w14:textId="77777777" w:rsidTr="003824C9">
        <w:trPr>
          <w:trHeight w:val="108"/>
          <w:jc w:val="center"/>
        </w:trPr>
        <w:tc>
          <w:tcPr>
            <w:tcW w:w="2684" w:type="dxa"/>
          </w:tcPr>
          <w:p w14:paraId="4B74CCAE" w14:textId="77777777" w:rsidR="00C71650" w:rsidRPr="00C71650" w:rsidRDefault="00C71650" w:rsidP="003824C9">
            <w:pPr>
              <w:jc w:val="both"/>
              <w:rPr>
                <w:rFonts w:ascii="Arial" w:hAnsi="Arial" w:cs="Arial"/>
              </w:rPr>
            </w:pPr>
            <w:r w:rsidRPr="00C71650">
              <w:rPr>
                <w:rFonts w:ascii="Arial" w:hAnsi="Arial" w:cs="Arial"/>
              </w:rPr>
              <w:t>Adjusted R-squared</w:t>
            </w:r>
          </w:p>
        </w:tc>
        <w:tc>
          <w:tcPr>
            <w:tcW w:w="1421" w:type="dxa"/>
          </w:tcPr>
          <w:p w14:paraId="5ADD1317" w14:textId="77777777" w:rsidR="00C71650" w:rsidRPr="00C71650" w:rsidRDefault="00C71650" w:rsidP="003824C9">
            <w:pPr>
              <w:jc w:val="both"/>
              <w:rPr>
                <w:rFonts w:ascii="Arial" w:hAnsi="Arial" w:cs="Arial"/>
              </w:rPr>
            </w:pPr>
            <w:r w:rsidRPr="00C71650">
              <w:rPr>
                <w:rFonts w:ascii="Arial" w:hAnsi="Arial" w:cs="Arial"/>
              </w:rPr>
              <w:t>0.358175</w:t>
            </w:r>
          </w:p>
        </w:tc>
        <w:tc>
          <w:tcPr>
            <w:tcW w:w="1421" w:type="dxa"/>
          </w:tcPr>
          <w:p w14:paraId="6E323810" w14:textId="77777777" w:rsidR="00C71650" w:rsidRPr="00C71650" w:rsidRDefault="00C71650" w:rsidP="003824C9">
            <w:pPr>
              <w:jc w:val="both"/>
              <w:rPr>
                <w:rFonts w:ascii="Arial" w:hAnsi="Arial" w:cs="Arial"/>
              </w:rPr>
            </w:pPr>
          </w:p>
        </w:tc>
        <w:tc>
          <w:tcPr>
            <w:tcW w:w="1421" w:type="dxa"/>
          </w:tcPr>
          <w:p w14:paraId="179DAE6F" w14:textId="77777777" w:rsidR="00C71650" w:rsidRPr="00C71650" w:rsidRDefault="00C71650" w:rsidP="003824C9">
            <w:pPr>
              <w:jc w:val="both"/>
              <w:rPr>
                <w:rFonts w:ascii="Arial" w:hAnsi="Arial" w:cs="Arial"/>
              </w:rPr>
            </w:pPr>
          </w:p>
        </w:tc>
        <w:tc>
          <w:tcPr>
            <w:tcW w:w="1421" w:type="dxa"/>
          </w:tcPr>
          <w:p w14:paraId="17398C1A" w14:textId="77777777" w:rsidR="00C71650" w:rsidRPr="00C71650" w:rsidRDefault="00C71650" w:rsidP="003824C9">
            <w:pPr>
              <w:jc w:val="both"/>
              <w:rPr>
                <w:rFonts w:ascii="Arial" w:hAnsi="Arial" w:cs="Arial"/>
              </w:rPr>
            </w:pPr>
          </w:p>
        </w:tc>
      </w:tr>
      <w:tr w:rsidR="00C71650" w:rsidRPr="00C71650" w14:paraId="6B915BA7" w14:textId="77777777" w:rsidTr="003824C9">
        <w:trPr>
          <w:trHeight w:val="108"/>
          <w:jc w:val="center"/>
        </w:trPr>
        <w:tc>
          <w:tcPr>
            <w:tcW w:w="2684" w:type="dxa"/>
          </w:tcPr>
          <w:p w14:paraId="16465165" w14:textId="77777777" w:rsidR="00C71650" w:rsidRPr="00C71650" w:rsidRDefault="00C71650" w:rsidP="003824C9">
            <w:pPr>
              <w:jc w:val="both"/>
              <w:rPr>
                <w:rFonts w:ascii="Arial" w:hAnsi="Arial" w:cs="Arial"/>
              </w:rPr>
            </w:pPr>
            <w:proofErr w:type="gramStart"/>
            <w:r w:rsidRPr="00C71650">
              <w:rPr>
                <w:rFonts w:ascii="Arial" w:hAnsi="Arial" w:cs="Arial"/>
              </w:rPr>
              <w:t>F(</w:t>
            </w:r>
            <w:proofErr w:type="gramEnd"/>
            <w:r w:rsidRPr="00C71650">
              <w:rPr>
                <w:rFonts w:ascii="Arial" w:hAnsi="Arial" w:cs="Arial"/>
              </w:rPr>
              <w:t>1, 29)</w:t>
            </w:r>
          </w:p>
        </w:tc>
        <w:tc>
          <w:tcPr>
            <w:tcW w:w="1421" w:type="dxa"/>
          </w:tcPr>
          <w:p w14:paraId="22AD5F6B" w14:textId="77777777" w:rsidR="00C71650" w:rsidRPr="00C71650" w:rsidRDefault="00C71650" w:rsidP="003824C9">
            <w:pPr>
              <w:jc w:val="both"/>
              <w:rPr>
                <w:rFonts w:ascii="Arial" w:hAnsi="Arial" w:cs="Arial"/>
              </w:rPr>
            </w:pPr>
            <w:r w:rsidRPr="00C71650">
              <w:rPr>
                <w:rFonts w:ascii="Arial" w:hAnsi="Arial" w:cs="Arial"/>
              </w:rPr>
              <w:t>17.74170***</w:t>
            </w:r>
          </w:p>
        </w:tc>
        <w:tc>
          <w:tcPr>
            <w:tcW w:w="1421" w:type="dxa"/>
          </w:tcPr>
          <w:p w14:paraId="70324989" w14:textId="77777777" w:rsidR="00C71650" w:rsidRPr="00C71650" w:rsidRDefault="00C71650" w:rsidP="003824C9">
            <w:pPr>
              <w:jc w:val="both"/>
              <w:rPr>
                <w:rFonts w:ascii="Arial" w:hAnsi="Arial" w:cs="Arial"/>
              </w:rPr>
            </w:pPr>
          </w:p>
        </w:tc>
        <w:tc>
          <w:tcPr>
            <w:tcW w:w="1421" w:type="dxa"/>
          </w:tcPr>
          <w:p w14:paraId="543BF96A" w14:textId="77777777" w:rsidR="00C71650" w:rsidRPr="00C71650" w:rsidRDefault="00C71650" w:rsidP="003824C9">
            <w:pPr>
              <w:jc w:val="both"/>
              <w:rPr>
                <w:rFonts w:ascii="Arial" w:hAnsi="Arial" w:cs="Arial"/>
              </w:rPr>
            </w:pPr>
          </w:p>
        </w:tc>
        <w:tc>
          <w:tcPr>
            <w:tcW w:w="1421" w:type="dxa"/>
          </w:tcPr>
          <w:p w14:paraId="1BDC4009" w14:textId="77777777" w:rsidR="00C71650" w:rsidRPr="00C71650" w:rsidRDefault="00C71650" w:rsidP="003824C9">
            <w:pPr>
              <w:jc w:val="both"/>
              <w:rPr>
                <w:rFonts w:ascii="Arial" w:hAnsi="Arial" w:cs="Arial"/>
              </w:rPr>
            </w:pPr>
          </w:p>
        </w:tc>
      </w:tr>
    </w:tbl>
    <w:p w14:paraId="42761353" w14:textId="77777777" w:rsidR="00C71650" w:rsidRPr="00C71650" w:rsidRDefault="00C71650" w:rsidP="00C71650">
      <w:pPr>
        <w:spacing w:before="240"/>
        <w:jc w:val="both"/>
        <w:rPr>
          <w:rFonts w:ascii="Arial" w:hAnsi="Arial" w:cs="Arial"/>
        </w:rPr>
      </w:pPr>
      <w:r w:rsidRPr="00C71650">
        <w:rPr>
          <w:rFonts w:ascii="Arial" w:hAnsi="Arial" w:cs="Arial"/>
        </w:rPr>
        <w:t xml:space="preserve">The Ordinary Least Squares (OLS) regression model in table 1 suggests that when the first difference form of FEET is zero, the expected value of first difference form of SGDP at constant prices is approximately 0.114. As such, one-unit increase in first difference form of FEET is associated with an estimated increase of 0.0525905 units in first difference form of SGDP constant price.  The model's R-squared implies that about 37.96% of the variability in first difference form of SGDP at constant price is explained by first difference form FEET, while the F-statistic of 17.74170 with a very low p-value underscores the overall significance of the model. </w:t>
      </w:r>
    </w:p>
    <w:p w14:paraId="46D02228" w14:textId="7AFD5429" w:rsidR="00C71650" w:rsidRPr="00C71650" w:rsidRDefault="00C71650" w:rsidP="00C71650">
      <w:pPr>
        <w:pStyle w:val="ListParagraph"/>
        <w:numPr>
          <w:ilvl w:val="1"/>
          <w:numId w:val="37"/>
        </w:numPr>
        <w:autoSpaceDE w:val="0"/>
        <w:autoSpaceDN w:val="0"/>
        <w:adjustRightInd w:val="0"/>
        <w:spacing w:before="240" w:line="240" w:lineRule="auto"/>
        <w:ind w:right="29"/>
        <w:rPr>
          <w:rFonts w:ascii="Arial" w:hAnsi="Arial" w:cs="Arial"/>
          <w:sz w:val="20"/>
          <w:szCs w:val="20"/>
        </w:rPr>
      </w:pPr>
      <w:r w:rsidRPr="00C71650">
        <w:rPr>
          <w:rFonts w:ascii="Arial" w:hAnsi="Arial" w:cs="Arial"/>
          <w:b/>
          <w:bCs/>
          <w:sz w:val="20"/>
          <w:szCs w:val="20"/>
        </w:rPr>
        <w:t>Quantifying Structural Erosion</w:t>
      </w:r>
    </w:p>
    <w:p w14:paraId="39BB2B8D" w14:textId="77777777" w:rsidR="00C71650" w:rsidRPr="00C71650" w:rsidRDefault="00C71650" w:rsidP="00C71650">
      <w:pPr>
        <w:autoSpaceDE w:val="0"/>
        <w:autoSpaceDN w:val="0"/>
        <w:adjustRightInd w:val="0"/>
        <w:spacing w:after="240"/>
        <w:ind w:right="29"/>
        <w:jc w:val="both"/>
        <w:rPr>
          <w:rFonts w:ascii="Arial" w:hAnsi="Arial" w:cs="Arial"/>
        </w:rPr>
      </w:pPr>
      <w:r w:rsidRPr="00C71650">
        <w:rPr>
          <w:rFonts w:ascii="Arial" w:hAnsi="Arial" w:cs="Arial"/>
        </w:rPr>
        <w:t xml:space="preserve">Tourism in Kerala promotes economic growth and contributes to Kerala’s SGDP. Tourism proliferated foreign exchange earnings of the state, created job opportunities, increased income of the communities near tourist destinations. To quantify the various contributions of tourism industry is a hectic task due to unavailability of data on increased income, jobs, business etc. due to tourism development. Thus, foreign exchange earnings from tourism have been here considered as an important variable to analyses the share of tourism in SGDP. </w:t>
      </w:r>
    </w:p>
    <w:p w14:paraId="5C82A3F3" w14:textId="77777777" w:rsidR="00C71650" w:rsidRPr="00C71650" w:rsidRDefault="00B372A2" w:rsidP="00C71650">
      <w:pPr>
        <w:autoSpaceDE w:val="0"/>
        <w:autoSpaceDN w:val="0"/>
        <w:adjustRightInd w:val="0"/>
        <w:spacing w:after="240"/>
        <w:ind w:right="29"/>
        <w:jc w:val="both"/>
        <w:rPr>
          <w:rFonts w:ascii="Arial" w:hAnsi="Arial" w:cs="Arial"/>
        </w:rPr>
      </w:pPr>
      <m:oMathPara>
        <m:oMath>
          <m:sSub>
            <m:sSubPr>
              <m:ctrlPr>
                <w:rPr>
                  <w:rFonts w:ascii="Cambria Math" w:hAnsi="Cambria Math" w:cs="Arial"/>
                  <w:i/>
                </w:rPr>
              </m:ctrlPr>
            </m:sSubPr>
            <m:e>
              <m:r>
                <w:rPr>
                  <w:rFonts w:ascii="Cambria Math" w:hAnsi="Cambria Math" w:cs="Arial"/>
                </w:rPr>
                <m:t>S</m:t>
              </m:r>
              <m:r>
                <w:rPr>
                  <w:rFonts w:ascii="Cambria Math" w:hAnsi="Cambria Math" w:cs="Arial"/>
                </w:rPr>
                <m:t>h</m:t>
              </m:r>
              <m:r>
                <w:rPr>
                  <w:rFonts w:ascii="Cambria Math" w:hAnsi="Cambria Math" w:cs="Arial"/>
                </w:rPr>
                <m:t>are</m:t>
              </m:r>
            </m:e>
            <m:sub>
              <m:r>
                <w:rPr>
                  <w:rFonts w:ascii="Cambria Math" w:hAnsi="Cambria Math" w:cs="Arial"/>
                </w:rPr>
                <m:t>FEET</m:t>
              </m:r>
            </m:sub>
          </m:sSub>
          <m:r>
            <w:rPr>
              <w:rFonts w:ascii="Cambria Math" w:hAnsi="Cambria Math" w:cs="Arial"/>
            </w:rPr>
            <m:t>%=</m:t>
          </m:r>
          <m:d>
            <m:dPr>
              <m:ctrlPr>
                <w:rPr>
                  <w:rFonts w:ascii="Cambria Math" w:hAnsi="Cambria Math" w:cs="Arial"/>
                  <w:i/>
                </w:rPr>
              </m:ctrlPr>
            </m:dPr>
            <m:e>
              <m:f>
                <m:fPr>
                  <m:ctrlPr>
                    <w:rPr>
                      <w:rFonts w:ascii="Cambria Math" w:hAnsi="Cambria Math" w:cs="Arial"/>
                      <w:i/>
                    </w:rPr>
                  </m:ctrlPr>
                </m:fPr>
                <m:num>
                  <m:sSub>
                    <m:sSubPr>
                      <m:ctrlPr>
                        <w:rPr>
                          <w:rFonts w:ascii="Cambria Math" w:hAnsi="Cambria Math" w:cs="Arial"/>
                          <w:i/>
                        </w:rPr>
                      </m:ctrlPr>
                    </m:sSubPr>
                    <m:e>
                      <m:r>
                        <w:rPr>
                          <w:rFonts w:ascii="Cambria Math" w:hAnsi="Cambria Math" w:cs="Arial"/>
                        </w:rPr>
                        <m:t>FEET</m:t>
                      </m:r>
                    </m:e>
                    <m:sub>
                      <m:r>
                        <w:rPr>
                          <w:rFonts w:ascii="Cambria Math" w:hAnsi="Cambria Math" w:cs="Arial"/>
                        </w:rPr>
                        <m:t>t</m:t>
                      </m:r>
                    </m:sub>
                  </m:sSub>
                </m:num>
                <m:den>
                  <m:sSub>
                    <m:sSubPr>
                      <m:ctrlPr>
                        <w:rPr>
                          <w:rFonts w:ascii="Cambria Math" w:hAnsi="Cambria Math" w:cs="Arial"/>
                          <w:i/>
                        </w:rPr>
                      </m:ctrlPr>
                    </m:sSubPr>
                    <m:e>
                      <m:r>
                        <w:rPr>
                          <w:rFonts w:ascii="Cambria Math" w:hAnsi="Cambria Math" w:cs="Arial"/>
                        </w:rPr>
                        <m:t>SGDP</m:t>
                      </m:r>
                    </m:e>
                    <m:sub>
                      <m:r>
                        <w:rPr>
                          <w:rFonts w:ascii="Cambria Math" w:hAnsi="Cambria Math" w:cs="Arial"/>
                        </w:rPr>
                        <m:t>t</m:t>
                      </m:r>
                    </m:sub>
                  </m:sSub>
                </m:den>
              </m:f>
            </m:e>
          </m:d>
          <m:r>
            <w:rPr>
              <w:rFonts w:ascii="Cambria Math" w:hAnsi="Cambria Math" w:cs="Arial"/>
            </w:rPr>
            <m:t>×100</m:t>
          </m:r>
        </m:oMath>
      </m:oMathPara>
    </w:p>
    <w:p w14:paraId="1AD8986A" w14:textId="77777777" w:rsidR="00C71650" w:rsidRPr="00C71650" w:rsidRDefault="00C71650" w:rsidP="00C71650">
      <w:pPr>
        <w:autoSpaceDE w:val="0"/>
        <w:autoSpaceDN w:val="0"/>
        <w:adjustRightInd w:val="0"/>
        <w:spacing w:after="240"/>
        <w:ind w:right="29"/>
        <w:jc w:val="both"/>
        <w:rPr>
          <w:rFonts w:ascii="Arial" w:hAnsi="Arial" w:cs="Arial"/>
        </w:rPr>
      </w:pPr>
      <w:r w:rsidRPr="00C71650">
        <w:rPr>
          <w:rFonts w:ascii="Arial" w:hAnsi="Arial" w:cs="Arial"/>
        </w:rPr>
        <w:lastRenderedPageBreak/>
        <w:t>The share of tourism in State Gross Domestic Product of Kerala gives a picture of the role of tourism sector in state’s development and growth. The share of tourism sector in State Gross Domestic Product of Kerala is presented in the table 2.</w:t>
      </w:r>
    </w:p>
    <w:p w14:paraId="025BED02" w14:textId="77777777" w:rsidR="00C71650" w:rsidRPr="00C71650" w:rsidRDefault="00C71650" w:rsidP="00C71650">
      <w:pPr>
        <w:autoSpaceDE w:val="0"/>
        <w:autoSpaceDN w:val="0"/>
        <w:adjustRightInd w:val="0"/>
        <w:ind w:right="29"/>
        <w:jc w:val="center"/>
        <w:rPr>
          <w:rFonts w:ascii="Arial" w:hAnsi="Arial" w:cs="Arial"/>
          <w:b/>
          <w:bCs/>
        </w:rPr>
      </w:pPr>
      <w:r w:rsidRPr="00C71650">
        <w:rPr>
          <w:rFonts w:ascii="Arial" w:hAnsi="Arial" w:cs="Arial"/>
          <w:b/>
          <w:bCs/>
        </w:rPr>
        <w:t>Table 2: Share of Tourism in SGDP</w:t>
      </w:r>
    </w:p>
    <w:tbl>
      <w:tblPr>
        <w:tblStyle w:val="TableGrid"/>
        <w:tblW w:w="8481" w:type="dxa"/>
        <w:tblInd w:w="-113" w:type="dxa"/>
        <w:tblLook w:val="04A0" w:firstRow="1" w:lastRow="0" w:firstColumn="1" w:lastColumn="0" w:noHBand="0" w:noVBand="1"/>
      </w:tblPr>
      <w:tblGrid>
        <w:gridCol w:w="3652"/>
        <w:gridCol w:w="4829"/>
      </w:tblGrid>
      <w:tr w:rsidR="00C71650" w:rsidRPr="00C71650" w14:paraId="0702EC79" w14:textId="77777777" w:rsidTr="003824C9">
        <w:trPr>
          <w:trHeight w:val="415"/>
        </w:trPr>
        <w:tc>
          <w:tcPr>
            <w:tcW w:w="3652" w:type="dxa"/>
            <w:tcBorders>
              <w:top w:val="single" w:sz="4" w:space="0" w:color="auto"/>
              <w:left w:val="single" w:sz="4" w:space="0" w:color="auto"/>
              <w:bottom w:val="single" w:sz="4" w:space="0" w:color="auto"/>
              <w:right w:val="single" w:sz="4" w:space="0" w:color="auto"/>
            </w:tcBorders>
            <w:hideMark/>
          </w:tcPr>
          <w:p w14:paraId="1BA018AE" w14:textId="77777777" w:rsidR="00C71650" w:rsidRPr="00C71650" w:rsidRDefault="00C71650" w:rsidP="003824C9">
            <w:pPr>
              <w:jc w:val="center"/>
              <w:rPr>
                <w:rFonts w:ascii="Arial" w:hAnsi="Arial" w:cs="Arial"/>
                <w:b/>
                <w:sz w:val="20"/>
                <w:szCs w:val="20"/>
                <w:lang w:val="en-IN"/>
              </w:rPr>
            </w:pPr>
            <w:r w:rsidRPr="00C71650">
              <w:rPr>
                <w:rFonts w:ascii="Arial" w:hAnsi="Arial" w:cs="Arial"/>
                <w:b/>
                <w:sz w:val="20"/>
                <w:szCs w:val="20"/>
              </w:rPr>
              <w:t>Year</w:t>
            </w:r>
          </w:p>
        </w:tc>
        <w:tc>
          <w:tcPr>
            <w:tcW w:w="4829" w:type="dxa"/>
            <w:tcBorders>
              <w:top w:val="single" w:sz="4" w:space="0" w:color="auto"/>
              <w:left w:val="single" w:sz="4" w:space="0" w:color="auto"/>
              <w:bottom w:val="single" w:sz="4" w:space="0" w:color="auto"/>
              <w:right w:val="single" w:sz="4" w:space="0" w:color="auto"/>
            </w:tcBorders>
            <w:hideMark/>
          </w:tcPr>
          <w:p w14:paraId="67DF9278" w14:textId="77777777" w:rsidR="00C71650" w:rsidRPr="00C71650" w:rsidRDefault="00C71650" w:rsidP="003824C9">
            <w:pPr>
              <w:jc w:val="center"/>
              <w:rPr>
                <w:rFonts w:ascii="Arial" w:hAnsi="Arial" w:cs="Arial"/>
                <w:b/>
                <w:sz w:val="20"/>
                <w:szCs w:val="20"/>
              </w:rPr>
            </w:pPr>
            <w:r w:rsidRPr="00C71650">
              <w:rPr>
                <w:rFonts w:ascii="Arial" w:hAnsi="Arial" w:cs="Arial"/>
                <w:b/>
                <w:sz w:val="20"/>
                <w:szCs w:val="20"/>
              </w:rPr>
              <w:t>Share of foreign exchange earnings from tourism in SGDP</w:t>
            </w:r>
          </w:p>
        </w:tc>
      </w:tr>
      <w:tr w:rsidR="00C71650" w:rsidRPr="00C71650" w14:paraId="5225D40C" w14:textId="77777777" w:rsidTr="003824C9">
        <w:trPr>
          <w:trHeight w:val="304"/>
        </w:trPr>
        <w:tc>
          <w:tcPr>
            <w:tcW w:w="3652" w:type="dxa"/>
            <w:tcBorders>
              <w:top w:val="single" w:sz="4" w:space="0" w:color="auto"/>
              <w:left w:val="single" w:sz="4" w:space="0" w:color="auto"/>
              <w:bottom w:val="single" w:sz="4" w:space="0" w:color="auto"/>
              <w:right w:val="single" w:sz="4" w:space="0" w:color="auto"/>
            </w:tcBorders>
            <w:hideMark/>
          </w:tcPr>
          <w:p w14:paraId="1636A07F" w14:textId="77777777" w:rsidR="00C71650" w:rsidRPr="00C71650" w:rsidRDefault="00C71650" w:rsidP="003824C9">
            <w:pPr>
              <w:jc w:val="both"/>
              <w:rPr>
                <w:rFonts w:ascii="Arial" w:hAnsi="Arial" w:cs="Arial"/>
                <w:bCs/>
                <w:sz w:val="20"/>
                <w:szCs w:val="20"/>
              </w:rPr>
            </w:pPr>
            <w:r w:rsidRPr="00C71650">
              <w:rPr>
                <w:rFonts w:ascii="Arial" w:hAnsi="Arial" w:cs="Arial"/>
                <w:bCs/>
                <w:sz w:val="20"/>
                <w:szCs w:val="20"/>
              </w:rPr>
              <w:t>1991- 92</w:t>
            </w:r>
          </w:p>
        </w:tc>
        <w:tc>
          <w:tcPr>
            <w:tcW w:w="4829" w:type="dxa"/>
            <w:tcBorders>
              <w:top w:val="single" w:sz="4" w:space="0" w:color="auto"/>
              <w:left w:val="single" w:sz="4" w:space="0" w:color="auto"/>
              <w:bottom w:val="single" w:sz="4" w:space="0" w:color="auto"/>
              <w:right w:val="single" w:sz="4" w:space="0" w:color="auto"/>
            </w:tcBorders>
            <w:vAlign w:val="bottom"/>
            <w:hideMark/>
          </w:tcPr>
          <w:p w14:paraId="48B7E700" w14:textId="77777777" w:rsidR="00C71650" w:rsidRPr="00C71650" w:rsidRDefault="00C71650" w:rsidP="003824C9">
            <w:pPr>
              <w:jc w:val="both"/>
              <w:rPr>
                <w:rFonts w:ascii="Arial" w:hAnsi="Arial" w:cs="Arial"/>
                <w:sz w:val="20"/>
                <w:szCs w:val="20"/>
              </w:rPr>
            </w:pPr>
            <w:r w:rsidRPr="00C71650">
              <w:rPr>
                <w:rFonts w:ascii="Arial" w:hAnsi="Arial" w:cs="Arial"/>
                <w:color w:val="000000"/>
                <w:sz w:val="20"/>
                <w:szCs w:val="20"/>
              </w:rPr>
              <w:t>3.080326</w:t>
            </w:r>
          </w:p>
        </w:tc>
      </w:tr>
      <w:tr w:rsidR="00C71650" w:rsidRPr="00C71650" w14:paraId="616AA4F6" w14:textId="77777777" w:rsidTr="003824C9">
        <w:trPr>
          <w:trHeight w:val="304"/>
        </w:trPr>
        <w:tc>
          <w:tcPr>
            <w:tcW w:w="3652" w:type="dxa"/>
            <w:tcBorders>
              <w:top w:val="single" w:sz="4" w:space="0" w:color="auto"/>
              <w:left w:val="single" w:sz="4" w:space="0" w:color="auto"/>
              <w:bottom w:val="single" w:sz="4" w:space="0" w:color="auto"/>
              <w:right w:val="single" w:sz="4" w:space="0" w:color="auto"/>
            </w:tcBorders>
            <w:hideMark/>
          </w:tcPr>
          <w:p w14:paraId="1044C387" w14:textId="77777777" w:rsidR="00C71650" w:rsidRPr="00C71650" w:rsidRDefault="00C71650" w:rsidP="003824C9">
            <w:pPr>
              <w:jc w:val="both"/>
              <w:rPr>
                <w:rFonts w:ascii="Arial" w:hAnsi="Arial" w:cs="Arial"/>
                <w:bCs/>
                <w:sz w:val="20"/>
                <w:szCs w:val="20"/>
              </w:rPr>
            </w:pPr>
            <w:r w:rsidRPr="00C71650">
              <w:rPr>
                <w:rFonts w:ascii="Arial" w:hAnsi="Arial" w:cs="Arial"/>
                <w:bCs/>
                <w:sz w:val="20"/>
                <w:szCs w:val="20"/>
              </w:rPr>
              <w:t>1992-93</w:t>
            </w:r>
          </w:p>
        </w:tc>
        <w:tc>
          <w:tcPr>
            <w:tcW w:w="4829" w:type="dxa"/>
            <w:tcBorders>
              <w:top w:val="single" w:sz="4" w:space="0" w:color="auto"/>
              <w:left w:val="single" w:sz="4" w:space="0" w:color="auto"/>
              <w:bottom w:val="single" w:sz="4" w:space="0" w:color="auto"/>
              <w:right w:val="single" w:sz="4" w:space="0" w:color="auto"/>
            </w:tcBorders>
            <w:vAlign w:val="bottom"/>
            <w:hideMark/>
          </w:tcPr>
          <w:p w14:paraId="390DCC7D" w14:textId="77777777" w:rsidR="00C71650" w:rsidRPr="00C71650" w:rsidRDefault="00C71650" w:rsidP="003824C9">
            <w:pPr>
              <w:jc w:val="both"/>
              <w:rPr>
                <w:rFonts w:ascii="Arial" w:hAnsi="Arial" w:cs="Arial"/>
                <w:sz w:val="20"/>
                <w:szCs w:val="20"/>
              </w:rPr>
            </w:pPr>
            <w:r w:rsidRPr="00C71650">
              <w:rPr>
                <w:rFonts w:ascii="Arial" w:hAnsi="Arial" w:cs="Arial"/>
                <w:color w:val="000000"/>
                <w:sz w:val="20"/>
                <w:szCs w:val="20"/>
              </w:rPr>
              <w:t>3.503078</w:t>
            </w:r>
          </w:p>
        </w:tc>
      </w:tr>
      <w:tr w:rsidR="00C71650" w:rsidRPr="00C71650" w14:paraId="12995099" w14:textId="77777777" w:rsidTr="003824C9">
        <w:trPr>
          <w:trHeight w:val="296"/>
        </w:trPr>
        <w:tc>
          <w:tcPr>
            <w:tcW w:w="3652" w:type="dxa"/>
            <w:tcBorders>
              <w:top w:val="single" w:sz="4" w:space="0" w:color="auto"/>
              <w:left w:val="single" w:sz="4" w:space="0" w:color="auto"/>
              <w:bottom w:val="single" w:sz="4" w:space="0" w:color="auto"/>
              <w:right w:val="single" w:sz="4" w:space="0" w:color="auto"/>
            </w:tcBorders>
            <w:hideMark/>
          </w:tcPr>
          <w:p w14:paraId="53474B21" w14:textId="77777777" w:rsidR="00C71650" w:rsidRPr="00C71650" w:rsidRDefault="00C71650" w:rsidP="003824C9">
            <w:pPr>
              <w:jc w:val="both"/>
              <w:rPr>
                <w:rFonts w:ascii="Arial" w:hAnsi="Arial" w:cs="Arial"/>
                <w:bCs/>
                <w:sz w:val="20"/>
                <w:szCs w:val="20"/>
              </w:rPr>
            </w:pPr>
            <w:r w:rsidRPr="00C71650">
              <w:rPr>
                <w:rFonts w:ascii="Arial" w:hAnsi="Arial" w:cs="Arial"/>
                <w:bCs/>
                <w:sz w:val="20"/>
                <w:szCs w:val="20"/>
              </w:rPr>
              <w:t>1993-94</w:t>
            </w:r>
          </w:p>
        </w:tc>
        <w:tc>
          <w:tcPr>
            <w:tcW w:w="4829" w:type="dxa"/>
            <w:tcBorders>
              <w:top w:val="single" w:sz="4" w:space="0" w:color="auto"/>
              <w:left w:val="single" w:sz="4" w:space="0" w:color="auto"/>
              <w:bottom w:val="single" w:sz="4" w:space="0" w:color="auto"/>
              <w:right w:val="single" w:sz="4" w:space="0" w:color="auto"/>
            </w:tcBorders>
            <w:vAlign w:val="bottom"/>
            <w:hideMark/>
          </w:tcPr>
          <w:p w14:paraId="711A220D" w14:textId="77777777" w:rsidR="00C71650" w:rsidRPr="00C71650" w:rsidRDefault="00C71650" w:rsidP="003824C9">
            <w:pPr>
              <w:jc w:val="both"/>
              <w:rPr>
                <w:rFonts w:ascii="Arial" w:hAnsi="Arial" w:cs="Arial"/>
                <w:sz w:val="20"/>
                <w:szCs w:val="20"/>
              </w:rPr>
            </w:pPr>
            <w:r w:rsidRPr="00C71650">
              <w:rPr>
                <w:rFonts w:ascii="Arial" w:hAnsi="Arial" w:cs="Arial"/>
                <w:color w:val="000000"/>
                <w:sz w:val="20"/>
                <w:szCs w:val="20"/>
              </w:rPr>
              <w:t>3.275447</w:t>
            </w:r>
          </w:p>
        </w:tc>
      </w:tr>
      <w:tr w:rsidR="00C71650" w:rsidRPr="00C71650" w14:paraId="1C373E2B" w14:textId="77777777" w:rsidTr="003824C9">
        <w:trPr>
          <w:trHeight w:val="296"/>
        </w:trPr>
        <w:tc>
          <w:tcPr>
            <w:tcW w:w="3652" w:type="dxa"/>
            <w:tcBorders>
              <w:top w:val="single" w:sz="4" w:space="0" w:color="auto"/>
              <w:left w:val="single" w:sz="4" w:space="0" w:color="auto"/>
              <w:bottom w:val="single" w:sz="4" w:space="0" w:color="auto"/>
              <w:right w:val="single" w:sz="4" w:space="0" w:color="auto"/>
            </w:tcBorders>
            <w:hideMark/>
          </w:tcPr>
          <w:p w14:paraId="1EB5CB6F" w14:textId="77777777" w:rsidR="00C71650" w:rsidRPr="00C71650" w:rsidRDefault="00C71650" w:rsidP="003824C9">
            <w:pPr>
              <w:jc w:val="both"/>
              <w:rPr>
                <w:rFonts w:ascii="Arial" w:hAnsi="Arial" w:cs="Arial"/>
                <w:bCs/>
                <w:sz w:val="20"/>
                <w:szCs w:val="20"/>
              </w:rPr>
            </w:pPr>
            <w:r w:rsidRPr="00C71650">
              <w:rPr>
                <w:rFonts w:ascii="Arial" w:hAnsi="Arial" w:cs="Arial"/>
                <w:bCs/>
                <w:sz w:val="20"/>
                <w:szCs w:val="20"/>
              </w:rPr>
              <w:t>1994-95</w:t>
            </w:r>
          </w:p>
        </w:tc>
        <w:tc>
          <w:tcPr>
            <w:tcW w:w="4829" w:type="dxa"/>
            <w:tcBorders>
              <w:top w:val="single" w:sz="4" w:space="0" w:color="auto"/>
              <w:left w:val="single" w:sz="4" w:space="0" w:color="auto"/>
              <w:bottom w:val="single" w:sz="4" w:space="0" w:color="auto"/>
              <w:right w:val="single" w:sz="4" w:space="0" w:color="auto"/>
            </w:tcBorders>
            <w:vAlign w:val="bottom"/>
            <w:hideMark/>
          </w:tcPr>
          <w:p w14:paraId="3F4A3099" w14:textId="77777777" w:rsidR="00C71650" w:rsidRPr="00C71650" w:rsidRDefault="00C71650" w:rsidP="003824C9">
            <w:pPr>
              <w:jc w:val="both"/>
              <w:rPr>
                <w:rFonts w:ascii="Arial" w:hAnsi="Arial" w:cs="Arial"/>
                <w:sz w:val="20"/>
                <w:szCs w:val="20"/>
              </w:rPr>
            </w:pPr>
            <w:r w:rsidRPr="00C71650">
              <w:rPr>
                <w:rFonts w:ascii="Arial" w:hAnsi="Arial" w:cs="Arial"/>
                <w:color w:val="000000"/>
                <w:sz w:val="20"/>
                <w:szCs w:val="20"/>
              </w:rPr>
              <w:t>2.983198</w:t>
            </w:r>
          </w:p>
        </w:tc>
      </w:tr>
      <w:tr w:rsidR="00C71650" w:rsidRPr="00C71650" w14:paraId="6D65E2F5" w14:textId="77777777" w:rsidTr="003824C9">
        <w:trPr>
          <w:trHeight w:val="304"/>
        </w:trPr>
        <w:tc>
          <w:tcPr>
            <w:tcW w:w="3652" w:type="dxa"/>
            <w:tcBorders>
              <w:top w:val="single" w:sz="4" w:space="0" w:color="auto"/>
              <w:left w:val="single" w:sz="4" w:space="0" w:color="auto"/>
              <w:bottom w:val="single" w:sz="4" w:space="0" w:color="auto"/>
              <w:right w:val="single" w:sz="4" w:space="0" w:color="auto"/>
            </w:tcBorders>
            <w:hideMark/>
          </w:tcPr>
          <w:p w14:paraId="0E58B045" w14:textId="77777777" w:rsidR="00C71650" w:rsidRPr="00C71650" w:rsidRDefault="00C71650" w:rsidP="003824C9">
            <w:pPr>
              <w:jc w:val="both"/>
              <w:rPr>
                <w:rFonts w:ascii="Arial" w:hAnsi="Arial" w:cs="Arial"/>
                <w:bCs/>
                <w:sz w:val="20"/>
                <w:szCs w:val="20"/>
              </w:rPr>
            </w:pPr>
            <w:r w:rsidRPr="00C71650">
              <w:rPr>
                <w:rFonts w:ascii="Arial" w:hAnsi="Arial" w:cs="Arial"/>
                <w:bCs/>
                <w:sz w:val="20"/>
                <w:szCs w:val="20"/>
              </w:rPr>
              <w:t>1995-96</w:t>
            </w:r>
          </w:p>
        </w:tc>
        <w:tc>
          <w:tcPr>
            <w:tcW w:w="4829" w:type="dxa"/>
            <w:tcBorders>
              <w:top w:val="single" w:sz="4" w:space="0" w:color="auto"/>
              <w:left w:val="single" w:sz="4" w:space="0" w:color="auto"/>
              <w:bottom w:val="single" w:sz="4" w:space="0" w:color="auto"/>
              <w:right w:val="single" w:sz="4" w:space="0" w:color="auto"/>
            </w:tcBorders>
            <w:vAlign w:val="bottom"/>
            <w:hideMark/>
          </w:tcPr>
          <w:p w14:paraId="7B6F06D4" w14:textId="77777777" w:rsidR="00C71650" w:rsidRPr="00C71650" w:rsidRDefault="00C71650" w:rsidP="003824C9">
            <w:pPr>
              <w:jc w:val="both"/>
              <w:rPr>
                <w:rFonts w:ascii="Arial" w:hAnsi="Arial" w:cs="Arial"/>
                <w:sz w:val="20"/>
                <w:szCs w:val="20"/>
              </w:rPr>
            </w:pPr>
            <w:r w:rsidRPr="00C71650">
              <w:rPr>
                <w:rFonts w:ascii="Arial" w:hAnsi="Arial" w:cs="Arial"/>
                <w:color w:val="000000"/>
                <w:sz w:val="20"/>
                <w:szCs w:val="20"/>
              </w:rPr>
              <w:t>3.363186</w:t>
            </w:r>
          </w:p>
        </w:tc>
      </w:tr>
      <w:tr w:rsidR="00C71650" w:rsidRPr="00C71650" w14:paraId="4736736C" w14:textId="77777777" w:rsidTr="003824C9">
        <w:trPr>
          <w:trHeight w:val="304"/>
        </w:trPr>
        <w:tc>
          <w:tcPr>
            <w:tcW w:w="3652" w:type="dxa"/>
            <w:tcBorders>
              <w:top w:val="single" w:sz="4" w:space="0" w:color="auto"/>
              <w:left w:val="single" w:sz="4" w:space="0" w:color="auto"/>
              <w:bottom w:val="single" w:sz="4" w:space="0" w:color="auto"/>
              <w:right w:val="single" w:sz="4" w:space="0" w:color="auto"/>
            </w:tcBorders>
            <w:hideMark/>
          </w:tcPr>
          <w:p w14:paraId="78C0B93A" w14:textId="77777777" w:rsidR="00C71650" w:rsidRPr="00C71650" w:rsidRDefault="00C71650" w:rsidP="003824C9">
            <w:pPr>
              <w:jc w:val="both"/>
              <w:rPr>
                <w:rFonts w:ascii="Arial" w:hAnsi="Arial" w:cs="Arial"/>
                <w:bCs/>
                <w:sz w:val="20"/>
                <w:szCs w:val="20"/>
              </w:rPr>
            </w:pPr>
            <w:r w:rsidRPr="00C71650">
              <w:rPr>
                <w:rFonts w:ascii="Arial" w:hAnsi="Arial" w:cs="Arial"/>
                <w:bCs/>
                <w:sz w:val="20"/>
                <w:szCs w:val="20"/>
              </w:rPr>
              <w:t>1996-97</w:t>
            </w:r>
          </w:p>
        </w:tc>
        <w:tc>
          <w:tcPr>
            <w:tcW w:w="4829" w:type="dxa"/>
            <w:tcBorders>
              <w:top w:val="single" w:sz="4" w:space="0" w:color="auto"/>
              <w:left w:val="single" w:sz="4" w:space="0" w:color="auto"/>
              <w:bottom w:val="single" w:sz="4" w:space="0" w:color="auto"/>
              <w:right w:val="single" w:sz="4" w:space="0" w:color="auto"/>
            </w:tcBorders>
            <w:vAlign w:val="bottom"/>
            <w:hideMark/>
          </w:tcPr>
          <w:p w14:paraId="148ED963" w14:textId="77777777" w:rsidR="00C71650" w:rsidRPr="00C71650" w:rsidRDefault="00C71650" w:rsidP="003824C9">
            <w:pPr>
              <w:jc w:val="both"/>
              <w:rPr>
                <w:rFonts w:ascii="Arial" w:hAnsi="Arial" w:cs="Arial"/>
                <w:sz w:val="20"/>
                <w:szCs w:val="20"/>
              </w:rPr>
            </w:pPr>
            <w:r w:rsidRPr="00C71650">
              <w:rPr>
                <w:rFonts w:ascii="Arial" w:hAnsi="Arial" w:cs="Arial"/>
                <w:color w:val="000000"/>
                <w:sz w:val="20"/>
                <w:szCs w:val="20"/>
              </w:rPr>
              <w:t>3.621631</w:t>
            </w:r>
          </w:p>
        </w:tc>
      </w:tr>
      <w:tr w:rsidR="00C71650" w:rsidRPr="00C71650" w14:paraId="72A01494" w14:textId="77777777" w:rsidTr="003824C9">
        <w:trPr>
          <w:trHeight w:val="304"/>
        </w:trPr>
        <w:tc>
          <w:tcPr>
            <w:tcW w:w="3652" w:type="dxa"/>
            <w:tcBorders>
              <w:top w:val="single" w:sz="4" w:space="0" w:color="auto"/>
              <w:left w:val="single" w:sz="4" w:space="0" w:color="auto"/>
              <w:bottom w:val="single" w:sz="4" w:space="0" w:color="auto"/>
              <w:right w:val="single" w:sz="4" w:space="0" w:color="auto"/>
            </w:tcBorders>
            <w:hideMark/>
          </w:tcPr>
          <w:p w14:paraId="0EF6C284" w14:textId="77777777" w:rsidR="00C71650" w:rsidRPr="00C71650" w:rsidRDefault="00C71650" w:rsidP="003824C9">
            <w:pPr>
              <w:jc w:val="both"/>
              <w:rPr>
                <w:rFonts w:ascii="Arial" w:hAnsi="Arial" w:cs="Arial"/>
                <w:bCs/>
                <w:sz w:val="20"/>
                <w:szCs w:val="20"/>
              </w:rPr>
            </w:pPr>
            <w:r w:rsidRPr="00C71650">
              <w:rPr>
                <w:rFonts w:ascii="Arial" w:hAnsi="Arial" w:cs="Arial"/>
                <w:bCs/>
                <w:sz w:val="20"/>
                <w:szCs w:val="20"/>
              </w:rPr>
              <w:t>1997-98</w:t>
            </w:r>
          </w:p>
        </w:tc>
        <w:tc>
          <w:tcPr>
            <w:tcW w:w="4829" w:type="dxa"/>
            <w:tcBorders>
              <w:top w:val="single" w:sz="4" w:space="0" w:color="auto"/>
              <w:left w:val="single" w:sz="4" w:space="0" w:color="auto"/>
              <w:bottom w:val="single" w:sz="4" w:space="0" w:color="auto"/>
              <w:right w:val="single" w:sz="4" w:space="0" w:color="auto"/>
            </w:tcBorders>
            <w:vAlign w:val="bottom"/>
            <w:hideMark/>
          </w:tcPr>
          <w:p w14:paraId="2B90F1FC" w14:textId="77777777" w:rsidR="00C71650" w:rsidRPr="00C71650" w:rsidRDefault="00C71650" w:rsidP="003824C9">
            <w:pPr>
              <w:jc w:val="both"/>
              <w:rPr>
                <w:rFonts w:ascii="Arial" w:hAnsi="Arial" w:cs="Arial"/>
                <w:sz w:val="20"/>
                <w:szCs w:val="20"/>
              </w:rPr>
            </w:pPr>
            <w:r w:rsidRPr="00C71650">
              <w:rPr>
                <w:rFonts w:ascii="Arial" w:hAnsi="Arial" w:cs="Arial"/>
                <w:color w:val="000000"/>
                <w:sz w:val="20"/>
                <w:szCs w:val="20"/>
              </w:rPr>
              <w:t>3.337589</w:t>
            </w:r>
          </w:p>
        </w:tc>
      </w:tr>
      <w:tr w:rsidR="00C71650" w:rsidRPr="00C71650" w14:paraId="08481C68" w14:textId="77777777" w:rsidTr="003824C9">
        <w:trPr>
          <w:trHeight w:val="304"/>
        </w:trPr>
        <w:tc>
          <w:tcPr>
            <w:tcW w:w="3652" w:type="dxa"/>
            <w:tcBorders>
              <w:top w:val="single" w:sz="4" w:space="0" w:color="auto"/>
              <w:left w:val="single" w:sz="4" w:space="0" w:color="auto"/>
              <w:bottom w:val="single" w:sz="4" w:space="0" w:color="auto"/>
              <w:right w:val="single" w:sz="4" w:space="0" w:color="auto"/>
            </w:tcBorders>
            <w:hideMark/>
          </w:tcPr>
          <w:p w14:paraId="02426F46" w14:textId="77777777" w:rsidR="00C71650" w:rsidRPr="00C71650" w:rsidRDefault="00C71650" w:rsidP="003824C9">
            <w:pPr>
              <w:jc w:val="both"/>
              <w:rPr>
                <w:rFonts w:ascii="Arial" w:hAnsi="Arial" w:cs="Arial"/>
                <w:bCs/>
                <w:sz w:val="20"/>
                <w:szCs w:val="20"/>
              </w:rPr>
            </w:pPr>
            <w:r w:rsidRPr="00C71650">
              <w:rPr>
                <w:rFonts w:ascii="Arial" w:hAnsi="Arial" w:cs="Arial"/>
                <w:bCs/>
                <w:sz w:val="20"/>
                <w:szCs w:val="20"/>
              </w:rPr>
              <w:t>1998-99</w:t>
            </w:r>
          </w:p>
        </w:tc>
        <w:tc>
          <w:tcPr>
            <w:tcW w:w="4829" w:type="dxa"/>
            <w:tcBorders>
              <w:top w:val="single" w:sz="4" w:space="0" w:color="auto"/>
              <w:left w:val="single" w:sz="4" w:space="0" w:color="auto"/>
              <w:bottom w:val="single" w:sz="4" w:space="0" w:color="auto"/>
              <w:right w:val="single" w:sz="4" w:space="0" w:color="auto"/>
            </w:tcBorders>
            <w:vAlign w:val="bottom"/>
            <w:hideMark/>
          </w:tcPr>
          <w:p w14:paraId="49B38D7F" w14:textId="77777777" w:rsidR="00C71650" w:rsidRPr="00C71650" w:rsidRDefault="00C71650" w:rsidP="003824C9">
            <w:pPr>
              <w:jc w:val="both"/>
              <w:rPr>
                <w:rFonts w:ascii="Arial" w:hAnsi="Arial" w:cs="Arial"/>
                <w:sz w:val="20"/>
                <w:szCs w:val="20"/>
              </w:rPr>
            </w:pPr>
            <w:r w:rsidRPr="00C71650">
              <w:rPr>
                <w:rFonts w:ascii="Arial" w:hAnsi="Arial" w:cs="Arial"/>
                <w:color w:val="000000"/>
                <w:sz w:val="20"/>
                <w:szCs w:val="20"/>
              </w:rPr>
              <w:t>3.049487</w:t>
            </w:r>
          </w:p>
        </w:tc>
      </w:tr>
      <w:tr w:rsidR="00C71650" w:rsidRPr="00C71650" w14:paraId="45D202C5" w14:textId="77777777" w:rsidTr="003824C9">
        <w:trPr>
          <w:trHeight w:val="304"/>
        </w:trPr>
        <w:tc>
          <w:tcPr>
            <w:tcW w:w="3652" w:type="dxa"/>
            <w:tcBorders>
              <w:top w:val="single" w:sz="4" w:space="0" w:color="auto"/>
              <w:left w:val="single" w:sz="4" w:space="0" w:color="auto"/>
              <w:bottom w:val="single" w:sz="4" w:space="0" w:color="auto"/>
              <w:right w:val="single" w:sz="4" w:space="0" w:color="auto"/>
            </w:tcBorders>
            <w:hideMark/>
          </w:tcPr>
          <w:p w14:paraId="51766F0A" w14:textId="77777777" w:rsidR="00C71650" w:rsidRPr="00C71650" w:rsidRDefault="00C71650" w:rsidP="003824C9">
            <w:pPr>
              <w:jc w:val="both"/>
              <w:rPr>
                <w:rFonts w:ascii="Arial" w:hAnsi="Arial" w:cs="Arial"/>
                <w:bCs/>
                <w:sz w:val="20"/>
                <w:szCs w:val="20"/>
              </w:rPr>
            </w:pPr>
            <w:r w:rsidRPr="00C71650">
              <w:rPr>
                <w:rFonts w:ascii="Arial" w:hAnsi="Arial" w:cs="Arial"/>
                <w:bCs/>
                <w:sz w:val="20"/>
                <w:szCs w:val="20"/>
              </w:rPr>
              <w:t>1999-2000</w:t>
            </w:r>
          </w:p>
        </w:tc>
        <w:tc>
          <w:tcPr>
            <w:tcW w:w="4829" w:type="dxa"/>
            <w:tcBorders>
              <w:top w:val="single" w:sz="4" w:space="0" w:color="auto"/>
              <w:left w:val="single" w:sz="4" w:space="0" w:color="auto"/>
              <w:bottom w:val="single" w:sz="4" w:space="0" w:color="auto"/>
              <w:right w:val="single" w:sz="4" w:space="0" w:color="auto"/>
            </w:tcBorders>
            <w:vAlign w:val="bottom"/>
            <w:hideMark/>
          </w:tcPr>
          <w:p w14:paraId="478EA162" w14:textId="77777777" w:rsidR="00C71650" w:rsidRPr="00C71650" w:rsidRDefault="00C71650" w:rsidP="003824C9">
            <w:pPr>
              <w:jc w:val="both"/>
              <w:rPr>
                <w:rFonts w:ascii="Arial" w:hAnsi="Arial" w:cs="Arial"/>
                <w:sz w:val="20"/>
                <w:szCs w:val="20"/>
              </w:rPr>
            </w:pPr>
            <w:r w:rsidRPr="00C71650">
              <w:rPr>
                <w:rFonts w:ascii="Arial" w:hAnsi="Arial" w:cs="Arial"/>
                <w:color w:val="000000"/>
                <w:sz w:val="20"/>
                <w:szCs w:val="20"/>
              </w:rPr>
              <w:t>2.922907</w:t>
            </w:r>
          </w:p>
        </w:tc>
      </w:tr>
      <w:tr w:rsidR="00C71650" w:rsidRPr="00C71650" w14:paraId="41D749DF" w14:textId="77777777" w:rsidTr="003824C9">
        <w:trPr>
          <w:trHeight w:val="304"/>
        </w:trPr>
        <w:tc>
          <w:tcPr>
            <w:tcW w:w="3652" w:type="dxa"/>
            <w:tcBorders>
              <w:top w:val="single" w:sz="4" w:space="0" w:color="auto"/>
              <w:left w:val="single" w:sz="4" w:space="0" w:color="auto"/>
              <w:bottom w:val="single" w:sz="4" w:space="0" w:color="auto"/>
              <w:right w:val="single" w:sz="4" w:space="0" w:color="auto"/>
            </w:tcBorders>
            <w:hideMark/>
          </w:tcPr>
          <w:p w14:paraId="24C11510" w14:textId="77777777" w:rsidR="00C71650" w:rsidRPr="00C71650" w:rsidRDefault="00C71650" w:rsidP="003824C9">
            <w:pPr>
              <w:jc w:val="both"/>
              <w:rPr>
                <w:rFonts w:ascii="Arial" w:hAnsi="Arial" w:cs="Arial"/>
                <w:bCs/>
                <w:sz w:val="20"/>
                <w:szCs w:val="20"/>
              </w:rPr>
            </w:pPr>
            <w:r w:rsidRPr="00C71650">
              <w:rPr>
                <w:rFonts w:ascii="Arial" w:hAnsi="Arial" w:cs="Arial"/>
                <w:bCs/>
                <w:sz w:val="20"/>
                <w:szCs w:val="20"/>
              </w:rPr>
              <w:t>2000-01</w:t>
            </w:r>
          </w:p>
        </w:tc>
        <w:tc>
          <w:tcPr>
            <w:tcW w:w="4829" w:type="dxa"/>
            <w:tcBorders>
              <w:top w:val="single" w:sz="4" w:space="0" w:color="auto"/>
              <w:left w:val="single" w:sz="4" w:space="0" w:color="auto"/>
              <w:bottom w:val="single" w:sz="4" w:space="0" w:color="auto"/>
              <w:right w:val="single" w:sz="4" w:space="0" w:color="auto"/>
            </w:tcBorders>
            <w:vAlign w:val="bottom"/>
            <w:hideMark/>
          </w:tcPr>
          <w:p w14:paraId="1E51C3F5" w14:textId="77777777" w:rsidR="00C71650" w:rsidRPr="00C71650" w:rsidRDefault="00C71650" w:rsidP="003824C9">
            <w:pPr>
              <w:jc w:val="both"/>
              <w:rPr>
                <w:rFonts w:ascii="Arial" w:hAnsi="Arial" w:cs="Arial"/>
                <w:sz w:val="20"/>
                <w:szCs w:val="20"/>
              </w:rPr>
            </w:pPr>
            <w:r w:rsidRPr="00C71650">
              <w:rPr>
                <w:rFonts w:ascii="Arial" w:hAnsi="Arial" w:cs="Arial"/>
                <w:color w:val="000000"/>
                <w:sz w:val="20"/>
                <w:szCs w:val="20"/>
              </w:rPr>
              <w:t>2.889298</w:t>
            </w:r>
          </w:p>
        </w:tc>
      </w:tr>
      <w:tr w:rsidR="00C71650" w:rsidRPr="00C71650" w14:paraId="784DB1C9" w14:textId="77777777" w:rsidTr="003824C9">
        <w:trPr>
          <w:trHeight w:val="296"/>
        </w:trPr>
        <w:tc>
          <w:tcPr>
            <w:tcW w:w="3652" w:type="dxa"/>
            <w:tcBorders>
              <w:top w:val="single" w:sz="4" w:space="0" w:color="auto"/>
              <w:left w:val="single" w:sz="4" w:space="0" w:color="auto"/>
              <w:bottom w:val="single" w:sz="4" w:space="0" w:color="auto"/>
              <w:right w:val="single" w:sz="4" w:space="0" w:color="auto"/>
            </w:tcBorders>
            <w:hideMark/>
          </w:tcPr>
          <w:p w14:paraId="7B39CEDE" w14:textId="77777777" w:rsidR="00C71650" w:rsidRPr="00C71650" w:rsidRDefault="00C71650" w:rsidP="003824C9">
            <w:pPr>
              <w:jc w:val="both"/>
              <w:rPr>
                <w:rFonts w:ascii="Arial" w:hAnsi="Arial" w:cs="Arial"/>
                <w:bCs/>
                <w:sz w:val="20"/>
                <w:szCs w:val="20"/>
              </w:rPr>
            </w:pPr>
            <w:r w:rsidRPr="00C71650">
              <w:rPr>
                <w:rFonts w:ascii="Arial" w:hAnsi="Arial" w:cs="Arial"/>
                <w:bCs/>
                <w:sz w:val="20"/>
                <w:szCs w:val="20"/>
              </w:rPr>
              <w:t>2001-02</w:t>
            </w:r>
          </w:p>
        </w:tc>
        <w:tc>
          <w:tcPr>
            <w:tcW w:w="4829" w:type="dxa"/>
            <w:tcBorders>
              <w:top w:val="single" w:sz="4" w:space="0" w:color="auto"/>
              <w:left w:val="single" w:sz="4" w:space="0" w:color="auto"/>
              <w:bottom w:val="single" w:sz="4" w:space="0" w:color="auto"/>
              <w:right w:val="single" w:sz="4" w:space="0" w:color="auto"/>
            </w:tcBorders>
            <w:vAlign w:val="bottom"/>
            <w:hideMark/>
          </w:tcPr>
          <w:p w14:paraId="73C21933" w14:textId="77777777" w:rsidR="00C71650" w:rsidRPr="00C71650" w:rsidRDefault="00C71650" w:rsidP="003824C9">
            <w:pPr>
              <w:jc w:val="both"/>
              <w:rPr>
                <w:rFonts w:ascii="Arial" w:hAnsi="Arial" w:cs="Arial"/>
                <w:sz w:val="20"/>
                <w:szCs w:val="20"/>
              </w:rPr>
            </w:pPr>
            <w:r w:rsidRPr="00C71650">
              <w:rPr>
                <w:rFonts w:ascii="Arial" w:hAnsi="Arial" w:cs="Arial"/>
                <w:color w:val="000000"/>
                <w:sz w:val="20"/>
                <w:szCs w:val="20"/>
              </w:rPr>
              <w:t>2.679927</w:t>
            </w:r>
          </w:p>
        </w:tc>
      </w:tr>
      <w:tr w:rsidR="00C71650" w:rsidRPr="00C71650" w14:paraId="529D0885" w14:textId="77777777" w:rsidTr="003824C9">
        <w:trPr>
          <w:trHeight w:val="296"/>
        </w:trPr>
        <w:tc>
          <w:tcPr>
            <w:tcW w:w="3652" w:type="dxa"/>
            <w:tcBorders>
              <w:top w:val="single" w:sz="4" w:space="0" w:color="auto"/>
              <w:left w:val="single" w:sz="4" w:space="0" w:color="auto"/>
              <w:bottom w:val="single" w:sz="4" w:space="0" w:color="auto"/>
              <w:right w:val="single" w:sz="4" w:space="0" w:color="auto"/>
            </w:tcBorders>
            <w:hideMark/>
          </w:tcPr>
          <w:p w14:paraId="57AA5A63" w14:textId="77777777" w:rsidR="00C71650" w:rsidRPr="00C71650" w:rsidRDefault="00C71650" w:rsidP="003824C9">
            <w:pPr>
              <w:jc w:val="both"/>
              <w:rPr>
                <w:rFonts w:ascii="Arial" w:hAnsi="Arial" w:cs="Arial"/>
                <w:bCs/>
                <w:sz w:val="20"/>
                <w:szCs w:val="20"/>
              </w:rPr>
            </w:pPr>
            <w:r w:rsidRPr="00C71650">
              <w:rPr>
                <w:rFonts w:ascii="Arial" w:hAnsi="Arial" w:cs="Arial"/>
                <w:bCs/>
                <w:sz w:val="20"/>
                <w:szCs w:val="20"/>
              </w:rPr>
              <w:t>2002-03</w:t>
            </w:r>
          </w:p>
        </w:tc>
        <w:tc>
          <w:tcPr>
            <w:tcW w:w="4829" w:type="dxa"/>
            <w:tcBorders>
              <w:top w:val="single" w:sz="4" w:space="0" w:color="auto"/>
              <w:left w:val="single" w:sz="4" w:space="0" w:color="auto"/>
              <w:bottom w:val="single" w:sz="4" w:space="0" w:color="auto"/>
              <w:right w:val="single" w:sz="4" w:space="0" w:color="auto"/>
            </w:tcBorders>
            <w:vAlign w:val="bottom"/>
            <w:hideMark/>
          </w:tcPr>
          <w:p w14:paraId="3D5A773C" w14:textId="77777777" w:rsidR="00C71650" w:rsidRPr="00C71650" w:rsidRDefault="00C71650" w:rsidP="003824C9">
            <w:pPr>
              <w:jc w:val="both"/>
              <w:rPr>
                <w:rFonts w:ascii="Arial" w:hAnsi="Arial" w:cs="Arial"/>
                <w:sz w:val="20"/>
                <w:szCs w:val="20"/>
              </w:rPr>
            </w:pPr>
            <w:r w:rsidRPr="00C71650">
              <w:rPr>
                <w:rFonts w:ascii="Arial" w:hAnsi="Arial" w:cs="Arial"/>
                <w:color w:val="000000"/>
                <w:sz w:val="20"/>
                <w:szCs w:val="20"/>
              </w:rPr>
              <w:t>2.676387</w:t>
            </w:r>
          </w:p>
        </w:tc>
      </w:tr>
      <w:tr w:rsidR="00C71650" w:rsidRPr="00C71650" w14:paraId="6CE8A58F" w14:textId="77777777" w:rsidTr="003824C9">
        <w:trPr>
          <w:trHeight w:val="296"/>
        </w:trPr>
        <w:tc>
          <w:tcPr>
            <w:tcW w:w="3652" w:type="dxa"/>
            <w:tcBorders>
              <w:top w:val="single" w:sz="4" w:space="0" w:color="auto"/>
              <w:left w:val="single" w:sz="4" w:space="0" w:color="auto"/>
              <w:bottom w:val="single" w:sz="4" w:space="0" w:color="auto"/>
              <w:right w:val="single" w:sz="4" w:space="0" w:color="auto"/>
            </w:tcBorders>
            <w:hideMark/>
          </w:tcPr>
          <w:p w14:paraId="6D5CBA58" w14:textId="77777777" w:rsidR="00C71650" w:rsidRPr="00C71650" w:rsidRDefault="00C71650" w:rsidP="003824C9">
            <w:pPr>
              <w:jc w:val="both"/>
              <w:rPr>
                <w:rFonts w:ascii="Arial" w:hAnsi="Arial" w:cs="Arial"/>
                <w:bCs/>
                <w:sz w:val="20"/>
                <w:szCs w:val="20"/>
              </w:rPr>
            </w:pPr>
            <w:r w:rsidRPr="00C71650">
              <w:rPr>
                <w:rFonts w:ascii="Arial" w:hAnsi="Arial" w:cs="Arial"/>
                <w:bCs/>
                <w:sz w:val="20"/>
                <w:szCs w:val="20"/>
              </w:rPr>
              <w:t>2003-04</w:t>
            </w:r>
          </w:p>
        </w:tc>
        <w:tc>
          <w:tcPr>
            <w:tcW w:w="4829" w:type="dxa"/>
            <w:tcBorders>
              <w:top w:val="single" w:sz="4" w:space="0" w:color="auto"/>
              <w:left w:val="single" w:sz="4" w:space="0" w:color="auto"/>
              <w:bottom w:val="single" w:sz="4" w:space="0" w:color="auto"/>
              <w:right w:val="single" w:sz="4" w:space="0" w:color="auto"/>
            </w:tcBorders>
            <w:vAlign w:val="bottom"/>
            <w:hideMark/>
          </w:tcPr>
          <w:p w14:paraId="1965AE9E" w14:textId="77777777" w:rsidR="00C71650" w:rsidRPr="00C71650" w:rsidRDefault="00C71650" w:rsidP="003824C9">
            <w:pPr>
              <w:jc w:val="both"/>
              <w:rPr>
                <w:rFonts w:ascii="Arial" w:hAnsi="Arial" w:cs="Arial"/>
                <w:sz w:val="20"/>
                <w:szCs w:val="20"/>
              </w:rPr>
            </w:pPr>
            <w:r w:rsidRPr="00C71650">
              <w:rPr>
                <w:rFonts w:ascii="Arial" w:hAnsi="Arial" w:cs="Arial"/>
                <w:color w:val="000000"/>
                <w:sz w:val="20"/>
                <w:szCs w:val="20"/>
              </w:rPr>
              <w:t>3.046815</w:t>
            </w:r>
          </w:p>
        </w:tc>
      </w:tr>
      <w:tr w:rsidR="00C71650" w:rsidRPr="00C71650" w14:paraId="0DAA5576" w14:textId="77777777" w:rsidTr="003824C9">
        <w:trPr>
          <w:trHeight w:val="296"/>
        </w:trPr>
        <w:tc>
          <w:tcPr>
            <w:tcW w:w="3652" w:type="dxa"/>
            <w:tcBorders>
              <w:top w:val="single" w:sz="4" w:space="0" w:color="auto"/>
              <w:left w:val="single" w:sz="4" w:space="0" w:color="auto"/>
              <w:bottom w:val="single" w:sz="4" w:space="0" w:color="auto"/>
              <w:right w:val="single" w:sz="4" w:space="0" w:color="auto"/>
            </w:tcBorders>
            <w:hideMark/>
          </w:tcPr>
          <w:p w14:paraId="342447B3" w14:textId="77777777" w:rsidR="00C71650" w:rsidRPr="00C71650" w:rsidRDefault="00C71650" w:rsidP="003824C9">
            <w:pPr>
              <w:jc w:val="both"/>
              <w:rPr>
                <w:rFonts w:ascii="Arial" w:hAnsi="Arial" w:cs="Arial"/>
                <w:bCs/>
                <w:sz w:val="20"/>
                <w:szCs w:val="20"/>
              </w:rPr>
            </w:pPr>
            <w:r w:rsidRPr="00C71650">
              <w:rPr>
                <w:rFonts w:ascii="Arial" w:hAnsi="Arial" w:cs="Arial"/>
                <w:bCs/>
                <w:sz w:val="20"/>
                <w:szCs w:val="20"/>
              </w:rPr>
              <w:t>2004-05</w:t>
            </w:r>
          </w:p>
        </w:tc>
        <w:tc>
          <w:tcPr>
            <w:tcW w:w="4829" w:type="dxa"/>
            <w:tcBorders>
              <w:top w:val="single" w:sz="4" w:space="0" w:color="auto"/>
              <w:left w:val="single" w:sz="4" w:space="0" w:color="auto"/>
              <w:bottom w:val="single" w:sz="4" w:space="0" w:color="auto"/>
              <w:right w:val="single" w:sz="4" w:space="0" w:color="auto"/>
            </w:tcBorders>
            <w:vAlign w:val="bottom"/>
            <w:hideMark/>
          </w:tcPr>
          <w:p w14:paraId="6EDF7577" w14:textId="77777777" w:rsidR="00C71650" w:rsidRPr="00C71650" w:rsidRDefault="00C71650" w:rsidP="003824C9">
            <w:pPr>
              <w:jc w:val="both"/>
              <w:rPr>
                <w:rFonts w:ascii="Arial" w:hAnsi="Arial" w:cs="Arial"/>
                <w:sz w:val="20"/>
                <w:szCs w:val="20"/>
              </w:rPr>
            </w:pPr>
            <w:r w:rsidRPr="00C71650">
              <w:rPr>
                <w:rFonts w:ascii="Arial" w:hAnsi="Arial" w:cs="Arial"/>
                <w:color w:val="000000"/>
                <w:sz w:val="20"/>
                <w:szCs w:val="20"/>
              </w:rPr>
              <w:t>3.133922</w:t>
            </w:r>
          </w:p>
        </w:tc>
      </w:tr>
      <w:tr w:rsidR="00C71650" w:rsidRPr="00C71650" w14:paraId="513164EA" w14:textId="77777777" w:rsidTr="003824C9">
        <w:trPr>
          <w:trHeight w:val="296"/>
        </w:trPr>
        <w:tc>
          <w:tcPr>
            <w:tcW w:w="3652" w:type="dxa"/>
            <w:tcBorders>
              <w:top w:val="single" w:sz="4" w:space="0" w:color="auto"/>
              <w:left w:val="single" w:sz="4" w:space="0" w:color="auto"/>
              <w:bottom w:val="single" w:sz="4" w:space="0" w:color="auto"/>
              <w:right w:val="single" w:sz="4" w:space="0" w:color="auto"/>
            </w:tcBorders>
            <w:hideMark/>
          </w:tcPr>
          <w:p w14:paraId="5A9D53D3" w14:textId="77777777" w:rsidR="00C71650" w:rsidRPr="00C71650" w:rsidRDefault="00C71650" w:rsidP="003824C9">
            <w:pPr>
              <w:jc w:val="both"/>
              <w:rPr>
                <w:rFonts w:ascii="Arial" w:hAnsi="Arial" w:cs="Arial"/>
                <w:bCs/>
                <w:sz w:val="20"/>
                <w:szCs w:val="20"/>
              </w:rPr>
            </w:pPr>
            <w:r w:rsidRPr="00C71650">
              <w:rPr>
                <w:rFonts w:ascii="Arial" w:hAnsi="Arial" w:cs="Arial"/>
                <w:bCs/>
                <w:sz w:val="20"/>
                <w:szCs w:val="20"/>
              </w:rPr>
              <w:t>2005-06</w:t>
            </w:r>
          </w:p>
        </w:tc>
        <w:tc>
          <w:tcPr>
            <w:tcW w:w="4829" w:type="dxa"/>
            <w:tcBorders>
              <w:top w:val="single" w:sz="4" w:space="0" w:color="auto"/>
              <w:left w:val="single" w:sz="4" w:space="0" w:color="auto"/>
              <w:bottom w:val="single" w:sz="4" w:space="0" w:color="auto"/>
              <w:right w:val="single" w:sz="4" w:space="0" w:color="auto"/>
            </w:tcBorders>
            <w:vAlign w:val="bottom"/>
            <w:hideMark/>
          </w:tcPr>
          <w:p w14:paraId="60A5BC30" w14:textId="77777777" w:rsidR="00C71650" w:rsidRPr="00C71650" w:rsidRDefault="00C71650" w:rsidP="003824C9">
            <w:pPr>
              <w:jc w:val="both"/>
              <w:rPr>
                <w:rFonts w:ascii="Arial" w:hAnsi="Arial" w:cs="Arial"/>
                <w:sz w:val="20"/>
                <w:szCs w:val="20"/>
              </w:rPr>
            </w:pPr>
            <w:r w:rsidRPr="00C71650">
              <w:rPr>
                <w:rFonts w:ascii="Arial" w:hAnsi="Arial" w:cs="Arial"/>
                <w:color w:val="000000"/>
                <w:sz w:val="20"/>
                <w:szCs w:val="20"/>
              </w:rPr>
              <w:t>2.759012</w:t>
            </w:r>
          </w:p>
        </w:tc>
      </w:tr>
      <w:tr w:rsidR="00C71650" w:rsidRPr="00C71650" w14:paraId="14196CF8" w14:textId="77777777" w:rsidTr="003824C9">
        <w:trPr>
          <w:trHeight w:val="296"/>
        </w:trPr>
        <w:tc>
          <w:tcPr>
            <w:tcW w:w="3652" w:type="dxa"/>
            <w:tcBorders>
              <w:top w:val="single" w:sz="4" w:space="0" w:color="auto"/>
              <w:left w:val="single" w:sz="4" w:space="0" w:color="auto"/>
              <w:bottom w:val="single" w:sz="4" w:space="0" w:color="auto"/>
              <w:right w:val="single" w:sz="4" w:space="0" w:color="auto"/>
            </w:tcBorders>
            <w:hideMark/>
          </w:tcPr>
          <w:p w14:paraId="6EF938ED" w14:textId="77777777" w:rsidR="00C71650" w:rsidRPr="00C71650" w:rsidRDefault="00C71650" w:rsidP="003824C9">
            <w:pPr>
              <w:jc w:val="both"/>
              <w:rPr>
                <w:rFonts w:ascii="Arial" w:hAnsi="Arial" w:cs="Arial"/>
                <w:bCs/>
                <w:sz w:val="20"/>
                <w:szCs w:val="20"/>
              </w:rPr>
            </w:pPr>
            <w:r w:rsidRPr="00C71650">
              <w:rPr>
                <w:rFonts w:ascii="Arial" w:hAnsi="Arial" w:cs="Arial"/>
                <w:bCs/>
                <w:sz w:val="20"/>
                <w:szCs w:val="20"/>
              </w:rPr>
              <w:t>2006-07</w:t>
            </w:r>
          </w:p>
        </w:tc>
        <w:tc>
          <w:tcPr>
            <w:tcW w:w="4829" w:type="dxa"/>
            <w:tcBorders>
              <w:top w:val="single" w:sz="4" w:space="0" w:color="auto"/>
              <w:left w:val="single" w:sz="4" w:space="0" w:color="auto"/>
              <w:bottom w:val="single" w:sz="4" w:space="0" w:color="auto"/>
              <w:right w:val="single" w:sz="4" w:space="0" w:color="auto"/>
            </w:tcBorders>
            <w:vAlign w:val="bottom"/>
            <w:hideMark/>
          </w:tcPr>
          <w:p w14:paraId="6A09C6B8" w14:textId="77777777" w:rsidR="00C71650" w:rsidRPr="00C71650" w:rsidRDefault="00C71650" w:rsidP="003824C9">
            <w:pPr>
              <w:jc w:val="both"/>
              <w:rPr>
                <w:rFonts w:ascii="Arial" w:hAnsi="Arial" w:cs="Arial"/>
                <w:sz w:val="20"/>
                <w:szCs w:val="20"/>
              </w:rPr>
            </w:pPr>
            <w:r w:rsidRPr="00C71650">
              <w:rPr>
                <w:rFonts w:ascii="Arial" w:hAnsi="Arial" w:cs="Arial"/>
                <w:color w:val="000000"/>
                <w:sz w:val="20"/>
                <w:szCs w:val="20"/>
              </w:rPr>
              <w:t>2.955217</w:t>
            </w:r>
          </w:p>
        </w:tc>
      </w:tr>
      <w:tr w:rsidR="00C71650" w:rsidRPr="00C71650" w14:paraId="207E2A7F" w14:textId="77777777" w:rsidTr="003824C9">
        <w:trPr>
          <w:trHeight w:val="296"/>
        </w:trPr>
        <w:tc>
          <w:tcPr>
            <w:tcW w:w="3652" w:type="dxa"/>
            <w:tcBorders>
              <w:top w:val="single" w:sz="4" w:space="0" w:color="auto"/>
              <w:left w:val="single" w:sz="4" w:space="0" w:color="auto"/>
              <w:bottom w:val="single" w:sz="4" w:space="0" w:color="auto"/>
              <w:right w:val="single" w:sz="4" w:space="0" w:color="auto"/>
            </w:tcBorders>
            <w:hideMark/>
          </w:tcPr>
          <w:p w14:paraId="2E761DB1" w14:textId="77777777" w:rsidR="00C71650" w:rsidRPr="00C71650" w:rsidRDefault="00C71650" w:rsidP="003824C9">
            <w:pPr>
              <w:jc w:val="both"/>
              <w:rPr>
                <w:rFonts w:ascii="Arial" w:hAnsi="Arial" w:cs="Arial"/>
                <w:bCs/>
                <w:sz w:val="20"/>
                <w:szCs w:val="20"/>
              </w:rPr>
            </w:pPr>
            <w:r w:rsidRPr="00C71650">
              <w:rPr>
                <w:rFonts w:ascii="Arial" w:hAnsi="Arial" w:cs="Arial"/>
                <w:bCs/>
                <w:sz w:val="20"/>
                <w:szCs w:val="20"/>
              </w:rPr>
              <w:t>2007-08</w:t>
            </w:r>
          </w:p>
        </w:tc>
        <w:tc>
          <w:tcPr>
            <w:tcW w:w="4829" w:type="dxa"/>
            <w:tcBorders>
              <w:top w:val="single" w:sz="4" w:space="0" w:color="auto"/>
              <w:left w:val="single" w:sz="4" w:space="0" w:color="auto"/>
              <w:bottom w:val="single" w:sz="4" w:space="0" w:color="auto"/>
              <w:right w:val="single" w:sz="4" w:space="0" w:color="auto"/>
            </w:tcBorders>
            <w:vAlign w:val="bottom"/>
            <w:hideMark/>
          </w:tcPr>
          <w:p w14:paraId="045DE09A" w14:textId="77777777" w:rsidR="00C71650" w:rsidRPr="00C71650" w:rsidRDefault="00C71650" w:rsidP="003824C9">
            <w:pPr>
              <w:jc w:val="both"/>
              <w:rPr>
                <w:rFonts w:ascii="Arial" w:hAnsi="Arial" w:cs="Arial"/>
                <w:sz w:val="20"/>
                <w:szCs w:val="20"/>
              </w:rPr>
            </w:pPr>
            <w:r w:rsidRPr="00C71650">
              <w:rPr>
                <w:rFonts w:ascii="Arial" w:hAnsi="Arial" w:cs="Arial"/>
                <w:color w:val="000000"/>
                <w:sz w:val="20"/>
                <w:szCs w:val="20"/>
              </w:rPr>
              <w:t>3.112494</w:t>
            </w:r>
          </w:p>
        </w:tc>
      </w:tr>
      <w:tr w:rsidR="00C71650" w:rsidRPr="00C71650" w14:paraId="1CAD3907" w14:textId="77777777" w:rsidTr="003824C9">
        <w:trPr>
          <w:trHeight w:val="296"/>
        </w:trPr>
        <w:tc>
          <w:tcPr>
            <w:tcW w:w="3652" w:type="dxa"/>
            <w:tcBorders>
              <w:top w:val="single" w:sz="4" w:space="0" w:color="auto"/>
              <w:left w:val="single" w:sz="4" w:space="0" w:color="auto"/>
              <w:bottom w:val="single" w:sz="4" w:space="0" w:color="auto"/>
              <w:right w:val="single" w:sz="4" w:space="0" w:color="auto"/>
            </w:tcBorders>
            <w:hideMark/>
          </w:tcPr>
          <w:p w14:paraId="2331069B" w14:textId="77777777" w:rsidR="00C71650" w:rsidRPr="00C71650" w:rsidRDefault="00C71650" w:rsidP="003824C9">
            <w:pPr>
              <w:jc w:val="both"/>
              <w:rPr>
                <w:rFonts w:ascii="Arial" w:hAnsi="Arial" w:cs="Arial"/>
                <w:bCs/>
                <w:sz w:val="20"/>
                <w:szCs w:val="20"/>
              </w:rPr>
            </w:pPr>
            <w:r w:rsidRPr="00C71650">
              <w:rPr>
                <w:rFonts w:ascii="Arial" w:hAnsi="Arial" w:cs="Arial"/>
                <w:bCs/>
                <w:sz w:val="20"/>
                <w:szCs w:val="20"/>
              </w:rPr>
              <w:t>2008-09</w:t>
            </w:r>
          </w:p>
        </w:tc>
        <w:tc>
          <w:tcPr>
            <w:tcW w:w="4829" w:type="dxa"/>
            <w:tcBorders>
              <w:top w:val="single" w:sz="4" w:space="0" w:color="auto"/>
              <w:left w:val="single" w:sz="4" w:space="0" w:color="auto"/>
              <w:bottom w:val="single" w:sz="4" w:space="0" w:color="auto"/>
              <w:right w:val="single" w:sz="4" w:space="0" w:color="auto"/>
            </w:tcBorders>
            <w:vAlign w:val="bottom"/>
            <w:hideMark/>
          </w:tcPr>
          <w:p w14:paraId="2AD73231" w14:textId="77777777" w:rsidR="00C71650" w:rsidRPr="00C71650" w:rsidRDefault="00C71650" w:rsidP="003824C9">
            <w:pPr>
              <w:jc w:val="both"/>
              <w:rPr>
                <w:rFonts w:ascii="Arial" w:hAnsi="Arial" w:cs="Arial"/>
                <w:sz w:val="20"/>
                <w:szCs w:val="20"/>
              </w:rPr>
            </w:pPr>
            <w:r w:rsidRPr="00C71650">
              <w:rPr>
                <w:rFonts w:ascii="Arial" w:hAnsi="Arial" w:cs="Arial"/>
                <w:color w:val="000000"/>
                <w:sz w:val="20"/>
                <w:szCs w:val="20"/>
              </w:rPr>
              <w:t>3.151535</w:t>
            </w:r>
          </w:p>
        </w:tc>
      </w:tr>
      <w:tr w:rsidR="00C71650" w:rsidRPr="00C71650" w14:paraId="199B6821" w14:textId="77777777" w:rsidTr="003824C9">
        <w:trPr>
          <w:trHeight w:val="296"/>
        </w:trPr>
        <w:tc>
          <w:tcPr>
            <w:tcW w:w="3652" w:type="dxa"/>
            <w:tcBorders>
              <w:top w:val="single" w:sz="4" w:space="0" w:color="auto"/>
              <w:left w:val="single" w:sz="4" w:space="0" w:color="auto"/>
              <w:bottom w:val="single" w:sz="4" w:space="0" w:color="auto"/>
              <w:right w:val="single" w:sz="4" w:space="0" w:color="auto"/>
            </w:tcBorders>
            <w:hideMark/>
          </w:tcPr>
          <w:p w14:paraId="3C717000" w14:textId="77777777" w:rsidR="00C71650" w:rsidRPr="00C71650" w:rsidRDefault="00C71650" w:rsidP="003824C9">
            <w:pPr>
              <w:jc w:val="both"/>
              <w:rPr>
                <w:rFonts w:ascii="Arial" w:hAnsi="Arial" w:cs="Arial"/>
                <w:bCs/>
                <w:sz w:val="20"/>
                <w:szCs w:val="20"/>
              </w:rPr>
            </w:pPr>
            <w:r w:rsidRPr="00C71650">
              <w:rPr>
                <w:rFonts w:ascii="Arial" w:hAnsi="Arial" w:cs="Arial"/>
                <w:bCs/>
                <w:sz w:val="20"/>
                <w:szCs w:val="20"/>
              </w:rPr>
              <w:t>2009-10</w:t>
            </w:r>
          </w:p>
        </w:tc>
        <w:tc>
          <w:tcPr>
            <w:tcW w:w="4829" w:type="dxa"/>
            <w:tcBorders>
              <w:top w:val="single" w:sz="4" w:space="0" w:color="auto"/>
              <w:left w:val="single" w:sz="4" w:space="0" w:color="auto"/>
              <w:bottom w:val="single" w:sz="4" w:space="0" w:color="auto"/>
              <w:right w:val="single" w:sz="4" w:space="0" w:color="auto"/>
            </w:tcBorders>
            <w:vAlign w:val="bottom"/>
            <w:hideMark/>
          </w:tcPr>
          <w:p w14:paraId="66E27B27" w14:textId="77777777" w:rsidR="00C71650" w:rsidRPr="00C71650" w:rsidRDefault="00C71650" w:rsidP="003824C9">
            <w:pPr>
              <w:jc w:val="both"/>
              <w:rPr>
                <w:rFonts w:ascii="Arial" w:hAnsi="Arial" w:cs="Arial"/>
                <w:sz w:val="20"/>
                <w:szCs w:val="20"/>
              </w:rPr>
            </w:pPr>
            <w:r w:rsidRPr="00C71650">
              <w:rPr>
                <w:rFonts w:ascii="Arial" w:hAnsi="Arial" w:cs="Arial"/>
                <w:color w:val="000000"/>
                <w:sz w:val="20"/>
                <w:szCs w:val="20"/>
              </w:rPr>
              <w:t>2.401988</w:t>
            </w:r>
          </w:p>
        </w:tc>
      </w:tr>
      <w:tr w:rsidR="00C71650" w:rsidRPr="00C71650" w14:paraId="7FF773E6" w14:textId="77777777" w:rsidTr="003824C9">
        <w:trPr>
          <w:trHeight w:val="296"/>
        </w:trPr>
        <w:tc>
          <w:tcPr>
            <w:tcW w:w="3652" w:type="dxa"/>
            <w:tcBorders>
              <w:top w:val="single" w:sz="4" w:space="0" w:color="auto"/>
              <w:left w:val="single" w:sz="4" w:space="0" w:color="auto"/>
              <w:bottom w:val="single" w:sz="4" w:space="0" w:color="auto"/>
              <w:right w:val="single" w:sz="4" w:space="0" w:color="auto"/>
            </w:tcBorders>
            <w:hideMark/>
          </w:tcPr>
          <w:p w14:paraId="79F66F1C" w14:textId="77777777" w:rsidR="00C71650" w:rsidRPr="00C71650" w:rsidRDefault="00C71650" w:rsidP="003824C9">
            <w:pPr>
              <w:jc w:val="both"/>
              <w:rPr>
                <w:rFonts w:ascii="Arial" w:hAnsi="Arial" w:cs="Arial"/>
                <w:bCs/>
                <w:sz w:val="20"/>
                <w:szCs w:val="20"/>
              </w:rPr>
            </w:pPr>
            <w:r w:rsidRPr="00C71650">
              <w:rPr>
                <w:rFonts w:ascii="Arial" w:hAnsi="Arial" w:cs="Arial"/>
                <w:bCs/>
                <w:sz w:val="20"/>
                <w:szCs w:val="20"/>
              </w:rPr>
              <w:t>2010-11</w:t>
            </w:r>
          </w:p>
        </w:tc>
        <w:tc>
          <w:tcPr>
            <w:tcW w:w="4829" w:type="dxa"/>
            <w:tcBorders>
              <w:top w:val="single" w:sz="4" w:space="0" w:color="auto"/>
              <w:left w:val="single" w:sz="4" w:space="0" w:color="auto"/>
              <w:bottom w:val="single" w:sz="4" w:space="0" w:color="auto"/>
              <w:right w:val="single" w:sz="4" w:space="0" w:color="auto"/>
            </w:tcBorders>
            <w:vAlign w:val="bottom"/>
            <w:hideMark/>
          </w:tcPr>
          <w:p w14:paraId="7E117D0E" w14:textId="77777777" w:rsidR="00C71650" w:rsidRPr="00C71650" w:rsidRDefault="00C71650" w:rsidP="003824C9">
            <w:pPr>
              <w:jc w:val="both"/>
              <w:rPr>
                <w:rFonts w:ascii="Arial" w:hAnsi="Arial" w:cs="Arial"/>
                <w:sz w:val="20"/>
                <w:szCs w:val="20"/>
              </w:rPr>
            </w:pPr>
            <w:r w:rsidRPr="00C71650">
              <w:rPr>
                <w:rFonts w:ascii="Arial" w:hAnsi="Arial" w:cs="Arial"/>
                <w:color w:val="000000"/>
                <w:sz w:val="20"/>
                <w:szCs w:val="20"/>
              </w:rPr>
              <w:t>2.499362</w:t>
            </w:r>
          </w:p>
        </w:tc>
      </w:tr>
      <w:tr w:rsidR="00C71650" w:rsidRPr="00C71650" w14:paraId="03D7B9E1" w14:textId="77777777" w:rsidTr="003824C9">
        <w:trPr>
          <w:trHeight w:val="296"/>
        </w:trPr>
        <w:tc>
          <w:tcPr>
            <w:tcW w:w="3652" w:type="dxa"/>
            <w:tcBorders>
              <w:top w:val="single" w:sz="4" w:space="0" w:color="auto"/>
              <w:left w:val="single" w:sz="4" w:space="0" w:color="auto"/>
              <w:bottom w:val="single" w:sz="4" w:space="0" w:color="auto"/>
              <w:right w:val="single" w:sz="4" w:space="0" w:color="auto"/>
            </w:tcBorders>
            <w:hideMark/>
          </w:tcPr>
          <w:p w14:paraId="53263B76" w14:textId="77777777" w:rsidR="00C71650" w:rsidRPr="00C71650" w:rsidRDefault="00C71650" w:rsidP="003824C9">
            <w:pPr>
              <w:jc w:val="both"/>
              <w:rPr>
                <w:rFonts w:ascii="Arial" w:hAnsi="Arial" w:cs="Arial"/>
                <w:bCs/>
                <w:sz w:val="20"/>
                <w:szCs w:val="20"/>
              </w:rPr>
            </w:pPr>
            <w:r w:rsidRPr="00C71650">
              <w:rPr>
                <w:rFonts w:ascii="Arial" w:hAnsi="Arial" w:cs="Arial"/>
                <w:bCs/>
                <w:sz w:val="20"/>
                <w:szCs w:val="20"/>
              </w:rPr>
              <w:t>2011-12</w:t>
            </w:r>
          </w:p>
        </w:tc>
        <w:tc>
          <w:tcPr>
            <w:tcW w:w="4829" w:type="dxa"/>
            <w:tcBorders>
              <w:top w:val="single" w:sz="4" w:space="0" w:color="auto"/>
              <w:left w:val="single" w:sz="4" w:space="0" w:color="auto"/>
              <w:bottom w:val="single" w:sz="4" w:space="0" w:color="auto"/>
              <w:right w:val="single" w:sz="4" w:space="0" w:color="auto"/>
            </w:tcBorders>
            <w:vAlign w:val="bottom"/>
            <w:hideMark/>
          </w:tcPr>
          <w:p w14:paraId="7CC3EFE9" w14:textId="77777777" w:rsidR="00C71650" w:rsidRPr="00C71650" w:rsidRDefault="00C71650" w:rsidP="003824C9">
            <w:pPr>
              <w:jc w:val="both"/>
              <w:rPr>
                <w:rFonts w:ascii="Arial" w:hAnsi="Arial" w:cs="Arial"/>
                <w:sz w:val="20"/>
                <w:szCs w:val="20"/>
              </w:rPr>
            </w:pPr>
            <w:r w:rsidRPr="00C71650">
              <w:rPr>
                <w:rFonts w:ascii="Arial" w:hAnsi="Arial" w:cs="Arial"/>
                <w:color w:val="000000"/>
                <w:sz w:val="20"/>
                <w:szCs w:val="20"/>
              </w:rPr>
              <w:t>2.344223</w:t>
            </w:r>
          </w:p>
        </w:tc>
      </w:tr>
      <w:tr w:rsidR="00C71650" w:rsidRPr="00C71650" w14:paraId="4950B1DF" w14:textId="77777777" w:rsidTr="003824C9">
        <w:trPr>
          <w:trHeight w:val="296"/>
        </w:trPr>
        <w:tc>
          <w:tcPr>
            <w:tcW w:w="3652" w:type="dxa"/>
            <w:tcBorders>
              <w:top w:val="single" w:sz="4" w:space="0" w:color="auto"/>
              <w:left w:val="single" w:sz="4" w:space="0" w:color="auto"/>
              <w:bottom w:val="single" w:sz="4" w:space="0" w:color="auto"/>
              <w:right w:val="single" w:sz="4" w:space="0" w:color="auto"/>
            </w:tcBorders>
            <w:hideMark/>
          </w:tcPr>
          <w:p w14:paraId="0602A683" w14:textId="77777777" w:rsidR="00C71650" w:rsidRPr="00C71650" w:rsidRDefault="00C71650" w:rsidP="003824C9">
            <w:pPr>
              <w:jc w:val="both"/>
              <w:rPr>
                <w:rFonts w:ascii="Arial" w:hAnsi="Arial" w:cs="Arial"/>
                <w:bCs/>
                <w:sz w:val="20"/>
                <w:szCs w:val="20"/>
              </w:rPr>
            </w:pPr>
            <w:r w:rsidRPr="00C71650">
              <w:rPr>
                <w:rFonts w:ascii="Arial" w:hAnsi="Arial" w:cs="Arial"/>
                <w:bCs/>
                <w:sz w:val="20"/>
                <w:szCs w:val="20"/>
              </w:rPr>
              <w:t>2012-13</w:t>
            </w:r>
          </w:p>
        </w:tc>
        <w:tc>
          <w:tcPr>
            <w:tcW w:w="4829" w:type="dxa"/>
            <w:tcBorders>
              <w:top w:val="single" w:sz="4" w:space="0" w:color="auto"/>
              <w:left w:val="single" w:sz="4" w:space="0" w:color="auto"/>
              <w:bottom w:val="single" w:sz="4" w:space="0" w:color="auto"/>
              <w:right w:val="single" w:sz="4" w:space="0" w:color="auto"/>
            </w:tcBorders>
            <w:vAlign w:val="bottom"/>
            <w:hideMark/>
          </w:tcPr>
          <w:p w14:paraId="2EBAA4CA" w14:textId="77777777" w:rsidR="00C71650" w:rsidRPr="00C71650" w:rsidRDefault="00C71650" w:rsidP="003824C9">
            <w:pPr>
              <w:jc w:val="both"/>
              <w:rPr>
                <w:rFonts w:ascii="Arial" w:hAnsi="Arial" w:cs="Arial"/>
                <w:sz w:val="20"/>
                <w:szCs w:val="20"/>
              </w:rPr>
            </w:pPr>
            <w:r w:rsidRPr="00C71650">
              <w:rPr>
                <w:rFonts w:ascii="Arial" w:hAnsi="Arial" w:cs="Arial"/>
                <w:color w:val="000000"/>
                <w:sz w:val="20"/>
                <w:szCs w:val="20"/>
              </w:rPr>
              <w:t>2.28178</w:t>
            </w:r>
          </w:p>
        </w:tc>
      </w:tr>
      <w:tr w:rsidR="00C71650" w:rsidRPr="00C71650" w14:paraId="7962A00F" w14:textId="77777777" w:rsidTr="003824C9">
        <w:trPr>
          <w:trHeight w:val="304"/>
        </w:trPr>
        <w:tc>
          <w:tcPr>
            <w:tcW w:w="3652" w:type="dxa"/>
            <w:tcBorders>
              <w:top w:val="single" w:sz="4" w:space="0" w:color="auto"/>
              <w:left w:val="single" w:sz="4" w:space="0" w:color="auto"/>
              <w:bottom w:val="single" w:sz="4" w:space="0" w:color="auto"/>
              <w:right w:val="single" w:sz="4" w:space="0" w:color="auto"/>
            </w:tcBorders>
            <w:hideMark/>
          </w:tcPr>
          <w:p w14:paraId="37C4A5B5" w14:textId="77777777" w:rsidR="00C71650" w:rsidRPr="00C71650" w:rsidRDefault="00C71650" w:rsidP="003824C9">
            <w:pPr>
              <w:jc w:val="both"/>
              <w:rPr>
                <w:rFonts w:ascii="Arial" w:hAnsi="Arial" w:cs="Arial"/>
                <w:bCs/>
                <w:sz w:val="20"/>
                <w:szCs w:val="20"/>
              </w:rPr>
            </w:pPr>
            <w:r w:rsidRPr="00C71650">
              <w:rPr>
                <w:rFonts w:ascii="Arial" w:hAnsi="Arial" w:cs="Arial"/>
                <w:bCs/>
                <w:sz w:val="20"/>
                <w:szCs w:val="20"/>
              </w:rPr>
              <w:t>2013-14</w:t>
            </w:r>
          </w:p>
        </w:tc>
        <w:tc>
          <w:tcPr>
            <w:tcW w:w="4829" w:type="dxa"/>
            <w:tcBorders>
              <w:top w:val="single" w:sz="4" w:space="0" w:color="auto"/>
              <w:left w:val="single" w:sz="4" w:space="0" w:color="auto"/>
              <w:bottom w:val="single" w:sz="4" w:space="0" w:color="auto"/>
              <w:right w:val="single" w:sz="4" w:space="0" w:color="auto"/>
            </w:tcBorders>
            <w:vAlign w:val="bottom"/>
            <w:hideMark/>
          </w:tcPr>
          <w:p w14:paraId="0E15E799" w14:textId="77777777" w:rsidR="00C71650" w:rsidRPr="00C71650" w:rsidRDefault="00C71650" w:rsidP="003824C9">
            <w:pPr>
              <w:jc w:val="both"/>
              <w:rPr>
                <w:rFonts w:ascii="Arial" w:hAnsi="Arial" w:cs="Arial"/>
                <w:sz w:val="20"/>
                <w:szCs w:val="20"/>
              </w:rPr>
            </w:pPr>
            <w:r w:rsidRPr="00C71650">
              <w:rPr>
                <w:rFonts w:ascii="Arial" w:hAnsi="Arial" w:cs="Arial"/>
                <w:color w:val="000000"/>
                <w:sz w:val="20"/>
                <w:szCs w:val="20"/>
              </w:rPr>
              <w:t>2.05659</w:t>
            </w:r>
          </w:p>
        </w:tc>
      </w:tr>
      <w:tr w:rsidR="00C71650" w:rsidRPr="00C71650" w14:paraId="477D35E7" w14:textId="77777777" w:rsidTr="003824C9">
        <w:trPr>
          <w:trHeight w:val="304"/>
        </w:trPr>
        <w:tc>
          <w:tcPr>
            <w:tcW w:w="3652" w:type="dxa"/>
            <w:tcBorders>
              <w:top w:val="single" w:sz="4" w:space="0" w:color="auto"/>
              <w:left w:val="single" w:sz="4" w:space="0" w:color="auto"/>
              <w:bottom w:val="single" w:sz="4" w:space="0" w:color="auto"/>
              <w:right w:val="single" w:sz="4" w:space="0" w:color="auto"/>
            </w:tcBorders>
            <w:hideMark/>
          </w:tcPr>
          <w:p w14:paraId="57A36A97" w14:textId="77777777" w:rsidR="00C71650" w:rsidRPr="00C71650" w:rsidRDefault="00C71650" w:rsidP="003824C9">
            <w:pPr>
              <w:jc w:val="both"/>
              <w:rPr>
                <w:rFonts w:ascii="Arial" w:hAnsi="Arial" w:cs="Arial"/>
                <w:bCs/>
                <w:sz w:val="20"/>
                <w:szCs w:val="20"/>
              </w:rPr>
            </w:pPr>
            <w:r w:rsidRPr="00C71650">
              <w:rPr>
                <w:rFonts w:ascii="Arial" w:hAnsi="Arial" w:cs="Arial"/>
                <w:bCs/>
                <w:sz w:val="20"/>
                <w:szCs w:val="20"/>
              </w:rPr>
              <w:t>2014-15</w:t>
            </w:r>
          </w:p>
        </w:tc>
        <w:tc>
          <w:tcPr>
            <w:tcW w:w="4829" w:type="dxa"/>
            <w:tcBorders>
              <w:top w:val="single" w:sz="4" w:space="0" w:color="auto"/>
              <w:left w:val="single" w:sz="4" w:space="0" w:color="auto"/>
              <w:bottom w:val="single" w:sz="4" w:space="0" w:color="auto"/>
              <w:right w:val="single" w:sz="4" w:space="0" w:color="auto"/>
            </w:tcBorders>
            <w:vAlign w:val="bottom"/>
            <w:hideMark/>
          </w:tcPr>
          <w:p w14:paraId="333D0889" w14:textId="77777777" w:rsidR="00C71650" w:rsidRPr="00C71650" w:rsidRDefault="00C71650" w:rsidP="003824C9">
            <w:pPr>
              <w:jc w:val="both"/>
              <w:rPr>
                <w:rFonts w:ascii="Arial" w:hAnsi="Arial" w:cs="Arial"/>
                <w:sz w:val="20"/>
                <w:szCs w:val="20"/>
              </w:rPr>
            </w:pPr>
            <w:r w:rsidRPr="00C71650">
              <w:rPr>
                <w:rFonts w:ascii="Arial" w:hAnsi="Arial" w:cs="Arial"/>
                <w:color w:val="000000"/>
                <w:sz w:val="20"/>
                <w:szCs w:val="20"/>
              </w:rPr>
              <w:t>2.004642</w:t>
            </w:r>
          </w:p>
        </w:tc>
      </w:tr>
      <w:tr w:rsidR="00C71650" w:rsidRPr="00C71650" w14:paraId="354F2652" w14:textId="77777777" w:rsidTr="003824C9">
        <w:trPr>
          <w:trHeight w:val="304"/>
        </w:trPr>
        <w:tc>
          <w:tcPr>
            <w:tcW w:w="3652" w:type="dxa"/>
            <w:tcBorders>
              <w:top w:val="single" w:sz="4" w:space="0" w:color="auto"/>
              <w:left w:val="single" w:sz="4" w:space="0" w:color="auto"/>
              <w:bottom w:val="single" w:sz="4" w:space="0" w:color="auto"/>
              <w:right w:val="single" w:sz="4" w:space="0" w:color="auto"/>
            </w:tcBorders>
            <w:hideMark/>
          </w:tcPr>
          <w:p w14:paraId="2989B95C" w14:textId="77777777" w:rsidR="00C71650" w:rsidRPr="00C71650" w:rsidRDefault="00C71650" w:rsidP="003824C9">
            <w:pPr>
              <w:jc w:val="both"/>
              <w:rPr>
                <w:rFonts w:ascii="Arial" w:hAnsi="Arial" w:cs="Arial"/>
                <w:bCs/>
                <w:sz w:val="20"/>
                <w:szCs w:val="20"/>
              </w:rPr>
            </w:pPr>
            <w:r w:rsidRPr="00C71650">
              <w:rPr>
                <w:rFonts w:ascii="Arial" w:hAnsi="Arial" w:cs="Arial"/>
                <w:bCs/>
                <w:sz w:val="20"/>
                <w:szCs w:val="20"/>
              </w:rPr>
              <w:t>2015-16</w:t>
            </w:r>
          </w:p>
        </w:tc>
        <w:tc>
          <w:tcPr>
            <w:tcW w:w="4829" w:type="dxa"/>
            <w:tcBorders>
              <w:top w:val="single" w:sz="4" w:space="0" w:color="auto"/>
              <w:left w:val="single" w:sz="4" w:space="0" w:color="auto"/>
              <w:bottom w:val="single" w:sz="4" w:space="0" w:color="auto"/>
              <w:right w:val="single" w:sz="4" w:space="0" w:color="auto"/>
            </w:tcBorders>
            <w:vAlign w:val="bottom"/>
            <w:hideMark/>
          </w:tcPr>
          <w:p w14:paraId="2398BB1E" w14:textId="77777777" w:rsidR="00C71650" w:rsidRPr="00C71650" w:rsidRDefault="00C71650" w:rsidP="003824C9">
            <w:pPr>
              <w:jc w:val="both"/>
              <w:rPr>
                <w:rFonts w:ascii="Arial" w:hAnsi="Arial" w:cs="Arial"/>
                <w:sz w:val="20"/>
                <w:szCs w:val="20"/>
              </w:rPr>
            </w:pPr>
            <w:r w:rsidRPr="00C71650">
              <w:rPr>
                <w:rFonts w:ascii="Arial" w:hAnsi="Arial" w:cs="Arial"/>
                <w:color w:val="000000"/>
                <w:sz w:val="20"/>
                <w:szCs w:val="20"/>
              </w:rPr>
              <w:t>1.93212</w:t>
            </w:r>
          </w:p>
        </w:tc>
      </w:tr>
      <w:tr w:rsidR="00C71650" w:rsidRPr="00C71650" w14:paraId="0E988FDC" w14:textId="77777777" w:rsidTr="003824C9">
        <w:trPr>
          <w:trHeight w:val="304"/>
        </w:trPr>
        <w:tc>
          <w:tcPr>
            <w:tcW w:w="3652" w:type="dxa"/>
            <w:tcBorders>
              <w:top w:val="single" w:sz="4" w:space="0" w:color="auto"/>
              <w:left w:val="single" w:sz="4" w:space="0" w:color="auto"/>
              <w:bottom w:val="single" w:sz="4" w:space="0" w:color="auto"/>
              <w:right w:val="single" w:sz="4" w:space="0" w:color="auto"/>
            </w:tcBorders>
            <w:hideMark/>
          </w:tcPr>
          <w:p w14:paraId="387DE903" w14:textId="77777777" w:rsidR="00C71650" w:rsidRPr="00C71650" w:rsidRDefault="00C71650" w:rsidP="003824C9">
            <w:pPr>
              <w:jc w:val="both"/>
              <w:rPr>
                <w:rFonts w:ascii="Arial" w:hAnsi="Arial" w:cs="Arial"/>
                <w:bCs/>
                <w:sz w:val="20"/>
                <w:szCs w:val="20"/>
              </w:rPr>
            </w:pPr>
            <w:r w:rsidRPr="00C71650">
              <w:rPr>
                <w:rFonts w:ascii="Arial" w:hAnsi="Arial" w:cs="Arial"/>
                <w:bCs/>
                <w:sz w:val="20"/>
                <w:szCs w:val="20"/>
              </w:rPr>
              <w:t>2016-17</w:t>
            </w:r>
          </w:p>
        </w:tc>
        <w:tc>
          <w:tcPr>
            <w:tcW w:w="4829" w:type="dxa"/>
            <w:tcBorders>
              <w:top w:val="single" w:sz="4" w:space="0" w:color="auto"/>
              <w:left w:val="single" w:sz="4" w:space="0" w:color="auto"/>
              <w:bottom w:val="single" w:sz="4" w:space="0" w:color="auto"/>
              <w:right w:val="single" w:sz="4" w:space="0" w:color="auto"/>
            </w:tcBorders>
            <w:vAlign w:val="bottom"/>
            <w:hideMark/>
          </w:tcPr>
          <w:p w14:paraId="5160EE08" w14:textId="77777777" w:rsidR="00C71650" w:rsidRPr="00C71650" w:rsidRDefault="00C71650" w:rsidP="003824C9">
            <w:pPr>
              <w:jc w:val="both"/>
              <w:rPr>
                <w:rFonts w:ascii="Arial" w:hAnsi="Arial" w:cs="Arial"/>
                <w:sz w:val="20"/>
                <w:szCs w:val="20"/>
              </w:rPr>
            </w:pPr>
            <w:r w:rsidRPr="00C71650">
              <w:rPr>
                <w:rFonts w:ascii="Arial" w:hAnsi="Arial" w:cs="Arial"/>
                <w:color w:val="000000"/>
                <w:sz w:val="20"/>
                <w:szCs w:val="20"/>
              </w:rPr>
              <w:t>1.819901</w:t>
            </w:r>
          </w:p>
        </w:tc>
      </w:tr>
      <w:tr w:rsidR="00C71650" w:rsidRPr="00C71650" w14:paraId="3DE4D4D1" w14:textId="77777777" w:rsidTr="003824C9">
        <w:trPr>
          <w:trHeight w:val="304"/>
        </w:trPr>
        <w:tc>
          <w:tcPr>
            <w:tcW w:w="3652" w:type="dxa"/>
            <w:tcBorders>
              <w:top w:val="single" w:sz="4" w:space="0" w:color="auto"/>
              <w:left w:val="single" w:sz="4" w:space="0" w:color="auto"/>
              <w:bottom w:val="single" w:sz="4" w:space="0" w:color="auto"/>
              <w:right w:val="single" w:sz="4" w:space="0" w:color="auto"/>
            </w:tcBorders>
            <w:hideMark/>
          </w:tcPr>
          <w:p w14:paraId="0DD3B46E" w14:textId="77777777" w:rsidR="00C71650" w:rsidRPr="00C71650" w:rsidRDefault="00C71650" w:rsidP="003824C9">
            <w:pPr>
              <w:jc w:val="both"/>
              <w:rPr>
                <w:rFonts w:ascii="Arial" w:hAnsi="Arial" w:cs="Arial"/>
                <w:bCs/>
                <w:sz w:val="20"/>
                <w:szCs w:val="20"/>
              </w:rPr>
            </w:pPr>
            <w:r w:rsidRPr="00C71650">
              <w:rPr>
                <w:rFonts w:ascii="Arial" w:hAnsi="Arial" w:cs="Arial"/>
                <w:bCs/>
                <w:sz w:val="20"/>
                <w:szCs w:val="20"/>
              </w:rPr>
              <w:t>2017-18</w:t>
            </w:r>
          </w:p>
        </w:tc>
        <w:tc>
          <w:tcPr>
            <w:tcW w:w="4829" w:type="dxa"/>
            <w:tcBorders>
              <w:top w:val="single" w:sz="4" w:space="0" w:color="auto"/>
              <w:left w:val="single" w:sz="4" w:space="0" w:color="auto"/>
              <w:bottom w:val="single" w:sz="4" w:space="0" w:color="auto"/>
              <w:right w:val="single" w:sz="4" w:space="0" w:color="auto"/>
            </w:tcBorders>
            <w:vAlign w:val="bottom"/>
            <w:hideMark/>
          </w:tcPr>
          <w:p w14:paraId="0DBD9AB5" w14:textId="77777777" w:rsidR="00C71650" w:rsidRPr="00C71650" w:rsidRDefault="00C71650" w:rsidP="003824C9">
            <w:pPr>
              <w:jc w:val="both"/>
              <w:rPr>
                <w:rFonts w:ascii="Arial" w:hAnsi="Arial" w:cs="Arial"/>
                <w:sz w:val="20"/>
                <w:szCs w:val="20"/>
              </w:rPr>
            </w:pPr>
            <w:r w:rsidRPr="00C71650">
              <w:rPr>
                <w:rFonts w:ascii="Arial" w:hAnsi="Arial" w:cs="Arial"/>
                <w:color w:val="000000"/>
                <w:sz w:val="20"/>
                <w:szCs w:val="20"/>
              </w:rPr>
              <w:t>1.727385</w:t>
            </w:r>
          </w:p>
        </w:tc>
      </w:tr>
      <w:tr w:rsidR="00C71650" w:rsidRPr="00C71650" w14:paraId="475D57EE" w14:textId="77777777" w:rsidTr="003824C9">
        <w:trPr>
          <w:trHeight w:val="304"/>
        </w:trPr>
        <w:tc>
          <w:tcPr>
            <w:tcW w:w="3652" w:type="dxa"/>
            <w:tcBorders>
              <w:top w:val="single" w:sz="4" w:space="0" w:color="auto"/>
              <w:left w:val="single" w:sz="4" w:space="0" w:color="auto"/>
              <w:bottom w:val="single" w:sz="4" w:space="0" w:color="auto"/>
              <w:right w:val="single" w:sz="4" w:space="0" w:color="auto"/>
            </w:tcBorders>
            <w:hideMark/>
          </w:tcPr>
          <w:p w14:paraId="0EC51F35" w14:textId="77777777" w:rsidR="00C71650" w:rsidRPr="00C71650" w:rsidRDefault="00C71650" w:rsidP="003824C9">
            <w:pPr>
              <w:jc w:val="both"/>
              <w:rPr>
                <w:rFonts w:ascii="Arial" w:hAnsi="Arial" w:cs="Arial"/>
                <w:bCs/>
                <w:sz w:val="20"/>
                <w:szCs w:val="20"/>
              </w:rPr>
            </w:pPr>
            <w:r w:rsidRPr="00C71650">
              <w:rPr>
                <w:rFonts w:ascii="Arial" w:hAnsi="Arial" w:cs="Arial"/>
                <w:bCs/>
                <w:sz w:val="20"/>
                <w:szCs w:val="20"/>
              </w:rPr>
              <w:t>2018-19</w:t>
            </w:r>
          </w:p>
        </w:tc>
        <w:tc>
          <w:tcPr>
            <w:tcW w:w="4829" w:type="dxa"/>
            <w:tcBorders>
              <w:top w:val="single" w:sz="4" w:space="0" w:color="auto"/>
              <w:left w:val="single" w:sz="4" w:space="0" w:color="auto"/>
              <w:bottom w:val="single" w:sz="4" w:space="0" w:color="auto"/>
              <w:right w:val="single" w:sz="4" w:space="0" w:color="auto"/>
            </w:tcBorders>
            <w:vAlign w:val="bottom"/>
            <w:hideMark/>
          </w:tcPr>
          <w:p w14:paraId="3B4B0075" w14:textId="77777777" w:rsidR="00C71650" w:rsidRPr="00C71650" w:rsidRDefault="00C71650" w:rsidP="003824C9">
            <w:pPr>
              <w:jc w:val="both"/>
              <w:rPr>
                <w:rFonts w:ascii="Arial" w:hAnsi="Arial" w:cs="Arial"/>
                <w:sz w:val="20"/>
                <w:szCs w:val="20"/>
              </w:rPr>
            </w:pPr>
            <w:r w:rsidRPr="00C71650">
              <w:rPr>
                <w:rFonts w:ascii="Arial" w:hAnsi="Arial" w:cs="Arial"/>
                <w:color w:val="000000"/>
                <w:sz w:val="20"/>
                <w:szCs w:val="20"/>
              </w:rPr>
              <w:t>1.539549</w:t>
            </w:r>
          </w:p>
        </w:tc>
      </w:tr>
      <w:tr w:rsidR="00C71650" w:rsidRPr="00C71650" w14:paraId="13ED5B23" w14:textId="77777777" w:rsidTr="003824C9">
        <w:trPr>
          <w:trHeight w:val="304"/>
        </w:trPr>
        <w:tc>
          <w:tcPr>
            <w:tcW w:w="3652" w:type="dxa"/>
            <w:tcBorders>
              <w:top w:val="single" w:sz="4" w:space="0" w:color="auto"/>
              <w:left w:val="single" w:sz="4" w:space="0" w:color="auto"/>
              <w:bottom w:val="single" w:sz="4" w:space="0" w:color="auto"/>
              <w:right w:val="single" w:sz="4" w:space="0" w:color="auto"/>
            </w:tcBorders>
            <w:hideMark/>
          </w:tcPr>
          <w:p w14:paraId="63030D9D" w14:textId="77777777" w:rsidR="00C71650" w:rsidRPr="00C71650" w:rsidRDefault="00C71650" w:rsidP="003824C9">
            <w:pPr>
              <w:jc w:val="both"/>
              <w:rPr>
                <w:rFonts w:ascii="Arial" w:hAnsi="Arial" w:cs="Arial"/>
                <w:bCs/>
                <w:sz w:val="20"/>
                <w:szCs w:val="20"/>
              </w:rPr>
            </w:pPr>
            <w:r w:rsidRPr="00C71650">
              <w:rPr>
                <w:rFonts w:ascii="Arial" w:hAnsi="Arial" w:cs="Arial"/>
                <w:bCs/>
                <w:sz w:val="20"/>
                <w:szCs w:val="20"/>
              </w:rPr>
              <w:t>2019-20</w:t>
            </w:r>
          </w:p>
        </w:tc>
        <w:tc>
          <w:tcPr>
            <w:tcW w:w="4829" w:type="dxa"/>
            <w:tcBorders>
              <w:top w:val="single" w:sz="4" w:space="0" w:color="auto"/>
              <w:left w:val="single" w:sz="4" w:space="0" w:color="auto"/>
              <w:bottom w:val="single" w:sz="4" w:space="0" w:color="auto"/>
              <w:right w:val="single" w:sz="4" w:space="0" w:color="auto"/>
            </w:tcBorders>
            <w:vAlign w:val="bottom"/>
            <w:hideMark/>
          </w:tcPr>
          <w:p w14:paraId="072E3D2B" w14:textId="77777777" w:rsidR="00C71650" w:rsidRPr="00C71650" w:rsidRDefault="00C71650" w:rsidP="003824C9">
            <w:pPr>
              <w:jc w:val="both"/>
              <w:rPr>
                <w:rFonts w:ascii="Arial" w:hAnsi="Arial" w:cs="Arial"/>
                <w:sz w:val="20"/>
                <w:szCs w:val="20"/>
              </w:rPr>
            </w:pPr>
            <w:r w:rsidRPr="00C71650">
              <w:rPr>
                <w:rFonts w:ascii="Arial" w:hAnsi="Arial" w:cs="Arial"/>
                <w:color w:val="000000"/>
                <w:sz w:val="20"/>
                <w:szCs w:val="20"/>
              </w:rPr>
              <w:t>1.602983</w:t>
            </w:r>
          </w:p>
        </w:tc>
      </w:tr>
      <w:tr w:rsidR="00C71650" w:rsidRPr="00C71650" w14:paraId="674CCD5E" w14:textId="77777777" w:rsidTr="003824C9">
        <w:trPr>
          <w:trHeight w:val="304"/>
        </w:trPr>
        <w:tc>
          <w:tcPr>
            <w:tcW w:w="3652" w:type="dxa"/>
            <w:tcBorders>
              <w:top w:val="single" w:sz="4" w:space="0" w:color="auto"/>
              <w:left w:val="single" w:sz="4" w:space="0" w:color="auto"/>
              <w:bottom w:val="single" w:sz="4" w:space="0" w:color="auto"/>
              <w:right w:val="single" w:sz="4" w:space="0" w:color="auto"/>
            </w:tcBorders>
            <w:hideMark/>
          </w:tcPr>
          <w:p w14:paraId="13CE1041" w14:textId="77777777" w:rsidR="00C71650" w:rsidRPr="00C71650" w:rsidRDefault="00C71650" w:rsidP="003824C9">
            <w:pPr>
              <w:jc w:val="both"/>
              <w:rPr>
                <w:rFonts w:ascii="Arial" w:hAnsi="Arial" w:cs="Arial"/>
                <w:bCs/>
                <w:sz w:val="20"/>
                <w:szCs w:val="20"/>
              </w:rPr>
            </w:pPr>
            <w:r w:rsidRPr="00C71650">
              <w:rPr>
                <w:rFonts w:ascii="Arial" w:hAnsi="Arial" w:cs="Arial"/>
                <w:bCs/>
                <w:sz w:val="20"/>
                <w:szCs w:val="20"/>
              </w:rPr>
              <w:t>2020-21</w:t>
            </w:r>
          </w:p>
        </w:tc>
        <w:tc>
          <w:tcPr>
            <w:tcW w:w="4829" w:type="dxa"/>
            <w:tcBorders>
              <w:top w:val="single" w:sz="4" w:space="0" w:color="auto"/>
              <w:left w:val="single" w:sz="4" w:space="0" w:color="auto"/>
              <w:bottom w:val="single" w:sz="4" w:space="0" w:color="auto"/>
              <w:right w:val="single" w:sz="4" w:space="0" w:color="auto"/>
            </w:tcBorders>
            <w:vAlign w:val="bottom"/>
            <w:hideMark/>
          </w:tcPr>
          <w:p w14:paraId="63524C7A" w14:textId="77777777" w:rsidR="00C71650" w:rsidRPr="00C71650" w:rsidRDefault="00C71650" w:rsidP="003824C9">
            <w:pPr>
              <w:jc w:val="both"/>
              <w:rPr>
                <w:rFonts w:ascii="Arial" w:hAnsi="Arial" w:cs="Arial"/>
                <w:sz w:val="20"/>
                <w:szCs w:val="20"/>
              </w:rPr>
            </w:pPr>
            <w:r w:rsidRPr="00C71650">
              <w:rPr>
                <w:rFonts w:ascii="Arial" w:hAnsi="Arial" w:cs="Arial"/>
                <w:color w:val="000000"/>
                <w:sz w:val="20"/>
                <w:szCs w:val="20"/>
              </w:rPr>
              <w:t>0.474567</w:t>
            </w:r>
          </w:p>
        </w:tc>
      </w:tr>
      <w:tr w:rsidR="00C71650" w:rsidRPr="00C71650" w14:paraId="148B9391" w14:textId="77777777" w:rsidTr="003824C9">
        <w:trPr>
          <w:trHeight w:val="304"/>
        </w:trPr>
        <w:tc>
          <w:tcPr>
            <w:tcW w:w="3652" w:type="dxa"/>
            <w:tcBorders>
              <w:top w:val="single" w:sz="4" w:space="0" w:color="auto"/>
              <w:left w:val="single" w:sz="4" w:space="0" w:color="auto"/>
              <w:bottom w:val="single" w:sz="4" w:space="0" w:color="auto"/>
              <w:right w:val="single" w:sz="4" w:space="0" w:color="auto"/>
            </w:tcBorders>
            <w:hideMark/>
          </w:tcPr>
          <w:p w14:paraId="086F8251" w14:textId="77777777" w:rsidR="00C71650" w:rsidRPr="00C71650" w:rsidRDefault="00C71650" w:rsidP="003824C9">
            <w:pPr>
              <w:jc w:val="both"/>
              <w:rPr>
                <w:rFonts w:ascii="Arial" w:hAnsi="Arial" w:cs="Arial"/>
                <w:bCs/>
                <w:sz w:val="20"/>
                <w:szCs w:val="20"/>
              </w:rPr>
            </w:pPr>
            <w:r w:rsidRPr="00C71650">
              <w:rPr>
                <w:rFonts w:ascii="Arial" w:hAnsi="Arial" w:cs="Arial"/>
                <w:bCs/>
                <w:sz w:val="20"/>
                <w:szCs w:val="20"/>
              </w:rPr>
              <w:t>2021-22</w:t>
            </w:r>
          </w:p>
        </w:tc>
        <w:tc>
          <w:tcPr>
            <w:tcW w:w="4829" w:type="dxa"/>
            <w:tcBorders>
              <w:top w:val="single" w:sz="4" w:space="0" w:color="auto"/>
              <w:left w:val="single" w:sz="4" w:space="0" w:color="auto"/>
              <w:bottom w:val="single" w:sz="4" w:space="0" w:color="auto"/>
              <w:right w:val="single" w:sz="4" w:space="0" w:color="auto"/>
            </w:tcBorders>
            <w:vAlign w:val="bottom"/>
            <w:hideMark/>
          </w:tcPr>
          <w:p w14:paraId="38E717DF" w14:textId="77777777" w:rsidR="00C71650" w:rsidRPr="00C71650" w:rsidRDefault="00C71650" w:rsidP="003824C9">
            <w:pPr>
              <w:jc w:val="both"/>
              <w:rPr>
                <w:rFonts w:ascii="Arial" w:hAnsi="Arial" w:cs="Arial"/>
                <w:sz w:val="20"/>
                <w:szCs w:val="20"/>
              </w:rPr>
            </w:pPr>
            <w:r w:rsidRPr="00C71650">
              <w:rPr>
                <w:rFonts w:ascii="Arial" w:hAnsi="Arial" w:cs="Arial"/>
                <w:color w:val="000000"/>
                <w:sz w:val="20"/>
                <w:szCs w:val="20"/>
              </w:rPr>
              <w:t>0.074536</w:t>
            </w:r>
          </w:p>
        </w:tc>
      </w:tr>
      <w:tr w:rsidR="00C71650" w:rsidRPr="00C71650" w14:paraId="2D94499B" w14:textId="77777777" w:rsidTr="003824C9">
        <w:trPr>
          <w:trHeight w:val="304"/>
        </w:trPr>
        <w:tc>
          <w:tcPr>
            <w:tcW w:w="3652" w:type="dxa"/>
            <w:tcBorders>
              <w:top w:val="single" w:sz="4" w:space="0" w:color="auto"/>
              <w:left w:val="single" w:sz="4" w:space="0" w:color="auto"/>
              <w:bottom w:val="single" w:sz="4" w:space="0" w:color="auto"/>
              <w:right w:val="single" w:sz="4" w:space="0" w:color="auto"/>
            </w:tcBorders>
          </w:tcPr>
          <w:p w14:paraId="49A8D514" w14:textId="77777777" w:rsidR="00C71650" w:rsidRPr="00C71650" w:rsidRDefault="00C71650" w:rsidP="003824C9">
            <w:pPr>
              <w:jc w:val="both"/>
              <w:rPr>
                <w:rFonts w:ascii="Arial" w:hAnsi="Arial" w:cs="Arial"/>
                <w:bCs/>
                <w:sz w:val="20"/>
                <w:szCs w:val="20"/>
              </w:rPr>
            </w:pPr>
            <w:r w:rsidRPr="00C71650">
              <w:rPr>
                <w:rFonts w:ascii="Arial" w:hAnsi="Arial" w:cs="Arial"/>
                <w:bCs/>
                <w:sz w:val="20"/>
                <w:szCs w:val="20"/>
              </w:rPr>
              <w:t>2023-24</w:t>
            </w:r>
          </w:p>
        </w:tc>
        <w:tc>
          <w:tcPr>
            <w:tcW w:w="4829" w:type="dxa"/>
            <w:tcBorders>
              <w:top w:val="single" w:sz="4" w:space="0" w:color="auto"/>
              <w:left w:val="single" w:sz="4" w:space="0" w:color="auto"/>
              <w:bottom w:val="single" w:sz="4" w:space="0" w:color="auto"/>
              <w:right w:val="single" w:sz="4" w:space="0" w:color="auto"/>
            </w:tcBorders>
            <w:vAlign w:val="bottom"/>
          </w:tcPr>
          <w:p w14:paraId="6D032AF7" w14:textId="77777777" w:rsidR="00C71650" w:rsidRPr="00C71650" w:rsidRDefault="00C71650" w:rsidP="003824C9">
            <w:pPr>
              <w:jc w:val="both"/>
              <w:rPr>
                <w:rFonts w:ascii="Arial" w:hAnsi="Arial" w:cs="Arial"/>
                <w:color w:val="000000"/>
                <w:sz w:val="20"/>
                <w:szCs w:val="20"/>
              </w:rPr>
            </w:pPr>
            <w:r w:rsidRPr="00C71650">
              <w:rPr>
                <w:rFonts w:ascii="Arial" w:hAnsi="Arial" w:cs="Arial"/>
                <w:color w:val="000000"/>
                <w:sz w:val="20"/>
                <w:szCs w:val="20"/>
              </w:rPr>
              <w:t>1.59</w:t>
            </w:r>
          </w:p>
        </w:tc>
      </w:tr>
    </w:tbl>
    <w:p w14:paraId="2CD88D29" w14:textId="77777777" w:rsidR="00C71650" w:rsidRPr="00C71650" w:rsidRDefault="00C71650" w:rsidP="00C71650">
      <w:pPr>
        <w:tabs>
          <w:tab w:val="left" w:pos="6540"/>
        </w:tabs>
        <w:autoSpaceDE w:val="0"/>
        <w:autoSpaceDN w:val="0"/>
        <w:adjustRightInd w:val="0"/>
        <w:spacing w:after="240"/>
        <w:ind w:right="29"/>
        <w:rPr>
          <w:rFonts w:ascii="Arial" w:hAnsi="Arial" w:cs="Arial"/>
        </w:rPr>
      </w:pPr>
      <w:r w:rsidRPr="00C71650">
        <w:rPr>
          <w:rFonts w:ascii="Arial" w:hAnsi="Arial" w:cs="Arial"/>
        </w:rPr>
        <w:t>Source: Computed from Kerala tourism Statistics 2000, 2001, 2002, 2003, 2004, 2005, 2010, 2015, 2019, 2020, 2021 Research and Statistic Division, Department of Tourism, Government of Kerala and Economic review of Kerala</w:t>
      </w:r>
    </w:p>
    <w:p w14:paraId="0AAC2D2C" w14:textId="77777777" w:rsidR="00C71650" w:rsidRPr="00C71650" w:rsidRDefault="00C71650" w:rsidP="00C71650">
      <w:pPr>
        <w:tabs>
          <w:tab w:val="left" w:pos="6540"/>
        </w:tabs>
        <w:autoSpaceDE w:val="0"/>
        <w:autoSpaceDN w:val="0"/>
        <w:adjustRightInd w:val="0"/>
        <w:spacing w:after="240"/>
        <w:ind w:right="29"/>
        <w:jc w:val="both"/>
        <w:rPr>
          <w:rFonts w:ascii="Arial" w:hAnsi="Arial" w:cs="Arial"/>
        </w:rPr>
      </w:pPr>
      <w:r w:rsidRPr="00C71650">
        <w:rPr>
          <w:rFonts w:ascii="Arial" w:hAnsi="Arial" w:cs="Arial"/>
        </w:rPr>
        <w:lastRenderedPageBreak/>
        <w:t>The table 2 has clearly produced a clear picture of the share of tourism in State Gross Domestic Product of Kerala. The share of tourism earnings in Kerala’s SGDP from 1991 to 2014 has been between 3.5 percentage to 2 percentage. But the share of tourism in SGDP has declined and was between the range of 1.9 to 1.6 percentage from 2015 to 2019. This decline proves that the high growth rates in non-tourism sectors—driven primarily by external capital inflows like migrant remittances—have outpaced tourism's growth, leading to the structural erosion of tourism's significance as a proportional contributor to State GDP.</w:t>
      </w:r>
    </w:p>
    <w:p w14:paraId="0A4DAB35" w14:textId="77777777" w:rsidR="00C71650" w:rsidRPr="00C71650" w:rsidRDefault="00C71650" w:rsidP="00C71650">
      <w:pPr>
        <w:tabs>
          <w:tab w:val="left" w:pos="6540"/>
        </w:tabs>
        <w:autoSpaceDE w:val="0"/>
        <w:autoSpaceDN w:val="0"/>
        <w:adjustRightInd w:val="0"/>
        <w:spacing w:after="240"/>
        <w:ind w:right="29"/>
        <w:jc w:val="both"/>
        <w:rPr>
          <w:rFonts w:ascii="Arial" w:hAnsi="Arial" w:cs="Arial"/>
        </w:rPr>
      </w:pPr>
      <w:r w:rsidRPr="00C71650">
        <w:rPr>
          <w:rFonts w:ascii="Arial" w:hAnsi="Arial" w:cs="Arial"/>
        </w:rPr>
        <w:t>In the years 2020 and 2021 the share of tourism to SGDP has declined to 0.474 and 0.0074 percentage respectively. The negative variation in the share of tourism in State Gross Domestic Product of Kerala is due to the spread of Covid 19. Tourism is one of the sectors which is extremely affected by the Covid pandemic. Travel restrictions, lockdowns, and other stringent rules initiated by Government has severely affected the revenue generation of this sector and hence reduced its contribution to State Domestic Product. As the economy slowly slacken of restrictions tourism sector has started to recover. The sector’s contribution has reduced from 0.474 percentage in 2020 to 1.59 percentage in 2023, highlighting that tourism sector is back on its track and recovered from Covid-19 pandemic. But overall, from 1991 to 2023, the share of FEET in SGDP has declined drastically proving the structural erosion of tourism sector’s relative importance.</w:t>
      </w:r>
    </w:p>
    <w:p w14:paraId="60ADC8E6" w14:textId="77777777" w:rsidR="00C71650" w:rsidRPr="00C71650" w:rsidRDefault="00C71650" w:rsidP="00C71650">
      <w:pPr>
        <w:ind w:left="360"/>
        <w:jc w:val="both"/>
        <w:rPr>
          <w:rFonts w:ascii="Arial" w:hAnsi="Arial" w:cs="Arial"/>
        </w:rPr>
      </w:pPr>
      <w:r w:rsidRPr="00C71650">
        <w:rPr>
          <w:rFonts w:ascii="Arial" w:hAnsi="Arial" w:cs="Arial"/>
        </w:rPr>
        <w:t>The study’s findings are given below:</w:t>
      </w:r>
    </w:p>
    <w:p w14:paraId="060105B0" w14:textId="77777777" w:rsidR="00C71650" w:rsidRPr="00C71650" w:rsidRDefault="00C71650" w:rsidP="00C71650">
      <w:pPr>
        <w:pStyle w:val="ListParagraph"/>
        <w:numPr>
          <w:ilvl w:val="0"/>
          <w:numId w:val="36"/>
        </w:numPr>
        <w:autoSpaceDE w:val="0"/>
        <w:autoSpaceDN w:val="0"/>
        <w:adjustRightInd w:val="0"/>
        <w:spacing w:after="240" w:line="240" w:lineRule="auto"/>
        <w:ind w:left="426" w:right="29"/>
        <w:jc w:val="both"/>
        <w:rPr>
          <w:rFonts w:ascii="Arial" w:hAnsi="Arial" w:cs="Arial"/>
          <w:sz w:val="20"/>
          <w:szCs w:val="20"/>
        </w:rPr>
      </w:pPr>
      <w:r w:rsidRPr="00C71650">
        <w:rPr>
          <w:rFonts w:ascii="Arial" w:hAnsi="Arial" w:cs="Arial"/>
          <w:sz w:val="20"/>
          <w:szCs w:val="20"/>
        </w:rPr>
        <w:t xml:space="preserve">There is </w:t>
      </w:r>
      <w:r w:rsidRPr="00C71650">
        <w:rPr>
          <w:rFonts w:ascii="Arial" w:hAnsi="Arial" w:cs="Arial"/>
          <w:color w:val="0D0D0D"/>
          <w:sz w:val="20"/>
          <w:szCs w:val="20"/>
          <w:shd w:val="clear" w:color="auto" w:fill="FFFFFF"/>
        </w:rPr>
        <w:t xml:space="preserve">moderate level of association between SGDP and foreign exchange earnings. </w:t>
      </w:r>
      <w:r w:rsidRPr="00C71650">
        <w:rPr>
          <w:rFonts w:ascii="Arial" w:hAnsi="Arial" w:cs="Arial"/>
          <w:sz w:val="20"/>
          <w:szCs w:val="20"/>
        </w:rPr>
        <w:t xml:space="preserve">There is </w:t>
      </w:r>
      <w:r w:rsidRPr="00C71650">
        <w:rPr>
          <w:rFonts w:ascii="Arial" w:hAnsi="Arial" w:cs="Arial"/>
          <w:color w:val="0D0D0D"/>
          <w:sz w:val="20"/>
          <w:szCs w:val="20"/>
          <w:shd w:val="clear" w:color="auto" w:fill="FFFFFF"/>
        </w:rPr>
        <w:t>approximately 35.82% of the variability in foreign exchange earnings can be explained by the variation in SGDP.</w:t>
      </w:r>
    </w:p>
    <w:p w14:paraId="7043D427" w14:textId="77777777" w:rsidR="00C71650" w:rsidRPr="00C71650" w:rsidRDefault="00C71650" w:rsidP="00C71650">
      <w:pPr>
        <w:pStyle w:val="ListParagraph"/>
        <w:numPr>
          <w:ilvl w:val="0"/>
          <w:numId w:val="36"/>
        </w:numPr>
        <w:autoSpaceDE w:val="0"/>
        <w:autoSpaceDN w:val="0"/>
        <w:adjustRightInd w:val="0"/>
        <w:spacing w:before="240" w:after="240" w:line="240" w:lineRule="auto"/>
        <w:ind w:left="426" w:right="29"/>
        <w:jc w:val="both"/>
        <w:rPr>
          <w:rFonts w:ascii="Arial" w:hAnsi="Arial" w:cs="Arial"/>
          <w:sz w:val="20"/>
          <w:szCs w:val="20"/>
        </w:rPr>
      </w:pPr>
      <w:r w:rsidRPr="00C71650">
        <w:rPr>
          <w:rFonts w:ascii="Arial" w:hAnsi="Arial" w:cs="Arial"/>
          <w:sz w:val="20"/>
          <w:szCs w:val="20"/>
        </w:rPr>
        <w:t xml:space="preserve">The share of FEET in SGDP consistently peaked in the 1990s and shows a significant long-term decline from over </w:t>
      </w:r>
      <w:r w:rsidRPr="00C71650">
        <w:rPr>
          <w:rStyle w:val="Strong"/>
          <w:rFonts w:ascii="Arial" w:eastAsiaTheme="majorEastAsia" w:hAnsi="Arial" w:cs="Arial"/>
          <w:b w:val="0"/>
          <w:sz w:val="20"/>
          <w:szCs w:val="20"/>
        </w:rPr>
        <w:t>3.5%</w:t>
      </w:r>
      <w:r w:rsidRPr="00C71650">
        <w:rPr>
          <w:rFonts w:ascii="Arial" w:hAnsi="Arial" w:cs="Arial"/>
          <w:sz w:val="20"/>
          <w:szCs w:val="20"/>
        </w:rPr>
        <w:t xml:space="preserve"> (peak 1996-97) to </w:t>
      </w:r>
      <w:r w:rsidRPr="00C71650">
        <w:rPr>
          <w:rStyle w:val="Strong"/>
          <w:rFonts w:ascii="Arial" w:eastAsiaTheme="majorEastAsia" w:hAnsi="Arial" w:cs="Arial"/>
          <w:b w:val="0"/>
          <w:sz w:val="20"/>
          <w:szCs w:val="20"/>
        </w:rPr>
        <w:t>1.54%</w:t>
      </w:r>
      <w:r w:rsidRPr="00C71650">
        <w:rPr>
          <w:rFonts w:ascii="Arial" w:hAnsi="Arial" w:cs="Arial"/>
          <w:sz w:val="20"/>
          <w:szCs w:val="20"/>
        </w:rPr>
        <w:t xml:space="preserve"> (2018-19, pre-COVID), demonstrating that even though tourism remains a statistically significant driver of growth, its overall proportional impact on the state economy has been halved. The 2020-2022 figures highlight the severe impact of external shocks (COVID-19), while the 2023-24 figure suggests a tentative recovery back towards the pre-pandemic eroded structural level.</w:t>
      </w:r>
    </w:p>
    <w:p w14:paraId="2FCC1314"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4304AF9F" w14:textId="77777777" w:rsidR="00790ADA" w:rsidRPr="00FB3A86" w:rsidRDefault="00790ADA" w:rsidP="00441B6F">
      <w:pPr>
        <w:pStyle w:val="ConcHead"/>
        <w:spacing w:after="0"/>
        <w:jc w:val="both"/>
        <w:rPr>
          <w:rFonts w:ascii="Arial" w:hAnsi="Arial" w:cs="Arial"/>
        </w:rPr>
      </w:pPr>
    </w:p>
    <w:p w14:paraId="7B761E30" w14:textId="77777777" w:rsidR="00C71650" w:rsidRPr="00C71650" w:rsidRDefault="00C71650" w:rsidP="00C71650">
      <w:pPr>
        <w:spacing w:after="240"/>
        <w:jc w:val="both"/>
        <w:rPr>
          <w:rFonts w:ascii="Arial" w:hAnsi="Arial" w:cs="Arial"/>
        </w:rPr>
      </w:pPr>
      <w:r w:rsidRPr="00C71650">
        <w:rPr>
          <w:rFonts w:ascii="Arial" w:hAnsi="Arial" w:cs="Arial"/>
        </w:rPr>
        <w:t>This study investigated the dual nature of tourism's economic contribution in Kerala, successfully addressing—the conflict between its celebrated growth potential and its diminishing structural role. The empirical analysis yielded a critical two-part conclusion: first, the OLS regression confirmed a statistically significant positive relationship between the growth rates of Foreign Exchange Earnings from Tourism (FEET) and State GDP (SGDP), validating the basic premise of the Tourism-Led Growth. Second, the descriptive analysis confirmed the central thesis of structural erosion, showing the decline in relative share of FEET in SGDP since 1996. This dramatic decline confirms that while tourism remains an effective growth engine in absolute terms, its structural influence has been systematically marginalized by the disproportionate growth of non-tradable sectors, primarily fueled by migrant remittances. Consequently, tourism is deemed statistically effective but structurally insignificant in driving the modern state economy, necessitating a fundamental re-evaluation of its role in long-term economic planning.</w:t>
      </w:r>
    </w:p>
    <w:p w14:paraId="7D710847" w14:textId="77777777" w:rsidR="00C71650" w:rsidRPr="00C71650" w:rsidRDefault="00C71650" w:rsidP="00C71650">
      <w:pPr>
        <w:autoSpaceDE w:val="0"/>
        <w:autoSpaceDN w:val="0"/>
        <w:adjustRightInd w:val="0"/>
        <w:spacing w:after="240"/>
        <w:ind w:right="29"/>
        <w:jc w:val="both"/>
        <w:rPr>
          <w:rFonts w:ascii="Arial" w:hAnsi="Arial" w:cs="Arial"/>
        </w:rPr>
      </w:pPr>
      <w:r w:rsidRPr="00C71650">
        <w:rPr>
          <w:rFonts w:ascii="Arial" w:hAnsi="Arial" w:cs="Arial"/>
        </w:rPr>
        <w:t xml:space="preserve">The findings dictate a fundamental shift in tourism policy, moving the focus from increasing tourist volume to maximizing tourist yield (value per foreign visitor). Policy must shift toward attracting high-spending and longer-staying foreign tourists. The sector should invest strategically in non-traditional, high-value offerings that have high linkages. Government should mandate local sourcing of tourism operators to maximize the local linkages. </w:t>
      </w:r>
      <w:r w:rsidRPr="00C71650">
        <w:rPr>
          <w:rFonts w:ascii="Arial" w:hAnsi="Arial" w:cs="Arial"/>
        </w:rPr>
        <w:lastRenderedPageBreak/>
        <w:t>Government should also invest heavily in infrastructure in tourism destination. It must be upgraded to a scale and efficiency that supports high-end, smooth international travel, thereby reducing costs and improving the competitive edge. Two key avenues for future research are recommended on the basis of the limitations of the present study:</w:t>
      </w:r>
    </w:p>
    <w:p w14:paraId="74577AE9" w14:textId="77777777" w:rsidR="00C71650" w:rsidRPr="00C71650" w:rsidRDefault="00C71650" w:rsidP="00C71650">
      <w:pPr>
        <w:numPr>
          <w:ilvl w:val="0"/>
          <w:numId w:val="38"/>
        </w:numPr>
        <w:autoSpaceDE w:val="0"/>
        <w:autoSpaceDN w:val="0"/>
        <w:adjustRightInd w:val="0"/>
        <w:ind w:right="29"/>
        <w:jc w:val="both"/>
        <w:rPr>
          <w:rFonts w:ascii="Arial" w:hAnsi="Arial" w:cs="Arial"/>
        </w:rPr>
      </w:pPr>
      <w:r w:rsidRPr="00C71650">
        <w:rPr>
          <w:rFonts w:ascii="Arial" w:hAnsi="Arial" w:cs="Arial"/>
        </w:rPr>
        <w:t>Future studies should formally incorporate Migrant Remittances as a co-variate in a multiple regression or VAR model to empirically test for both displacement and competition effects on tourism growth.</w:t>
      </w:r>
    </w:p>
    <w:p w14:paraId="5B1324DE" w14:textId="77777777" w:rsidR="00C71650" w:rsidRPr="00C71650" w:rsidRDefault="00C71650" w:rsidP="00C71650">
      <w:pPr>
        <w:numPr>
          <w:ilvl w:val="0"/>
          <w:numId w:val="38"/>
        </w:numPr>
        <w:autoSpaceDE w:val="0"/>
        <w:autoSpaceDN w:val="0"/>
        <w:adjustRightInd w:val="0"/>
        <w:spacing w:after="240"/>
        <w:ind w:right="29"/>
        <w:jc w:val="both"/>
        <w:rPr>
          <w:rFonts w:ascii="Arial" w:hAnsi="Arial" w:cs="Arial"/>
        </w:rPr>
      </w:pPr>
      <w:r w:rsidRPr="00C71650">
        <w:rPr>
          <w:rFonts w:ascii="Arial" w:hAnsi="Arial" w:cs="Arial"/>
        </w:rPr>
        <w:t>Analysis should be disaggregated to evaluate the structural contribution of specific sub-sectors (e.g., Ayurvedic tourism, Backwater Tourism, Beach tourism etc.) to identify which segment has more potential.</w:t>
      </w:r>
    </w:p>
    <w:p w14:paraId="451C597B" w14:textId="77777777" w:rsidR="001A29D8" w:rsidRDefault="001A29D8" w:rsidP="00441B6F">
      <w:pPr>
        <w:pStyle w:val="ReferHead"/>
        <w:spacing w:after="0"/>
        <w:jc w:val="both"/>
        <w:rPr>
          <w:rFonts w:ascii="Arial" w:hAnsi="Arial" w:cs="Arial"/>
          <w:b w:val="0"/>
          <w:caps w:val="0"/>
          <w:sz w:val="20"/>
        </w:rPr>
      </w:pPr>
    </w:p>
    <w:p w14:paraId="1B38335C"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702B27F9" w14:textId="77777777" w:rsidR="00C71650" w:rsidRPr="00C71650" w:rsidRDefault="00C71650" w:rsidP="00C71650">
      <w:pPr>
        <w:pStyle w:val="NormalWeb"/>
        <w:numPr>
          <w:ilvl w:val="0"/>
          <w:numId w:val="39"/>
        </w:numPr>
        <w:jc w:val="both"/>
        <w:rPr>
          <w:rFonts w:ascii="Arial" w:hAnsi="Arial" w:cs="Arial"/>
          <w:sz w:val="20"/>
          <w:szCs w:val="20"/>
        </w:rPr>
      </w:pPr>
      <w:proofErr w:type="spellStart"/>
      <w:r w:rsidRPr="00C71650">
        <w:rPr>
          <w:rFonts w:ascii="Arial" w:hAnsi="Arial" w:cs="Arial"/>
          <w:sz w:val="20"/>
          <w:szCs w:val="20"/>
        </w:rPr>
        <w:t>Aliqah</w:t>
      </w:r>
      <w:proofErr w:type="spellEnd"/>
      <w:r w:rsidRPr="00C71650">
        <w:rPr>
          <w:rFonts w:ascii="Arial" w:hAnsi="Arial" w:cs="Arial"/>
          <w:sz w:val="20"/>
          <w:szCs w:val="20"/>
        </w:rPr>
        <w:t>, K. M. A., &amp; Al-</w:t>
      </w:r>
      <w:proofErr w:type="spellStart"/>
      <w:r w:rsidRPr="00C71650">
        <w:rPr>
          <w:rFonts w:ascii="Arial" w:hAnsi="Arial" w:cs="Arial"/>
          <w:sz w:val="20"/>
          <w:szCs w:val="20"/>
        </w:rPr>
        <w:t>rfou</w:t>
      </w:r>
      <w:proofErr w:type="spellEnd"/>
      <w:r w:rsidRPr="00C71650">
        <w:rPr>
          <w:rFonts w:ascii="Arial" w:hAnsi="Arial" w:cs="Arial"/>
          <w:sz w:val="20"/>
          <w:szCs w:val="20"/>
        </w:rPr>
        <w:t xml:space="preserve">, A. N. (2010). The role of tourism sector on economic development in Jordan during the period 1990-2008. </w:t>
      </w:r>
      <w:r w:rsidRPr="00C71650">
        <w:rPr>
          <w:rStyle w:val="Emphasis"/>
          <w:rFonts w:ascii="Arial" w:eastAsiaTheme="majorEastAsia" w:hAnsi="Arial" w:cs="Arial"/>
          <w:sz w:val="20"/>
          <w:szCs w:val="20"/>
        </w:rPr>
        <w:t>European Journal of Economics, Finance and Administrative Sciences</w:t>
      </w:r>
      <w:r w:rsidRPr="00C71650">
        <w:rPr>
          <w:rFonts w:ascii="Arial" w:hAnsi="Arial" w:cs="Arial"/>
          <w:sz w:val="20"/>
          <w:szCs w:val="20"/>
        </w:rPr>
        <w:t xml:space="preserve">, </w:t>
      </w:r>
      <w:r w:rsidRPr="00C71650">
        <w:rPr>
          <w:rStyle w:val="Emphasis"/>
          <w:rFonts w:ascii="Arial" w:eastAsiaTheme="majorEastAsia" w:hAnsi="Arial" w:cs="Arial"/>
          <w:sz w:val="20"/>
          <w:szCs w:val="20"/>
        </w:rPr>
        <w:t>18</w:t>
      </w:r>
      <w:r w:rsidRPr="00C71650">
        <w:rPr>
          <w:rFonts w:ascii="Arial" w:hAnsi="Arial" w:cs="Arial"/>
          <w:sz w:val="20"/>
          <w:szCs w:val="20"/>
        </w:rPr>
        <w:t>, 173–180.</w:t>
      </w:r>
    </w:p>
    <w:p w14:paraId="42A96E06" w14:textId="77777777" w:rsidR="00C71650" w:rsidRPr="00C71650" w:rsidRDefault="00C71650" w:rsidP="00C71650">
      <w:pPr>
        <w:pStyle w:val="NormalWeb"/>
        <w:numPr>
          <w:ilvl w:val="0"/>
          <w:numId w:val="39"/>
        </w:numPr>
        <w:jc w:val="both"/>
        <w:rPr>
          <w:rFonts w:ascii="Arial" w:hAnsi="Arial" w:cs="Arial"/>
          <w:sz w:val="20"/>
          <w:szCs w:val="20"/>
        </w:rPr>
      </w:pPr>
      <w:r w:rsidRPr="00C71650">
        <w:rPr>
          <w:rFonts w:ascii="Arial" w:hAnsi="Arial" w:cs="Arial"/>
          <w:sz w:val="20"/>
          <w:szCs w:val="20"/>
        </w:rPr>
        <w:t xml:space="preserve">Butler, R. W. (2025). The spatial development of tourism over eight decades: a Horizon 2050 paper. </w:t>
      </w:r>
      <w:r w:rsidRPr="00C71650">
        <w:rPr>
          <w:rStyle w:val="Emphasis"/>
          <w:rFonts w:ascii="Arial" w:eastAsiaTheme="majorEastAsia" w:hAnsi="Arial" w:cs="Arial"/>
          <w:sz w:val="20"/>
          <w:szCs w:val="20"/>
        </w:rPr>
        <w:t>Tourism Review</w:t>
      </w:r>
      <w:r w:rsidRPr="00C71650">
        <w:rPr>
          <w:rFonts w:ascii="Arial" w:hAnsi="Arial" w:cs="Arial"/>
          <w:sz w:val="20"/>
          <w:szCs w:val="20"/>
        </w:rPr>
        <w:t xml:space="preserve">, </w:t>
      </w:r>
      <w:r w:rsidRPr="00C71650">
        <w:rPr>
          <w:rStyle w:val="Emphasis"/>
          <w:rFonts w:ascii="Arial" w:eastAsiaTheme="majorEastAsia" w:hAnsi="Arial" w:cs="Arial"/>
          <w:sz w:val="20"/>
          <w:szCs w:val="20"/>
        </w:rPr>
        <w:t>80</w:t>
      </w:r>
      <w:r w:rsidRPr="00C71650">
        <w:rPr>
          <w:rFonts w:ascii="Arial" w:hAnsi="Arial" w:cs="Arial"/>
          <w:sz w:val="20"/>
          <w:szCs w:val="20"/>
        </w:rPr>
        <w:t>(1), 53–64. https://doi.org/10.1108/TR-12-2023-0904</w:t>
      </w:r>
    </w:p>
    <w:p w14:paraId="78EEABAD" w14:textId="77777777" w:rsidR="00C71650" w:rsidRPr="00C71650" w:rsidRDefault="00C71650" w:rsidP="00C71650">
      <w:pPr>
        <w:pStyle w:val="NormalWeb"/>
        <w:numPr>
          <w:ilvl w:val="0"/>
          <w:numId w:val="39"/>
        </w:numPr>
        <w:jc w:val="both"/>
        <w:rPr>
          <w:rFonts w:ascii="Arial" w:hAnsi="Arial" w:cs="Arial"/>
          <w:sz w:val="20"/>
          <w:szCs w:val="20"/>
        </w:rPr>
      </w:pPr>
      <w:r w:rsidRPr="00C71650">
        <w:rPr>
          <w:rFonts w:ascii="Arial" w:hAnsi="Arial" w:cs="Arial"/>
          <w:sz w:val="20"/>
          <w:szCs w:val="20"/>
        </w:rPr>
        <w:t xml:space="preserve">Cherian, A. M., &amp; </w:t>
      </w:r>
      <w:proofErr w:type="spellStart"/>
      <w:r w:rsidRPr="00C71650">
        <w:rPr>
          <w:rFonts w:ascii="Arial" w:hAnsi="Arial" w:cs="Arial"/>
          <w:sz w:val="20"/>
          <w:szCs w:val="20"/>
        </w:rPr>
        <w:t>Natarajamurthy</w:t>
      </w:r>
      <w:proofErr w:type="spellEnd"/>
      <w:r w:rsidRPr="00C71650">
        <w:rPr>
          <w:rFonts w:ascii="Arial" w:hAnsi="Arial" w:cs="Arial"/>
          <w:sz w:val="20"/>
          <w:szCs w:val="20"/>
        </w:rPr>
        <w:t xml:space="preserve">, P. (2023). The incredible growth chronicle of Kerala’s tourism industry. </w:t>
      </w:r>
      <w:r w:rsidRPr="00C71650">
        <w:rPr>
          <w:rStyle w:val="Emphasis"/>
          <w:rFonts w:ascii="Arial" w:eastAsiaTheme="majorEastAsia" w:hAnsi="Arial" w:cs="Arial"/>
          <w:sz w:val="20"/>
          <w:szCs w:val="20"/>
        </w:rPr>
        <w:t>The third concept: an international journal of ideas</w:t>
      </w:r>
      <w:r w:rsidRPr="00C71650">
        <w:rPr>
          <w:rFonts w:ascii="Arial" w:hAnsi="Arial" w:cs="Arial"/>
          <w:sz w:val="20"/>
          <w:szCs w:val="20"/>
        </w:rPr>
        <w:t xml:space="preserve">, </w:t>
      </w:r>
      <w:r w:rsidRPr="00C71650">
        <w:rPr>
          <w:rStyle w:val="Emphasis"/>
          <w:rFonts w:ascii="Arial" w:eastAsiaTheme="majorEastAsia" w:hAnsi="Arial" w:cs="Arial"/>
          <w:sz w:val="20"/>
          <w:szCs w:val="20"/>
        </w:rPr>
        <w:t>37</w:t>
      </w:r>
      <w:r w:rsidRPr="00C71650">
        <w:rPr>
          <w:rFonts w:ascii="Arial" w:hAnsi="Arial" w:cs="Arial"/>
          <w:sz w:val="20"/>
          <w:szCs w:val="20"/>
        </w:rPr>
        <w:t>(433), 94–95.</w:t>
      </w:r>
    </w:p>
    <w:p w14:paraId="773D0155" w14:textId="77777777" w:rsidR="00C71650" w:rsidRPr="00C71650" w:rsidRDefault="00C71650" w:rsidP="00C71650">
      <w:pPr>
        <w:pStyle w:val="NormalWeb"/>
        <w:numPr>
          <w:ilvl w:val="0"/>
          <w:numId w:val="39"/>
        </w:numPr>
        <w:jc w:val="both"/>
        <w:rPr>
          <w:rFonts w:ascii="Arial" w:hAnsi="Arial" w:cs="Arial"/>
          <w:sz w:val="20"/>
          <w:szCs w:val="20"/>
        </w:rPr>
      </w:pPr>
      <w:r w:rsidRPr="00C71650">
        <w:rPr>
          <w:rFonts w:ascii="Arial" w:hAnsi="Arial" w:cs="Arial"/>
          <w:sz w:val="20"/>
          <w:szCs w:val="20"/>
        </w:rPr>
        <w:t xml:space="preserve">Cherian, A. M., &amp; </w:t>
      </w:r>
      <w:proofErr w:type="spellStart"/>
      <w:r w:rsidRPr="00C71650">
        <w:rPr>
          <w:rFonts w:ascii="Arial" w:hAnsi="Arial" w:cs="Arial"/>
          <w:sz w:val="20"/>
          <w:szCs w:val="20"/>
        </w:rPr>
        <w:t>Natarajamurthy</w:t>
      </w:r>
      <w:proofErr w:type="spellEnd"/>
      <w:r w:rsidRPr="00C71650">
        <w:rPr>
          <w:rFonts w:ascii="Arial" w:hAnsi="Arial" w:cs="Arial"/>
          <w:sz w:val="20"/>
          <w:szCs w:val="20"/>
        </w:rPr>
        <w:t xml:space="preserve">, D. P. (2024). Rethinking Tourism Post-COVID: A Public Health Perspective. </w:t>
      </w:r>
      <w:r w:rsidRPr="00C71650">
        <w:rPr>
          <w:rStyle w:val="Emphasis"/>
          <w:rFonts w:ascii="Arial" w:eastAsiaTheme="majorEastAsia" w:hAnsi="Arial" w:cs="Arial"/>
          <w:sz w:val="20"/>
          <w:szCs w:val="20"/>
        </w:rPr>
        <w:t>South Eastern European Journal of Public Health</w:t>
      </w:r>
      <w:r w:rsidRPr="00C71650">
        <w:rPr>
          <w:rFonts w:ascii="Arial" w:hAnsi="Arial" w:cs="Arial"/>
          <w:sz w:val="20"/>
          <w:szCs w:val="20"/>
        </w:rPr>
        <w:t xml:space="preserve">, </w:t>
      </w:r>
      <w:r w:rsidRPr="00C71650">
        <w:rPr>
          <w:rStyle w:val="Emphasis"/>
          <w:rFonts w:ascii="Arial" w:eastAsiaTheme="majorEastAsia" w:hAnsi="Arial" w:cs="Arial"/>
          <w:sz w:val="20"/>
          <w:szCs w:val="20"/>
        </w:rPr>
        <w:t>XXVI</w:t>
      </w:r>
      <w:r w:rsidRPr="00C71650">
        <w:rPr>
          <w:rFonts w:ascii="Arial" w:hAnsi="Arial" w:cs="Arial"/>
          <w:sz w:val="20"/>
          <w:szCs w:val="20"/>
        </w:rPr>
        <w:t>, 66–69. https://doi.org/10.70135/seejph.vi.2274</w:t>
      </w:r>
    </w:p>
    <w:p w14:paraId="7A6912E3" w14:textId="77777777" w:rsidR="00C71650" w:rsidRPr="00C71650" w:rsidRDefault="00C71650" w:rsidP="00C71650">
      <w:pPr>
        <w:pStyle w:val="NormalWeb"/>
        <w:numPr>
          <w:ilvl w:val="0"/>
          <w:numId w:val="39"/>
        </w:numPr>
        <w:jc w:val="both"/>
        <w:rPr>
          <w:rFonts w:ascii="Arial" w:hAnsi="Arial" w:cs="Arial"/>
          <w:sz w:val="20"/>
          <w:szCs w:val="20"/>
        </w:rPr>
      </w:pPr>
      <w:r w:rsidRPr="00C71650">
        <w:rPr>
          <w:rFonts w:ascii="Arial" w:hAnsi="Arial" w:cs="Arial"/>
          <w:sz w:val="20"/>
          <w:szCs w:val="20"/>
        </w:rPr>
        <w:t xml:space="preserve">de Paula, D. P., Lima, J. C., Barros, E. L., &amp; Santos, J. D. O. (2021). Coastal erosion and tourism: the case of the distribution of tourist accommodations and their daily rates. </w:t>
      </w:r>
      <w:r w:rsidRPr="00C71650">
        <w:rPr>
          <w:rStyle w:val="Emphasis"/>
          <w:rFonts w:ascii="Arial" w:eastAsiaTheme="majorEastAsia" w:hAnsi="Arial" w:cs="Arial"/>
          <w:sz w:val="20"/>
          <w:szCs w:val="20"/>
        </w:rPr>
        <w:t>Geography, Environment, Sustainability</w:t>
      </w:r>
      <w:r w:rsidRPr="00C71650">
        <w:rPr>
          <w:rFonts w:ascii="Arial" w:hAnsi="Arial" w:cs="Arial"/>
          <w:sz w:val="20"/>
          <w:szCs w:val="20"/>
        </w:rPr>
        <w:t xml:space="preserve">, </w:t>
      </w:r>
      <w:r w:rsidRPr="00C71650">
        <w:rPr>
          <w:rStyle w:val="Emphasis"/>
          <w:rFonts w:ascii="Arial" w:eastAsiaTheme="majorEastAsia" w:hAnsi="Arial" w:cs="Arial"/>
          <w:sz w:val="20"/>
          <w:szCs w:val="20"/>
        </w:rPr>
        <w:t>14</w:t>
      </w:r>
      <w:r w:rsidRPr="00C71650">
        <w:rPr>
          <w:rFonts w:ascii="Arial" w:hAnsi="Arial" w:cs="Arial"/>
          <w:sz w:val="20"/>
          <w:szCs w:val="20"/>
        </w:rPr>
        <w:t>(3), 110–120.</w:t>
      </w:r>
    </w:p>
    <w:p w14:paraId="2C0675CB" w14:textId="77777777" w:rsidR="00C71650" w:rsidRPr="00C71650" w:rsidRDefault="00C71650" w:rsidP="00C71650">
      <w:pPr>
        <w:pStyle w:val="NormalWeb"/>
        <w:numPr>
          <w:ilvl w:val="0"/>
          <w:numId w:val="39"/>
        </w:numPr>
        <w:jc w:val="both"/>
        <w:rPr>
          <w:rFonts w:ascii="Arial" w:hAnsi="Arial" w:cs="Arial"/>
          <w:sz w:val="20"/>
          <w:szCs w:val="20"/>
        </w:rPr>
      </w:pPr>
      <w:r w:rsidRPr="00C71650">
        <w:rPr>
          <w:rFonts w:ascii="Arial" w:hAnsi="Arial" w:cs="Arial"/>
          <w:sz w:val="20"/>
          <w:szCs w:val="20"/>
        </w:rPr>
        <w:t xml:space="preserve">Drakos, K., &amp; Kutan, A. M. (2001). </w:t>
      </w:r>
      <w:r w:rsidRPr="00C71650">
        <w:rPr>
          <w:rStyle w:val="Emphasis"/>
          <w:rFonts w:ascii="Arial" w:eastAsiaTheme="majorEastAsia" w:hAnsi="Arial" w:cs="Arial"/>
          <w:sz w:val="20"/>
          <w:szCs w:val="20"/>
        </w:rPr>
        <w:t>Regional effects of terrorism on tourism: evidence from three Mediterranean countries</w:t>
      </w:r>
      <w:r w:rsidRPr="00C71650">
        <w:rPr>
          <w:rFonts w:ascii="Arial" w:hAnsi="Arial" w:cs="Arial"/>
          <w:sz w:val="20"/>
          <w:szCs w:val="20"/>
        </w:rPr>
        <w:t xml:space="preserve"> (ZEI Working Paper No. B 26-2001). ZEI working paper.</w:t>
      </w:r>
    </w:p>
    <w:p w14:paraId="0EE1B2CF" w14:textId="77777777" w:rsidR="00C71650" w:rsidRPr="00C71650" w:rsidRDefault="00C71650" w:rsidP="00C71650">
      <w:pPr>
        <w:pStyle w:val="NormalWeb"/>
        <w:numPr>
          <w:ilvl w:val="0"/>
          <w:numId w:val="39"/>
        </w:numPr>
        <w:jc w:val="both"/>
        <w:rPr>
          <w:rFonts w:ascii="Arial" w:hAnsi="Arial" w:cs="Arial"/>
          <w:sz w:val="20"/>
          <w:szCs w:val="20"/>
        </w:rPr>
      </w:pPr>
      <w:r w:rsidRPr="00C71650">
        <w:rPr>
          <w:rFonts w:ascii="Arial" w:hAnsi="Arial" w:cs="Arial"/>
          <w:sz w:val="20"/>
          <w:szCs w:val="20"/>
        </w:rPr>
        <w:t xml:space="preserve">Drakos, K., &amp; Kutan, A. M. (2003). Regional effects of terrorism on tourism in three Mediterranean countries. </w:t>
      </w:r>
      <w:r w:rsidRPr="00C71650">
        <w:rPr>
          <w:rStyle w:val="Emphasis"/>
          <w:rFonts w:ascii="Arial" w:eastAsiaTheme="majorEastAsia" w:hAnsi="Arial" w:cs="Arial"/>
          <w:sz w:val="20"/>
          <w:szCs w:val="20"/>
        </w:rPr>
        <w:t>Journal of Conflict Resolution</w:t>
      </w:r>
      <w:r w:rsidRPr="00C71650">
        <w:rPr>
          <w:rFonts w:ascii="Arial" w:hAnsi="Arial" w:cs="Arial"/>
          <w:sz w:val="20"/>
          <w:szCs w:val="20"/>
        </w:rPr>
        <w:t xml:space="preserve">, </w:t>
      </w:r>
      <w:r w:rsidRPr="00C71650">
        <w:rPr>
          <w:rStyle w:val="Emphasis"/>
          <w:rFonts w:ascii="Arial" w:eastAsiaTheme="majorEastAsia" w:hAnsi="Arial" w:cs="Arial"/>
          <w:sz w:val="20"/>
          <w:szCs w:val="20"/>
        </w:rPr>
        <w:t>47</w:t>
      </w:r>
      <w:r w:rsidRPr="00C71650">
        <w:rPr>
          <w:rFonts w:ascii="Arial" w:hAnsi="Arial" w:cs="Arial"/>
          <w:sz w:val="20"/>
          <w:szCs w:val="20"/>
        </w:rPr>
        <w:t>(5), 621–641.</w:t>
      </w:r>
    </w:p>
    <w:p w14:paraId="03955C4F" w14:textId="77777777" w:rsidR="00C71650" w:rsidRPr="00C71650" w:rsidRDefault="00C71650" w:rsidP="00C71650">
      <w:pPr>
        <w:pStyle w:val="NormalWeb"/>
        <w:numPr>
          <w:ilvl w:val="0"/>
          <w:numId w:val="39"/>
        </w:numPr>
        <w:jc w:val="both"/>
        <w:rPr>
          <w:rFonts w:ascii="Arial" w:hAnsi="Arial" w:cs="Arial"/>
          <w:sz w:val="20"/>
          <w:szCs w:val="20"/>
        </w:rPr>
      </w:pPr>
      <w:r w:rsidRPr="00C71650">
        <w:rPr>
          <w:rFonts w:ascii="Arial" w:hAnsi="Arial" w:cs="Arial"/>
          <w:sz w:val="20"/>
          <w:szCs w:val="20"/>
        </w:rPr>
        <w:t xml:space="preserve">Eugenio-Martin, J. L., Martín Morales, N., &amp; Scarpa, R. (2004). </w:t>
      </w:r>
      <w:r w:rsidRPr="00C71650">
        <w:rPr>
          <w:rStyle w:val="Emphasis"/>
          <w:rFonts w:ascii="Arial" w:eastAsiaTheme="majorEastAsia" w:hAnsi="Arial" w:cs="Arial"/>
          <w:sz w:val="20"/>
          <w:szCs w:val="20"/>
        </w:rPr>
        <w:t>Tourism and economic growth in Latin American countries: A panel data approach</w:t>
      </w:r>
      <w:r w:rsidRPr="00C71650">
        <w:rPr>
          <w:rFonts w:ascii="Arial" w:hAnsi="Arial" w:cs="Arial"/>
          <w:sz w:val="20"/>
          <w:szCs w:val="20"/>
        </w:rPr>
        <w:t>.</w:t>
      </w:r>
    </w:p>
    <w:p w14:paraId="14030384" w14:textId="77777777" w:rsidR="00C71650" w:rsidRPr="00C71650" w:rsidRDefault="00C71650" w:rsidP="00C71650">
      <w:pPr>
        <w:pStyle w:val="NormalWeb"/>
        <w:numPr>
          <w:ilvl w:val="0"/>
          <w:numId w:val="39"/>
        </w:numPr>
        <w:jc w:val="both"/>
        <w:rPr>
          <w:rFonts w:ascii="Arial" w:hAnsi="Arial" w:cs="Arial"/>
          <w:sz w:val="20"/>
          <w:szCs w:val="20"/>
        </w:rPr>
      </w:pPr>
      <w:r w:rsidRPr="00C71650">
        <w:rPr>
          <w:rFonts w:ascii="Arial" w:hAnsi="Arial" w:cs="Arial"/>
          <w:sz w:val="20"/>
          <w:szCs w:val="20"/>
        </w:rPr>
        <w:t xml:space="preserve">Fayissa, B., Nsiah, C., &amp; Tadesse, B. (2009). Tourism and economic growth in Latin American countries (LAC): Further empirical evidence. </w:t>
      </w:r>
      <w:r w:rsidRPr="00C71650">
        <w:rPr>
          <w:rStyle w:val="Emphasis"/>
          <w:rFonts w:ascii="Arial" w:eastAsiaTheme="majorEastAsia" w:hAnsi="Arial" w:cs="Arial"/>
          <w:sz w:val="20"/>
          <w:szCs w:val="20"/>
        </w:rPr>
        <w:t>Department of Economics and Finance Working Paper Series</w:t>
      </w:r>
      <w:r w:rsidRPr="00C71650">
        <w:rPr>
          <w:rFonts w:ascii="Arial" w:hAnsi="Arial" w:cs="Arial"/>
          <w:sz w:val="20"/>
          <w:szCs w:val="20"/>
        </w:rPr>
        <w:t xml:space="preserve">, </w:t>
      </w:r>
      <w:r w:rsidRPr="00C71650">
        <w:rPr>
          <w:rStyle w:val="Emphasis"/>
          <w:rFonts w:ascii="Arial" w:eastAsiaTheme="majorEastAsia" w:hAnsi="Arial" w:cs="Arial"/>
          <w:sz w:val="20"/>
          <w:szCs w:val="20"/>
        </w:rPr>
        <w:t>1</w:t>
      </w:r>
      <w:r w:rsidRPr="00C71650">
        <w:rPr>
          <w:rFonts w:ascii="Arial" w:hAnsi="Arial" w:cs="Arial"/>
          <w:sz w:val="20"/>
          <w:szCs w:val="20"/>
        </w:rPr>
        <w:t>, 26.</w:t>
      </w:r>
    </w:p>
    <w:p w14:paraId="52AA9700" w14:textId="77777777" w:rsidR="00C71650" w:rsidRPr="00C71650" w:rsidRDefault="00C71650" w:rsidP="00C71650">
      <w:pPr>
        <w:pStyle w:val="NormalWeb"/>
        <w:numPr>
          <w:ilvl w:val="0"/>
          <w:numId w:val="39"/>
        </w:numPr>
        <w:jc w:val="both"/>
        <w:rPr>
          <w:rFonts w:ascii="Arial" w:hAnsi="Arial" w:cs="Arial"/>
          <w:sz w:val="20"/>
          <w:szCs w:val="20"/>
        </w:rPr>
      </w:pPr>
      <w:r w:rsidRPr="00C71650">
        <w:rPr>
          <w:rFonts w:ascii="Arial" w:hAnsi="Arial" w:cs="Arial"/>
          <w:sz w:val="20"/>
          <w:szCs w:val="20"/>
        </w:rPr>
        <w:t xml:space="preserve">Kim, H. J., &amp; Chen, M. H. (2006). Tourism expansion and economic development: The case of Taiwan. </w:t>
      </w:r>
      <w:r w:rsidRPr="00C71650">
        <w:rPr>
          <w:rStyle w:val="Emphasis"/>
          <w:rFonts w:ascii="Arial" w:eastAsiaTheme="majorEastAsia" w:hAnsi="Arial" w:cs="Arial"/>
          <w:sz w:val="20"/>
          <w:szCs w:val="20"/>
        </w:rPr>
        <w:t>Tourism Management</w:t>
      </w:r>
      <w:r w:rsidRPr="00C71650">
        <w:rPr>
          <w:rFonts w:ascii="Arial" w:hAnsi="Arial" w:cs="Arial"/>
          <w:sz w:val="20"/>
          <w:szCs w:val="20"/>
        </w:rPr>
        <w:t xml:space="preserve">, </w:t>
      </w:r>
      <w:r w:rsidRPr="00C71650">
        <w:rPr>
          <w:rStyle w:val="Emphasis"/>
          <w:rFonts w:ascii="Arial" w:eastAsiaTheme="majorEastAsia" w:hAnsi="Arial" w:cs="Arial"/>
          <w:sz w:val="20"/>
          <w:szCs w:val="20"/>
        </w:rPr>
        <w:t>27</w:t>
      </w:r>
      <w:r w:rsidRPr="00C71650">
        <w:rPr>
          <w:rFonts w:ascii="Arial" w:hAnsi="Arial" w:cs="Arial"/>
          <w:sz w:val="20"/>
          <w:szCs w:val="20"/>
        </w:rPr>
        <w:t>(5), 925–933.</w:t>
      </w:r>
    </w:p>
    <w:p w14:paraId="756FAFBE" w14:textId="77777777" w:rsidR="00C71650" w:rsidRPr="00C71650" w:rsidRDefault="00C71650" w:rsidP="00C71650">
      <w:pPr>
        <w:pStyle w:val="NormalWeb"/>
        <w:numPr>
          <w:ilvl w:val="0"/>
          <w:numId w:val="39"/>
        </w:numPr>
        <w:jc w:val="both"/>
        <w:rPr>
          <w:rFonts w:ascii="Arial" w:hAnsi="Arial" w:cs="Arial"/>
          <w:sz w:val="20"/>
          <w:szCs w:val="20"/>
        </w:rPr>
      </w:pPr>
      <w:r w:rsidRPr="00C71650">
        <w:rPr>
          <w:rFonts w:ascii="Arial" w:hAnsi="Arial" w:cs="Arial"/>
          <w:sz w:val="20"/>
          <w:szCs w:val="20"/>
        </w:rPr>
        <w:t xml:space="preserve">Mishra, R. K., Raj, H., </w:t>
      </w:r>
      <w:proofErr w:type="spellStart"/>
      <w:r w:rsidRPr="00C71650">
        <w:rPr>
          <w:rFonts w:ascii="Arial" w:hAnsi="Arial" w:cs="Arial"/>
          <w:sz w:val="20"/>
          <w:szCs w:val="20"/>
        </w:rPr>
        <w:t>Urolagin</w:t>
      </w:r>
      <w:proofErr w:type="spellEnd"/>
      <w:r w:rsidRPr="00C71650">
        <w:rPr>
          <w:rFonts w:ascii="Arial" w:hAnsi="Arial" w:cs="Arial"/>
          <w:sz w:val="20"/>
          <w:szCs w:val="20"/>
        </w:rPr>
        <w:t xml:space="preserve">, S., Jothi, J. A. A., &amp; Nawaz, N. (2022). Cluster-based knowledge graph and entity-relation representation on tourism economical sentiments. </w:t>
      </w:r>
      <w:r w:rsidRPr="00C71650">
        <w:rPr>
          <w:rStyle w:val="Emphasis"/>
          <w:rFonts w:ascii="Arial" w:eastAsiaTheme="majorEastAsia" w:hAnsi="Arial" w:cs="Arial"/>
          <w:sz w:val="20"/>
          <w:szCs w:val="20"/>
        </w:rPr>
        <w:t>Applied Sciences</w:t>
      </w:r>
      <w:r w:rsidRPr="00C71650">
        <w:rPr>
          <w:rFonts w:ascii="Arial" w:hAnsi="Arial" w:cs="Arial"/>
          <w:sz w:val="20"/>
          <w:szCs w:val="20"/>
        </w:rPr>
        <w:t xml:space="preserve">, </w:t>
      </w:r>
      <w:r w:rsidRPr="00C71650">
        <w:rPr>
          <w:rStyle w:val="Emphasis"/>
          <w:rFonts w:ascii="Arial" w:eastAsiaTheme="majorEastAsia" w:hAnsi="Arial" w:cs="Arial"/>
          <w:sz w:val="20"/>
          <w:szCs w:val="20"/>
        </w:rPr>
        <w:t>12</w:t>
      </w:r>
      <w:r w:rsidRPr="00C71650">
        <w:rPr>
          <w:rFonts w:ascii="Arial" w:hAnsi="Arial" w:cs="Arial"/>
          <w:sz w:val="20"/>
          <w:szCs w:val="20"/>
        </w:rPr>
        <w:t>(16), 8105.</w:t>
      </w:r>
    </w:p>
    <w:p w14:paraId="58B5F692" w14:textId="77777777" w:rsidR="00C71650" w:rsidRPr="00C71650" w:rsidRDefault="00C71650" w:rsidP="00C71650">
      <w:pPr>
        <w:pStyle w:val="NormalWeb"/>
        <w:numPr>
          <w:ilvl w:val="0"/>
          <w:numId w:val="39"/>
        </w:numPr>
        <w:jc w:val="both"/>
        <w:rPr>
          <w:rFonts w:ascii="Arial" w:hAnsi="Arial" w:cs="Arial"/>
          <w:sz w:val="20"/>
          <w:szCs w:val="20"/>
        </w:rPr>
      </w:pPr>
      <w:r w:rsidRPr="00C71650">
        <w:rPr>
          <w:rFonts w:ascii="Arial" w:hAnsi="Arial" w:cs="Arial"/>
          <w:sz w:val="20"/>
          <w:szCs w:val="20"/>
        </w:rPr>
        <w:t xml:space="preserve">Netto, N. (2004). Tourism development in Kerala. In </w:t>
      </w:r>
      <w:r w:rsidRPr="00C71650">
        <w:rPr>
          <w:rStyle w:val="Emphasis"/>
          <w:rFonts w:ascii="Arial" w:eastAsiaTheme="majorEastAsia" w:hAnsi="Arial" w:cs="Arial"/>
          <w:sz w:val="20"/>
          <w:szCs w:val="20"/>
        </w:rPr>
        <w:t>Kerala's economic development: Performance and problems in the post-liberalization period</w:t>
      </w:r>
      <w:r w:rsidRPr="00C71650">
        <w:rPr>
          <w:rFonts w:ascii="Arial" w:hAnsi="Arial" w:cs="Arial"/>
          <w:sz w:val="20"/>
          <w:szCs w:val="20"/>
        </w:rPr>
        <w:t xml:space="preserve"> (Vol. 2, pp. 269–292).</w:t>
      </w:r>
    </w:p>
    <w:p w14:paraId="57C12444" w14:textId="77777777" w:rsidR="00C71650" w:rsidRPr="00C71650" w:rsidRDefault="00C71650" w:rsidP="00C71650">
      <w:pPr>
        <w:pStyle w:val="NormalWeb"/>
        <w:numPr>
          <w:ilvl w:val="0"/>
          <w:numId w:val="39"/>
        </w:numPr>
        <w:jc w:val="both"/>
        <w:rPr>
          <w:rFonts w:ascii="Arial" w:hAnsi="Arial" w:cs="Arial"/>
          <w:sz w:val="20"/>
          <w:szCs w:val="20"/>
        </w:rPr>
      </w:pPr>
      <w:proofErr w:type="spellStart"/>
      <w:r w:rsidRPr="00C71650">
        <w:rPr>
          <w:rFonts w:ascii="Arial" w:hAnsi="Arial" w:cs="Arial"/>
          <w:sz w:val="20"/>
          <w:szCs w:val="20"/>
        </w:rPr>
        <w:t>Nugraha</w:t>
      </w:r>
      <w:proofErr w:type="spellEnd"/>
      <w:r w:rsidRPr="00C71650">
        <w:rPr>
          <w:rFonts w:ascii="Arial" w:hAnsi="Arial" w:cs="Arial"/>
          <w:sz w:val="20"/>
          <w:szCs w:val="20"/>
        </w:rPr>
        <w:t xml:space="preserve">, I. G. P., Antara, I. M., </w:t>
      </w:r>
      <w:proofErr w:type="spellStart"/>
      <w:r w:rsidRPr="00C71650">
        <w:rPr>
          <w:rFonts w:ascii="Arial" w:hAnsi="Arial" w:cs="Arial"/>
          <w:sz w:val="20"/>
          <w:szCs w:val="20"/>
        </w:rPr>
        <w:t>Budiarsa</w:t>
      </w:r>
      <w:proofErr w:type="spellEnd"/>
      <w:r w:rsidRPr="00C71650">
        <w:rPr>
          <w:rFonts w:ascii="Arial" w:hAnsi="Arial" w:cs="Arial"/>
          <w:sz w:val="20"/>
          <w:szCs w:val="20"/>
        </w:rPr>
        <w:t xml:space="preserve">, M., &amp; </w:t>
      </w:r>
      <w:proofErr w:type="spellStart"/>
      <w:r w:rsidRPr="00C71650">
        <w:rPr>
          <w:rFonts w:ascii="Arial" w:hAnsi="Arial" w:cs="Arial"/>
          <w:sz w:val="20"/>
          <w:szCs w:val="20"/>
        </w:rPr>
        <w:t>Paturusi</w:t>
      </w:r>
      <w:proofErr w:type="spellEnd"/>
      <w:r w:rsidRPr="00C71650">
        <w:rPr>
          <w:rFonts w:ascii="Arial" w:hAnsi="Arial" w:cs="Arial"/>
          <w:sz w:val="20"/>
          <w:szCs w:val="20"/>
        </w:rPr>
        <w:t xml:space="preserve">, S. A. (2021). The Role of Social Capital in </w:t>
      </w:r>
      <w:proofErr w:type="spellStart"/>
      <w:r w:rsidRPr="00C71650">
        <w:rPr>
          <w:rFonts w:ascii="Arial" w:hAnsi="Arial" w:cs="Arial"/>
          <w:sz w:val="20"/>
          <w:szCs w:val="20"/>
        </w:rPr>
        <w:t>Serangan</w:t>
      </w:r>
      <w:proofErr w:type="spellEnd"/>
      <w:r w:rsidRPr="00C71650">
        <w:rPr>
          <w:rFonts w:ascii="Arial" w:hAnsi="Arial" w:cs="Arial"/>
          <w:sz w:val="20"/>
          <w:szCs w:val="20"/>
        </w:rPr>
        <w:t xml:space="preserve"> Sub-District, Denpasar-Bali. </w:t>
      </w:r>
      <w:r w:rsidRPr="00C71650">
        <w:rPr>
          <w:rStyle w:val="Emphasis"/>
          <w:rFonts w:ascii="Arial" w:eastAsiaTheme="majorEastAsia" w:hAnsi="Arial" w:cs="Arial"/>
          <w:sz w:val="20"/>
          <w:szCs w:val="20"/>
        </w:rPr>
        <w:t>EJ Tour</w:t>
      </w:r>
      <w:r w:rsidRPr="00C71650">
        <w:rPr>
          <w:rFonts w:ascii="Arial" w:hAnsi="Arial" w:cs="Arial"/>
          <w:sz w:val="20"/>
          <w:szCs w:val="20"/>
        </w:rPr>
        <w:t>.</w:t>
      </w:r>
    </w:p>
    <w:p w14:paraId="27992DC1" w14:textId="77777777" w:rsidR="00C71650" w:rsidRPr="00C71650" w:rsidRDefault="00C71650" w:rsidP="00C71650">
      <w:pPr>
        <w:pStyle w:val="NormalWeb"/>
        <w:numPr>
          <w:ilvl w:val="0"/>
          <w:numId w:val="39"/>
        </w:numPr>
        <w:jc w:val="both"/>
        <w:rPr>
          <w:rFonts w:ascii="Arial" w:hAnsi="Arial" w:cs="Arial"/>
          <w:sz w:val="20"/>
          <w:szCs w:val="20"/>
        </w:rPr>
      </w:pPr>
      <w:r w:rsidRPr="00C71650">
        <w:rPr>
          <w:rFonts w:ascii="Arial" w:hAnsi="Arial" w:cs="Arial"/>
          <w:sz w:val="20"/>
          <w:szCs w:val="20"/>
        </w:rPr>
        <w:t xml:space="preserve">Praveen, A. (2024). International tourism and economic growth: Empirical evidence from Kerala. </w:t>
      </w:r>
      <w:r w:rsidRPr="00C71650">
        <w:rPr>
          <w:rStyle w:val="Emphasis"/>
          <w:rFonts w:ascii="Arial" w:eastAsiaTheme="majorEastAsia" w:hAnsi="Arial" w:cs="Arial"/>
          <w:sz w:val="20"/>
          <w:szCs w:val="20"/>
        </w:rPr>
        <w:t>International Journal of Tourism Research</w:t>
      </w:r>
      <w:r w:rsidRPr="00C71650">
        <w:rPr>
          <w:rFonts w:ascii="Arial" w:hAnsi="Arial" w:cs="Arial"/>
          <w:sz w:val="20"/>
          <w:szCs w:val="20"/>
        </w:rPr>
        <w:t xml:space="preserve">, </w:t>
      </w:r>
      <w:r w:rsidRPr="00C71650">
        <w:rPr>
          <w:rStyle w:val="Emphasis"/>
          <w:rFonts w:ascii="Arial" w:eastAsiaTheme="majorEastAsia" w:hAnsi="Arial" w:cs="Arial"/>
          <w:sz w:val="20"/>
          <w:szCs w:val="20"/>
        </w:rPr>
        <w:t>26</w:t>
      </w:r>
      <w:r w:rsidRPr="00C71650">
        <w:rPr>
          <w:rFonts w:ascii="Arial" w:hAnsi="Arial" w:cs="Arial"/>
          <w:sz w:val="20"/>
          <w:szCs w:val="20"/>
        </w:rPr>
        <w:t>(3), e2647.</w:t>
      </w:r>
    </w:p>
    <w:p w14:paraId="623D1E5C" w14:textId="5EDF375A" w:rsidR="00B01FCD" w:rsidRPr="00C71650" w:rsidRDefault="00C71650" w:rsidP="00C71650">
      <w:pPr>
        <w:pStyle w:val="NormalWeb"/>
        <w:numPr>
          <w:ilvl w:val="0"/>
          <w:numId w:val="39"/>
        </w:numPr>
        <w:jc w:val="both"/>
        <w:rPr>
          <w:rFonts w:ascii="Arial" w:hAnsi="Arial" w:cs="Arial"/>
          <w:sz w:val="20"/>
          <w:szCs w:val="20"/>
        </w:rPr>
      </w:pPr>
      <w:proofErr w:type="spellStart"/>
      <w:r w:rsidRPr="00C71650">
        <w:rPr>
          <w:rFonts w:ascii="Arial" w:hAnsi="Arial" w:cs="Arial"/>
          <w:sz w:val="20"/>
          <w:szCs w:val="20"/>
        </w:rPr>
        <w:lastRenderedPageBreak/>
        <w:t>Thommandru</w:t>
      </w:r>
      <w:proofErr w:type="spellEnd"/>
      <w:r w:rsidRPr="00C71650">
        <w:rPr>
          <w:rFonts w:ascii="Arial" w:hAnsi="Arial" w:cs="Arial"/>
          <w:sz w:val="20"/>
          <w:szCs w:val="20"/>
        </w:rPr>
        <w:t>, A., Espinoza-</w:t>
      </w:r>
      <w:proofErr w:type="spellStart"/>
      <w:r w:rsidRPr="00C71650">
        <w:rPr>
          <w:rFonts w:ascii="Arial" w:hAnsi="Arial" w:cs="Arial"/>
          <w:sz w:val="20"/>
          <w:szCs w:val="20"/>
        </w:rPr>
        <w:t>Maguiña</w:t>
      </w:r>
      <w:proofErr w:type="spellEnd"/>
      <w:r w:rsidRPr="00C71650">
        <w:rPr>
          <w:rFonts w:ascii="Arial" w:hAnsi="Arial" w:cs="Arial"/>
          <w:sz w:val="20"/>
          <w:szCs w:val="20"/>
        </w:rPr>
        <w:t xml:space="preserve">, M., Ramirez-Asis, E., Ray, S., Naved, M., &amp; Guzman-Avalos, M. (2023). Role of tourism and hospitality business in economic development. </w:t>
      </w:r>
      <w:r w:rsidRPr="00C71650">
        <w:rPr>
          <w:rStyle w:val="Emphasis"/>
          <w:rFonts w:ascii="Arial" w:eastAsiaTheme="majorEastAsia" w:hAnsi="Arial" w:cs="Arial"/>
          <w:sz w:val="20"/>
          <w:szCs w:val="20"/>
        </w:rPr>
        <w:t>Materials Today: Proceedings</w:t>
      </w:r>
      <w:r w:rsidRPr="00C71650">
        <w:rPr>
          <w:rFonts w:ascii="Arial" w:hAnsi="Arial" w:cs="Arial"/>
          <w:sz w:val="20"/>
          <w:szCs w:val="20"/>
        </w:rPr>
        <w:t xml:space="preserve">, </w:t>
      </w:r>
      <w:r w:rsidRPr="00C71650">
        <w:rPr>
          <w:rStyle w:val="Emphasis"/>
          <w:rFonts w:ascii="Arial" w:eastAsiaTheme="majorEastAsia" w:hAnsi="Arial" w:cs="Arial"/>
          <w:sz w:val="20"/>
          <w:szCs w:val="20"/>
        </w:rPr>
        <w:t>80</w:t>
      </w:r>
      <w:r w:rsidRPr="00C71650">
        <w:rPr>
          <w:rFonts w:ascii="Arial" w:hAnsi="Arial" w:cs="Arial"/>
          <w:sz w:val="20"/>
          <w:szCs w:val="20"/>
        </w:rPr>
        <w:t>, 2901–2904.</w:t>
      </w:r>
    </w:p>
    <w:sectPr w:rsidR="00B01FCD" w:rsidRPr="00C71650" w:rsidSect="001C592F">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041542" w14:textId="77777777" w:rsidR="00B372A2" w:rsidRDefault="00B372A2" w:rsidP="00C37E61">
      <w:r>
        <w:separator/>
      </w:r>
    </w:p>
  </w:endnote>
  <w:endnote w:type="continuationSeparator" w:id="0">
    <w:p w14:paraId="418780BC" w14:textId="77777777" w:rsidR="00B372A2" w:rsidRDefault="00B372A2"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EFC964" w14:textId="77777777" w:rsidR="00F5735B" w:rsidRDefault="00F573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05EECC" w14:textId="77777777" w:rsidR="00C37E61" w:rsidRPr="00C37E61" w:rsidRDefault="00C37E61" w:rsidP="00C37E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D16054" w14:textId="77777777" w:rsidR="00F5735B" w:rsidRDefault="00F573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209AA6" w14:textId="77777777" w:rsidR="00B372A2" w:rsidRDefault="00B372A2" w:rsidP="00C37E61">
      <w:r>
        <w:separator/>
      </w:r>
    </w:p>
  </w:footnote>
  <w:footnote w:type="continuationSeparator" w:id="0">
    <w:p w14:paraId="50C01D66" w14:textId="77777777" w:rsidR="00B372A2" w:rsidRDefault="00B372A2"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5D18C7" w14:textId="66FB686D" w:rsidR="00F5735B" w:rsidRDefault="00F5735B">
    <w:pPr>
      <w:pStyle w:val="Header"/>
    </w:pPr>
    <w:r>
      <w:rPr>
        <w:noProof/>
      </w:rPr>
      <w:pict w14:anchorId="4AFD00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1017126"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11F9AE" w14:textId="3CDFEA37" w:rsidR="00F5735B" w:rsidRDefault="00F5735B">
    <w:pPr>
      <w:pStyle w:val="Header"/>
    </w:pPr>
    <w:r>
      <w:rPr>
        <w:noProof/>
      </w:rPr>
      <w:pict w14:anchorId="5D6313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1017127"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C5E4FA" w14:textId="7E18793E" w:rsidR="00F5735B" w:rsidRDefault="00F5735B">
    <w:pPr>
      <w:pStyle w:val="Header"/>
    </w:pPr>
    <w:r>
      <w:rPr>
        <w:noProof/>
      </w:rPr>
      <w:pict w14:anchorId="5D8CD0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1017125" o:spid="_x0000_s2049" type="#_x0000_t136" style="position:absolute;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54A7728"/>
    <w:multiLevelType w:val="multilevel"/>
    <w:tmpl w:val="14AC905A"/>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4D41BA0"/>
    <w:multiLevelType w:val="hybridMultilevel"/>
    <w:tmpl w:val="7466017A"/>
    <w:lvl w:ilvl="0" w:tplc="00D8D434">
      <w:start w:val="1"/>
      <w:numFmt w:val="decimal"/>
      <w:lvlText w:val="%1."/>
      <w:lvlJc w:val="left"/>
      <w:pPr>
        <w:ind w:left="720" w:hanging="360"/>
      </w:pPr>
      <w:rPr>
        <w:rFonts w:hint="default"/>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34E44874"/>
    <w:multiLevelType w:val="multilevel"/>
    <w:tmpl w:val="D34EF3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A742FF5"/>
    <w:multiLevelType w:val="multilevel"/>
    <w:tmpl w:val="2CAAF8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C344641"/>
    <w:multiLevelType w:val="multilevel"/>
    <w:tmpl w:val="03F075B0"/>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1"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63AF6CF5"/>
    <w:multiLevelType w:val="multilevel"/>
    <w:tmpl w:val="8E282A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6C780956"/>
    <w:multiLevelType w:val="hybridMultilevel"/>
    <w:tmpl w:val="9500A40E"/>
    <w:lvl w:ilvl="0" w:tplc="4009000F">
      <w:start w:val="1"/>
      <w:numFmt w:val="decimal"/>
      <w:lvlText w:val="%1."/>
      <w:lvlJc w:val="left"/>
      <w:pPr>
        <w:ind w:left="900" w:hanging="360"/>
      </w:pPr>
    </w:lvl>
    <w:lvl w:ilvl="1" w:tplc="40090019" w:tentative="1">
      <w:start w:val="1"/>
      <w:numFmt w:val="lowerLetter"/>
      <w:lvlText w:val="%2."/>
      <w:lvlJc w:val="left"/>
      <w:pPr>
        <w:ind w:left="1620" w:hanging="360"/>
      </w:pPr>
    </w:lvl>
    <w:lvl w:ilvl="2" w:tplc="4009001B" w:tentative="1">
      <w:start w:val="1"/>
      <w:numFmt w:val="lowerRoman"/>
      <w:lvlText w:val="%3."/>
      <w:lvlJc w:val="right"/>
      <w:pPr>
        <w:ind w:left="2340" w:hanging="180"/>
      </w:pPr>
    </w:lvl>
    <w:lvl w:ilvl="3" w:tplc="4009000F" w:tentative="1">
      <w:start w:val="1"/>
      <w:numFmt w:val="decimal"/>
      <w:lvlText w:val="%4."/>
      <w:lvlJc w:val="left"/>
      <w:pPr>
        <w:ind w:left="3060" w:hanging="360"/>
      </w:pPr>
    </w:lvl>
    <w:lvl w:ilvl="4" w:tplc="40090019" w:tentative="1">
      <w:start w:val="1"/>
      <w:numFmt w:val="lowerLetter"/>
      <w:lvlText w:val="%5."/>
      <w:lvlJc w:val="left"/>
      <w:pPr>
        <w:ind w:left="3780" w:hanging="360"/>
      </w:pPr>
    </w:lvl>
    <w:lvl w:ilvl="5" w:tplc="4009001B" w:tentative="1">
      <w:start w:val="1"/>
      <w:numFmt w:val="lowerRoman"/>
      <w:lvlText w:val="%6."/>
      <w:lvlJc w:val="right"/>
      <w:pPr>
        <w:ind w:left="4500" w:hanging="180"/>
      </w:pPr>
    </w:lvl>
    <w:lvl w:ilvl="6" w:tplc="4009000F" w:tentative="1">
      <w:start w:val="1"/>
      <w:numFmt w:val="decimal"/>
      <w:lvlText w:val="%7."/>
      <w:lvlJc w:val="left"/>
      <w:pPr>
        <w:ind w:left="5220" w:hanging="360"/>
      </w:pPr>
    </w:lvl>
    <w:lvl w:ilvl="7" w:tplc="40090019" w:tentative="1">
      <w:start w:val="1"/>
      <w:numFmt w:val="lowerLetter"/>
      <w:lvlText w:val="%8."/>
      <w:lvlJc w:val="left"/>
      <w:pPr>
        <w:ind w:left="5940" w:hanging="360"/>
      </w:pPr>
    </w:lvl>
    <w:lvl w:ilvl="8" w:tplc="4009001B" w:tentative="1">
      <w:start w:val="1"/>
      <w:numFmt w:val="lowerRoman"/>
      <w:lvlText w:val="%9."/>
      <w:lvlJc w:val="right"/>
      <w:pPr>
        <w:ind w:left="6660" w:hanging="180"/>
      </w:pPr>
    </w:lvl>
  </w:abstractNum>
  <w:abstractNum w:abstractNumId="26"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7"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9" w15:restartNumberingAfterBreak="0">
    <w:nsid w:val="740943C4"/>
    <w:multiLevelType w:val="multilevel"/>
    <w:tmpl w:val="D26AB082"/>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1"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2" w15:restartNumberingAfterBreak="0">
    <w:nsid w:val="754526B2"/>
    <w:multiLevelType w:val="multilevel"/>
    <w:tmpl w:val="7DD034B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75B04149"/>
    <w:multiLevelType w:val="multilevel"/>
    <w:tmpl w:val="8B385E7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20"/>
  </w:num>
  <w:num w:numId="3">
    <w:abstractNumId w:val="31"/>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6"/>
  </w:num>
  <w:num w:numId="7">
    <w:abstractNumId w:val="1"/>
  </w:num>
  <w:num w:numId="8">
    <w:abstractNumId w:val="14"/>
  </w:num>
  <w:num w:numId="9">
    <w:abstractNumId w:val="35"/>
  </w:num>
  <w:num w:numId="10">
    <w:abstractNumId w:val="2"/>
  </w:num>
  <w:num w:numId="11">
    <w:abstractNumId w:val="24"/>
  </w:num>
  <w:num w:numId="12">
    <w:abstractNumId w:val="3"/>
  </w:num>
  <w:num w:numId="13">
    <w:abstractNumId w:val="22"/>
  </w:num>
  <w:num w:numId="14">
    <w:abstractNumId w:val="9"/>
  </w:num>
  <w:num w:numId="15">
    <w:abstractNumId w:val="28"/>
  </w:num>
  <w:num w:numId="16">
    <w:abstractNumId w:val="5"/>
  </w:num>
  <w:num w:numId="17">
    <w:abstractNumId w:val="30"/>
  </w:num>
  <w:num w:numId="18">
    <w:abstractNumId w:val="16"/>
  </w:num>
  <w:num w:numId="19">
    <w:abstractNumId w:val="38"/>
  </w:num>
  <w:num w:numId="20">
    <w:abstractNumId w:val="13"/>
  </w:num>
  <w:num w:numId="21">
    <w:abstractNumId w:val="10"/>
  </w:num>
  <w:num w:numId="22">
    <w:abstractNumId w:val="15"/>
  </w:num>
  <w:num w:numId="23">
    <w:abstractNumId w:val="26"/>
  </w:num>
  <w:num w:numId="24">
    <w:abstractNumId w:val="36"/>
  </w:num>
  <w:num w:numId="25">
    <w:abstractNumId w:val="4"/>
  </w:num>
  <w:num w:numId="26">
    <w:abstractNumId w:val="21"/>
  </w:num>
  <w:num w:numId="27">
    <w:abstractNumId w:val="27"/>
  </w:num>
  <w:num w:numId="28">
    <w:abstractNumId w:val="37"/>
  </w:num>
  <w:num w:numId="29">
    <w:abstractNumId w:val="34"/>
  </w:num>
  <w:num w:numId="30">
    <w:abstractNumId w:val="11"/>
  </w:num>
  <w:num w:numId="31">
    <w:abstractNumId w:val="23"/>
  </w:num>
  <w:num w:numId="32">
    <w:abstractNumId w:val="32"/>
  </w:num>
  <w:num w:numId="33">
    <w:abstractNumId w:val="19"/>
  </w:num>
  <w:num w:numId="34">
    <w:abstractNumId w:val="33"/>
  </w:num>
  <w:num w:numId="35">
    <w:abstractNumId w:val="7"/>
  </w:num>
  <w:num w:numId="36">
    <w:abstractNumId w:val="25"/>
  </w:num>
  <w:num w:numId="37">
    <w:abstractNumId w:val="29"/>
  </w:num>
  <w:num w:numId="38">
    <w:abstractNumId w:val="18"/>
  </w:num>
  <w:num w:numId="39">
    <w:abstractNumId w:val="17"/>
  </w:num>
  <w:num w:numId="4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MDMyN7QwNTW1NDI1MDNV0lEKTi0uzszPAykwrAUA9rogRCwAAAA="/>
  </w:docVars>
  <w:rsids>
    <w:rsidRoot w:val="00AA6219"/>
    <w:rsid w:val="00000F8F"/>
    <w:rsid w:val="00030174"/>
    <w:rsid w:val="0004579C"/>
    <w:rsid w:val="000A47FA"/>
    <w:rsid w:val="000A4E4E"/>
    <w:rsid w:val="000A65D3"/>
    <w:rsid w:val="000B1E33"/>
    <w:rsid w:val="000D689F"/>
    <w:rsid w:val="000E7B7B"/>
    <w:rsid w:val="000E7D62"/>
    <w:rsid w:val="00103357"/>
    <w:rsid w:val="00123C9F"/>
    <w:rsid w:val="00126190"/>
    <w:rsid w:val="00130F17"/>
    <w:rsid w:val="001320BF"/>
    <w:rsid w:val="00163BC4"/>
    <w:rsid w:val="00191062"/>
    <w:rsid w:val="00192B72"/>
    <w:rsid w:val="001A29D8"/>
    <w:rsid w:val="001A5CAA"/>
    <w:rsid w:val="001B0427"/>
    <w:rsid w:val="001C592F"/>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E0D56"/>
    <w:rsid w:val="00315186"/>
    <w:rsid w:val="0033343E"/>
    <w:rsid w:val="003512C2"/>
    <w:rsid w:val="00371FB6"/>
    <w:rsid w:val="003763C1"/>
    <w:rsid w:val="00376BBE"/>
    <w:rsid w:val="0039224F"/>
    <w:rsid w:val="003A43A4"/>
    <w:rsid w:val="003A7E18"/>
    <w:rsid w:val="003C2FAB"/>
    <w:rsid w:val="003C4C86"/>
    <w:rsid w:val="003C6258"/>
    <w:rsid w:val="003E2904"/>
    <w:rsid w:val="00401927"/>
    <w:rsid w:val="0041027F"/>
    <w:rsid w:val="0041047B"/>
    <w:rsid w:val="00412475"/>
    <w:rsid w:val="00423789"/>
    <w:rsid w:val="00440F43"/>
    <w:rsid w:val="00441B6F"/>
    <w:rsid w:val="00446221"/>
    <w:rsid w:val="00450E62"/>
    <w:rsid w:val="004539DB"/>
    <w:rsid w:val="00471A80"/>
    <w:rsid w:val="004B7F39"/>
    <w:rsid w:val="004D305E"/>
    <w:rsid w:val="004D4277"/>
    <w:rsid w:val="004F27B4"/>
    <w:rsid w:val="00502516"/>
    <w:rsid w:val="00505F06"/>
    <w:rsid w:val="00506828"/>
    <w:rsid w:val="0053056E"/>
    <w:rsid w:val="00554FDA"/>
    <w:rsid w:val="005C784C"/>
    <w:rsid w:val="005D17F6"/>
    <w:rsid w:val="005E5539"/>
    <w:rsid w:val="005E58A5"/>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369E6"/>
    <w:rsid w:val="00746E59"/>
    <w:rsid w:val="00754C9A"/>
    <w:rsid w:val="0075599A"/>
    <w:rsid w:val="00755E45"/>
    <w:rsid w:val="00761D52"/>
    <w:rsid w:val="0077749E"/>
    <w:rsid w:val="00785439"/>
    <w:rsid w:val="00790ADA"/>
    <w:rsid w:val="007D2288"/>
    <w:rsid w:val="007E088F"/>
    <w:rsid w:val="007F7B32"/>
    <w:rsid w:val="00804BC2"/>
    <w:rsid w:val="0081431A"/>
    <w:rsid w:val="0083216F"/>
    <w:rsid w:val="00860000"/>
    <w:rsid w:val="00863BD3"/>
    <w:rsid w:val="008641ED"/>
    <w:rsid w:val="00866D66"/>
    <w:rsid w:val="008671C6"/>
    <w:rsid w:val="00875803"/>
    <w:rsid w:val="0089338A"/>
    <w:rsid w:val="008B459E"/>
    <w:rsid w:val="008E13AE"/>
    <w:rsid w:val="008E1506"/>
    <w:rsid w:val="008E1758"/>
    <w:rsid w:val="008E710C"/>
    <w:rsid w:val="008F69D6"/>
    <w:rsid w:val="00902823"/>
    <w:rsid w:val="00915CA6"/>
    <w:rsid w:val="00920C55"/>
    <w:rsid w:val="00927834"/>
    <w:rsid w:val="009500A6"/>
    <w:rsid w:val="00957C18"/>
    <w:rsid w:val="009659BA"/>
    <w:rsid w:val="00983040"/>
    <w:rsid w:val="009B3FB9"/>
    <w:rsid w:val="009C2465"/>
    <w:rsid w:val="009D35A0"/>
    <w:rsid w:val="009D7EB7"/>
    <w:rsid w:val="009E048A"/>
    <w:rsid w:val="009E08E9"/>
    <w:rsid w:val="009E3DB9"/>
    <w:rsid w:val="009E6E35"/>
    <w:rsid w:val="009F0EDA"/>
    <w:rsid w:val="009F59BC"/>
    <w:rsid w:val="00A03B96"/>
    <w:rsid w:val="00A05B19"/>
    <w:rsid w:val="00A1134E"/>
    <w:rsid w:val="00A24E7E"/>
    <w:rsid w:val="00A258C3"/>
    <w:rsid w:val="00A347C0"/>
    <w:rsid w:val="00A51431"/>
    <w:rsid w:val="00A539AD"/>
    <w:rsid w:val="00A94063"/>
    <w:rsid w:val="00AA6219"/>
    <w:rsid w:val="00AA74E0"/>
    <w:rsid w:val="00AB703F"/>
    <w:rsid w:val="00AC6BB8"/>
    <w:rsid w:val="00AE008F"/>
    <w:rsid w:val="00B01FCD"/>
    <w:rsid w:val="00B1776C"/>
    <w:rsid w:val="00B372A2"/>
    <w:rsid w:val="00B52583"/>
    <w:rsid w:val="00B52896"/>
    <w:rsid w:val="00B544C5"/>
    <w:rsid w:val="00B95236"/>
    <w:rsid w:val="00B96BD9"/>
    <w:rsid w:val="00BA1B01"/>
    <w:rsid w:val="00BA2641"/>
    <w:rsid w:val="00BA298F"/>
    <w:rsid w:val="00BB37AA"/>
    <w:rsid w:val="00BC53A0"/>
    <w:rsid w:val="00BE36B1"/>
    <w:rsid w:val="00BE62AD"/>
    <w:rsid w:val="00BF121F"/>
    <w:rsid w:val="00BF1F80"/>
    <w:rsid w:val="00C071A9"/>
    <w:rsid w:val="00C166EF"/>
    <w:rsid w:val="00C17EB0"/>
    <w:rsid w:val="00C27F5F"/>
    <w:rsid w:val="00C30A0F"/>
    <w:rsid w:val="00C37E61"/>
    <w:rsid w:val="00C415BB"/>
    <w:rsid w:val="00C50861"/>
    <w:rsid w:val="00C70F1B"/>
    <w:rsid w:val="00C71650"/>
    <w:rsid w:val="00C71A47"/>
    <w:rsid w:val="00C7464C"/>
    <w:rsid w:val="00C85588"/>
    <w:rsid w:val="00CD6755"/>
    <w:rsid w:val="00CD6856"/>
    <w:rsid w:val="00CE0089"/>
    <w:rsid w:val="00CE793C"/>
    <w:rsid w:val="00CE793F"/>
    <w:rsid w:val="00CF193C"/>
    <w:rsid w:val="00D0790F"/>
    <w:rsid w:val="00D173F1"/>
    <w:rsid w:val="00D74CB0"/>
    <w:rsid w:val="00D8295D"/>
    <w:rsid w:val="00DA12D8"/>
    <w:rsid w:val="00DC2A65"/>
    <w:rsid w:val="00DE15F0"/>
    <w:rsid w:val="00DE5663"/>
    <w:rsid w:val="00DE78AA"/>
    <w:rsid w:val="00E053D0"/>
    <w:rsid w:val="00E11380"/>
    <w:rsid w:val="00E15994"/>
    <w:rsid w:val="00E3114E"/>
    <w:rsid w:val="00E31A70"/>
    <w:rsid w:val="00E35B02"/>
    <w:rsid w:val="00E66496"/>
    <w:rsid w:val="00E66B35"/>
    <w:rsid w:val="00E66E10"/>
    <w:rsid w:val="00E769F6"/>
    <w:rsid w:val="00E819A4"/>
    <w:rsid w:val="00E8407C"/>
    <w:rsid w:val="00E84F3C"/>
    <w:rsid w:val="00EA012C"/>
    <w:rsid w:val="00EC6A55"/>
    <w:rsid w:val="00ED0288"/>
    <w:rsid w:val="00EE52CB"/>
    <w:rsid w:val="00EF581D"/>
    <w:rsid w:val="00EF7FD8"/>
    <w:rsid w:val="00F01DDA"/>
    <w:rsid w:val="00F06F59"/>
    <w:rsid w:val="00F17988"/>
    <w:rsid w:val="00F469F0"/>
    <w:rsid w:val="00F47566"/>
    <w:rsid w:val="00F53273"/>
    <w:rsid w:val="00F5735B"/>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386E9D7"/>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uiPriority w:val="99"/>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FooterChar">
    <w:name w:val="Footer Char"/>
    <w:basedOn w:val="DefaultParagraphFont"/>
    <w:link w:val="Footer"/>
    <w:uiPriority w:val="99"/>
    <w:rsid w:val="00755E45"/>
    <w:rPr>
      <w:rFonts w:ascii="Helvetica" w:hAnsi="Helvetica"/>
    </w:rPr>
  </w:style>
  <w:style w:type="paragraph" w:styleId="ListParagraph">
    <w:name w:val="List Paragraph"/>
    <w:basedOn w:val="Normal"/>
    <w:uiPriority w:val="34"/>
    <w:qFormat/>
    <w:rsid w:val="00BA298F"/>
    <w:pPr>
      <w:spacing w:after="160" w:line="278" w:lineRule="auto"/>
      <w:ind w:left="720"/>
      <w:contextualSpacing/>
    </w:pPr>
    <w:rPr>
      <w:rFonts w:asciiTheme="minorHAnsi" w:eastAsiaTheme="minorHAnsi" w:hAnsiTheme="minorHAnsi" w:cstheme="minorBidi"/>
      <w:kern w:val="2"/>
      <w:sz w:val="24"/>
      <w:szCs w:val="24"/>
    </w:rPr>
  </w:style>
  <w:style w:type="character" w:styleId="Strong">
    <w:name w:val="Strong"/>
    <w:basedOn w:val="DefaultParagraphFont"/>
    <w:uiPriority w:val="22"/>
    <w:qFormat/>
    <w:rsid w:val="00C71650"/>
    <w:rPr>
      <w:b/>
      <w:bCs/>
    </w:rPr>
  </w:style>
  <w:style w:type="paragraph" w:styleId="NormalWeb">
    <w:name w:val="Normal (Web)"/>
    <w:basedOn w:val="Normal"/>
    <w:uiPriority w:val="99"/>
    <w:unhideWhenUsed/>
    <w:rsid w:val="00C71650"/>
    <w:pPr>
      <w:spacing w:before="100" w:beforeAutospacing="1" w:after="100" w:afterAutospacing="1"/>
    </w:pPr>
    <w:rPr>
      <w:rFonts w:ascii="Times New Roman" w:hAnsi="Times New Roman"/>
      <w:sz w:val="24"/>
      <w:szCs w:val="24"/>
    </w:rPr>
  </w:style>
  <w:style w:type="table" w:styleId="PlainTable2">
    <w:name w:val="Plain Table 2"/>
    <w:basedOn w:val="TableNormal"/>
    <w:uiPriority w:val="42"/>
    <w:rsid w:val="00C71650"/>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author0">
    <w:name w:val="author"/>
    <w:basedOn w:val="Normal"/>
    <w:next w:val="Normal"/>
    <w:rsid w:val="001C592F"/>
    <w:pPr>
      <w:overflowPunct w:val="0"/>
      <w:autoSpaceDE w:val="0"/>
      <w:autoSpaceDN w:val="0"/>
      <w:adjustRightInd w:val="0"/>
      <w:spacing w:after="200" w:line="220" w:lineRule="atLeast"/>
      <w:jc w:val="center"/>
      <w:textAlignment w:val="baseline"/>
    </w:pPr>
    <w:rPr>
      <w:rFonts w:ascii="Times New Roman" w:hAnsi="Times New Roman"/>
    </w:rPr>
  </w:style>
  <w:style w:type="paragraph" w:customStyle="1" w:styleId="address">
    <w:name w:val="address"/>
    <w:basedOn w:val="Normal"/>
    <w:rsid w:val="001C592F"/>
    <w:pPr>
      <w:overflowPunct w:val="0"/>
      <w:autoSpaceDE w:val="0"/>
      <w:autoSpaceDN w:val="0"/>
      <w:adjustRightInd w:val="0"/>
      <w:spacing w:after="200" w:line="220" w:lineRule="atLeast"/>
      <w:contextualSpacing/>
      <w:jc w:val="center"/>
      <w:textAlignment w:val="baseline"/>
    </w:pPr>
    <w:rPr>
      <w:rFonts w:ascii="Times New Roman" w:hAnsi="Times New Roman"/>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16E013-2160-48C4-8DA4-6E9D054937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54</TotalTime>
  <Pages>8</Pages>
  <Words>3179</Words>
  <Characters>18123</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21260</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1180</cp:lastModifiedBy>
  <cp:revision>22</cp:revision>
  <cp:lastPrinted>1999-07-06T11:00:00Z</cp:lastPrinted>
  <dcterms:created xsi:type="dcterms:W3CDTF">2014-10-25T14:34:00Z</dcterms:created>
  <dcterms:modified xsi:type="dcterms:W3CDTF">2025-10-30T07:30:00Z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febbbf2f-8231-4dc5-8a98-2046315e988e</vt:lpwstr>
  </property>
</Properties>
</file>