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8F4C0" w14:textId="4822E3F7" w:rsidR="004D620F" w:rsidRDefault="004D620F" w:rsidP="00153F60">
      <w:pPr>
        <w:jc w:val="center"/>
        <w:rPr>
          <w:rFonts w:ascii="Times New Roman" w:hAnsi="Times New Roman" w:cs="Times New Roman"/>
          <w:b/>
          <w:bCs/>
          <w:sz w:val="28"/>
          <w:szCs w:val="28"/>
        </w:rPr>
      </w:pPr>
      <w:r w:rsidRPr="00153F60">
        <w:rPr>
          <w:rFonts w:ascii="Times New Roman" w:hAnsi="Times New Roman" w:cs="Times New Roman"/>
          <w:b/>
          <w:bCs/>
          <w:sz w:val="28"/>
          <w:szCs w:val="28"/>
        </w:rPr>
        <w:t xml:space="preserve">Agricultural Credit, Production, and Livelihoods in South Asia: A Panel and Country-Specific Analysis of SAARC Nations </w:t>
      </w:r>
    </w:p>
    <w:p w14:paraId="0FAECF3D" w14:textId="77777777" w:rsidR="00986664" w:rsidRDefault="00986664" w:rsidP="00594DB1">
      <w:pPr>
        <w:rPr>
          <w:rFonts w:ascii="Times New Roman" w:hAnsi="Times New Roman" w:cs="Times New Roman"/>
          <w:b/>
          <w:bCs/>
        </w:rPr>
      </w:pPr>
    </w:p>
    <w:p w14:paraId="65504346" w14:textId="5F2453C6" w:rsidR="00594DB1" w:rsidRPr="00594DB1" w:rsidRDefault="00594DB1" w:rsidP="00594DB1">
      <w:pPr>
        <w:rPr>
          <w:rFonts w:ascii="Times New Roman" w:hAnsi="Times New Roman" w:cs="Times New Roman"/>
          <w:b/>
          <w:bCs/>
        </w:rPr>
      </w:pPr>
      <w:r>
        <w:rPr>
          <w:rFonts w:ascii="Times New Roman" w:hAnsi="Times New Roman" w:cs="Times New Roman"/>
          <w:b/>
          <w:bCs/>
        </w:rPr>
        <w:t>ABSTRACT</w:t>
      </w:r>
    </w:p>
    <w:p w14:paraId="265B741D" w14:textId="072FDBEA" w:rsidR="00594DB1" w:rsidRDefault="00594DB1" w:rsidP="00A05EBF">
      <w:pPr>
        <w:spacing w:before="100" w:beforeAutospacing="1" w:after="100" w:afterAutospacing="1" w:line="240" w:lineRule="auto"/>
        <w:jc w:val="both"/>
        <w:outlineLvl w:val="0"/>
        <w:rPr>
          <w:rFonts w:ascii="Times New Roman" w:eastAsia="Times New Roman" w:hAnsi="Times New Roman" w:cs="Times New Roman"/>
          <w:kern w:val="36"/>
          <w:lang w:eastAsia="en-IN"/>
          <w14:ligatures w14:val="none"/>
        </w:rPr>
      </w:pPr>
      <w:r w:rsidRPr="00594DB1">
        <w:rPr>
          <w:rFonts w:ascii="Times New Roman" w:eastAsia="Times New Roman" w:hAnsi="Times New Roman" w:cs="Times New Roman"/>
          <w:kern w:val="36"/>
          <w:lang w:eastAsia="en-IN"/>
          <w14:ligatures w14:val="none"/>
        </w:rPr>
        <w:t>This paper investigates the role of agricultural credit in influencing agricultural production and agricultural GDP across SAARC countries over the period 2008–2023. Using panel econometric techniques with fixed effects and robust standard errors, as well as country-specific regressions, the study explores how credit interacts with key agricultural and livelihood indicators including rural population, employment in agriculture, arable land, fertilizer consumption, and rural electrification. Two models were estimated: one focusing on agricultural production and the other on agricultural GDP. The results indicate that credit has a limited or inconsistent effect on agricultural production but exerts a strong positive influence on agricultural GDP, suggesting its greater role in income support and livelihood stability than in direct productivity gains. Country-level heterogeneity underscores the importance of institutional quality, input delivery mechanisms, and structural constraints in shaping credit effectiveness. The study contributes to the literature by offering a comparative SAARC-wide perspective and highlights policy needs for improved credit targeting, integration with extension services, and resilience-building in rural financial systems.</w:t>
      </w:r>
    </w:p>
    <w:p w14:paraId="1E5AB213" w14:textId="693108A4" w:rsidR="00D0149C" w:rsidRDefault="00D0149C" w:rsidP="0089228F">
      <w:pPr>
        <w:pStyle w:val="NormalWeb"/>
        <w:pBdr>
          <w:bottom w:val="single" w:sz="4" w:space="1" w:color="auto"/>
        </w:pBdr>
      </w:pPr>
      <w:r>
        <w:rPr>
          <w:b/>
          <w:bCs/>
          <w:kern w:val="36"/>
        </w:rPr>
        <w:t>Keywords-</w:t>
      </w:r>
      <w:r>
        <w:t>Agricultural credit, Agricultural production, Agricultural GDP, SAARC countries and Rural livelihoods</w:t>
      </w:r>
      <w:r w:rsidR="0089228F">
        <w:t>.</w:t>
      </w:r>
    </w:p>
    <w:p w14:paraId="5DFC4E77" w14:textId="77777777" w:rsidR="0089228F" w:rsidRDefault="0089228F" w:rsidP="0089228F">
      <w:pPr>
        <w:pStyle w:val="NormalWeb"/>
        <w:pBdr>
          <w:bottom w:val="single" w:sz="4" w:space="1" w:color="auto"/>
        </w:pBdr>
      </w:pPr>
      <w:bookmarkStart w:id="0" w:name="_GoBack"/>
      <w:bookmarkEnd w:id="0"/>
    </w:p>
    <w:p w14:paraId="1EAE46BB" w14:textId="77777777" w:rsidR="0089228F" w:rsidRDefault="0089228F" w:rsidP="0089228F">
      <w:pPr>
        <w:rPr>
          <w:rFonts w:ascii="Times New Roman" w:hAnsi="Times New Roman" w:cs="Times New Roman"/>
          <w:b/>
          <w:bCs/>
          <w:sz w:val="32"/>
          <w:szCs w:val="32"/>
        </w:rPr>
      </w:pPr>
    </w:p>
    <w:p w14:paraId="36178E0E" w14:textId="77777777" w:rsidR="0089228F" w:rsidRPr="0089228F" w:rsidRDefault="0089228F" w:rsidP="0089228F">
      <w:pPr>
        <w:rPr>
          <w:rFonts w:ascii="Times New Roman" w:hAnsi="Times New Roman" w:cs="Times New Roman"/>
          <w:b/>
          <w:bCs/>
          <w:sz w:val="32"/>
          <w:szCs w:val="32"/>
        </w:rPr>
      </w:pPr>
    </w:p>
    <w:p w14:paraId="057475AD" w14:textId="40399671" w:rsidR="004D620F" w:rsidRPr="004D620F" w:rsidRDefault="002B7370" w:rsidP="00A05EBF">
      <w:pPr>
        <w:spacing w:before="100" w:beforeAutospacing="1" w:after="100" w:afterAutospacing="1" w:line="240" w:lineRule="auto"/>
        <w:jc w:val="both"/>
        <w:outlineLvl w:val="0"/>
        <w:rPr>
          <w:rFonts w:ascii="Times New Roman" w:eastAsia="Times New Roman" w:hAnsi="Times New Roman" w:cs="Times New Roman"/>
          <w:b/>
          <w:bCs/>
          <w:kern w:val="36"/>
          <w:lang w:eastAsia="en-IN"/>
          <w14:ligatures w14:val="none"/>
        </w:rPr>
      </w:pPr>
      <w:r w:rsidRPr="004D620F">
        <w:rPr>
          <w:rFonts w:ascii="Times New Roman" w:eastAsia="Times New Roman" w:hAnsi="Times New Roman" w:cs="Times New Roman"/>
          <w:b/>
          <w:bCs/>
          <w:kern w:val="36"/>
          <w:lang w:eastAsia="en-IN"/>
          <w14:ligatures w14:val="none"/>
        </w:rPr>
        <w:t>INTRODUCTION</w:t>
      </w:r>
    </w:p>
    <w:p w14:paraId="5FD329CA" w14:textId="77777777" w:rsidR="004D620F" w:rsidRPr="00DB5062" w:rsidRDefault="004D620F" w:rsidP="00A05EB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B5062">
        <w:rPr>
          <w:rFonts w:ascii="Times New Roman" w:eastAsia="Times New Roman" w:hAnsi="Times New Roman" w:cs="Times New Roman"/>
          <w:kern w:val="0"/>
          <w:lang w:eastAsia="en-IN"/>
          <w14:ligatures w14:val="none"/>
        </w:rPr>
        <w:t xml:space="preserve">Agriculture continues to remain the backbone of South Asian economies, serving as both a source of food security and livelihood for millions. In the </w:t>
      </w:r>
      <w:proofErr w:type="gramStart"/>
      <w:r w:rsidRPr="00DB5062">
        <w:rPr>
          <w:rFonts w:ascii="Times New Roman" w:eastAsia="Times New Roman" w:hAnsi="Times New Roman" w:cs="Times New Roman"/>
          <w:kern w:val="0"/>
          <w:lang w:eastAsia="en-IN"/>
          <w14:ligatures w14:val="none"/>
        </w:rPr>
        <w:t>eight member</w:t>
      </w:r>
      <w:proofErr w:type="gramEnd"/>
      <w:r w:rsidRPr="00DB5062">
        <w:rPr>
          <w:rFonts w:ascii="Times New Roman" w:eastAsia="Times New Roman" w:hAnsi="Times New Roman" w:cs="Times New Roman"/>
          <w:kern w:val="0"/>
          <w:lang w:eastAsia="en-IN"/>
          <w14:ligatures w14:val="none"/>
        </w:rPr>
        <w:t xml:space="preserve"> countries of the South Asian Association for Regional Cooperation (SAARC)—Afghanistan, Bangladesh, Bhutan, India, Maldives, Nepal, Pakistan, and Sri Lanka—the sector contributes significantly to GDP and employment, although with varying degrees of dependence. According to World Bank data, agriculture accounts for nearly 42% of total employment in South Asia in 2022, compared to the global average of just 26%, highlighting the sector’s disproportionate role in sustaining rural livelihoods. In Afghanistan and Nepal, for example, more than 55% of the workforce remains engaged in agriculture, while in India, the figure stands at around 42%. Despite rapid structural transformation and expansion of services and industry in the region, agriculture remains a critical livelihood sector for rural households, especially in fragile economies.</w:t>
      </w:r>
    </w:p>
    <w:p w14:paraId="42F71036" w14:textId="77777777" w:rsidR="004D620F" w:rsidRPr="00DB5062" w:rsidRDefault="004D620F" w:rsidP="00A05EB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B5062">
        <w:rPr>
          <w:rFonts w:ascii="Times New Roman" w:eastAsia="Times New Roman" w:hAnsi="Times New Roman" w:cs="Times New Roman"/>
          <w:kern w:val="0"/>
          <w:lang w:eastAsia="en-IN"/>
          <w14:ligatures w14:val="none"/>
        </w:rPr>
        <w:t xml:space="preserve">Credit plays a pivotal role in sustaining and enhancing agricultural productivity in this context. Timely access to credit enables farmers to invest in improved seeds, irrigation systems, fertilizers, and mechanization, which are essential for coping with climate variability, fragmented landholdings, and rising input costs. Data from the Reserve Bank of India (2023) </w:t>
      </w:r>
      <w:r w:rsidRPr="00DB5062">
        <w:rPr>
          <w:rFonts w:ascii="Times New Roman" w:eastAsia="Times New Roman" w:hAnsi="Times New Roman" w:cs="Times New Roman"/>
          <w:kern w:val="0"/>
          <w:lang w:eastAsia="en-IN"/>
          <w14:ligatures w14:val="none"/>
        </w:rPr>
        <w:lastRenderedPageBreak/>
        <w:t>indicates that agricultural credit disbursement has grown more than fivefold since 2008, while similar trends are observable in Bangladesh and Pakistan where specialized institutions and microfinance have expanded outreach to smallholders. Yet, concerns about credit quality, regional imbalances, and gender gaps in credit access persist across South Asia. With the region being home to over 1.8 billion people, of which nearly 70% live in rural areas, the nexus between credit access, production outcomes, and livelihood transformation is both an economic and social imperative.</w:t>
      </w:r>
    </w:p>
    <w:p w14:paraId="776E2121" w14:textId="359A7FF1" w:rsidR="004D620F" w:rsidRPr="004D620F" w:rsidRDefault="004D620F" w:rsidP="00DB506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B5062">
        <w:rPr>
          <w:rFonts w:ascii="Times New Roman" w:eastAsia="Times New Roman" w:hAnsi="Times New Roman" w:cs="Times New Roman"/>
          <w:kern w:val="0"/>
          <w:lang w:eastAsia="en-IN"/>
          <w14:ligatures w14:val="none"/>
        </w:rPr>
        <w:t>At the same time, South Asian agriculture faces mounting pressures from climate change, resource degradation, and rising population demand. The World Bank (2021) warns that agricultural GDP growth in the region has been slowing, averaging only 2.1% annually during 2010–2020, compared to above 3.5% in the early 2000s. Enhancing credit penetration and efficient utilization becomes crucial for ensuring sustainable agricultural performance. However, the impact of agricultural credit is not uniform across countries—while India and Bangladesh have made progress in linking formal finance to smallholders, countries like Afghanistan and Bhutan still face institutional weaknesses, infrastructural bottlenecks, and low financial inclusion. Against this backdrop, this paper seeks to examine how agricultural credit influences production and livelihood outcomes across South Asia, using both panel data models and country-specific regression analyses over the period 2008–2023. The study provides new insights into the sectoral role of credit and its implications for rural livelihoods, while accounting for heterogeneities within the SAARC region.</w:t>
      </w:r>
    </w:p>
    <w:p w14:paraId="56F9F928" w14:textId="5D9B1785" w:rsidR="004D620F" w:rsidRPr="004D620F" w:rsidRDefault="002B7370" w:rsidP="00A05EBF">
      <w:pPr>
        <w:spacing w:before="100" w:beforeAutospacing="1" w:after="100" w:afterAutospacing="1" w:line="240" w:lineRule="auto"/>
        <w:jc w:val="both"/>
        <w:outlineLvl w:val="0"/>
        <w:rPr>
          <w:rFonts w:ascii="Times New Roman" w:eastAsia="Times New Roman" w:hAnsi="Times New Roman" w:cs="Times New Roman"/>
          <w:b/>
          <w:bCs/>
          <w:kern w:val="36"/>
          <w:lang w:eastAsia="en-IN"/>
          <w14:ligatures w14:val="none"/>
        </w:rPr>
      </w:pPr>
      <w:r w:rsidRPr="004D620F">
        <w:rPr>
          <w:rFonts w:ascii="Times New Roman" w:eastAsia="Times New Roman" w:hAnsi="Times New Roman" w:cs="Times New Roman"/>
          <w:b/>
          <w:bCs/>
          <w:kern w:val="36"/>
          <w:lang w:eastAsia="en-IN"/>
          <w14:ligatures w14:val="none"/>
        </w:rPr>
        <w:t>LITERATURE REVIEW</w:t>
      </w:r>
    </w:p>
    <w:p w14:paraId="219A4E04" w14:textId="77777777" w:rsidR="00594DB1" w:rsidRPr="00594DB1" w:rsidRDefault="00594DB1" w:rsidP="00594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94DB1">
        <w:rPr>
          <w:rFonts w:ascii="Times New Roman" w:eastAsia="Times New Roman" w:hAnsi="Times New Roman" w:cs="Times New Roman"/>
          <w:kern w:val="0"/>
          <w:lang w:eastAsia="en-IN"/>
          <w14:ligatures w14:val="none"/>
        </w:rPr>
        <w:t>The role of agricultural credit in enhancing agricultural productivity and rural development has been extensively studied in South Asia and beyond. Credit acts as a crucial input that allows farmers to access modern technology, quality seeds, fertilizers, irrigation, and other essential resources necessary for higher productivity. A broad consensus exists that institutional credit enhances both the capacity and resilience of farmers, contributing to overall agricultural growth.</w:t>
      </w:r>
    </w:p>
    <w:p w14:paraId="37AFB48A" w14:textId="77777777" w:rsidR="00594DB1" w:rsidRPr="00594DB1" w:rsidRDefault="00594DB1" w:rsidP="00594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94DB1">
        <w:rPr>
          <w:rFonts w:ascii="Times New Roman" w:eastAsia="Times New Roman" w:hAnsi="Times New Roman" w:cs="Times New Roman"/>
          <w:kern w:val="0"/>
          <w:lang w:eastAsia="en-IN"/>
          <w14:ligatures w14:val="none"/>
        </w:rPr>
        <w:t xml:space="preserve">Earlier studies have emphasized the importance of institutional credit in improving agricultural performance. For instance, Ray (2001) highlighted how timely access to agricultural credit reduces farmers’ dependency on informal moneylenders, enabling them to make productive investments. Similarly, Binswanger and </w:t>
      </w:r>
      <w:proofErr w:type="spellStart"/>
      <w:r w:rsidRPr="00594DB1">
        <w:rPr>
          <w:rFonts w:ascii="Times New Roman" w:eastAsia="Times New Roman" w:hAnsi="Times New Roman" w:cs="Times New Roman"/>
          <w:kern w:val="0"/>
          <w:lang w:eastAsia="en-IN"/>
          <w14:ligatures w14:val="none"/>
        </w:rPr>
        <w:t>Khandker</w:t>
      </w:r>
      <w:proofErr w:type="spellEnd"/>
      <w:r w:rsidRPr="00594DB1">
        <w:rPr>
          <w:rFonts w:ascii="Times New Roman" w:eastAsia="Times New Roman" w:hAnsi="Times New Roman" w:cs="Times New Roman"/>
          <w:kern w:val="0"/>
          <w:lang w:eastAsia="en-IN"/>
          <w14:ligatures w14:val="none"/>
        </w:rPr>
        <w:t xml:space="preserve"> (1995) demonstrated that expanding rural financial institutions had significant effects on poverty reduction and agricultural productivity, particularly in developing economies.</w:t>
      </w:r>
    </w:p>
    <w:p w14:paraId="6AADEEBE" w14:textId="3F1CFD06" w:rsidR="00594DB1" w:rsidRPr="00594DB1" w:rsidRDefault="00594DB1" w:rsidP="00594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94DB1">
        <w:rPr>
          <w:rFonts w:ascii="Times New Roman" w:eastAsia="Times New Roman" w:hAnsi="Times New Roman" w:cs="Times New Roman"/>
          <w:kern w:val="0"/>
          <w:lang w:eastAsia="en-IN"/>
          <w14:ligatures w14:val="none"/>
        </w:rPr>
        <w:t>In the South Asian context, several country-specific studies provide insights into the relationship between credit and agricultural growth. Chavan (2007) examined trends in rural credit in India, showing that institutional lending played a vital role in increasing capital formation in agriculture. Iqbal et al. (2003), focusing on Pakistan, found that institutional credit had a significant positive impact on crop productivity and farm incomes, underlining its importance in achieving sustainable agricultural growth. Rahman and Rahman (2009), analysing Bangladesh, revealed that access to agricultural credit significantly improved crop yields and farm efficiency, stressing the need for expanding institutional credit in rural areas.</w:t>
      </w:r>
    </w:p>
    <w:p w14:paraId="2DACDC58" w14:textId="77777777" w:rsidR="00594DB1" w:rsidRPr="00594DB1" w:rsidRDefault="00594DB1" w:rsidP="00594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94DB1">
        <w:rPr>
          <w:rFonts w:ascii="Times New Roman" w:eastAsia="Times New Roman" w:hAnsi="Times New Roman" w:cs="Times New Roman"/>
          <w:kern w:val="0"/>
          <w:lang w:eastAsia="en-IN"/>
          <w14:ligatures w14:val="none"/>
        </w:rPr>
        <w:t xml:space="preserve">Building on these findings, more recent works have applied econometric and panel data methods to investigate the credit–agriculture nexus. Burgess and </w:t>
      </w:r>
      <w:proofErr w:type="spellStart"/>
      <w:r w:rsidRPr="00594DB1">
        <w:rPr>
          <w:rFonts w:ascii="Times New Roman" w:eastAsia="Times New Roman" w:hAnsi="Times New Roman" w:cs="Times New Roman"/>
          <w:kern w:val="0"/>
          <w:lang w:eastAsia="en-IN"/>
          <w14:ligatures w14:val="none"/>
        </w:rPr>
        <w:t>Pande</w:t>
      </w:r>
      <w:proofErr w:type="spellEnd"/>
      <w:r w:rsidRPr="00594DB1">
        <w:rPr>
          <w:rFonts w:ascii="Times New Roman" w:eastAsia="Times New Roman" w:hAnsi="Times New Roman" w:cs="Times New Roman"/>
          <w:kern w:val="0"/>
          <w:lang w:eastAsia="en-IN"/>
          <w14:ligatures w14:val="none"/>
        </w:rPr>
        <w:t xml:space="preserve"> (2005) </w:t>
      </w:r>
      <w:proofErr w:type="spellStart"/>
      <w:r w:rsidRPr="00594DB1">
        <w:rPr>
          <w:rFonts w:ascii="Times New Roman" w:eastAsia="Times New Roman" w:hAnsi="Times New Roman" w:cs="Times New Roman"/>
          <w:kern w:val="0"/>
          <w:lang w:eastAsia="en-IN"/>
          <w14:ligatures w14:val="none"/>
        </w:rPr>
        <w:t>analyzed</w:t>
      </w:r>
      <w:proofErr w:type="spellEnd"/>
      <w:r w:rsidRPr="00594DB1">
        <w:rPr>
          <w:rFonts w:ascii="Times New Roman" w:eastAsia="Times New Roman" w:hAnsi="Times New Roman" w:cs="Times New Roman"/>
          <w:kern w:val="0"/>
          <w:lang w:eastAsia="en-IN"/>
          <w14:ligatures w14:val="none"/>
        </w:rPr>
        <w:t xml:space="preserve"> the Indian social banking experiment and showed how rural bank expansion directly influenced </w:t>
      </w:r>
      <w:r w:rsidRPr="00594DB1">
        <w:rPr>
          <w:rFonts w:ascii="Times New Roman" w:eastAsia="Times New Roman" w:hAnsi="Times New Roman" w:cs="Times New Roman"/>
          <w:kern w:val="0"/>
          <w:lang w:eastAsia="en-IN"/>
          <w14:ligatures w14:val="none"/>
        </w:rPr>
        <w:lastRenderedPageBreak/>
        <w:t>agricultural output and rural poverty reduction, employing models similar to those used in this study. Kumar et al. (2010) examined institutional credit to agriculture across Indian states and found that while credit positively influenced farm incomes, its impact on physical production varied, aligning closely with the findings of this paper’s first model.</w:t>
      </w:r>
    </w:p>
    <w:p w14:paraId="5B8DF655" w14:textId="77777777" w:rsidR="00594DB1" w:rsidRPr="00594DB1" w:rsidRDefault="00594DB1" w:rsidP="00594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94DB1">
        <w:rPr>
          <w:rFonts w:ascii="Times New Roman" w:eastAsia="Times New Roman" w:hAnsi="Times New Roman" w:cs="Times New Roman"/>
          <w:kern w:val="0"/>
          <w:lang w:eastAsia="en-IN"/>
          <w14:ligatures w14:val="none"/>
        </w:rPr>
        <w:t xml:space="preserve">In addition, Gulati and </w:t>
      </w:r>
      <w:proofErr w:type="spellStart"/>
      <w:r w:rsidRPr="00594DB1">
        <w:rPr>
          <w:rFonts w:ascii="Times New Roman" w:eastAsia="Times New Roman" w:hAnsi="Times New Roman" w:cs="Times New Roman"/>
          <w:kern w:val="0"/>
          <w:lang w:eastAsia="en-IN"/>
          <w14:ligatures w14:val="none"/>
        </w:rPr>
        <w:t>Bathla</w:t>
      </w:r>
      <w:proofErr w:type="spellEnd"/>
      <w:r w:rsidRPr="00594DB1">
        <w:rPr>
          <w:rFonts w:ascii="Times New Roman" w:eastAsia="Times New Roman" w:hAnsi="Times New Roman" w:cs="Times New Roman"/>
          <w:kern w:val="0"/>
          <w:lang w:eastAsia="en-IN"/>
          <w14:ligatures w14:val="none"/>
        </w:rPr>
        <w:t xml:space="preserve"> (2017) explored long-term institutional credit trends and their contribution to agricultural growth in India, emphasizing that credit effectiveness is maximized when combined with complementary inputs such as irrigation and fertilizer. In the case of Pakistan, Iqbal et al. (2003) reaffirmed through econometric analysis that institutional credit significantly raised crop yields. Extending this research across South Asia, Sharma (2016) assessed the effectiveness of agricultural credit in SAARC countries using panel regression methods and found stronger impacts on agricultural GDP than on production volumes, a result consistent with the second model of this paper.</w:t>
      </w:r>
    </w:p>
    <w:p w14:paraId="702FF6F7" w14:textId="77777777" w:rsidR="00594DB1" w:rsidRPr="00594DB1" w:rsidRDefault="00594DB1" w:rsidP="00594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94DB1">
        <w:rPr>
          <w:rFonts w:ascii="Times New Roman" w:eastAsia="Times New Roman" w:hAnsi="Times New Roman" w:cs="Times New Roman"/>
          <w:kern w:val="0"/>
          <w:lang w:eastAsia="en-IN"/>
          <w14:ligatures w14:val="none"/>
        </w:rPr>
        <w:t>Collectively, the literature indicates that agricultural credit is an indispensable tool for improving rural livelihoods, enhancing productivity, and ensuring food security in South Asia. However, the degree of its effectiveness often depends on institutional structures, accessibility, and the extent to which it is integrated with other agricultural inputs. This paper situates itself within this rich body of research, focusing specifically on the SAARC context and employing panel data models to capture the multifaceted relationship between institutional credit and agricultural outcomes.</w:t>
      </w:r>
    </w:p>
    <w:p w14:paraId="17E2C7D6" w14:textId="1EDC2B75" w:rsidR="004D620F" w:rsidRDefault="004D620F" w:rsidP="00A05EB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B5062">
        <w:rPr>
          <w:rFonts w:ascii="Times New Roman" w:eastAsia="Times New Roman" w:hAnsi="Times New Roman" w:cs="Times New Roman"/>
          <w:kern w:val="0"/>
          <w:lang w:eastAsia="en-IN"/>
          <w14:ligatures w14:val="none"/>
        </w:rPr>
        <w:t xml:space="preserve">Despite these contributions, gaps remain in understanding the cross-country comparative dynamics within South Asia. Much of the existing literature is either country-specific (focusing primarily on India, Bangladesh, or Pakistan) or thematic (microfinance, gender, or regional disparities). Very few studies systematically </w:t>
      </w:r>
      <w:r w:rsidR="00DB5062" w:rsidRPr="00DB5062">
        <w:rPr>
          <w:rFonts w:ascii="Times New Roman" w:eastAsia="Times New Roman" w:hAnsi="Times New Roman" w:cs="Times New Roman"/>
          <w:kern w:val="0"/>
          <w:lang w:eastAsia="en-IN"/>
          <w14:ligatures w14:val="none"/>
        </w:rPr>
        <w:t>analyse</w:t>
      </w:r>
      <w:r w:rsidRPr="00DB5062">
        <w:rPr>
          <w:rFonts w:ascii="Times New Roman" w:eastAsia="Times New Roman" w:hAnsi="Times New Roman" w:cs="Times New Roman"/>
          <w:kern w:val="0"/>
          <w:lang w:eastAsia="en-IN"/>
          <w14:ligatures w14:val="none"/>
        </w:rPr>
        <w:t xml:space="preserve"> the relationship between agricultural credit, production, and livelihoods in the broader SAARC context. Moreover, the period after 2008 is especially critical, marked by global food price volatility, climate shocks, and major policy reforms in credit delivery across the region. This paper contributes to the literature by combining panel econometric techniques with country-specific regressions to disentangle the heterogeneous impact of credit on agricultural performance and rural livelihoods in South Asia.</w:t>
      </w:r>
    </w:p>
    <w:p w14:paraId="5EDBF058" w14:textId="3EC466C0" w:rsidR="004D620F" w:rsidRPr="004D620F" w:rsidRDefault="00BE4348" w:rsidP="00A05EB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E4348">
        <w:rPr>
          <w:rFonts w:ascii="Times New Roman" w:eastAsia="Times New Roman" w:hAnsi="Times New Roman" w:cs="Times New Roman"/>
          <w:noProof/>
          <w:kern w:val="0"/>
          <w:lang w:eastAsia="en-IN"/>
          <w14:ligatures w14:val="none"/>
        </w:rPr>
        <w:lastRenderedPageBreak/>
        <w:drawing>
          <wp:inline distT="0" distB="0" distL="0" distR="0" wp14:anchorId="0FA6BB9B" wp14:editId="5BBCDF6C">
            <wp:extent cx="5958840" cy="4289425"/>
            <wp:effectExtent l="0" t="0" r="0" b="0"/>
            <wp:docPr id="273935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35231" name=""/>
                    <pic:cNvPicPr/>
                  </pic:nvPicPr>
                  <pic:blipFill rotWithShape="1">
                    <a:blip r:embed="rId6"/>
                    <a:srcRect b="6647"/>
                    <a:stretch>
                      <a:fillRect/>
                    </a:stretch>
                  </pic:blipFill>
                  <pic:spPr>
                    <a:xfrm>
                      <a:off x="0" y="0"/>
                      <a:ext cx="5958840" cy="4289425"/>
                    </a:xfrm>
                    <a:prstGeom prst="rect">
                      <a:avLst/>
                    </a:prstGeom>
                  </pic:spPr>
                </pic:pic>
              </a:graphicData>
            </a:graphic>
          </wp:inline>
        </w:drawing>
      </w:r>
    </w:p>
    <w:p w14:paraId="7A3108E3" w14:textId="321CACE5" w:rsidR="004D620F" w:rsidRPr="0089228F" w:rsidRDefault="0089228F" w:rsidP="00A05EBF">
      <w:pPr>
        <w:jc w:val="both"/>
        <w:rPr>
          <w:rFonts w:ascii="Times New Roman" w:hAnsi="Times New Roman" w:cs="Times New Roman"/>
        </w:rPr>
      </w:pPr>
      <w:r>
        <w:rPr>
          <w:rFonts w:ascii="Times New Roman" w:hAnsi="Times New Roman" w:cs="Times New Roman"/>
        </w:rPr>
        <w:t>Source- Author’s own creation</w:t>
      </w:r>
    </w:p>
    <w:p w14:paraId="3D09EBF2" w14:textId="3D4EE7C4" w:rsidR="00CB5169" w:rsidRDefault="00CB5169" w:rsidP="00A05EBF">
      <w:pPr>
        <w:jc w:val="both"/>
        <w:rPr>
          <w:rFonts w:ascii="Times New Roman" w:hAnsi="Times New Roman" w:cs="Times New Roman"/>
          <w:b/>
          <w:bCs/>
          <w:lang w:val="en-US"/>
        </w:rPr>
      </w:pPr>
      <w:r>
        <w:rPr>
          <w:rFonts w:ascii="Times New Roman" w:hAnsi="Times New Roman" w:cs="Times New Roman"/>
          <w:b/>
          <w:bCs/>
          <w:lang w:val="en-US"/>
        </w:rPr>
        <w:t>Fig 1-</w:t>
      </w:r>
      <w:r w:rsidR="00D95654">
        <w:rPr>
          <w:rFonts w:ascii="Times New Roman" w:hAnsi="Times New Roman" w:cs="Times New Roman"/>
          <w:b/>
          <w:bCs/>
          <w:lang w:val="en-US"/>
        </w:rPr>
        <w:t xml:space="preserve">Agricultural </w:t>
      </w:r>
      <w:proofErr w:type="gramStart"/>
      <w:r w:rsidR="00D95654">
        <w:rPr>
          <w:rFonts w:ascii="Times New Roman" w:hAnsi="Times New Roman" w:cs="Times New Roman"/>
          <w:b/>
          <w:bCs/>
          <w:lang w:val="en-US"/>
        </w:rPr>
        <w:t>Credit(</w:t>
      </w:r>
      <w:proofErr w:type="gramEnd"/>
      <w:r w:rsidR="00D95654">
        <w:rPr>
          <w:rFonts w:ascii="Times New Roman" w:hAnsi="Times New Roman" w:cs="Times New Roman"/>
          <w:b/>
          <w:bCs/>
          <w:lang w:val="en-US"/>
        </w:rPr>
        <w:t>Institutional &amp; Commercial Bank Lending)</w:t>
      </w:r>
    </w:p>
    <w:p w14:paraId="4CD2069D" w14:textId="5E715655" w:rsidR="004D620F" w:rsidRPr="004D620F" w:rsidRDefault="002B7370" w:rsidP="00A05EBF">
      <w:pPr>
        <w:jc w:val="both"/>
        <w:rPr>
          <w:rFonts w:ascii="Times New Roman" w:hAnsi="Times New Roman" w:cs="Times New Roman"/>
          <w:b/>
          <w:bCs/>
          <w:lang w:val="en-US"/>
        </w:rPr>
      </w:pPr>
      <w:r w:rsidRPr="004D620F">
        <w:rPr>
          <w:rFonts w:ascii="Times New Roman" w:hAnsi="Times New Roman" w:cs="Times New Roman"/>
          <w:b/>
          <w:bCs/>
          <w:lang w:val="en-US"/>
        </w:rPr>
        <w:t>METHODOLOGY</w:t>
      </w:r>
    </w:p>
    <w:p w14:paraId="3054A128" w14:textId="77777777" w:rsidR="004D620F" w:rsidRPr="004D620F" w:rsidRDefault="004D620F" w:rsidP="00A05EBF">
      <w:pPr>
        <w:jc w:val="both"/>
        <w:rPr>
          <w:rFonts w:ascii="Times New Roman" w:hAnsi="Times New Roman" w:cs="Times New Roman"/>
          <w:lang w:val="en-US"/>
        </w:rPr>
      </w:pPr>
      <w:r w:rsidRPr="004D620F">
        <w:rPr>
          <w:rFonts w:ascii="Times New Roman" w:hAnsi="Times New Roman" w:cs="Times New Roman"/>
          <w:lang w:val="en-US"/>
        </w:rPr>
        <w:t xml:space="preserve">This study investigates the relationship between agricultural credit, agricultural productivity, and livelihood indicators in the SAARC region by employing a panel data econometric approach. The empirical analysis is based on annual data for eight SAARC member countries, namely Afghanistan, Bangladesh, Bhutan, India, Maldives, Nepal, Pakistan, and Sri Lanka, covering the period 2008–2023. This period was chosen based on the availability and consistency of comparable macroeconomic and agricultural statistics across all countries in the region. </w:t>
      </w:r>
    </w:p>
    <w:p w14:paraId="39B7597E" w14:textId="77777777" w:rsidR="004D620F" w:rsidRPr="004D620F" w:rsidRDefault="004D620F" w:rsidP="00A05EBF">
      <w:pPr>
        <w:jc w:val="both"/>
        <w:rPr>
          <w:rFonts w:ascii="Times New Roman" w:hAnsi="Times New Roman" w:cs="Times New Roman"/>
          <w:lang w:val="en-US"/>
        </w:rPr>
      </w:pPr>
      <w:r w:rsidRPr="004D620F">
        <w:rPr>
          <w:rFonts w:ascii="Times New Roman" w:hAnsi="Times New Roman" w:cs="Times New Roman"/>
          <w:lang w:val="en-US"/>
        </w:rPr>
        <w:t>The dataset was compiled from multiple sources. Agricultural credit data were collected from FAOSTAT, while complementary indicators such as agricultural GDP, access to electricity in rural areas, rural population, employment in agriculture, arable land, and fertilizer consumption were extracted from the World Development Indicators (World Bank). This comprehensive dataset allowed us to examine the structural relationships between credit availability, agricultural production, and the broader livelihood environment in SAARC countries.</w:t>
      </w:r>
    </w:p>
    <w:p w14:paraId="49F10812" w14:textId="77777777" w:rsidR="004D620F" w:rsidRPr="004D620F" w:rsidRDefault="004D620F" w:rsidP="00A05EBF">
      <w:pPr>
        <w:jc w:val="both"/>
        <w:rPr>
          <w:rFonts w:ascii="Times New Roman" w:hAnsi="Times New Roman" w:cs="Times New Roman"/>
          <w:lang w:val="en-US"/>
        </w:rPr>
      </w:pPr>
      <w:r w:rsidRPr="004D620F">
        <w:rPr>
          <w:rFonts w:ascii="Times New Roman" w:hAnsi="Times New Roman" w:cs="Times New Roman"/>
          <w:lang w:val="en-US"/>
        </w:rPr>
        <w:t xml:space="preserve">Two empirical models were estimated in this study. The first model (Model 1) uses the logarithm of agricultural production as the dependent variable, while the second model (Model 2) uses agricultural GDP as the dependent variable. Both models incorporate explanatory </w:t>
      </w:r>
      <w:r w:rsidRPr="004D620F">
        <w:rPr>
          <w:rFonts w:ascii="Times New Roman" w:hAnsi="Times New Roman" w:cs="Times New Roman"/>
          <w:lang w:val="en-US"/>
        </w:rPr>
        <w:lastRenderedPageBreak/>
        <w:t>variables that capture access to credit, rural demographic pressures, labor engagement in agriculture, and additional structural controls such as land availability, fertilizer use, and access to rural electricity.</w:t>
      </w:r>
    </w:p>
    <w:p w14:paraId="3ECF7773" w14:textId="77777777" w:rsidR="004D620F" w:rsidRPr="004D620F" w:rsidRDefault="004D620F" w:rsidP="00A05EBF">
      <w:pPr>
        <w:jc w:val="both"/>
        <w:rPr>
          <w:rFonts w:ascii="Times New Roman" w:hAnsi="Times New Roman" w:cs="Times New Roman"/>
          <w:b/>
          <w:bCs/>
          <w:lang w:val="en-US"/>
        </w:rPr>
      </w:pPr>
      <w:r w:rsidRPr="004D620F">
        <w:rPr>
          <w:rFonts w:ascii="Times New Roman" w:hAnsi="Times New Roman" w:cs="Times New Roman"/>
          <w:b/>
          <w:bCs/>
          <w:lang w:val="en-US"/>
        </w:rPr>
        <w:t>Model 1: Agricultural Production Function</w:t>
      </w:r>
    </w:p>
    <w:p w14:paraId="3826599C" w14:textId="77777777" w:rsidR="004D620F" w:rsidRPr="004D620F" w:rsidRDefault="004D620F" w:rsidP="00A05EBF">
      <w:pPr>
        <w:jc w:val="both"/>
        <w:rPr>
          <w:rFonts w:ascii="Times New Roman" w:hAnsi="Times New Roman" w:cs="Times New Roman"/>
          <w:lang w:val="en-US"/>
        </w:rPr>
      </w:pPr>
      <w:r w:rsidRPr="004D620F">
        <w:rPr>
          <w:rFonts w:ascii="Times New Roman" w:hAnsi="Times New Roman" w:cs="Times New Roman"/>
          <w:lang w:val="en-US"/>
        </w:rPr>
        <w:t>The first model examines the determinants of agricultural production across SAARC countries. The working equation is specified as follows:</w:t>
      </w:r>
    </w:p>
    <w:p w14:paraId="32487F8D" w14:textId="5CA6755E" w:rsidR="004D620F" w:rsidRPr="004D620F" w:rsidRDefault="00A05EBF" w:rsidP="00A05EBF">
      <w:pPr>
        <w:jc w:val="both"/>
        <w:rPr>
          <w:rFonts w:ascii="Times New Roman" w:hAnsi="Times New Roman" w:cs="Times New Roman"/>
          <w:b/>
          <w:bCs/>
          <w:i/>
          <w:iCs/>
          <w:lang w:val="en-US"/>
        </w:rPr>
      </w:pPr>
      <w:r>
        <w:rPr>
          <w:rFonts w:ascii="Times New Roman" w:hAnsi="Times New Roman" w:cs="Times New Roman"/>
          <w:b/>
          <w:bCs/>
          <w:i/>
          <w:iCs/>
          <w:lang w:val="en-US"/>
        </w:rPr>
        <w:t>l</w:t>
      </w:r>
      <w:r w:rsidR="004D620F" w:rsidRPr="004D620F">
        <w:rPr>
          <w:rFonts w:ascii="Times New Roman" w:hAnsi="Times New Roman" w:cs="Times New Roman"/>
          <w:b/>
          <w:bCs/>
          <w:i/>
          <w:iCs/>
          <w:lang w:val="en-US"/>
        </w:rPr>
        <w:t>n</w:t>
      </w:r>
      <w:r>
        <w:rPr>
          <w:rFonts w:ascii="Times New Roman" w:hAnsi="Times New Roman" w:cs="Times New Roman"/>
          <w:b/>
          <w:bCs/>
          <w:i/>
          <w:iCs/>
          <w:lang w:val="en-US"/>
        </w:rPr>
        <w:t xml:space="preserve"> </w:t>
      </w:r>
      <w:r w:rsidR="004D620F" w:rsidRPr="004D620F">
        <w:rPr>
          <w:rFonts w:ascii="Times New Roman" w:hAnsi="Times New Roman" w:cs="Times New Roman"/>
          <w:b/>
          <w:bCs/>
          <w:i/>
          <w:iCs/>
          <w:lang w:val="en-US"/>
        </w:rPr>
        <w:t>(</w:t>
      </w:r>
      <w:r w:rsidR="000E6E80" w:rsidRPr="004D620F">
        <w:rPr>
          <w:rFonts w:ascii="Times New Roman" w:hAnsi="Times New Roman" w:cs="Times New Roman"/>
          <w:b/>
          <w:bCs/>
          <w:i/>
          <w:iCs/>
          <w:lang w:val="en-US"/>
        </w:rPr>
        <w:t xml:space="preserve">Agri </w:t>
      </w:r>
      <w:r w:rsidR="0089228F" w:rsidRPr="004D620F">
        <w:rPr>
          <w:rFonts w:ascii="Times New Roman" w:hAnsi="Times New Roman" w:cs="Times New Roman"/>
          <w:b/>
          <w:bCs/>
          <w:i/>
          <w:iCs/>
          <w:lang w:val="en-US"/>
        </w:rPr>
        <w:t>Prod) _</w:t>
      </w:r>
      <w:r w:rsidR="004D620F" w:rsidRPr="004D620F">
        <w:rPr>
          <w:rFonts w:ascii="Times New Roman" w:hAnsi="Times New Roman" w:cs="Times New Roman"/>
          <w:b/>
          <w:bCs/>
          <w:i/>
          <w:iCs/>
          <w:lang w:val="en-US"/>
        </w:rPr>
        <w:t>{it} = α_</w:t>
      </w:r>
      <w:proofErr w:type="spellStart"/>
      <w:r w:rsidR="004D620F" w:rsidRPr="004D620F">
        <w:rPr>
          <w:rFonts w:ascii="Times New Roman" w:hAnsi="Times New Roman" w:cs="Times New Roman"/>
          <w:b/>
          <w:bCs/>
          <w:i/>
          <w:iCs/>
          <w:lang w:val="en-US"/>
        </w:rPr>
        <w:t>i</w:t>
      </w:r>
      <w:proofErr w:type="spellEnd"/>
      <w:r w:rsidR="004D620F" w:rsidRPr="004D620F">
        <w:rPr>
          <w:rFonts w:ascii="Times New Roman" w:hAnsi="Times New Roman" w:cs="Times New Roman"/>
          <w:b/>
          <w:bCs/>
          <w:i/>
          <w:iCs/>
          <w:lang w:val="en-US"/>
        </w:rPr>
        <w:t xml:space="preserve"> + β1 ln</w:t>
      </w:r>
      <w:r>
        <w:rPr>
          <w:rFonts w:ascii="Times New Roman" w:hAnsi="Times New Roman" w:cs="Times New Roman"/>
          <w:b/>
          <w:bCs/>
          <w:i/>
          <w:iCs/>
          <w:lang w:val="en-US"/>
        </w:rPr>
        <w:t xml:space="preserve"> </w:t>
      </w:r>
      <w:r w:rsidR="004D620F" w:rsidRPr="004D620F">
        <w:rPr>
          <w:rFonts w:ascii="Times New Roman" w:hAnsi="Times New Roman" w:cs="Times New Roman"/>
          <w:b/>
          <w:bCs/>
          <w:i/>
          <w:iCs/>
          <w:lang w:val="en-US"/>
        </w:rPr>
        <w:t>(Credit)_{it} + β2 ln</w:t>
      </w:r>
      <w:r>
        <w:rPr>
          <w:rFonts w:ascii="Times New Roman" w:hAnsi="Times New Roman" w:cs="Times New Roman"/>
          <w:b/>
          <w:bCs/>
          <w:i/>
          <w:iCs/>
          <w:lang w:val="en-US"/>
        </w:rPr>
        <w:t xml:space="preserve"> </w:t>
      </w:r>
      <w:r w:rsidR="004D620F" w:rsidRPr="004D620F">
        <w:rPr>
          <w:rFonts w:ascii="Times New Roman" w:hAnsi="Times New Roman" w:cs="Times New Roman"/>
          <w:b/>
          <w:bCs/>
          <w:i/>
          <w:iCs/>
          <w:lang w:val="en-US"/>
        </w:rPr>
        <w:t>(</w:t>
      </w:r>
      <w:r w:rsidR="0089228F" w:rsidRPr="004D620F">
        <w:rPr>
          <w:rFonts w:ascii="Times New Roman" w:hAnsi="Times New Roman" w:cs="Times New Roman"/>
          <w:b/>
          <w:bCs/>
          <w:i/>
          <w:iCs/>
          <w:lang w:val="en-US"/>
        </w:rPr>
        <w:t xml:space="preserve">Rural </w:t>
      </w:r>
      <w:r w:rsidR="00407605" w:rsidRPr="004D620F">
        <w:rPr>
          <w:rFonts w:ascii="Times New Roman" w:hAnsi="Times New Roman" w:cs="Times New Roman"/>
          <w:b/>
          <w:bCs/>
          <w:i/>
          <w:iCs/>
          <w:lang w:val="en-US"/>
        </w:rPr>
        <w:t>Pop) _</w:t>
      </w:r>
      <w:r w:rsidR="004D620F" w:rsidRPr="004D620F">
        <w:rPr>
          <w:rFonts w:ascii="Times New Roman" w:hAnsi="Times New Roman" w:cs="Times New Roman"/>
          <w:b/>
          <w:bCs/>
          <w:i/>
          <w:iCs/>
          <w:lang w:val="en-US"/>
        </w:rPr>
        <w:t xml:space="preserve">{it} + β3 </w:t>
      </w:r>
      <w:proofErr w:type="spellStart"/>
      <w:r w:rsidR="004D620F" w:rsidRPr="004D620F">
        <w:rPr>
          <w:rFonts w:ascii="Times New Roman" w:hAnsi="Times New Roman" w:cs="Times New Roman"/>
          <w:b/>
          <w:bCs/>
          <w:i/>
          <w:iCs/>
          <w:lang w:val="en-US"/>
        </w:rPr>
        <w:t>EmpAgriculture</w:t>
      </w:r>
      <w:proofErr w:type="spellEnd"/>
      <w:r w:rsidR="004D620F" w:rsidRPr="004D620F">
        <w:rPr>
          <w:rFonts w:ascii="Times New Roman" w:hAnsi="Times New Roman" w:cs="Times New Roman"/>
          <w:b/>
          <w:bCs/>
          <w:i/>
          <w:iCs/>
          <w:lang w:val="en-US"/>
        </w:rPr>
        <w:t xml:space="preserve">_{it} + β4 </w:t>
      </w:r>
      <w:r w:rsidR="0089228F" w:rsidRPr="004D620F">
        <w:rPr>
          <w:rFonts w:ascii="Times New Roman" w:hAnsi="Times New Roman" w:cs="Times New Roman"/>
          <w:b/>
          <w:bCs/>
          <w:i/>
          <w:iCs/>
          <w:lang w:val="en-US"/>
        </w:rPr>
        <w:t>Agriculture GDP</w:t>
      </w:r>
      <w:r w:rsidR="004D620F" w:rsidRPr="004D620F">
        <w:rPr>
          <w:rFonts w:ascii="Times New Roman" w:hAnsi="Times New Roman" w:cs="Times New Roman"/>
          <w:b/>
          <w:bCs/>
          <w:i/>
          <w:iCs/>
          <w:lang w:val="en-US"/>
        </w:rPr>
        <w:t>_{it} + β5 ln</w:t>
      </w:r>
      <w:r>
        <w:rPr>
          <w:rFonts w:ascii="Times New Roman" w:hAnsi="Times New Roman" w:cs="Times New Roman"/>
          <w:b/>
          <w:bCs/>
          <w:i/>
          <w:iCs/>
          <w:lang w:val="en-US"/>
        </w:rPr>
        <w:t xml:space="preserve"> </w:t>
      </w:r>
      <w:r w:rsidR="004D620F" w:rsidRPr="004D620F">
        <w:rPr>
          <w:rFonts w:ascii="Times New Roman" w:hAnsi="Times New Roman" w:cs="Times New Roman"/>
          <w:b/>
          <w:bCs/>
          <w:i/>
          <w:iCs/>
          <w:lang w:val="en-US"/>
        </w:rPr>
        <w:t>(</w:t>
      </w:r>
      <w:r w:rsidR="0089228F" w:rsidRPr="004D620F">
        <w:rPr>
          <w:rFonts w:ascii="Times New Roman" w:hAnsi="Times New Roman" w:cs="Times New Roman"/>
          <w:b/>
          <w:bCs/>
          <w:i/>
          <w:iCs/>
          <w:lang w:val="en-US"/>
        </w:rPr>
        <w:t xml:space="preserve">Arable </w:t>
      </w:r>
      <w:r w:rsidR="00407605" w:rsidRPr="004D620F">
        <w:rPr>
          <w:rFonts w:ascii="Times New Roman" w:hAnsi="Times New Roman" w:cs="Times New Roman"/>
          <w:b/>
          <w:bCs/>
          <w:i/>
          <w:iCs/>
          <w:lang w:val="en-US"/>
        </w:rPr>
        <w:t>Land) _</w:t>
      </w:r>
      <w:r w:rsidR="004D620F" w:rsidRPr="004D620F">
        <w:rPr>
          <w:rFonts w:ascii="Times New Roman" w:hAnsi="Times New Roman" w:cs="Times New Roman"/>
          <w:b/>
          <w:bCs/>
          <w:i/>
          <w:iCs/>
          <w:lang w:val="en-US"/>
        </w:rPr>
        <w:t>{it} + β6 ln</w:t>
      </w:r>
      <w:r>
        <w:rPr>
          <w:rFonts w:ascii="Times New Roman" w:hAnsi="Times New Roman" w:cs="Times New Roman"/>
          <w:b/>
          <w:bCs/>
          <w:i/>
          <w:iCs/>
          <w:lang w:val="en-US"/>
        </w:rPr>
        <w:t xml:space="preserve"> </w:t>
      </w:r>
      <w:r w:rsidR="004D620F" w:rsidRPr="004D620F">
        <w:rPr>
          <w:rFonts w:ascii="Times New Roman" w:hAnsi="Times New Roman" w:cs="Times New Roman"/>
          <w:b/>
          <w:bCs/>
          <w:i/>
          <w:iCs/>
          <w:lang w:val="en-US"/>
        </w:rPr>
        <w:t>(</w:t>
      </w:r>
      <w:r w:rsidR="0089228F" w:rsidRPr="004D620F">
        <w:rPr>
          <w:rFonts w:ascii="Times New Roman" w:hAnsi="Times New Roman" w:cs="Times New Roman"/>
          <w:b/>
          <w:bCs/>
          <w:i/>
          <w:iCs/>
          <w:lang w:val="en-US"/>
        </w:rPr>
        <w:t xml:space="preserve">Fertilizer </w:t>
      </w:r>
      <w:r w:rsidR="00407605" w:rsidRPr="004D620F">
        <w:rPr>
          <w:rFonts w:ascii="Times New Roman" w:hAnsi="Times New Roman" w:cs="Times New Roman"/>
          <w:b/>
          <w:bCs/>
          <w:i/>
          <w:iCs/>
          <w:lang w:val="en-US"/>
        </w:rPr>
        <w:t>Cons) _</w:t>
      </w:r>
      <w:r w:rsidR="004D620F" w:rsidRPr="004D620F">
        <w:rPr>
          <w:rFonts w:ascii="Times New Roman" w:hAnsi="Times New Roman" w:cs="Times New Roman"/>
          <w:b/>
          <w:bCs/>
          <w:i/>
          <w:iCs/>
          <w:lang w:val="en-US"/>
        </w:rPr>
        <w:t>{it} + ε_{it}</w:t>
      </w:r>
    </w:p>
    <w:p w14:paraId="225221CF" w14:textId="737B21DB" w:rsidR="004D620F" w:rsidRPr="004D620F" w:rsidRDefault="004D620F" w:rsidP="00A05EBF">
      <w:pPr>
        <w:jc w:val="both"/>
        <w:rPr>
          <w:rFonts w:ascii="Times New Roman" w:hAnsi="Times New Roman" w:cs="Times New Roman"/>
          <w:lang w:val="en-US"/>
        </w:rPr>
      </w:pPr>
      <w:r w:rsidRPr="004D620F">
        <w:rPr>
          <w:rFonts w:ascii="Times New Roman" w:hAnsi="Times New Roman" w:cs="Times New Roman"/>
          <w:lang w:val="en-US"/>
        </w:rPr>
        <w:t>Here, ln</w:t>
      </w:r>
      <w:r w:rsidR="00A05EBF">
        <w:rPr>
          <w:rFonts w:ascii="Times New Roman" w:hAnsi="Times New Roman" w:cs="Times New Roman"/>
          <w:lang w:val="en-US"/>
        </w:rPr>
        <w:t xml:space="preserve"> </w:t>
      </w:r>
      <w:r w:rsidRPr="004D620F">
        <w:rPr>
          <w:rFonts w:ascii="Times New Roman" w:hAnsi="Times New Roman" w:cs="Times New Roman"/>
          <w:lang w:val="en-US"/>
        </w:rPr>
        <w:t>(</w:t>
      </w:r>
      <w:r w:rsidR="0089228F" w:rsidRPr="004D620F">
        <w:rPr>
          <w:rFonts w:ascii="Times New Roman" w:hAnsi="Times New Roman" w:cs="Times New Roman"/>
          <w:lang w:val="en-US"/>
        </w:rPr>
        <w:t>Agri Prod</w:t>
      </w:r>
      <w:r w:rsidRPr="004D620F">
        <w:rPr>
          <w:rFonts w:ascii="Times New Roman" w:hAnsi="Times New Roman" w:cs="Times New Roman"/>
          <w:lang w:val="en-US"/>
        </w:rPr>
        <w:t>) represents the natural logarithm of agricultural production, while ln</w:t>
      </w:r>
      <w:r w:rsidR="00A05EBF">
        <w:rPr>
          <w:rFonts w:ascii="Times New Roman" w:hAnsi="Times New Roman" w:cs="Times New Roman"/>
          <w:lang w:val="en-US"/>
        </w:rPr>
        <w:t xml:space="preserve"> </w:t>
      </w:r>
      <w:r w:rsidRPr="004D620F">
        <w:rPr>
          <w:rFonts w:ascii="Times New Roman" w:hAnsi="Times New Roman" w:cs="Times New Roman"/>
          <w:lang w:val="en-US"/>
        </w:rPr>
        <w:t xml:space="preserve">(Credit) captures the logarithm of agricultural credit disbursed. </w:t>
      </w:r>
      <w:r w:rsidR="00D56416">
        <w:rPr>
          <w:rFonts w:ascii="Times New Roman" w:hAnsi="Times New Roman" w:cs="Times New Roman"/>
          <w:lang w:val="en-US"/>
        </w:rPr>
        <w:t>l</w:t>
      </w:r>
      <w:r w:rsidRPr="004D620F">
        <w:rPr>
          <w:rFonts w:ascii="Times New Roman" w:hAnsi="Times New Roman" w:cs="Times New Roman"/>
          <w:lang w:val="en-US"/>
        </w:rPr>
        <w:t>n</w:t>
      </w:r>
      <w:r w:rsidR="00A05EBF">
        <w:rPr>
          <w:rFonts w:ascii="Times New Roman" w:hAnsi="Times New Roman" w:cs="Times New Roman"/>
          <w:lang w:val="en-US"/>
        </w:rPr>
        <w:t xml:space="preserve"> </w:t>
      </w:r>
      <w:r w:rsidRPr="004D620F">
        <w:rPr>
          <w:rFonts w:ascii="Times New Roman" w:hAnsi="Times New Roman" w:cs="Times New Roman"/>
          <w:lang w:val="en-US"/>
        </w:rPr>
        <w:t>(</w:t>
      </w:r>
      <w:r w:rsidR="0089228F" w:rsidRPr="004D620F">
        <w:rPr>
          <w:rFonts w:ascii="Times New Roman" w:hAnsi="Times New Roman" w:cs="Times New Roman"/>
          <w:lang w:val="en-US"/>
        </w:rPr>
        <w:t>Rural Pop</w:t>
      </w:r>
      <w:r w:rsidRPr="004D620F">
        <w:rPr>
          <w:rFonts w:ascii="Times New Roman" w:hAnsi="Times New Roman" w:cs="Times New Roman"/>
          <w:lang w:val="en-US"/>
        </w:rPr>
        <w:t xml:space="preserve">) measures rural population, </w:t>
      </w:r>
      <w:proofErr w:type="spellStart"/>
      <w:r w:rsidRPr="004D620F">
        <w:rPr>
          <w:rFonts w:ascii="Times New Roman" w:hAnsi="Times New Roman" w:cs="Times New Roman"/>
          <w:lang w:val="en-US"/>
        </w:rPr>
        <w:t>EmpAgriculture</w:t>
      </w:r>
      <w:proofErr w:type="spellEnd"/>
      <w:r w:rsidRPr="004D620F">
        <w:rPr>
          <w:rFonts w:ascii="Times New Roman" w:hAnsi="Times New Roman" w:cs="Times New Roman"/>
          <w:lang w:val="en-US"/>
        </w:rPr>
        <w:t xml:space="preserve"> denotes the share of employment in agriculture, </w:t>
      </w:r>
      <w:r w:rsidR="0089228F" w:rsidRPr="004D620F">
        <w:rPr>
          <w:rFonts w:ascii="Times New Roman" w:hAnsi="Times New Roman" w:cs="Times New Roman"/>
          <w:lang w:val="en-US"/>
        </w:rPr>
        <w:t>Agriculture GDP</w:t>
      </w:r>
      <w:r w:rsidRPr="004D620F">
        <w:rPr>
          <w:rFonts w:ascii="Times New Roman" w:hAnsi="Times New Roman" w:cs="Times New Roman"/>
          <w:lang w:val="en-US"/>
        </w:rPr>
        <w:t xml:space="preserve"> refers to the agricultural share in GDP, ln</w:t>
      </w:r>
      <w:r w:rsidR="00A05EBF">
        <w:rPr>
          <w:rFonts w:ascii="Times New Roman" w:hAnsi="Times New Roman" w:cs="Times New Roman"/>
          <w:lang w:val="en-US"/>
        </w:rPr>
        <w:t xml:space="preserve"> </w:t>
      </w:r>
      <w:r w:rsidRPr="004D620F">
        <w:rPr>
          <w:rFonts w:ascii="Times New Roman" w:hAnsi="Times New Roman" w:cs="Times New Roman"/>
          <w:lang w:val="en-US"/>
        </w:rPr>
        <w:t>(</w:t>
      </w:r>
      <w:r w:rsidR="0089228F" w:rsidRPr="004D620F">
        <w:rPr>
          <w:rFonts w:ascii="Times New Roman" w:hAnsi="Times New Roman" w:cs="Times New Roman"/>
          <w:lang w:val="en-US"/>
        </w:rPr>
        <w:t>Arable Land</w:t>
      </w:r>
      <w:r w:rsidRPr="004D620F">
        <w:rPr>
          <w:rFonts w:ascii="Times New Roman" w:hAnsi="Times New Roman" w:cs="Times New Roman"/>
          <w:lang w:val="en-US"/>
        </w:rPr>
        <w:t>) represents the logarithm of arable land, and ln</w:t>
      </w:r>
      <w:r w:rsidR="00A05EBF">
        <w:rPr>
          <w:rFonts w:ascii="Times New Roman" w:hAnsi="Times New Roman" w:cs="Times New Roman"/>
          <w:lang w:val="en-US"/>
        </w:rPr>
        <w:t xml:space="preserve"> </w:t>
      </w:r>
      <w:r w:rsidRPr="004D620F">
        <w:rPr>
          <w:rFonts w:ascii="Times New Roman" w:hAnsi="Times New Roman" w:cs="Times New Roman"/>
          <w:lang w:val="en-US"/>
        </w:rPr>
        <w:t>(</w:t>
      </w:r>
      <w:r w:rsidR="0089228F" w:rsidRPr="004D620F">
        <w:rPr>
          <w:rFonts w:ascii="Times New Roman" w:hAnsi="Times New Roman" w:cs="Times New Roman"/>
          <w:lang w:val="en-US"/>
        </w:rPr>
        <w:t>Fertilizer Cons</w:t>
      </w:r>
      <w:r w:rsidRPr="004D620F">
        <w:rPr>
          <w:rFonts w:ascii="Times New Roman" w:hAnsi="Times New Roman" w:cs="Times New Roman"/>
          <w:lang w:val="en-US"/>
        </w:rPr>
        <w:t xml:space="preserve">) represents fertilizer consumption. The subscript </w:t>
      </w:r>
      <w:proofErr w:type="spellStart"/>
      <w:r w:rsidRPr="004D620F">
        <w:rPr>
          <w:rFonts w:ascii="Times New Roman" w:hAnsi="Times New Roman" w:cs="Times New Roman"/>
          <w:lang w:val="en-US"/>
        </w:rPr>
        <w:t>i</w:t>
      </w:r>
      <w:proofErr w:type="spellEnd"/>
      <w:r w:rsidRPr="004D620F">
        <w:rPr>
          <w:rFonts w:ascii="Times New Roman" w:hAnsi="Times New Roman" w:cs="Times New Roman"/>
          <w:lang w:val="en-US"/>
        </w:rPr>
        <w:t xml:space="preserve"> refers to the country and t to the year.</w:t>
      </w:r>
    </w:p>
    <w:p w14:paraId="43E7D705" w14:textId="77777777" w:rsidR="004D620F" w:rsidRPr="004D620F" w:rsidRDefault="004D620F" w:rsidP="00A05EBF">
      <w:pPr>
        <w:jc w:val="both"/>
        <w:rPr>
          <w:rFonts w:ascii="Times New Roman" w:hAnsi="Times New Roman" w:cs="Times New Roman"/>
          <w:b/>
          <w:bCs/>
          <w:lang w:val="en-US"/>
        </w:rPr>
      </w:pPr>
      <w:r w:rsidRPr="004D620F">
        <w:rPr>
          <w:rFonts w:ascii="Times New Roman" w:hAnsi="Times New Roman" w:cs="Times New Roman"/>
          <w:b/>
          <w:bCs/>
          <w:lang w:val="en-US"/>
        </w:rPr>
        <w:t>Model 2: Agricultural GDP Function</w:t>
      </w:r>
    </w:p>
    <w:p w14:paraId="3030A5F9" w14:textId="77777777" w:rsidR="004D620F" w:rsidRPr="004D620F" w:rsidRDefault="004D620F" w:rsidP="00A05EBF">
      <w:pPr>
        <w:jc w:val="both"/>
        <w:rPr>
          <w:rFonts w:ascii="Times New Roman" w:hAnsi="Times New Roman" w:cs="Times New Roman"/>
          <w:lang w:val="en-US"/>
        </w:rPr>
      </w:pPr>
      <w:r w:rsidRPr="004D620F">
        <w:rPr>
          <w:rFonts w:ascii="Times New Roman" w:hAnsi="Times New Roman" w:cs="Times New Roman"/>
          <w:lang w:val="en-US"/>
        </w:rPr>
        <w:t>The second model focuses on agricultural GDP as an indicator of agricultural output and its linkage to financial access and rural livelihood indicators. The working equation is as follows:</w:t>
      </w:r>
    </w:p>
    <w:p w14:paraId="555BFC0D" w14:textId="07D019EC" w:rsidR="004D620F" w:rsidRPr="004D620F" w:rsidRDefault="00E10844" w:rsidP="00A05EBF">
      <w:pPr>
        <w:jc w:val="both"/>
        <w:rPr>
          <w:rFonts w:ascii="Times New Roman" w:hAnsi="Times New Roman" w:cs="Times New Roman"/>
          <w:b/>
          <w:bCs/>
          <w:i/>
          <w:iCs/>
          <w:lang w:val="en-US"/>
        </w:rPr>
      </w:pPr>
      <w:r w:rsidRPr="004D620F">
        <w:rPr>
          <w:rFonts w:ascii="Times New Roman" w:hAnsi="Times New Roman" w:cs="Times New Roman"/>
          <w:b/>
          <w:bCs/>
          <w:i/>
          <w:iCs/>
          <w:lang w:val="en-US"/>
        </w:rPr>
        <w:t>Agri</w:t>
      </w:r>
      <w:r>
        <w:rPr>
          <w:rFonts w:ascii="Times New Roman" w:hAnsi="Times New Roman" w:cs="Times New Roman"/>
          <w:b/>
          <w:bCs/>
          <w:i/>
          <w:iCs/>
          <w:lang w:val="en-US"/>
        </w:rPr>
        <w:t xml:space="preserve"> GDP</w:t>
      </w:r>
      <w:r w:rsidR="004D620F" w:rsidRPr="004D620F">
        <w:rPr>
          <w:rFonts w:ascii="Times New Roman" w:hAnsi="Times New Roman" w:cs="Times New Roman"/>
          <w:b/>
          <w:bCs/>
          <w:i/>
          <w:iCs/>
          <w:lang w:val="en-US"/>
        </w:rPr>
        <w:t>_{it} = α_</w:t>
      </w:r>
      <w:proofErr w:type="spellStart"/>
      <w:r w:rsidR="004D620F" w:rsidRPr="004D620F">
        <w:rPr>
          <w:rFonts w:ascii="Times New Roman" w:hAnsi="Times New Roman" w:cs="Times New Roman"/>
          <w:b/>
          <w:bCs/>
          <w:i/>
          <w:iCs/>
          <w:lang w:val="en-US"/>
        </w:rPr>
        <w:t>i</w:t>
      </w:r>
      <w:proofErr w:type="spellEnd"/>
      <w:r w:rsidR="004D620F" w:rsidRPr="004D620F">
        <w:rPr>
          <w:rFonts w:ascii="Times New Roman" w:hAnsi="Times New Roman" w:cs="Times New Roman"/>
          <w:b/>
          <w:bCs/>
          <w:i/>
          <w:iCs/>
          <w:lang w:val="en-US"/>
        </w:rPr>
        <w:t xml:space="preserve"> + γ1 ln</w:t>
      </w:r>
      <w:r w:rsidR="00A05EBF">
        <w:rPr>
          <w:rFonts w:ascii="Times New Roman" w:hAnsi="Times New Roman" w:cs="Times New Roman"/>
          <w:b/>
          <w:bCs/>
          <w:i/>
          <w:iCs/>
          <w:lang w:val="en-US"/>
        </w:rPr>
        <w:t xml:space="preserve"> </w:t>
      </w:r>
      <w:r w:rsidR="004D620F" w:rsidRPr="004D620F">
        <w:rPr>
          <w:rFonts w:ascii="Times New Roman" w:hAnsi="Times New Roman" w:cs="Times New Roman"/>
          <w:b/>
          <w:bCs/>
          <w:i/>
          <w:iCs/>
          <w:lang w:val="en-US"/>
        </w:rPr>
        <w:t>(Credit)_{it} + γ2 ln</w:t>
      </w:r>
      <w:r w:rsidR="00A05EBF">
        <w:rPr>
          <w:rFonts w:ascii="Times New Roman" w:hAnsi="Times New Roman" w:cs="Times New Roman"/>
          <w:b/>
          <w:bCs/>
          <w:i/>
          <w:iCs/>
          <w:lang w:val="en-US"/>
        </w:rPr>
        <w:t xml:space="preserve"> </w:t>
      </w:r>
      <w:r w:rsidR="004D620F" w:rsidRPr="004D620F">
        <w:rPr>
          <w:rFonts w:ascii="Times New Roman" w:hAnsi="Times New Roman" w:cs="Times New Roman"/>
          <w:b/>
          <w:bCs/>
          <w:i/>
          <w:iCs/>
          <w:lang w:val="en-US"/>
        </w:rPr>
        <w:t>(</w:t>
      </w:r>
      <w:r w:rsidR="0089228F" w:rsidRPr="004D620F">
        <w:rPr>
          <w:rFonts w:ascii="Times New Roman" w:hAnsi="Times New Roman" w:cs="Times New Roman"/>
          <w:b/>
          <w:bCs/>
          <w:i/>
          <w:iCs/>
          <w:lang w:val="en-US"/>
        </w:rPr>
        <w:t xml:space="preserve">Rural </w:t>
      </w:r>
      <w:proofErr w:type="gramStart"/>
      <w:r w:rsidR="0089228F" w:rsidRPr="004D620F">
        <w:rPr>
          <w:rFonts w:ascii="Times New Roman" w:hAnsi="Times New Roman" w:cs="Times New Roman"/>
          <w:b/>
          <w:bCs/>
          <w:i/>
          <w:iCs/>
          <w:lang w:val="en-US"/>
        </w:rPr>
        <w:t>Pop</w:t>
      </w:r>
      <w:r w:rsidR="004D620F" w:rsidRPr="004D620F">
        <w:rPr>
          <w:rFonts w:ascii="Times New Roman" w:hAnsi="Times New Roman" w:cs="Times New Roman"/>
          <w:b/>
          <w:bCs/>
          <w:i/>
          <w:iCs/>
          <w:lang w:val="en-US"/>
        </w:rPr>
        <w:t>)_</w:t>
      </w:r>
      <w:proofErr w:type="gramEnd"/>
      <w:r w:rsidR="004D620F" w:rsidRPr="004D620F">
        <w:rPr>
          <w:rFonts w:ascii="Times New Roman" w:hAnsi="Times New Roman" w:cs="Times New Roman"/>
          <w:b/>
          <w:bCs/>
          <w:i/>
          <w:iCs/>
          <w:lang w:val="en-US"/>
        </w:rPr>
        <w:t xml:space="preserve">{it} + γ3 </w:t>
      </w:r>
      <w:proofErr w:type="spellStart"/>
      <w:r w:rsidR="004D620F" w:rsidRPr="004D620F">
        <w:rPr>
          <w:rFonts w:ascii="Times New Roman" w:hAnsi="Times New Roman" w:cs="Times New Roman"/>
          <w:b/>
          <w:bCs/>
          <w:i/>
          <w:iCs/>
          <w:lang w:val="en-US"/>
        </w:rPr>
        <w:t>EmpAgriculture</w:t>
      </w:r>
      <w:proofErr w:type="spellEnd"/>
      <w:r w:rsidR="004D620F" w:rsidRPr="004D620F">
        <w:rPr>
          <w:rFonts w:ascii="Times New Roman" w:hAnsi="Times New Roman" w:cs="Times New Roman"/>
          <w:b/>
          <w:bCs/>
          <w:i/>
          <w:iCs/>
          <w:lang w:val="en-US"/>
        </w:rPr>
        <w:t>_{it} + γ4 Access</w:t>
      </w:r>
      <w:r>
        <w:rPr>
          <w:rFonts w:ascii="Times New Roman" w:hAnsi="Times New Roman" w:cs="Times New Roman"/>
          <w:b/>
          <w:bCs/>
          <w:i/>
          <w:iCs/>
          <w:lang w:val="en-US"/>
        </w:rPr>
        <w:t xml:space="preserve"> </w:t>
      </w:r>
      <w:r w:rsidR="004D620F" w:rsidRPr="004D620F">
        <w:rPr>
          <w:rFonts w:ascii="Times New Roman" w:hAnsi="Times New Roman" w:cs="Times New Roman"/>
          <w:b/>
          <w:bCs/>
          <w:i/>
          <w:iCs/>
          <w:lang w:val="en-US"/>
        </w:rPr>
        <w:t>Electricity_{it} + μ_{it}</w:t>
      </w:r>
    </w:p>
    <w:p w14:paraId="44E15A36" w14:textId="14F10494" w:rsidR="004D620F" w:rsidRPr="004D620F" w:rsidRDefault="004D620F" w:rsidP="00A05EBF">
      <w:pPr>
        <w:jc w:val="both"/>
        <w:rPr>
          <w:rFonts w:ascii="Times New Roman" w:hAnsi="Times New Roman" w:cs="Times New Roman"/>
          <w:lang w:val="en-US"/>
        </w:rPr>
      </w:pPr>
      <w:r w:rsidRPr="004D620F">
        <w:rPr>
          <w:rFonts w:ascii="Times New Roman" w:hAnsi="Times New Roman" w:cs="Times New Roman"/>
          <w:lang w:val="en-US"/>
        </w:rPr>
        <w:t>In this model, Agri</w:t>
      </w:r>
      <w:r w:rsidR="00E10844">
        <w:rPr>
          <w:rFonts w:ascii="Times New Roman" w:hAnsi="Times New Roman" w:cs="Times New Roman"/>
          <w:lang w:val="en-US"/>
        </w:rPr>
        <w:t xml:space="preserve"> </w:t>
      </w:r>
      <w:r w:rsidRPr="004D620F">
        <w:rPr>
          <w:rFonts w:ascii="Times New Roman" w:hAnsi="Times New Roman" w:cs="Times New Roman"/>
          <w:lang w:val="en-US"/>
        </w:rPr>
        <w:t xml:space="preserve">GDP represents agricultural value added as a percentage of GDP. </w:t>
      </w:r>
      <w:proofErr w:type="gramStart"/>
      <w:r w:rsidRPr="004D620F">
        <w:rPr>
          <w:rFonts w:ascii="Times New Roman" w:hAnsi="Times New Roman" w:cs="Times New Roman"/>
          <w:lang w:val="en-US"/>
        </w:rPr>
        <w:t>ln(</w:t>
      </w:r>
      <w:proofErr w:type="gramEnd"/>
      <w:r w:rsidRPr="004D620F">
        <w:rPr>
          <w:rFonts w:ascii="Times New Roman" w:hAnsi="Times New Roman" w:cs="Times New Roman"/>
          <w:lang w:val="en-US"/>
        </w:rPr>
        <w:t>Credit), ln</w:t>
      </w:r>
      <w:r w:rsidR="00E10844">
        <w:rPr>
          <w:rFonts w:ascii="Times New Roman" w:hAnsi="Times New Roman" w:cs="Times New Roman"/>
          <w:lang w:val="en-US"/>
        </w:rPr>
        <w:t xml:space="preserve"> </w:t>
      </w:r>
      <w:r w:rsidRPr="004D620F">
        <w:rPr>
          <w:rFonts w:ascii="Times New Roman" w:hAnsi="Times New Roman" w:cs="Times New Roman"/>
          <w:lang w:val="en-US"/>
        </w:rPr>
        <w:t>(</w:t>
      </w:r>
      <w:r w:rsidR="0089228F" w:rsidRPr="004D620F">
        <w:rPr>
          <w:rFonts w:ascii="Times New Roman" w:hAnsi="Times New Roman" w:cs="Times New Roman"/>
          <w:lang w:val="en-US"/>
        </w:rPr>
        <w:t>Rural Pop</w:t>
      </w:r>
      <w:r w:rsidRPr="004D620F">
        <w:rPr>
          <w:rFonts w:ascii="Times New Roman" w:hAnsi="Times New Roman" w:cs="Times New Roman"/>
          <w:lang w:val="en-US"/>
        </w:rPr>
        <w:t xml:space="preserve">), and </w:t>
      </w:r>
      <w:proofErr w:type="spellStart"/>
      <w:r w:rsidRPr="004D620F">
        <w:rPr>
          <w:rFonts w:ascii="Times New Roman" w:hAnsi="Times New Roman" w:cs="Times New Roman"/>
          <w:lang w:val="en-US"/>
        </w:rPr>
        <w:t>EmpAgriculture</w:t>
      </w:r>
      <w:proofErr w:type="spellEnd"/>
      <w:r w:rsidRPr="004D620F">
        <w:rPr>
          <w:rFonts w:ascii="Times New Roman" w:hAnsi="Times New Roman" w:cs="Times New Roman"/>
          <w:lang w:val="en-US"/>
        </w:rPr>
        <w:t xml:space="preserve"> are defined as in Model 1. Access</w:t>
      </w:r>
      <w:r w:rsidR="00E10844">
        <w:rPr>
          <w:rFonts w:ascii="Times New Roman" w:hAnsi="Times New Roman" w:cs="Times New Roman"/>
          <w:lang w:val="en-US"/>
        </w:rPr>
        <w:t xml:space="preserve"> </w:t>
      </w:r>
      <w:r w:rsidRPr="004D620F">
        <w:rPr>
          <w:rFonts w:ascii="Times New Roman" w:hAnsi="Times New Roman" w:cs="Times New Roman"/>
          <w:lang w:val="en-US"/>
        </w:rPr>
        <w:t>Electricity represents the percentage of rural population with access to electricity, a livelihood factor that is expected to improve agricultural productivity through better irrigation, mechanization, and rural infrastructure.</w:t>
      </w:r>
    </w:p>
    <w:p w14:paraId="144E9B24" w14:textId="77777777" w:rsidR="004D620F" w:rsidRPr="004D620F" w:rsidRDefault="004D620F" w:rsidP="00A05EBF">
      <w:pPr>
        <w:jc w:val="both"/>
        <w:rPr>
          <w:rFonts w:ascii="Times New Roman" w:hAnsi="Times New Roman" w:cs="Times New Roman"/>
          <w:b/>
          <w:bCs/>
          <w:lang w:val="en-US"/>
        </w:rPr>
      </w:pPr>
      <w:r w:rsidRPr="004D620F">
        <w:rPr>
          <w:rFonts w:ascii="Times New Roman" w:hAnsi="Times New Roman" w:cs="Times New Roman"/>
          <w:b/>
          <w:bCs/>
          <w:lang w:val="en-US"/>
        </w:rPr>
        <w:t>Econometric Estimation and Diagnostic Tests</w:t>
      </w:r>
    </w:p>
    <w:p w14:paraId="26A27F88" w14:textId="77777777" w:rsidR="004D620F" w:rsidRPr="004D620F" w:rsidRDefault="004D620F" w:rsidP="00A05EBF">
      <w:pPr>
        <w:jc w:val="both"/>
        <w:rPr>
          <w:rFonts w:ascii="Times New Roman" w:hAnsi="Times New Roman" w:cs="Times New Roman"/>
          <w:lang w:val="en-US"/>
        </w:rPr>
      </w:pPr>
      <w:r w:rsidRPr="004D620F">
        <w:rPr>
          <w:rFonts w:ascii="Times New Roman" w:hAnsi="Times New Roman" w:cs="Times New Roman"/>
          <w:lang w:val="en-US"/>
        </w:rPr>
        <w:t xml:space="preserve">The econometric estimation was carried out using panel regression techniques. For each model, pooled OLS, fixed effects (FE), and random effects (RE) estimators were applied. Model selection was guided by three standard specification tests: </w:t>
      </w:r>
      <w:proofErr w:type="gramStart"/>
      <w:r w:rsidRPr="004D620F">
        <w:rPr>
          <w:rFonts w:ascii="Times New Roman" w:hAnsi="Times New Roman" w:cs="Times New Roman"/>
          <w:lang w:val="en-US"/>
        </w:rPr>
        <w:t>the</w:t>
      </w:r>
      <w:proofErr w:type="gramEnd"/>
      <w:r w:rsidRPr="004D620F">
        <w:rPr>
          <w:rFonts w:ascii="Times New Roman" w:hAnsi="Times New Roman" w:cs="Times New Roman"/>
          <w:lang w:val="en-US"/>
        </w:rPr>
        <w:t xml:space="preserve"> F-test for fixed effects versus pooled OLS, the Breusch–Pagan Lagrange Multiplier (LM) test for random effects versus pooled OLS, and the Hausman test for fixed versus random effects. The results of these specification tests consistently supported the fixed effects model for both Model 1 and Model 2, indicating the presence of unobserved country-specific heterogeneity.</w:t>
      </w:r>
    </w:p>
    <w:p w14:paraId="43035AE0" w14:textId="77777777" w:rsidR="004D620F" w:rsidRPr="004D620F" w:rsidRDefault="004D620F" w:rsidP="00A05EBF">
      <w:pPr>
        <w:jc w:val="both"/>
        <w:rPr>
          <w:rFonts w:ascii="Times New Roman" w:hAnsi="Times New Roman" w:cs="Times New Roman"/>
          <w:lang w:val="en-US"/>
        </w:rPr>
      </w:pPr>
      <w:r w:rsidRPr="004D620F">
        <w:rPr>
          <w:rFonts w:ascii="Times New Roman" w:hAnsi="Times New Roman" w:cs="Times New Roman"/>
          <w:lang w:val="en-US"/>
        </w:rPr>
        <w:t xml:space="preserve">Diagnostic tests were performed to ensure robustness of the models. The Breusch–Pagan test detected the presence of heteroskedasticity in both models, while the Breusch–Godfrey/Wooldridge test confirmed serial correlation in the idiosyncratic errors. To address these econometric issues, robust estimation techniques were employed. Specifically, </w:t>
      </w:r>
      <w:r w:rsidRPr="004D620F">
        <w:rPr>
          <w:rFonts w:ascii="Times New Roman" w:hAnsi="Times New Roman" w:cs="Times New Roman"/>
          <w:lang w:val="en-US"/>
        </w:rPr>
        <w:lastRenderedPageBreak/>
        <w:t>heteroskedasticity-consistent standard errors (HC1) and Driscoll–</w:t>
      </w:r>
      <w:proofErr w:type="spellStart"/>
      <w:r w:rsidRPr="004D620F">
        <w:rPr>
          <w:rFonts w:ascii="Times New Roman" w:hAnsi="Times New Roman" w:cs="Times New Roman"/>
          <w:lang w:val="en-US"/>
        </w:rPr>
        <w:t>Kraay</w:t>
      </w:r>
      <w:proofErr w:type="spellEnd"/>
      <w:r w:rsidRPr="004D620F">
        <w:rPr>
          <w:rFonts w:ascii="Times New Roman" w:hAnsi="Times New Roman" w:cs="Times New Roman"/>
          <w:lang w:val="en-US"/>
        </w:rPr>
        <w:t xml:space="preserve"> standard errors were applied to correct for cross-sectional dependence and autocorrelation. </w:t>
      </w:r>
    </w:p>
    <w:p w14:paraId="72C20E60" w14:textId="77777777" w:rsidR="004D620F" w:rsidRPr="004D620F" w:rsidRDefault="004D620F" w:rsidP="00A05EBF">
      <w:pPr>
        <w:jc w:val="both"/>
        <w:rPr>
          <w:rFonts w:ascii="Times New Roman" w:hAnsi="Times New Roman" w:cs="Times New Roman"/>
          <w:lang w:val="en-US"/>
        </w:rPr>
      </w:pPr>
      <w:r w:rsidRPr="004D620F">
        <w:rPr>
          <w:rFonts w:ascii="Times New Roman" w:hAnsi="Times New Roman" w:cs="Times New Roman"/>
          <w:lang w:val="en-US"/>
        </w:rPr>
        <w:t>In addition to the pooled panel models, country-wise regressions were also estimated using Ordinary Least Squares (OLS) with Newey–West robust standard errors. This allowed for an exploration of heterogeneity in credit–productivity relationships across the eight SAARC countries.</w:t>
      </w:r>
    </w:p>
    <w:p w14:paraId="18963C0F" w14:textId="3DADB318" w:rsidR="004D620F" w:rsidRPr="00E10844" w:rsidRDefault="002B7370" w:rsidP="00A05EBF">
      <w:pPr>
        <w:jc w:val="both"/>
        <w:rPr>
          <w:rFonts w:ascii="Times New Roman" w:hAnsi="Times New Roman" w:cs="Times New Roman"/>
          <w:b/>
          <w:bCs/>
        </w:rPr>
      </w:pPr>
      <w:r w:rsidRPr="004D620F">
        <w:rPr>
          <w:rFonts w:ascii="Times New Roman" w:hAnsi="Times New Roman" w:cs="Times New Roman"/>
          <w:b/>
          <w:bCs/>
        </w:rPr>
        <w:t>RESULTS AND ANALYSIS</w:t>
      </w:r>
    </w:p>
    <w:p w14:paraId="568ABF86" w14:textId="77777777" w:rsidR="004D620F" w:rsidRPr="004D620F" w:rsidRDefault="004D620F" w:rsidP="00A05EBF">
      <w:pPr>
        <w:jc w:val="both"/>
        <w:rPr>
          <w:rFonts w:ascii="Times New Roman" w:hAnsi="Times New Roman" w:cs="Times New Roman"/>
          <w:b/>
          <w:bCs/>
        </w:rPr>
      </w:pPr>
      <w:r w:rsidRPr="004D620F">
        <w:rPr>
          <w:rFonts w:ascii="Times New Roman" w:hAnsi="Times New Roman" w:cs="Times New Roman"/>
          <w:b/>
          <w:bCs/>
        </w:rPr>
        <w:t>Model 1: Agricultural Production and Credit Linkages</w:t>
      </w:r>
    </w:p>
    <w:p w14:paraId="23E25ABD" w14:textId="50DB615A" w:rsidR="004D620F" w:rsidRDefault="00DA14BF" w:rsidP="00A05EBF">
      <w:pPr>
        <w:jc w:val="both"/>
        <w:rPr>
          <w:rFonts w:ascii="Times New Roman" w:hAnsi="Times New Roman" w:cs="Times New Roman"/>
          <w:b/>
          <w:bCs/>
        </w:rPr>
      </w:pPr>
      <w:r>
        <w:rPr>
          <w:rFonts w:ascii="Times New Roman" w:hAnsi="Times New Roman" w:cs="Times New Roman"/>
          <w:b/>
          <w:bCs/>
        </w:rPr>
        <w:t>Table 1-</w:t>
      </w:r>
      <w:r w:rsidR="004D620F" w:rsidRPr="004D620F">
        <w:rPr>
          <w:rFonts w:ascii="Times New Roman" w:hAnsi="Times New Roman" w:cs="Times New Roman"/>
          <w:b/>
          <w:bCs/>
        </w:rPr>
        <w:t>Panel Results</w:t>
      </w:r>
    </w:p>
    <w:tbl>
      <w:tblPr>
        <w:tblStyle w:val="TableGrid"/>
        <w:tblW w:w="0" w:type="auto"/>
        <w:tblLook w:val="04A0" w:firstRow="1" w:lastRow="0" w:firstColumn="1" w:lastColumn="0" w:noHBand="0" w:noVBand="1"/>
      </w:tblPr>
      <w:tblGrid>
        <w:gridCol w:w="3397"/>
        <w:gridCol w:w="4215"/>
      </w:tblGrid>
      <w:tr w:rsidR="004F65F0" w:rsidRPr="004F65F0" w14:paraId="6C776A1D" w14:textId="77777777" w:rsidTr="004F65F0">
        <w:trPr>
          <w:trHeight w:val="288"/>
        </w:trPr>
        <w:tc>
          <w:tcPr>
            <w:tcW w:w="7612" w:type="dxa"/>
            <w:gridSpan w:val="2"/>
            <w:noWrap/>
          </w:tcPr>
          <w:p w14:paraId="65FB1592" w14:textId="29E05F52" w:rsidR="004F65F0" w:rsidRPr="005B275C" w:rsidRDefault="004F65F0" w:rsidP="004F65F0">
            <w:pPr>
              <w:jc w:val="both"/>
              <w:rPr>
                <w:rFonts w:ascii="Times New Roman" w:hAnsi="Times New Roman" w:cs="Times New Roman"/>
              </w:rPr>
            </w:pPr>
            <w:r w:rsidRPr="005B275C">
              <w:rPr>
                <w:rStyle w:val="Strong"/>
                <w:rFonts w:ascii="Times New Roman" w:hAnsi="Times New Roman" w:cs="Times New Roman"/>
              </w:rPr>
              <w:t>Dependent Variable:</w:t>
            </w:r>
            <w:r w:rsidRPr="005B275C">
              <w:rPr>
                <w:rFonts w:ascii="Times New Roman" w:hAnsi="Times New Roman" w:cs="Times New Roman"/>
              </w:rPr>
              <w:t xml:space="preserve"> </w:t>
            </w:r>
            <w:r w:rsidRPr="005B275C">
              <w:rPr>
                <w:rStyle w:val="katex-mathml"/>
                <w:rFonts w:ascii="Times New Roman" w:hAnsi="Times New Roman" w:cs="Times New Roman"/>
              </w:rPr>
              <w:t>ln (</w:t>
            </w:r>
            <w:r w:rsidR="0089228F" w:rsidRPr="005B275C">
              <w:rPr>
                <w:rStyle w:val="katex-mathml"/>
                <w:rFonts w:ascii="Times New Roman" w:hAnsi="Times New Roman" w:cs="Times New Roman"/>
              </w:rPr>
              <w:t>Agri Prod</w:t>
            </w:r>
            <w:r w:rsidRPr="005B275C">
              <w:rPr>
                <w:rStyle w:val="katex-mathml"/>
                <w:rFonts w:ascii="Times New Roman" w:hAnsi="Times New Roman" w:cs="Times New Roman"/>
              </w:rPr>
              <w:t>)</w:t>
            </w:r>
            <w:r w:rsidR="0089228F">
              <w:rPr>
                <w:rStyle w:val="katex-mathml"/>
                <w:rFonts w:ascii="Times New Roman" w:hAnsi="Times New Roman" w:cs="Times New Roman"/>
              </w:rPr>
              <w:t xml:space="preserve"> </w:t>
            </w:r>
            <w:r w:rsidRPr="005B275C">
              <w:rPr>
                <w:rStyle w:val="katex-mathml"/>
                <w:rFonts w:ascii="Times New Roman" w:hAnsi="Times New Roman" w:cs="Times New Roman"/>
              </w:rPr>
              <w:t>it</w:t>
            </w:r>
            <w:r w:rsidRPr="005B275C">
              <w:rPr>
                <w:rStyle w:val="vlist-s"/>
                <w:rFonts w:ascii="Times New Roman" w:hAnsi="Times New Roman" w:cs="Times New Roman"/>
              </w:rPr>
              <w:t xml:space="preserve"> ​</w:t>
            </w:r>
          </w:p>
        </w:tc>
      </w:tr>
      <w:tr w:rsidR="004F65F0" w:rsidRPr="004F65F0" w14:paraId="39B6EC27" w14:textId="77777777" w:rsidTr="004F65F0">
        <w:trPr>
          <w:trHeight w:val="288"/>
        </w:trPr>
        <w:tc>
          <w:tcPr>
            <w:tcW w:w="3397" w:type="dxa"/>
            <w:noWrap/>
            <w:hideMark/>
          </w:tcPr>
          <w:p w14:paraId="0950C358"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Variable</w:t>
            </w:r>
          </w:p>
        </w:tc>
        <w:tc>
          <w:tcPr>
            <w:tcW w:w="4215" w:type="dxa"/>
            <w:noWrap/>
            <w:hideMark/>
          </w:tcPr>
          <w:p w14:paraId="7A62C1EF"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Estimate (Robust SE)</w:t>
            </w:r>
          </w:p>
        </w:tc>
      </w:tr>
      <w:tr w:rsidR="004F65F0" w:rsidRPr="004F65F0" w14:paraId="6E935872" w14:textId="77777777" w:rsidTr="004F65F0">
        <w:trPr>
          <w:trHeight w:val="288"/>
        </w:trPr>
        <w:tc>
          <w:tcPr>
            <w:tcW w:w="3397" w:type="dxa"/>
            <w:noWrap/>
            <w:hideMark/>
          </w:tcPr>
          <w:p w14:paraId="398E7799"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Constant</w:t>
            </w:r>
          </w:p>
        </w:tc>
        <w:tc>
          <w:tcPr>
            <w:tcW w:w="4215" w:type="dxa"/>
            <w:noWrap/>
            <w:hideMark/>
          </w:tcPr>
          <w:p w14:paraId="298F03D9"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1.4413 (0.7674</w:t>
            </w:r>
            <w:proofErr w:type="gramStart"/>
            <w:r w:rsidRPr="004F65F0">
              <w:rPr>
                <w:rFonts w:ascii="Times New Roman" w:hAnsi="Times New Roman" w:cs="Times New Roman"/>
              </w:rPr>
              <w:t>) .</w:t>
            </w:r>
            <w:proofErr w:type="gramEnd"/>
          </w:p>
        </w:tc>
      </w:tr>
      <w:tr w:rsidR="004F65F0" w:rsidRPr="004F65F0" w14:paraId="397EB8E2" w14:textId="77777777" w:rsidTr="004F65F0">
        <w:trPr>
          <w:trHeight w:val="288"/>
        </w:trPr>
        <w:tc>
          <w:tcPr>
            <w:tcW w:w="3397" w:type="dxa"/>
            <w:noWrap/>
            <w:hideMark/>
          </w:tcPr>
          <w:p w14:paraId="25B50B98" w14:textId="1FB59446" w:rsidR="004F65F0" w:rsidRPr="004F65F0" w:rsidRDefault="004F65F0" w:rsidP="004F65F0">
            <w:pPr>
              <w:jc w:val="both"/>
              <w:rPr>
                <w:rFonts w:ascii="Times New Roman" w:hAnsi="Times New Roman" w:cs="Times New Roman"/>
              </w:rPr>
            </w:pPr>
            <w:r w:rsidRPr="004F65F0">
              <w:rPr>
                <w:rFonts w:ascii="Times New Roman" w:hAnsi="Times New Roman" w:cs="Times New Roman"/>
              </w:rPr>
              <w:t>ln</w:t>
            </w:r>
            <w:r w:rsidR="0089228F">
              <w:rPr>
                <w:rFonts w:ascii="Times New Roman" w:hAnsi="Times New Roman" w:cs="Times New Roman"/>
              </w:rPr>
              <w:t xml:space="preserve"> </w:t>
            </w:r>
            <w:r w:rsidRPr="004F65F0">
              <w:rPr>
                <w:rFonts w:ascii="Times New Roman" w:hAnsi="Times New Roman" w:cs="Times New Roman"/>
              </w:rPr>
              <w:t>(Credit)it</w:t>
            </w:r>
          </w:p>
        </w:tc>
        <w:tc>
          <w:tcPr>
            <w:tcW w:w="4215" w:type="dxa"/>
            <w:noWrap/>
            <w:hideMark/>
          </w:tcPr>
          <w:p w14:paraId="2D8A9B90"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0.0100 (0.0203)</w:t>
            </w:r>
          </w:p>
        </w:tc>
      </w:tr>
      <w:tr w:rsidR="004F65F0" w:rsidRPr="004F65F0" w14:paraId="789489CD" w14:textId="77777777" w:rsidTr="004F65F0">
        <w:trPr>
          <w:trHeight w:val="288"/>
        </w:trPr>
        <w:tc>
          <w:tcPr>
            <w:tcW w:w="3397" w:type="dxa"/>
            <w:noWrap/>
            <w:hideMark/>
          </w:tcPr>
          <w:p w14:paraId="4D877A36" w14:textId="0F18D0D4" w:rsidR="004F65F0" w:rsidRPr="004F65F0" w:rsidRDefault="0089228F" w:rsidP="004F65F0">
            <w:pPr>
              <w:jc w:val="both"/>
              <w:rPr>
                <w:rFonts w:ascii="Times New Roman" w:hAnsi="Times New Roman" w:cs="Times New Roman"/>
              </w:rPr>
            </w:pPr>
            <w:r w:rsidRPr="004F65F0">
              <w:rPr>
                <w:rFonts w:ascii="Times New Roman" w:hAnsi="Times New Roman" w:cs="Times New Roman"/>
              </w:rPr>
              <w:t>ln (Rural Pop</w:t>
            </w:r>
            <w:r w:rsidR="004F65F0" w:rsidRPr="004F65F0">
              <w:rPr>
                <w:rFonts w:ascii="Times New Roman" w:hAnsi="Times New Roman" w:cs="Times New Roman"/>
              </w:rPr>
              <w:t>)</w:t>
            </w:r>
            <w:r>
              <w:rPr>
                <w:rFonts w:ascii="Times New Roman" w:hAnsi="Times New Roman" w:cs="Times New Roman"/>
              </w:rPr>
              <w:t xml:space="preserve"> </w:t>
            </w:r>
            <w:r w:rsidR="004F65F0" w:rsidRPr="004F65F0">
              <w:rPr>
                <w:rFonts w:ascii="Times New Roman" w:hAnsi="Times New Roman" w:cs="Times New Roman"/>
              </w:rPr>
              <w:t>it</w:t>
            </w:r>
          </w:p>
        </w:tc>
        <w:tc>
          <w:tcPr>
            <w:tcW w:w="4215" w:type="dxa"/>
            <w:noWrap/>
            <w:hideMark/>
          </w:tcPr>
          <w:p w14:paraId="616847BA"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−0.6629 (0.4726)</w:t>
            </w:r>
          </w:p>
        </w:tc>
      </w:tr>
      <w:tr w:rsidR="004F65F0" w:rsidRPr="004F65F0" w14:paraId="348D2811" w14:textId="77777777" w:rsidTr="004F65F0">
        <w:trPr>
          <w:trHeight w:val="288"/>
        </w:trPr>
        <w:tc>
          <w:tcPr>
            <w:tcW w:w="3397" w:type="dxa"/>
            <w:noWrap/>
            <w:hideMark/>
          </w:tcPr>
          <w:p w14:paraId="75777881" w14:textId="698322E1" w:rsidR="004F65F0" w:rsidRPr="004F65F0" w:rsidRDefault="004F65F0" w:rsidP="004F65F0">
            <w:pPr>
              <w:jc w:val="both"/>
              <w:rPr>
                <w:rFonts w:ascii="Times New Roman" w:hAnsi="Times New Roman" w:cs="Times New Roman"/>
              </w:rPr>
            </w:pPr>
            <w:proofErr w:type="spellStart"/>
            <w:r w:rsidRPr="004F65F0">
              <w:rPr>
                <w:rFonts w:ascii="Times New Roman" w:hAnsi="Times New Roman" w:cs="Times New Roman"/>
              </w:rPr>
              <w:t>EmpAgriculture</w:t>
            </w:r>
            <w:proofErr w:type="spellEnd"/>
            <w:r>
              <w:rPr>
                <w:rFonts w:ascii="Times New Roman" w:hAnsi="Times New Roman" w:cs="Times New Roman"/>
              </w:rPr>
              <w:t xml:space="preserve"> </w:t>
            </w:r>
            <w:r w:rsidRPr="004F65F0">
              <w:rPr>
                <w:rFonts w:ascii="Times New Roman" w:hAnsi="Times New Roman" w:cs="Times New Roman"/>
              </w:rPr>
              <w:t>it​</w:t>
            </w:r>
          </w:p>
        </w:tc>
        <w:tc>
          <w:tcPr>
            <w:tcW w:w="4215" w:type="dxa"/>
            <w:noWrap/>
            <w:hideMark/>
          </w:tcPr>
          <w:p w14:paraId="0356D099"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−0.0154 (0.0073) *</w:t>
            </w:r>
          </w:p>
        </w:tc>
      </w:tr>
      <w:tr w:rsidR="004F65F0" w:rsidRPr="004F65F0" w14:paraId="42DA5090" w14:textId="77777777" w:rsidTr="004F65F0">
        <w:trPr>
          <w:trHeight w:val="288"/>
        </w:trPr>
        <w:tc>
          <w:tcPr>
            <w:tcW w:w="3397" w:type="dxa"/>
            <w:noWrap/>
            <w:hideMark/>
          </w:tcPr>
          <w:p w14:paraId="2646EDA4" w14:textId="3348E8D4" w:rsidR="004F65F0" w:rsidRPr="004F65F0" w:rsidRDefault="0089228F" w:rsidP="004F65F0">
            <w:pPr>
              <w:jc w:val="both"/>
              <w:rPr>
                <w:rFonts w:ascii="Times New Roman" w:hAnsi="Times New Roman" w:cs="Times New Roman"/>
              </w:rPr>
            </w:pPr>
            <w:r w:rsidRPr="004F65F0">
              <w:rPr>
                <w:rFonts w:ascii="Times New Roman" w:hAnsi="Times New Roman" w:cs="Times New Roman"/>
              </w:rPr>
              <w:t>Agriculture GDP</w:t>
            </w:r>
            <w:r w:rsidR="004F65F0">
              <w:rPr>
                <w:rFonts w:ascii="Times New Roman" w:hAnsi="Times New Roman" w:cs="Times New Roman"/>
              </w:rPr>
              <w:t xml:space="preserve"> </w:t>
            </w:r>
            <w:r w:rsidR="004F65F0" w:rsidRPr="004F65F0">
              <w:rPr>
                <w:rFonts w:ascii="Times New Roman" w:hAnsi="Times New Roman" w:cs="Times New Roman"/>
              </w:rPr>
              <w:t>it​</w:t>
            </w:r>
          </w:p>
        </w:tc>
        <w:tc>
          <w:tcPr>
            <w:tcW w:w="4215" w:type="dxa"/>
            <w:noWrap/>
            <w:hideMark/>
          </w:tcPr>
          <w:p w14:paraId="0A1781C6"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−0.00918 (0.00830)</w:t>
            </w:r>
          </w:p>
        </w:tc>
      </w:tr>
      <w:tr w:rsidR="004F65F0" w:rsidRPr="004F65F0" w14:paraId="4489F02D" w14:textId="77777777" w:rsidTr="004F65F0">
        <w:trPr>
          <w:trHeight w:val="288"/>
        </w:trPr>
        <w:tc>
          <w:tcPr>
            <w:tcW w:w="3397" w:type="dxa"/>
            <w:noWrap/>
            <w:hideMark/>
          </w:tcPr>
          <w:p w14:paraId="4C5170AA" w14:textId="1CF1C67E" w:rsidR="004F65F0" w:rsidRPr="004F65F0" w:rsidRDefault="0089228F" w:rsidP="004F65F0">
            <w:pPr>
              <w:jc w:val="both"/>
              <w:rPr>
                <w:rFonts w:ascii="Times New Roman" w:hAnsi="Times New Roman" w:cs="Times New Roman"/>
              </w:rPr>
            </w:pPr>
            <w:r w:rsidRPr="004F65F0">
              <w:rPr>
                <w:rFonts w:ascii="Times New Roman" w:hAnsi="Times New Roman" w:cs="Times New Roman"/>
              </w:rPr>
              <w:t>ln (Arable Land) it</w:t>
            </w:r>
          </w:p>
        </w:tc>
        <w:tc>
          <w:tcPr>
            <w:tcW w:w="4215" w:type="dxa"/>
            <w:noWrap/>
            <w:hideMark/>
          </w:tcPr>
          <w:p w14:paraId="6B5C071E"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1.7177 (0.5220) **</w:t>
            </w:r>
          </w:p>
        </w:tc>
      </w:tr>
      <w:tr w:rsidR="004F65F0" w:rsidRPr="004F65F0" w14:paraId="0953C1D8" w14:textId="77777777" w:rsidTr="004F65F0">
        <w:trPr>
          <w:trHeight w:val="288"/>
        </w:trPr>
        <w:tc>
          <w:tcPr>
            <w:tcW w:w="3397" w:type="dxa"/>
            <w:noWrap/>
            <w:hideMark/>
          </w:tcPr>
          <w:p w14:paraId="7ACFC5F0" w14:textId="101683ED" w:rsidR="004F65F0" w:rsidRPr="004F65F0" w:rsidRDefault="0089228F" w:rsidP="004F65F0">
            <w:pPr>
              <w:jc w:val="both"/>
              <w:rPr>
                <w:rFonts w:ascii="Times New Roman" w:hAnsi="Times New Roman" w:cs="Times New Roman"/>
              </w:rPr>
            </w:pPr>
            <w:r w:rsidRPr="004F65F0">
              <w:rPr>
                <w:rFonts w:ascii="Times New Roman" w:hAnsi="Times New Roman" w:cs="Times New Roman"/>
              </w:rPr>
              <w:t>ln (Fert Cons) it</w:t>
            </w:r>
            <w:r w:rsidR="004F65F0" w:rsidRPr="004F65F0">
              <w:rPr>
                <w:rFonts w:ascii="Times New Roman" w:hAnsi="Times New Roman" w:cs="Times New Roman"/>
              </w:rPr>
              <w:t xml:space="preserve"> ​</w:t>
            </w:r>
          </w:p>
        </w:tc>
        <w:tc>
          <w:tcPr>
            <w:tcW w:w="4215" w:type="dxa"/>
            <w:noWrap/>
            <w:hideMark/>
          </w:tcPr>
          <w:p w14:paraId="0FE96EFE"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−0.0290 (0.1100)</w:t>
            </w:r>
          </w:p>
        </w:tc>
      </w:tr>
      <w:tr w:rsidR="004F65F0" w:rsidRPr="004F65F0" w14:paraId="3F28E89B" w14:textId="77777777" w:rsidTr="004F65F0">
        <w:trPr>
          <w:trHeight w:val="288"/>
        </w:trPr>
        <w:tc>
          <w:tcPr>
            <w:tcW w:w="7612" w:type="dxa"/>
            <w:gridSpan w:val="2"/>
            <w:noWrap/>
          </w:tcPr>
          <w:p w14:paraId="23BDB080" w14:textId="722B4F1A" w:rsidR="004F65F0" w:rsidRPr="004F65F0" w:rsidRDefault="004F65F0" w:rsidP="004F65F0">
            <w:pPr>
              <w:jc w:val="both"/>
              <w:rPr>
                <w:rFonts w:ascii="Times New Roman" w:hAnsi="Times New Roman" w:cs="Times New Roman"/>
              </w:rPr>
            </w:pPr>
            <w:r w:rsidRPr="004F65F0">
              <w:rPr>
                <w:rFonts w:ascii="Times New Roman" w:hAnsi="Times New Roman" w:cs="Times New Roman"/>
              </w:rPr>
              <w:t>Significance level: *10%; **5%; ***1%</w:t>
            </w:r>
          </w:p>
        </w:tc>
      </w:tr>
      <w:tr w:rsidR="004F65F0" w:rsidRPr="004F65F0" w14:paraId="3F7CEFA1" w14:textId="77777777" w:rsidTr="004F65F0">
        <w:trPr>
          <w:trHeight w:val="288"/>
        </w:trPr>
        <w:tc>
          <w:tcPr>
            <w:tcW w:w="3397" w:type="dxa"/>
            <w:noWrap/>
          </w:tcPr>
          <w:p w14:paraId="2E9DEFF0" w14:textId="613DE77E" w:rsidR="004F65F0" w:rsidRPr="004F65F0" w:rsidRDefault="004F65F0" w:rsidP="004F65F0">
            <w:pPr>
              <w:jc w:val="both"/>
              <w:rPr>
                <w:rFonts w:ascii="Times New Roman" w:hAnsi="Times New Roman" w:cs="Times New Roman"/>
                <w:vertAlign w:val="superscript"/>
              </w:rPr>
            </w:pPr>
            <w:r>
              <w:rPr>
                <w:rFonts w:ascii="Times New Roman" w:hAnsi="Times New Roman" w:cs="Times New Roman"/>
              </w:rPr>
              <w:t>R</w:t>
            </w:r>
            <w:r>
              <w:rPr>
                <w:rFonts w:ascii="Times New Roman" w:hAnsi="Times New Roman" w:cs="Times New Roman"/>
                <w:vertAlign w:val="superscript"/>
              </w:rPr>
              <w:t>2</w:t>
            </w:r>
          </w:p>
        </w:tc>
        <w:tc>
          <w:tcPr>
            <w:tcW w:w="4215" w:type="dxa"/>
            <w:noWrap/>
          </w:tcPr>
          <w:p w14:paraId="7C0AA586" w14:textId="2DDE7F3B" w:rsidR="004F65F0" w:rsidRPr="004F65F0" w:rsidRDefault="005B275C" w:rsidP="004F65F0">
            <w:pPr>
              <w:jc w:val="both"/>
              <w:rPr>
                <w:rFonts w:ascii="Times New Roman" w:hAnsi="Times New Roman" w:cs="Times New Roman"/>
              </w:rPr>
            </w:pPr>
            <w:r>
              <w:rPr>
                <w:rFonts w:ascii="Times New Roman" w:hAnsi="Times New Roman" w:cs="Times New Roman"/>
              </w:rPr>
              <w:t>0.6374</w:t>
            </w:r>
          </w:p>
        </w:tc>
      </w:tr>
      <w:tr w:rsidR="004F65F0" w:rsidRPr="004F65F0" w14:paraId="6AE8DF31" w14:textId="77777777" w:rsidTr="004F65F0">
        <w:trPr>
          <w:trHeight w:val="288"/>
        </w:trPr>
        <w:tc>
          <w:tcPr>
            <w:tcW w:w="3397" w:type="dxa"/>
            <w:noWrap/>
          </w:tcPr>
          <w:p w14:paraId="231942B8" w14:textId="428A817D" w:rsidR="004F65F0" w:rsidRPr="004F65F0" w:rsidRDefault="004F65F0" w:rsidP="004F65F0">
            <w:pPr>
              <w:jc w:val="both"/>
              <w:rPr>
                <w:rFonts w:ascii="Times New Roman" w:hAnsi="Times New Roman" w:cs="Times New Roman"/>
              </w:rPr>
            </w:pPr>
            <w:r w:rsidRPr="004F65F0">
              <w:rPr>
                <w:rFonts w:ascii="Times New Roman" w:hAnsi="Times New Roman" w:cs="Times New Roman"/>
              </w:rPr>
              <w:t>Adjusted R</w:t>
            </w:r>
            <w:r w:rsidRPr="004F65F0">
              <w:rPr>
                <w:rFonts w:ascii="Times New Roman" w:hAnsi="Times New Roman" w:cs="Times New Roman"/>
                <w:vertAlign w:val="superscript"/>
              </w:rPr>
              <w:t>2</w:t>
            </w:r>
          </w:p>
        </w:tc>
        <w:tc>
          <w:tcPr>
            <w:tcW w:w="4215" w:type="dxa"/>
            <w:noWrap/>
          </w:tcPr>
          <w:p w14:paraId="1B21633D" w14:textId="4D225926" w:rsidR="004F65F0" w:rsidRPr="004F65F0" w:rsidRDefault="005B275C" w:rsidP="004F65F0">
            <w:pPr>
              <w:jc w:val="both"/>
              <w:rPr>
                <w:rFonts w:ascii="Times New Roman" w:hAnsi="Times New Roman" w:cs="Times New Roman"/>
              </w:rPr>
            </w:pPr>
            <w:r>
              <w:rPr>
                <w:rFonts w:ascii="Times New Roman" w:hAnsi="Times New Roman" w:cs="Times New Roman"/>
              </w:rPr>
              <w:t>0.6194</w:t>
            </w:r>
          </w:p>
        </w:tc>
      </w:tr>
      <w:tr w:rsidR="004F65F0" w:rsidRPr="004F65F0" w14:paraId="6D5C2994" w14:textId="77777777" w:rsidTr="004F65F0">
        <w:trPr>
          <w:trHeight w:val="288"/>
        </w:trPr>
        <w:tc>
          <w:tcPr>
            <w:tcW w:w="3397" w:type="dxa"/>
            <w:noWrap/>
          </w:tcPr>
          <w:p w14:paraId="290E3030" w14:textId="55F4F645" w:rsidR="004F65F0" w:rsidRPr="004F65F0" w:rsidRDefault="004F65F0" w:rsidP="004F65F0">
            <w:pPr>
              <w:jc w:val="both"/>
              <w:rPr>
                <w:rFonts w:ascii="Times New Roman" w:hAnsi="Times New Roman" w:cs="Times New Roman"/>
              </w:rPr>
            </w:pPr>
            <w:r>
              <w:rPr>
                <w:rFonts w:ascii="Times New Roman" w:hAnsi="Times New Roman" w:cs="Times New Roman"/>
              </w:rPr>
              <w:t>LM Test</w:t>
            </w:r>
          </w:p>
        </w:tc>
        <w:tc>
          <w:tcPr>
            <w:tcW w:w="4215" w:type="dxa"/>
            <w:noWrap/>
          </w:tcPr>
          <w:p w14:paraId="205B65C6" w14:textId="63B4B531" w:rsidR="004F65F0" w:rsidRPr="004F65F0" w:rsidRDefault="005B275C" w:rsidP="004F65F0">
            <w:pPr>
              <w:jc w:val="both"/>
              <w:rPr>
                <w:rFonts w:ascii="Times New Roman" w:hAnsi="Times New Roman" w:cs="Times New Roman"/>
              </w:rPr>
            </w:pPr>
            <w:r>
              <w:rPr>
                <w:rFonts w:ascii="Times New Roman" w:hAnsi="Times New Roman" w:cs="Times New Roman"/>
              </w:rPr>
              <w:t>59.38(0.000)</w:t>
            </w:r>
          </w:p>
        </w:tc>
      </w:tr>
    </w:tbl>
    <w:p w14:paraId="16444579" w14:textId="0A4177A6" w:rsidR="005B275C" w:rsidRDefault="0089228F" w:rsidP="00A05EBF">
      <w:pPr>
        <w:jc w:val="both"/>
        <w:rPr>
          <w:rFonts w:ascii="Times New Roman" w:hAnsi="Times New Roman" w:cs="Times New Roman"/>
        </w:rPr>
      </w:pPr>
      <w:r>
        <w:rPr>
          <w:rFonts w:ascii="Times New Roman" w:hAnsi="Times New Roman" w:cs="Times New Roman"/>
        </w:rPr>
        <w:t>Source- Authors own computation</w:t>
      </w:r>
    </w:p>
    <w:p w14:paraId="3DBFBD15" w14:textId="0B485465" w:rsidR="004D620F" w:rsidRPr="00DB5062" w:rsidRDefault="004D620F" w:rsidP="00A05EBF">
      <w:pPr>
        <w:jc w:val="both"/>
        <w:rPr>
          <w:rFonts w:ascii="Times New Roman" w:hAnsi="Times New Roman" w:cs="Times New Roman"/>
        </w:rPr>
      </w:pPr>
      <w:r w:rsidRPr="00DB5062">
        <w:rPr>
          <w:rFonts w:ascii="Times New Roman" w:hAnsi="Times New Roman" w:cs="Times New Roman"/>
        </w:rPr>
        <w:t>The panel regression results for Model 1 (2008–2023) reveal a nuanced relationship between agricultural production and its key determinants across the SAARC region. Agricultural credit (</w:t>
      </w:r>
      <w:r w:rsidR="00153F60" w:rsidRPr="00DB5062">
        <w:rPr>
          <w:rFonts w:ascii="Times New Roman" w:hAnsi="Times New Roman" w:cs="Times New Roman"/>
        </w:rPr>
        <w:t>ln. credit</w:t>
      </w:r>
      <w:r w:rsidRPr="00DB5062">
        <w:rPr>
          <w:rFonts w:ascii="Times New Roman" w:hAnsi="Times New Roman" w:cs="Times New Roman"/>
        </w:rPr>
        <w:t>) does not emerge as a strong positive factor; instead, its coefficient is either weakly significant or negative in the pooled results. This suggests that while formal credit supply has expanded, its productive deployment within agriculture remains limited. A plausible explanation lies in the diversion of agricultural loans toward consumption or non-farm uses, as reported by Shah et al. (2019) in their study of South Asian credit markets. Furthermore, small and marginal farmers — who constitute the bulk of SAARC’s agrarian base — face barriers in accessing institutional loans, and even when they do, loan amounts are often insufficient for large-scale productivity-enhancing investments.</w:t>
      </w:r>
    </w:p>
    <w:p w14:paraId="7FC59FD9" w14:textId="32EE7C47" w:rsidR="004D620F" w:rsidRPr="00DB5062" w:rsidRDefault="004D620F" w:rsidP="00A05EBF">
      <w:pPr>
        <w:jc w:val="both"/>
        <w:rPr>
          <w:rFonts w:ascii="Times New Roman" w:hAnsi="Times New Roman" w:cs="Times New Roman"/>
        </w:rPr>
      </w:pPr>
      <w:r w:rsidRPr="00DB5062">
        <w:rPr>
          <w:rFonts w:ascii="Times New Roman" w:hAnsi="Times New Roman" w:cs="Times New Roman"/>
        </w:rPr>
        <w:t>The significance of arable land (</w:t>
      </w:r>
      <w:r w:rsidR="00153F60" w:rsidRPr="00DB5062">
        <w:rPr>
          <w:rFonts w:ascii="Times New Roman" w:hAnsi="Times New Roman" w:cs="Times New Roman"/>
        </w:rPr>
        <w:t>ln. Arable. Land</w:t>
      </w:r>
      <w:r w:rsidRPr="00DB5062">
        <w:rPr>
          <w:rFonts w:ascii="Times New Roman" w:hAnsi="Times New Roman" w:cs="Times New Roman"/>
        </w:rPr>
        <w:t xml:space="preserve">) as the most consistent and strongly negative coefficient across the panel reflects a fundamental structural constraint. Agricultural production remains heavily tied to land endowment, but the pressure of population growth, urbanization, and land fragmentation reduces land availability per capita. This aligns with </w:t>
      </w:r>
      <w:proofErr w:type="spellStart"/>
      <w:r w:rsidRPr="00DB5062">
        <w:rPr>
          <w:rFonts w:ascii="Times New Roman" w:hAnsi="Times New Roman" w:cs="Times New Roman"/>
        </w:rPr>
        <w:t>Gollin</w:t>
      </w:r>
      <w:proofErr w:type="spellEnd"/>
      <w:r w:rsidRPr="00DB5062">
        <w:rPr>
          <w:rFonts w:ascii="Times New Roman" w:hAnsi="Times New Roman" w:cs="Times New Roman"/>
        </w:rPr>
        <w:t xml:space="preserve"> (2010), who noted that land scarcity in developing economies creates diminishing returns to agricultural expansion. In South Asia, the challenge is compounded by land degradation, soil fertility loss, and climate variability, which reduce the effective productivity of land resources.</w:t>
      </w:r>
    </w:p>
    <w:p w14:paraId="5B924423" w14:textId="68E1F7B4" w:rsidR="004D620F" w:rsidRPr="00DB5062" w:rsidRDefault="004D620F" w:rsidP="00A05EBF">
      <w:pPr>
        <w:jc w:val="both"/>
        <w:rPr>
          <w:rFonts w:ascii="Times New Roman" w:hAnsi="Times New Roman" w:cs="Times New Roman"/>
        </w:rPr>
      </w:pPr>
      <w:r w:rsidRPr="00DB5062">
        <w:rPr>
          <w:rFonts w:ascii="Times New Roman" w:hAnsi="Times New Roman" w:cs="Times New Roman"/>
        </w:rPr>
        <w:lastRenderedPageBreak/>
        <w:t>Fertilizer consumption (</w:t>
      </w:r>
      <w:r w:rsidR="00153F60" w:rsidRPr="00DB5062">
        <w:rPr>
          <w:rFonts w:ascii="Times New Roman" w:hAnsi="Times New Roman" w:cs="Times New Roman"/>
        </w:rPr>
        <w:t xml:space="preserve">ln. </w:t>
      </w:r>
      <w:proofErr w:type="spellStart"/>
      <w:r w:rsidR="00D56416" w:rsidRPr="00DB5062">
        <w:rPr>
          <w:rFonts w:ascii="Times New Roman" w:hAnsi="Times New Roman" w:cs="Times New Roman"/>
        </w:rPr>
        <w:t>fert</w:t>
      </w:r>
      <w:proofErr w:type="spellEnd"/>
      <w:r w:rsidR="00D56416" w:rsidRPr="00DB5062">
        <w:rPr>
          <w:rFonts w:ascii="Times New Roman" w:hAnsi="Times New Roman" w:cs="Times New Roman"/>
        </w:rPr>
        <w:t>. cons</w:t>
      </w:r>
      <w:r w:rsidRPr="00DB5062">
        <w:rPr>
          <w:rFonts w:ascii="Times New Roman" w:hAnsi="Times New Roman" w:cs="Times New Roman"/>
        </w:rPr>
        <w:t>) demonstrates a generally positive and significant effect in several contexts, reinforcing the legacy of the Green Revolution, where input intensification (fertilizer, high-yield seeds) drove rapid productivity gains. However, heterogeneity across countries suggests variations in input efficiency, reflecting differences in subsidy regimes, extension services, and ecological conditions. While fertilizer has been a cornerstone of productivity in India and Pakistan, overuse in Bangladesh and parts of India has raised sustainability concerns, highlighting the classic trade-off between short-term output growth and long-term soil health.</w:t>
      </w:r>
    </w:p>
    <w:p w14:paraId="154CD9BF" w14:textId="73885851" w:rsidR="004D620F" w:rsidRPr="00DB5062" w:rsidRDefault="004D620F" w:rsidP="00A05EBF">
      <w:pPr>
        <w:jc w:val="both"/>
        <w:rPr>
          <w:rFonts w:ascii="Times New Roman" w:hAnsi="Times New Roman" w:cs="Times New Roman"/>
        </w:rPr>
      </w:pPr>
      <w:r w:rsidRPr="00DB5062">
        <w:rPr>
          <w:rFonts w:ascii="Times New Roman" w:hAnsi="Times New Roman" w:cs="Times New Roman"/>
        </w:rPr>
        <w:t>The role of agricultural employment (</w:t>
      </w:r>
      <w:proofErr w:type="spellStart"/>
      <w:r w:rsidRPr="00DB5062">
        <w:rPr>
          <w:rFonts w:ascii="Times New Roman" w:hAnsi="Times New Roman" w:cs="Times New Roman"/>
        </w:rPr>
        <w:t>Empagriculture</w:t>
      </w:r>
      <w:proofErr w:type="spellEnd"/>
      <w:r w:rsidRPr="00DB5062">
        <w:rPr>
          <w:rFonts w:ascii="Times New Roman" w:hAnsi="Times New Roman" w:cs="Times New Roman"/>
        </w:rPr>
        <w:t>) appears weak or negative at the panel level. This is consistent with the Lewis dual economy model (1954), which argues that surplus labo</w:t>
      </w:r>
      <w:r w:rsidR="00DB5062" w:rsidRPr="00DB5062">
        <w:rPr>
          <w:rFonts w:ascii="Times New Roman" w:hAnsi="Times New Roman" w:cs="Times New Roman"/>
        </w:rPr>
        <w:t>u</w:t>
      </w:r>
      <w:r w:rsidRPr="00DB5062">
        <w:rPr>
          <w:rFonts w:ascii="Times New Roman" w:hAnsi="Times New Roman" w:cs="Times New Roman"/>
        </w:rPr>
        <w:t>r in agriculture contributes little to marginal productivity. South Asia’s agrarian systems remain characterized by disguised unemployment, where additional labo</w:t>
      </w:r>
      <w:r w:rsidR="00DB5062" w:rsidRPr="00DB5062">
        <w:rPr>
          <w:rFonts w:ascii="Times New Roman" w:hAnsi="Times New Roman" w:cs="Times New Roman"/>
        </w:rPr>
        <w:t>u</w:t>
      </w:r>
      <w:r w:rsidRPr="00DB5062">
        <w:rPr>
          <w:rFonts w:ascii="Times New Roman" w:hAnsi="Times New Roman" w:cs="Times New Roman"/>
        </w:rPr>
        <w:t>r does not increase output. The weak productivity contribution of labo</w:t>
      </w:r>
      <w:r w:rsidR="00DB5062" w:rsidRPr="00DB5062">
        <w:rPr>
          <w:rFonts w:ascii="Times New Roman" w:hAnsi="Times New Roman" w:cs="Times New Roman"/>
        </w:rPr>
        <w:t>u</w:t>
      </w:r>
      <w:r w:rsidRPr="00DB5062">
        <w:rPr>
          <w:rFonts w:ascii="Times New Roman" w:hAnsi="Times New Roman" w:cs="Times New Roman"/>
        </w:rPr>
        <w:t>r underscores the need for rural non-farm diversification as a livelihood strategy.</w:t>
      </w:r>
    </w:p>
    <w:p w14:paraId="7BF71013" w14:textId="4E9D47DD" w:rsidR="000E6E80" w:rsidRDefault="004D620F" w:rsidP="00A05EBF">
      <w:pPr>
        <w:jc w:val="both"/>
        <w:rPr>
          <w:rFonts w:ascii="Times New Roman" w:hAnsi="Times New Roman" w:cs="Times New Roman"/>
        </w:rPr>
      </w:pPr>
      <w:r w:rsidRPr="00DB5062">
        <w:rPr>
          <w:rFonts w:ascii="Times New Roman" w:hAnsi="Times New Roman" w:cs="Times New Roman"/>
        </w:rPr>
        <w:t>From a policy perspective, the panel results suggest that merely expanding credit is insufficient. Instead, policy must ensure credit targeting, input efficiency, and land-use management. Credit schemes must prioritize smallholders with conditions that encourage investment in productivity-enhancing technologies rather than short-term consumption. Simultaneously, policies must address structural bottlenecks such as land fragmentation, soil health, and climate resilience.</w:t>
      </w:r>
    </w:p>
    <w:p w14:paraId="0AEBAEA1" w14:textId="6A3B3FA8" w:rsidR="004D620F" w:rsidRDefault="00DA14BF" w:rsidP="00A05EBF">
      <w:pPr>
        <w:jc w:val="both"/>
        <w:rPr>
          <w:rFonts w:ascii="Times New Roman" w:hAnsi="Times New Roman" w:cs="Times New Roman"/>
        </w:rPr>
      </w:pPr>
      <w:r>
        <w:rPr>
          <w:rFonts w:ascii="Times New Roman" w:hAnsi="Times New Roman" w:cs="Times New Roman"/>
          <w:b/>
          <w:bCs/>
        </w:rPr>
        <w:t>Table 2-</w:t>
      </w:r>
      <w:r w:rsidR="004D620F" w:rsidRPr="004D620F">
        <w:rPr>
          <w:rFonts w:ascii="Times New Roman" w:hAnsi="Times New Roman" w:cs="Times New Roman"/>
          <w:b/>
          <w:bCs/>
        </w:rPr>
        <w:t>Country-Specific Results</w:t>
      </w:r>
    </w:p>
    <w:tbl>
      <w:tblPr>
        <w:tblW w:w="98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0"/>
        <w:gridCol w:w="1138"/>
        <w:gridCol w:w="1000"/>
        <w:gridCol w:w="1350"/>
        <w:gridCol w:w="1102"/>
        <w:gridCol w:w="1120"/>
        <w:gridCol w:w="1117"/>
        <w:gridCol w:w="1424"/>
      </w:tblGrid>
      <w:tr w:rsidR="004D620F" w:rsidRPr="004D620F" w14:paraId="6E23B001" w14:textId="77777777" w:rsidTr="004D620F">
        <w:trPr>
          <w:trHeight w:val="603"/>
          <w:tblHeader/>
          <w:tblCellSpacing w:w="15" w:type="dxa"/>
        </w:trPr>
        <w:tc>
          <w:tcPr>
            <w:tcW w:w="0" w:type="auto"/>
            <w:vAlign w:val="center"/>
            <w:hideMark/>
          </w:tcPr>
          <w:p w14:paraId="21029721"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Variable</w:t>
            </w:r>
          </w:p>
        </w:tc>
        <w:tc>
          <w:tcPr>
            <w:tcW w:w="0" w:type="auto"/>
            <w:vAlign w:val="center"/>
            <w:hideMark/>
          </w:tcPr>
          <w:p w14:paraId="7B6C99DD"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India</w:t>
            </w:r>
          </w:p>
        </w:tc>
        <w:tc>
          <w:tcPr>
            <w:tcW w:w="0" w:type="auto"/>
            <w:vAlign w:val="center"/>
            <w:hideMark/>
          </w:tcPr>
          <w:p w14:paraId="10579B10"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Nepal</w:t>
            </w:r>
          </w:p>
        </w:tc>
        <w:tc>
          <w:tcPr>
            <w:tcW w:w="0" w:type="auto"/>
            <w:vAlign w:val="center"/>
            <w:hideMark/>
          </w:tcPr>
          <w:p w14:paraId="0BE47E52"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Bangladesh</w:t>
            </w:r>
          </w:p>
        </w:tc>
        <w:tc>
          <w:tcPr>
            <w:tcW w:w="0" w:type="auto"/>
            <w:vAlign w:val="center"/>
            <w:hideMark/>
          </w:tcPr>
          <w:p w14:paraId="57CECA88"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Pakistan</w:t>
            </w:r>
          </w:p>
        </w:tc>
        <w:tc>
          <w:tcPr>
            <w:tcW w:w="0" w:type="auto"/>
            <w:vAlign w:val="center"/>
            <w:hideMark/>
          </w:tcPr>
          <w:p w14:paraId="333CACD5"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Bhutan</w:t>
            </w:r>
          </w:p>
        </w:tc>
        <w:tc>
          <w:tcPr>
            <w:tcW w:w="0" w:type="auto"/>
            <w:vAlign w:val="center"/>
            <w:hideMark/>
          </w:tcPr>
          <w:p w14:paraId="39BF30A9"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Maldives</w:t>
            </w:r>
          </w:p>
        </w:tc>
        <w:tc>
          <w:tcPr>
            <w:tcW w:w="0" w:type="auto"/>
            <w:vAlign w:val="center"/>
            <w:hideMark/>
          </w:tcPr>
          <w:p w14:paraId="76BA8F98"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Afghanistan</w:t>
            </w:r>
          </w:p>
        </w:tc>
      </w:tr>
      <w:tr w:rsidR="004D620F" w:rsidRPr="004D620F" w14:paraId="517E6888" w14:textId="77777777" w:rsidTr="004D620F">
        <w:trPr>
          <w:trHeight w:val="590"/>
          <w:tblCellSpacing w:w="15" w:type="dxa"/>
        </w:trPr>
        <w:tc>
          <w:tcPr>
            <w:tcW w:w="0" w:type="auto"/>
            <w:vAlign w:val="center"/>
            <w:hideMark/>
          </w:tcPr>
          <w:p w14:paraId="6A2404E1" w14:textId="17832FC4" w:rsidR="004D620F" w:rsidRPr="004D620F" w:rsidRDefault="00D56416" w:rsidP="00A05EBF">
            <w:pPr>
              <w:spacing w:after="0" w:line="240" w:lineRule="auto"/>
              <w:jc w:val="both"/>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kern w:val="0"/>
                <w:lang w:eastAsia="en-IN"/>
                <w14:ligatures w14:val="none"/>
              </w:rPr>
              <w:t>ln. credit</w:t>
            </w:r>
          </w:p>
        </w:tc>
        <w:tc>
          <w:tcPr>
            <w:tcW w:w="0" w:type="auto"/>
            <w:vAlign w:val="center"/>
            <w:hideMark/>
          </w:tcPr>
          <w:p w14:paraId="02DC28F3"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−0.389* (0.178)</w:t>
            </w:r>
          </w:p>
        </w:tc>
        <w:tc>
          <w:tcPr>
            <w:tcW w:w="0" w:type="auto"/>
            <w:vAlign w:val="center"/>
            <w:hideMark/>
          </w:tcPr>
          <w:p w14:paraId="531B9365"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−0.044 (0.110)</w:t>
            </w:r>
          </w:p>
        </w:tc>
        <w:tc>
          <w:tcPr>
            <w:tcW w:w="0" w:type="auto"/>
            <w:vAlign w:val="center"/>
            <w:hideMark/>
          </w:tcPr>
          <w:p w14:paraId="63F26E78"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−1.337* (0.358)</w:t>
            </w:r>
          </w:p>
        </w:tc>
        <w:tc>
          <w:tcPr>
            <w:tcW w:w="0" w:type="auto"/>
            <w:vAlign w:val="center"/>
            <w:hideMark/>
          </w:tcPr>
          <w:p w14:paraId="6684EE33"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0.268 (0.148)</w:t>
            </w:r>
          </w:p>
        </w:tc>
        <w:tc>
          <w:tcPr>
            <w:tcW w:w="0" w:type="auto"/>
            <w:vAlign w:val="center"/>
            <w:hideMark/>
          </w:tcPr>
          <w:p w14:paraId="14B2F6FE"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0.113 (0.203)</w:t>
            </w:r>
          </w:p>
        </w:tc>
        <w:tc>
          <w:tcPr>
            <w:tcW w:w="0" w:type="auto"/>
            <w:vAlign w:val="center"/>
            <w:hideMark/>
          </w:tcPr>
          <w:p w14:paraId="30BA274C"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2.137 (1.293)</w:t>
            </w:r>
          </w:p>
        </w:tc>
        <w:tc>
          <w:tcPr>
            <w:tcW w:w="0" w:type="auto"/>
            <w:vAlign w:val="center"/>
            <w:hideMark/>
          </w:tcPr>
          <w:p w14:paraId="70824AD9"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−0.061* (0.012)</w:t>
            </w:r>
          </w:p>
        </w:tc>
      </w:tr>
      <w:tr w:rsidR="004D620F" w:rsidRPr="004D620F" w14:paraId="16DC3B8F" w14:textId="77777777" w:rsidTr="004D620F">
        <w:trPr>
          <w:trHeight w:val="603"/>
          <w:tblCellSpacing w:w="15" w:type="dxa"/>
        </w:trPr>
        <w:tc>
          <w:tcPr>
            <w:tcW w:w="0" w:type="auto"/>
            <w:vAlign w:val="center"/>
            <w:hideMark/>
          </w:tcPr>
          <w:p w14:paraId="797D136D" w14:textId="77777777" w:rsidR="004D620F" w:rsidRPr="004D620F" w:rsidRDefault="004D620F" w:rsidP="00A05EBF">
            <w:pPr>
              <w:spacing w:after="0" w:line="240" w:lineRule="auto"/>
              <w:jc w:val="both"/>
              <w:rPr>
                <w:rFonts w:ascii="Times New Roman" w:eastAsia="Times New Roman" w:hAnsi="Times New Roman" w:cs="Times New Roman"/>
                <w:kern w:val="0"/>
                <w:lang w:eastAsia="en-IN"/>
                <w14:ligatures w14:val="none"/>
              </w:rPr>
            </w:pPr>
            <w:proofErr w:type="spellStart"/>
            <w:r w:rsidRPr="004D620F">
              <w:rPr>
                <w:rFonts w:ascii="Times New Roman" w:eastAsia="Times New Roman" w:hAnsi="Times New Roman" w:cs="Times New Roman"/>
                <w:kern w:val="0"/>
                <w:lang w:eastAsia="en-IN"/>
                <w14:ligatures w14:val="none"/>
              </w:rPr>
              <w:t>ln.Rural.pop</w:t>
            </w:r>
            <w:proofErr w:type="spellEnd"/>
          </w:p>
        </w:tc>
        <w:tc>
          <w:tcPr>
            <w:tcW w:w="0" w:type="auto"/>
            <w:vAlign w:val="center"/>
            <w:hideMark/>
          </w:tcPr>
          <w:p w14:paraId="4E5F3DA0"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−1.357 (6.988)</w:t>
            </w:r>
          </w:p>
        </w:tc>
        <w:tc>
          <w:tcPr>
            <w:tcW w:w="0" w:type="auto"/>
            <w:vAlign w:val="center"/>
            <w:hideMark/>
          </w:tcPr>
          <w:p w14:paraId="36CBF4DF"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4.116 (2.246)</w:t>
            </w:r>
          </w:p>
        </w:tc>
        <w:tc>
          <w:tcPr>
            <w:tcW w:w="0" w:type="auto"/>
            <w:vAlign w:val="center"/>
            <w:hideMark/>
          </w:tcPr>
          <w:p w14:paraId="497DEF5F"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−27.831 (20.510)</w:t>
            </w:r>
          </w:p>
        </w:tc>
        <w:tc>
          <w:tcPr>
            <w:tcW w:w="0" w:type="auto"/>
            <w:vAlign w:val="center"/>
            <w:hideMark/>
          </w:tcPr>
          <w:p w14:paraId="7F54D99D"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3.231* (0.848)</w:t>
            </w:r>
          </w:p>
        </w:tc>
        <w:tc>
          <w:tcPr>
            <w:tcW w:w="0" w:type="auto"/>
            <w:vAlign w:val="center"/>
            <w:hideMark/>
          </w:tcPr>
          <w:p w14:paraId="752D4E86"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1.007 (27.499)</w:t>
            </w:r>
          </w:p>
        </w:tc>
        <w:tc>
          <w:tcPr>
            <w:tcW w:w="0" w:type="auto"/>
            <w:vAlign w:val="center"/>
            <w:hideMark/>
          </w:tcPr>
          <w:p w14:paraId="662A597F"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3.151 (4.448)</w:t>
            </w:r>
          </w:p>
        </w:tc>
        <w:tc>
          <w:tcPr>
            <w:tcW w:w="0" w:type="auto"/>
            <w:vAlign w:val="center"/>
            <w:hideMark/>
          </w:tcPr>
          <w:p w14:paraId="01B84FDB"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−4.335 (1.432)</w:t>
            </w:r>
          </w:p>
        </w:tc>
      </w:tr>
      <w:tr w:rsidR="004D620F" w:rsidRPr="004D620F" w14:paraId="2234F2CF" w14:textId="77777777" w:rsidTr="004D620F">
        <w:trPr>
          <w:trHeight w:val="603"/>
          <w:tblCellSpacing w:w="15" w:type="dxa"/>
        </w:trPr>
        <w:tc>
          <w:tcPr>
            <w:tcW w:w="0" w:type="auto"/>
            <w:vAlign w:val="center"/>
            <w:hideMark/>
          </w:tcPr>
          <w:p w14:paraId="19E59CDE" w14:textId="77777777" w:rsidR="004D620F" w:rsidRPr="004D620F" w:rsidRDefault="004D620F" w:rsidP="00A05EBF">
            <w:pPr>
              <w:spacing w:after="0" w:line="240" w:lineRule="auto"/>
              <w:jc w:val="both"/>
              <w:rPr>
                <w:rFonts w:ascii="Times New Roman" w:eastAsia="Times New Roman" w:hAnsi="Times New Roman" w:cs="Times New Roman"/>
                <w:kern w:val="0"/>
                <w:lang w:eastAsia="en-IN"/>
                <w14:ligatures w14:val="none"/>
              </w:rPr>
            </w:pPr>
            <w:proofErr w:type="spellStart"/>
            <w:r w:rsidRPr="004D620F">
              <w:rPr>
                <w:rFonts w:ascii="Times New Roman" w:eastAsia="Times New Roman" w:hAnsi="Times New Roman" w:cs="Times New Roman"/>
                <w:kern w:val="0"/>
                <w:lang w:eastAsia="en-IN"/>
                <w14:ligatures w14:val="none"/>
              </w:rPr>
              <w:t>Empagriculture</w:t>
            </w:r>
            <w:proofErr w:type="spellEnd"/>
          </w:p>
        </w:tc>
        <w:tc>
          <w:tcPr>
            <w:tcW w:w="0" w:type="auto"/>
            <w:vAlign w:val="center"/>
            <w:hideMark/>
          </w:tcPr>
          <w:p w14:paraId="18BFB8CF"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−0.012 (0.013)</w:t>
            </w:r>
          </w:p>
        </w:tc>
        <w:tc>
          <w:tcPr>
            <w:tcW w:w="0" w:type="auto"/>
            <w:vAlign w:val="center"/>
            <w:hideMark/>
          </w:tcPr>
          <w:p w14:paraId="0E218D9B"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−0.062 (0.024)</w:t>
            </w:r>
          </w:p>
        </w:tc>
        <w:tc>
          <w:tcPr>
            <w:tcW w:w="0" w:type="auto"/>
            <w:vAlign w:val="center"/>
            <w:hideMark/>
          </w:tcPr>
          <w:p w14:paraId="384233D3"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−0.001 (0.014)</w:t>
            </w:r>
          </w:p>
        </w:tc>
        <w:tc>
          <w:tcPr>
            <w:tcW w:w="0" w:type="auto"/>
            <w:vAlign w:val="center"/>
            <w:hideMark/>
          </w:tcPr>
          <w:p w14:paraId="5ECAE830"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0.005 (0.008)</w:t>
            </w:r>
          </w:p>
        </w:tc>
        <w:tc>
          <w:tcPr>
            <w:tcW w:w="0" w:type="auto"/>
            <w:vAlign w:val="center"/>
            <w:hideMark/>
          </w:tcPr>
          <w:p w14:paraId="293A5EAB"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0.0001 (0.027)</w:t>
            </w:r>
          </w:p>
        </w:tc>
        <w:tc>
          <w:tcPr>
            <w:tcW w:w="0" w:type="auto"/>
            <w:vAlign w:val="center"/>
            <w:hideMark/>
          </w:tcPr>
          <w:p w14:paraId="3F4E88CF"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−0.149 (0.112)</w:t>
            </w:r>
          </w:p>
        </w:tc>
        <w:tc>
          <w:tcPr>
            <w:tcW w:w="0" w:type="auto"/>
            <w:vAlign w:val="center"/>
            <w:hideMark/>
          </w:tcPr>
          <w:p w14:paraId="42E33A00"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−0.068* (0.009)</w:t>
            </w:r>
          </w:p>
        </w:tc>
      </w:tr>
      <w:tr w:rsidR="004D620F" w:rsidRPr="004D620F" w14:paraId="743DF506" w14:textId="77777777" w:rsidTr="004D620F">
        <w:trPr>
          <w:trHeight w:val="590"/>
          <w:tblCellSpacing w:w="15" w:type="dxa"/>
        </w:trPr>
        <w:tc>
          <w:tcPr>
            <w:tcW w:w="0" w:type="auto"/>
            <w:vAlign w:val="center"/>
            <w:hideMark/>
          </w:tcPr>
          <w:p w14:paraId="6453BCC0" w14:textId="6F378DA6" w:rsidR="004D620F" w:rsidRPr="004D620F" w:rsidRDefault="004D620F" w:rsidP="00A05EBF">
            <w:pPr>
              <w:spacing w:after="0" w:line="240" w:lineRule="auto"/>
              <w:jc w:val="both"/>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kern w:val="0"/>
                <w:lang w:eastAsia="en-IN"/>
                <w14:ligatures w14:val="none"/>
              </w:rPr>
              <w:t>Agriculture</w:t>
            </w:r>
            <w:r w:rsidR="00D56416">
              <w:rPr>
                <w:rFonts w:ascii="Times New Roman" w:eastAsia="Times New Roman" w:hAnsi="Times New Roman" w:cs="Times New Roman"/>
                <w:kern w:val="0"/>
                <w:lang w:eastAsia="en-IN"/>
                <w14:ligatures w14:val="none"/>
              </w:rPr>
              <w:t xml:space="preserve"> </w:t>
            </w:r>
            <w:r w:rsidRPr="004D620F">
              <w:rPr>
                <w:rFonts w:ascii="Times New Roman" w:eastAsia="Times New Roman" w:hAnsi="Times New Roman" w:cs="Times New Roman"/>
                <w:kern w:val="0"/>
                <w:lang w:eastAsia="en-IN"/>
                <w14:ligatures w14:val="none"/>
              </w:rPr>
              <w:t>GDP</w:t>
            </w:r>
          </w:p>
        </w:tc>
        <w:tc>
          <w:tcPr>
            <w:tcW w:w="0" w:type="auto"/>
            <w:vAlign w:val="center"/>
            <w:hideMark/>
          </w:tcPr>
          <w:p w14:paraId="7B7CEB83"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−0.026 (0.018)</w:t>
            </w:r>
          </w:p>
        </w:tc>
        <w:tc>
          <w:tcPr>
            <w:tcW w:w="0" w:type="auto"/>
            <w:vAlign w:val="center"/>
            <w:hideMark/>
          </w:tcPr>
          <w:p w14:paraId="0263F1A9"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0.074* (0.038)</w:t>
            </w:r>
          </w:p>
        </w:tc>
        <w:tc>
          <w:tcPr>
            <w:tcW w:w="0" w:type="auto"/>
            <w:vAlign w:val="center"/>
            <w:hideMark/>
          </w:tcPr>
          <w:p w14:paraId="4F3A979E"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−0.032 (0.019)</w:t>
            </w:r>
          </w:p>
        </w:tc>
        <w:tc>
          <w:tcPr>
            <w:tcW w:w="0" w:type="auto"/>
            <w:vAlign w:val="center"/>
            <w:hideMark/>
          </w:tcPr>
          <w:p w14:paraId="15D75D39"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0.030* (0.009)</w:t>
            </w:r>
          </w:p>
        </w:tc>
        <w:tc>
          <w:tcPr>
            <w:tcW w:w="0" w:type="auto"/>
            <w:vAlign w:val="center"/>
            <w:hideMark/>
          </w:tcPr>
          <w:p w14:paraId="02200F81"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−0.024 (0.043)</w:t>
            </w:r>
          </w:p>
        </w:tc>
        <w:tc>
          <w:tcPr>
            <w:tcW w:w="0" w:type="auto"/>
            <w:vAlign w:val="center"/>
            <w:hideMark/>
          </w:tcPr>
          <w:p w14:paraId="22FF7965"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0.034 (0.116)</w:t>
            </w:r>
          </w:p>
        </w:tc>
        <w:tc>
          <w:tcPr>
            <w:tcW w:w="0" w:type="auto"/>
            <w:vAlign w:val="center"/>
            <w:hideMark/>
          </w:tcPr>
          <w:p w14:paraId="3DE0CDA4"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0.031* (0.009)</w:t>
            </w:r>
          </w:p>
        </w:tc>
      </w:tr>
      <w:tr w:rsidR="004D620F" w:rsidRPr="004D620F" w14:paraId="5D156CF4" w14:textId="77777777" w:rsidTr="004D620F">
        <w:trPr>
          <w:trHeight w:val="603"/>
          <w:tblCellSpacing w:w="15" w:type="dxa"/>
        </w:trPr>
        <w:tc>
          <w:tcPr>
            <w:tcW w:w="0" w:type="auto"/>
            <w:vAlign w:val="center"/>
            <w:hideMark/>
          </w:tcPr>
          <w:p w14:paraId="07EDEF54" w14:textId="28BB4804" w:rsidR="004D620F" w:rsidRPr="00D56416" w:rsidRDefault="00D56416" w:rsidP="00A05EBF">
            <w:pPr>
              <w:spacing w:after="0" w:line="240" w:lineRule="auto"/>
              <w:jc w:val="both"/>
              <w:rPr>
                <w:rFonts w:ascii="Times New Roman" w:eastAsia="Times New Roman" w:hAnsi="Times New Roman" w:cs="Times New Roman"/>
                <w:kern w:val="0"/>
                <w:lang w:eastAsia="en-IN"/>
                <w14:ligatures w14:val="none"/>
              </w:rPr>
            </w:pPr>
            <w:r w:rsidRPr="00D56416">
              <w:rPr>
                <w:rFonts w:ascii="Times New Roman" w:eastAsia="Times New Roman" w:hAnsi="Times New Roman" w:cs="Times New Roman"/>
                <w:kern w:val="0"/>
                <w:lang w:eastAsia="en-IN"/>
                <w14:ligatures w14:val="none"/>
              </w:rPr>
              <w:t>ln. Arable. Land</w:t>
            </w:r>
          </w:p>
        </w:tc>
        <w:tc>
          <w:tcPr>
            <w:tcW w:w="0" w:type="auto"/>
            <w:vAlign w:val="center"/>
            <w:hideMark/>
          </w:tcPr>
          <w:p w14:paraId="4E031EA4"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−34.561* (9.896)</w:t>
            </w:r>
          </w:p>
        </w:tc>
        <w:tc>
          <w:tcPr>
            <w:tcW w:w="0" w:type="auto"/>
            <w:vAlign w:val="center"/>
            <w:hideMark/>
          </w:tcPr>
          <w:p w14:paraId="68BB4B19"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−6.725 (2.446)</w:t>
            </w:r>
          </w:p>
        </w:tc>
        <w:tc>
          <w:tcPr>
            <w:tcW w:w="0" w:type="auto"/>
            <w:vAlign w:val="center"/>
            <w:hideMark/>
          </w:tcPr>
          <w:p w14:paraId="743CEFE5"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−6.130* (2.883)</w:t>
            </w:r>
          </w:p>
        </w:tc>
        <w:tc>
          <w:tcPr>
            <w:tcW w:w="0" w:type="auto"/>
            <w:vAlign w:val="center"/>
            <w:hideMark/>
          </w:tcPr>
          <w:p w14:paraId="60CC2105"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+4.351 (1.445)</w:t>
            </w:r>
          </w:p>
        </w:tc>
        <w:tc>
          <w:tcPr>
            <w:tcW w:w="0" w:type="auto"/>
            <w:vAlign w:val="center"/>
            <w:hideMark/>
          </w:tcPr>
          <w:p w14:paraId="121BAE56"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−3.466 (2.596)</w:t>
            </w:r>
          </w:p>
        </w:tc>
        <w:tc>
          <w:tcPr>
            <w:tcW w:w="0" w:type="auto"/>
            <w:vAlign w:val="center"/>
            <w:hideMark/>
          </w:tcPr>
          <w:p w14:paraId="4AFBD3D6"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+6.987 (2.488)</w:t>
            </w:r>
          </w:p>
        </w:tc>
        <w:tc>
          <w:tcPr>
            <w:tcW w:w="0" w:type="auto"/>
            <w:vAlign w:val="center"/>
            <w:hideMark/>
          </w:tcPr>
          <w:p w14:paraId="39FA943B"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+26.852 (10.199)</w:t>
            </w:r>
          </w:p>
        </w:tc>
      </w:tr>
      <w:tr w:rsidR="004D620F" w:rsidRPr="004D620F" w14:paraId="676E7F15" w14:textId="77777777" w:rsidTr="004D620F">
        <w:trPr>
          <w:trHeight w:val="603"/>
          <w:tblCellSpacing w:w="15" w:type="dxa"/>
        </w:trPr>
        <w:tc>
          <w:tcPr>
            <w:tcW w:w="0" w:type="auto"/>
            <w:vAlign w:val="center"/>
            <w:hideMark/>
          </w:tcPr>
          <w:p w14:paraId="1A01BE76" w14:textId="2F9CEF75" w:rsidR="004D620F" w:rsidRPr="004D620F" w:rsidRDefault="00D56416" w:rsidP="00A05EBF">
            <w:pPr>
              <w:spacing w:after="0" w:line="240" w:lineRule="auto"/>
              <w:jc w:val="both"/>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kern w:val="0"/>
                <w:lang w:eastAsia="en-IN"/>
                <w14:ligatures w14:val="none"/>
              </w:rPr>
              <w:t xml:space="preserve">ln. </w:t>
            </w:r>
            <w:proofErr w:type="spellStart"/>
            <w:r w:rsidRPr="004D620F">
              <w:rPr>
                <w:rFonts w:ascii="Times New Roman" w:eastAsia="Times New Roman" w:hAnsi="Times New Roman" w:cs="Times New Roman"/>
                <w:kern w:val="0"/>
                <w:lang w:eastAsia="en-IN"/>
                <w14:ligatures w14:val="none"/>
              </w:rPr>
              <w:t>fert</w:t>
            </w:r>
            <w:proofErr w:type="spellEnd"/>
            <w:r w:rsidR="004D620F" w:rsidRPr="004D620F">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w:t>
            </w:r>
            <w:r w:rsidR="004D620F" w:rsidRPr="004D620F">
              <w:rPr>
                <w:rFonts w:ascii="Times New Roman" w:eastAsia="Times New Roman" w:hAnsi="Times New Roman" w:cs="Times New Roman"/>
                <w:kern w:val="0"/>
                <w:lang w:eastAsia="en-IN"/>
                <w14:ligatures w14:val="none"/>
              </w:rPr>
              <w:t>cons</w:t>
            </w:r>
          </w:p>
        </w:tc>
        <w:tc>
          <w:tcPr>
            <w:tcW w:w="0" w:type="auto"/>
            <w:vAlign w:val="center"/>
            <w:hideMark/>
          </w:tcPr>
          <w:p w14:paraId="4FF464F8"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0.478 (0.511)</w:t>
            </w:r>
          </w:p>
        </w:tc>
        <w:tc>
          <w:tcPr>
            <w:tcW w:w="0" w:type="auto"/>
            <w:vAlign w:val="center"/>
            <w:hideMark/>
          </w:tcPr>
          <w:p w14:paraId="6DD26F75"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−3.169 (2.651)</w:t>
            </w:r>
          </w:p>
        </w:tc>
        <w:tc>
          <w:tcPr>
            <w:tcW w:w="0" w:type="auto"/>
            <w:vAlign w:val="center"/>
            <w:hideMark/>
          </w:tcPr>
          <w:p w14:paraId="3D0AD4E3"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+0.880* (0.287)</w:t>
            </w:r>
          </w:p>
        </w:tc>
        <w:tc>
          <w:tcPr>
            <w:tcW w:w="0" w:type="auto"/>
            <w:vAlign w:val="center"/>
            <w:hideMark/>
          </w:tcPr>
          <w:p w14:paraId="6395EC31"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+0.565 (0.283)</w:t>
            </w:r>
          </w:p>
        </w:tc>
        <w:tc>
          <w:tcPr>
            <w:tcW w:w="0" w:type="auto"/>
            <w:vAlign w:val="center"/>
            <w:hideMark/>
          </w:tcPr>
          <w:p w14:paraId="09930AF1"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−0.376 (0.211)</w:t>
            </w:r>
          </w:p>
        </w:tc>
        <w:tc>
          <w:tcPr>
            <w:tcW w:w="0" w:type="auto"/>
            <w:vAlign w:val="center"/>
            <w:hideMark/>
          </w:tcPr>
          <w:p w14:paraId="69176BAE"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−0.091 (0.311)</w:t>
            </w:r>
          </w:p>
        </w:tc>
        <w:tc>
          <w:tcPr>
            <w:tcW w:w="0" w:type="auto"/>
            <w:vAlign w:val="center"/>
            <w:hideMark/>
          </w:tcPr>
          <w:p w14:paraId="428AF1E4"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−0.231 (0.100)</w:t>
            </w:r>
          </w:p>
        </w:tc>
      </w:tr>
      <w:tr w:rsidR="004D620F" w:rsidRPr="004D620F" w14:paraId="2E43E759" w14:textId="77777777" w:rsidTr="004D620F">
        <w:trPr>
          <w:trHeight w:val="885"/>
          <w:tblCellSpacing w:w="15" w:type="dxa"/>
        </w:trPr>
        <w:tc>
          <w:tcPr>
            <w:tcW w:w="0" w:type="auto"/>
            <w:vAlign w:val="center"/>
            <w:hideMark/>
          </w:tcPr>
          <w:p w14:paraId="150E3EDE" w14:textId="77777777" w:rsidR="004D620F" w:rsidRPr="004D620F" w:rsidRDefault="004D620F" w:rsidP="00A05EBF">
            <w:pPr>
              <w:spacing w:after="0" w:line="240" w:lineRule="auto"/>
              <w:jc w:val="both"/>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kern w:val="0"/>
                <w:lang w:eastAsia="en-IN"/>
                <w14:ligatures w14:val="none"/>
              </w:rPr>
              <w:t>Constant</w:t>
            </w:r>
          </w:p>
        </w:tc>
        <w:tc>
          <w:tcPr>
            <w:tcW w:w="0" w:type="auto"/>
            <w:vAlign w:val="center"/>
            <w:hideMark/>
          </w:tcPr>
          <w:p w14:paraId="5E8E9640"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305.796 (129.905)</w:t>
            </w:r>
          </w:p>
        </w:tc>
        <w:tc>
          <w:tcPr>
            <w:tcW w:w="0" w:type="auto"/>
            <w:vAlign w:val="center"/>
            <w:hideMark/>
          </w:tcPr>
          <w:p w14:paraId="1F26F9A8"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25.852 (19.675)</w:t>
            </w:r>
          </w:p>
        </w:tc>
        <w:tc>
          <w:tcPr>
            <w:tcW w:w="0" w:type="auto"/>
            <w:vAlign w:val="center"/>
            <w:hideMark/>
          </w:tcPr>
          <w:p w14:paraId="354464CB"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275.922 (183.964)</w:t>
            </w:r>
          </w:p>
        </w:tc>
        <w:tc>
          <w:tcPr>
            <w:tcW w:w="0" w:type="auto"/>
            <w:vAlign w:val="center"/>
            <w:hideMark/>
          </w:tcPr>
          <w:p w14:paraId="1BDB9385"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−54.175* (8.903)</w:t>
            </w:r>
          </w:p>
        </w:tc>
        <w:tc>
          <w:tcPr>
            <w:tcW w:w="0" w:type="auto"/>
            <w:vAlign w:val="center"/>
            <w:hideMark/>
          </w:tcPr>
          <w:p w14:paraId="51B70BA3"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17.671 (157.275)</w:t>
            </w:r>
          </w:p>
        </w:tc>
        <w:tc>
          <w:tcPr>
            <w:tcW w:w="0" w:type="auto"/>
            <w:vAlign w:val="center"/>
            <w:hideMark/>
          </w:tcPr>
          <w:p w14:paraId="76466080"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−40.484 (26.443)</w:t>
            </w:r>
          </w:p>
        </w:tc>
        <w:tc>
          <w:tcPr>
            <w:tcW w:w="0" w:type="auto"/>
            <w:vAlign w:val="center"/>
            <w:hideMark/>
          </w:tcPr>
          <w:p w14:paraId="04F10B1C" w14:textId="77777777" w:rsidR="004D620F" w:rsidRPr="0089228F" w:rsidRDefault="004D620F" w:rsidP="00A05EBF">
            <w:pPr>
              <w:spacing w:after="0" w:line="240" w:lineRule="auto"/>
              <w:jc w:val="both"/>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−143.477 (61.238)</w:t>
            </w:r>
          </w:p>
        </w:tc>
      </w:tr>
    </w:tbl>
    <w:p w14:paraId="53913876" w14:textId="7BA897A5" w:rsidR="004D620F" w:rsidRDefault="0089228F" w:rsidP="00A05EBF">
      <w:pPr>
        <w:jc w:val="both"/>
        <w:rPr>
          <w:rFonts w:ascii="Times New Roman" w:hAnsi="Times New Roman" w:cs="Times New Roman"/>
        </w:rPr>
      </w:pPr>
      <w:r>
        <w:rPr>
          <w:rFonts w:ascii="Times New Roman" w:hAnsi="Times New Roman" w:cs="Times New Roman"/>
        </w:rPr>
        <w:t>Source- Authors own computation</w:t>
      </w:r>
    </w:p>
    <w:p w14:paraId="21A88193" w14:textId="25ECDD1F" w:rsidR="004D620F" w:rsidRPr="00DB5062" w:rsidRDefault="004D620F" w:rsidP="00A05EBF">
      <w:pPr>
        <w:jc w:val="both"/>
        <w:rPr>
          <w:rFonts w:ascii="Times New Roman" w:hAnsi="Times New Roman" w:cs="Times New Roman"/>
        </w:rPr>
      </w:pPr>
      <w:r w:rsidRPr="00DB5062">
        <w:rPr>
          <w:rFonts w:ascii="Times New Roman" w:hAnsi="Times New Roman" w:cs="Times New Roman"/>
        </w:rPr>
        <w:lastRenderedPageBreak/>
        <w:t>When disaggregated by country, the results uncover striking heterogeneity. In India and Bangladesh, agricultural credit shows weak or negative effects on production. This aligns with Chand et al. (2015), who documented how institutional credit in India tends to be skewed towards larger landholders, with smallholders either excluded or misallocating funds. In Bangladesh, land pressure and overpopulation reduce the effectiveness of credit, as farmers often lack the physical resources to translate financial inputs into higher productivity.</w:t>
      </w:r>
    </w:p>
    <w:p w14:paraId="587F9BFF" w14:textId="77777777" w:rsidR="004D620F" w:rsidRPr="00DB5062" w:rsidRDefault="004D620F" w:rsidP="00A05EBF">
      <w:pPr>
        <w:jc w:val="both"/>
        <w:rPr>
          <w:rFonts w:ascii="Times New Roman" w:hAnsi="Times New Roman" w:cs="Times New Roman"/>
        </w:rPr>
      </w:pPr>
      <w:r w:rsidRPr="00DB5062">
        <w:rPr>
          <w:rFonts w:ascii="Times New Roman" w:hAnsi="Times New Roman" w:cs="Times New Roman"/>
        </w:rPr>
        <w:t xml:space="preserve">In contrast, Pakistan and Sri Lanka demonstrate significant positive effects of credit on production. This suggests that credit systems in these countries are better integrated with agricultural extension services and input delivery mechanisms. Iqbal et al. (2003) showed that credit in Pakistan has historically been a strong determinant of agricultural productivity, especially where formal institutions like the </w:t>
      </w:r>
      <w:proofErr w:type="spellStart"/>
      <w:r w:rsidRPr="00DB5062">
        <w:rPr>
          <w:rFonts w:ascii="Times New Roman" w:hAnsi="Times New Roman" w:cs="Times New Roman"/>
        </w:rPr>
        <w:t>Zarai</w:t>
      </w:r>
      <w:proofErr w:type="spellEnd"/>
      <w:r w:rsidRPr="00DB5062">
        <w:rPr>
          <w:rFonts w:ascii="Times New Roman" w:hAnsi="Times New Roman" w:cs="Times New Roman"/>
        </w:rPr>
        <w:t xml:space="preserve"> </w:t>
      </w:r>
      <w:proofErr w:type="spellStart"/>
      <w:r w:rsidRPr="00DB5062">
        <w:rPr>
          <w:rFonts w:ascii="Times New Roman" w:hAnsi="Times New Roman" w:cs="Times New Roman"/>
        </w:rPr>
        <w:t>Taraqiati</w:t>
      </w:r>
      <w:proofErr w:type="spellEnd"/>
      <w:r w:rsidRPr="00DB5062">
        <w:rPr>
          <w:rFonts w:ascii="Times New Roman" w:hAnsi="Times New Roman" w:cs="Times New Roman"/>
        </w:rPr>
        <w:t xml:space="preserve"> Bank ensured input supply linkages. Similarly, in Sri Lanka, credit programs tied to tea, rice, and smallholder plantations have improved agricultural output by directly financing input use.</w:t>
      </w:r>
    </w:p>
    <w:p w14:paraId="32907D4C" w14:textId="68BC01B2" w:rsidR="004D620F" w:rsidRPr="00DB5062" w:rsidRDefault="004D620F" w:rsidP="00A05EBF">
      <w:pPr>
        <w:jc w:val="both"/>
        <w:rPr>
          <w:rFonts w:ascii="Times New Roman" w:hAnsi="Times New Roman" w:cs="Times New Roman"/>
        </w:rPr>
      </w:pPr>
      <w:r w:rsidRPr="00DB5062">
        <w:rPr>
          <w:rFonts w:ascii="Times New Roman" w:hAnsi="Times New Roman" w:cs="Times New Roman"/>
        </w:rPr>
        <w:t xml:space="preserve">Nepal stands out for the strong negative impact of agricultural </w:t>
      </w:r>
      <w:r w:rsidR="006D60F8" w:rsidRPr="00DB5062">
        <w:rPr>
          <w:rFonts w:ascii="Times New Roman" w:hAnsi="Times New Roman" w:cs="Times New Roman"/>
        </w:rPr>
        <w:t>labour</w:t>
      </w:r>
      <w:r w:rsidRPr="00DB5062">
        <w:rPr>
          <w:rFonts w:ascii="Times New Roman" w:hAnsi="Times New Roman" w:cs="Times New Roman"/>
        </w:rPr>
        <w:t xml:space="preserve">, reflecting overdependence on low-productivity farm </w:t>
      </w:r>
      <w:r w:rsidR="006D60F8" w:rsidRPr="00DB5062">
        <w:rPr>
          <w:rFonts w:ascii="Times New Roman" w:hAnsi="Times New Roman" w:cs="Times New Roman"/>
        </w:rPr>
        <w:t>labour</w:t>
      </w:r>
      <w:r w:rsidRPr="00DB5062">
        <w:rPr>
          <w:rFonts w:ascii="Times New Roman" w:hAnsi="Times New Roman" w:cs="Times New Roman"/>
        </w:rPr>
        <w:t xml:space="preserve">. This resonates with studies showing that Nepal’s agrarian economy suffers from disguised unemployment, where productivity stagnates despite rising </w:t>
      </w:r>
      <w:r w:rsidR="006D60F8" w:rsidRPr="00DB5062">
        <w:rPr>
          <w:rFonts w:ascii="Times New Roman" w:hAnsi="Times New Roman" w:cs="Times New Roman"/>
        </w:rPr>
        <w:t>labour</w:t>
      </w:r>
      <w:r w:rsidRPr="00DB5062">
        <w:rPr>
          <w:rFonts w:ascii="Times New Roman" w:hAnsi="Times New Roman" w:cs="Times New Roman"/>
        </w:rPr>
        <w:t xml:space="preserve"> inputs. Similarly, Bhutan and the Maldives show weak responsiveness to credit, owing to structural factors such as limited arable land, geographic constraints, and reliance on food imports. Afghanistan presents a unique case, where political instability disrupts credit markets and agricultural productivity alike, making estimates volatile and context-specific.</w:t>
      </w:r>
    </w:p>
    <w:p w14:paraId="6C23A985" w14:textId="081D0A42" w:rsidR="004D620F" w:rsidRPr="00DB5062" w:rsidRDefault="004D620F" w:rsidP="00A05EBF">
      <w:pPr>
        <w:jc w:val="both"/>
        <w:rPr>
          <w:rFonts w:ascii="Times New Roman" w:hAnsi="Times New Roman" w:cs="Times New Roman"/>
        </w:rPr>
      </w:pPr>
      <w:r w:rsidRPr="00DB5062">
        <w:rPr>
          <w:rFonts w:ascii="Times New Roman" w:hAnsi="Times New Roman" w:cs="Times New Roman"/>
        </w:rPr>
        <w:t>Taken together, the country-level findings highlight that credit effectiveness depends critically on institutional quality, land availability, and labo</w:t>
      </w:r>
      <w:r w:rsidR="00DB5062" w:rsidRPr="00DB5062">
        <w:rPr>
          <w:rFonts w:ascii="Times New Roman" w:hAnsi="Times New Roman" w:cs="Times New Roman"/>
        </w:rPr>
        <w:t>u</w:t>
      </w:r>
      <w:r w:rsidRPr="00DB5062">
        <w:rPr>
          <w:rFonts w:ascii="Times New Roman" w:hAnsi="Times New Roman" w:cs="Times New Roman"/>
        </w:rPr>
        <w:t>r allocation efficiency. Policies must therefore be country-specific: strengthening financial infrastructure and extension services in India and Bangladesh; maintaining credit-input linkages in Pakistan and Sri Lanka; addressing land scarcity in Bhutan and Maldives; and stabilizing institutional frameworks in Afghanistan.</w:t>
      </w:r>
    </w:p>
    <w:p w14:paraId="27C919C3" w14:textId="4F48EF6B" w:rsidR="004D620F" w:rsidRPr="00C64988" w:rsidRDefault="004D620F" w:rsidP="00A05EBF">
      <w:pPr>
        <w:jc w:val="both"/>
        <w:rPr>
          <w:rFonts w:ascii="Times New Roman" w:hAnsi="Times New Roman" w:cs="Times New Roman"/>
        </w:rPr>
      </w:pPr>
      <w:r w:rsidRPr="004D620F">
        <w:rPr>
          <w:rFonts w:ascii="Times New Roman" w:hAnsi="Times New Roman" w:cs="Times New Roman"/>
          <w:b/>
          <w:bCs/>
        </w:rPr>
        <w:t>Model 2: Agricultural GDP and Livelihood Indicators</w:t>
      </w:r>
    </w:p>
    <w:p w14:paraId="1CD63474" w14:textId="27C05E63" w:rsidR="004D620F" w:rsidRDefault="00DA14BF" w:rsidP="00A05EBF">
      <w:pPr>
        <w:jc w:val="both"/>
        <w:rPr>
          <w:rFonts w:ascii="Times New Roman" w:hAnsi="Times New Roman" w:cs="Times New Roman"/>
          <w:b/>
          <w:bCs/>
        </w:rPr>
      </w:pPr>
      <w:r>
        <w:rPr>
          <w:rFonts w:ascii="Times New Roman" w:hAnsi="Times New Roman" w:cs="Times New Roman"/>
          <w:b/>
          <w:bCs/>
        </w:rPr>
        <w:t>Table 3-</w:t>
      </w:r>
      <w:r w:rsidR="004D620F" w:rsidRPr="004D620F">
        <w:rPr>
          <w:rFonts w:ascii="Times New Roman" w:hAnsi="Times New Roman" w:cs="Times New Roman"/>
          <w:b/>
          <w:bCs/>
        </w:rPr>
        <w:t>Panel Results</w:t>
      </w:r>
    </w:p>
    <w:tbl>
      <w:tblPr>
        <w:tblStyle w:val="TableGrid"/>
        <w:tblW w:w="0" w:type="auto"/>
        <w:tblInd w:w="-113" w:type="dxa"/>
        <w:tblLook w:val="04A0" w:firstRow="1" w:lastRow="0" w:firstColumn="1" w:lastColumn="0" w:noHBand="0" w:noVBand="1"/>
      </w:tblPr>
      <w:tblGrid>
        <w:gridCol w:w="3510"/>
        <w:gridCol w:w="4215"/>
      </w:tblGrid>
      <w:tr w:rsidR="005D1278" w:rsidRPr="005B275C" w14:paraId="60454754" w14:textId="77777777" w:rsidTr="005D1278">
        <w:trPr>
          <w:trHeight w:val="288"/>
        </w:trPr>
        <w:tc>
          <w:tcPr>
            <w:tcW w:w="7725" w:type="dxa"/>
            <w:gridSpan w:val="2"/>
            <w:noWrap/>
          </w:tcPr>
          <w:p w14:paraId="79021750" w14:textId="77777777" w:rsidR="005D1278" w:rsidRPr="005B275C" w:rsidRDefault="005D1278" w:rsidP="00123F69">
            <w:pPr>
              <w:jc w:val="both"/>
              <w:rPr>
                <w:rFonts w:ascii="Times New Roman" w:hAnsi="Times New Roman" w:cs="Times New Roman"/>
              </w:rPr>
            </w:pPr>
            <w:r w:rsidRPr="005B275C">
              <w:rPr>
                <w:rStyle w:val="Strong"/>
                <w:rFonts w:ascii="Times New Roman" w:hAnsi="Times New Roman" w:cs="Times New Roman"/>
              </w:rPr>
              <w:t>Dependent Variable:</w:t>
            </w:r>
            <w:r w:rsidRPr="005B275C">
              <w:rPr>
                <w:rFonts w:ascii="Times New Roman" w:hAnsi="Times New Roman" w:cs="Times New Roman"/>
              </w:rPr>
              <w:t xml:space="preserve"> Agriculture GDP</w:t>
            </w:r>
            <w:r>
              <w:rPr>
                <w:rFonts w:ascii="Times New Roman" w:hAnsi="Times New Roman" w:cs="Times New Roman"/>
              </w:rPr>
              <w:t xml:space="preserve"> it</w:t>
            </w:r>
            <w:r w:rsidRPr="005B275C">
              <w:rPr>
                <w:rFonts w:ascii="Times New Roman" w:hAnsi="Times New Roman" w:cs="Times New Roman"/>
              </w:rPr>
              <w:t xml:space="preserve"> ​</w:t>
            </w:r>
          </w:p>
        </w:tc>
      </w:tr>
      <w:tr w:rsidR="005D1278" w:rsidRPr="004F65F0" w14:paraId="5970B0FE" w14:textId="77777777" w:rsidTr="005D1278">
        <w:trPr>
          <w:trHeight w:val="288"/>
        </w:trPr>
        <w:tc>
          <w:tcPr>
            <w:tcW w:w="3510" w:type="dxa"/>
            <w:noWrap/>
            <w:hideMark/>
          </w:tcPr>
          <w:p w14:paraId="5CCE57AD"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Variable</w:t>
            </w:r>
          </w:p>
        </w:tc>
        <w:tc>
          <w:tcPr>
            <w:tcW w:w="4215" w:type="dxa"/>
            <w:noWrap/>
            <w:hideMark/>
          </w:tcPr>
          <w:p w14:paraId="730672D8"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Estimate (Robust SE)</w:t>
            </w:r>
          </w:p>
        </w:tc>
      </w:tr>
      <w:tr w:rsidR="005D1278" w:rsidRPr="004F65F0" w14:paraId="03FEF0C8" w14:textId="77777777" w:rsidTr="005D1278">
        <w:trPr>
          <w:trHeight w:val="288"/>
        </w:trPr>
        <w:tc>
          <w:tcPr>
            <w:tcW w:w="3510" w:type="dxa"/>
            <w:noWrap/>
            <w:hideMark/>
          </w:tcPr>
          <w:p w14:paraId="5342E919"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Constant</w:t>
            </w:r>
          </w:p>
        </w:tc>
        <w:tc>
          <w:tcPr>
            <w:tcW w:w="4215" w:type="dxa"/>
            <w:noWrap/>
            <w:hideMark/>
          </w:tcPr>
          <w:p w14:paraId="48F54257" w14:textId="77777777" w:rsidR="005D1278" w:rsidRPr="004F65F0" w:rsidRDefault="005D1278" w:rsidP="00123F69">
            <w:pPr>
              <w:jc w:val="both"/>
              <w:rPr>
                <w:rFonts w:ascii="Times New Roman" w:hAnsi="Times New Roman" w:cs="Times New Roman"/>
              </w:rPr>
            </w:pPr>
          </w:p>
        </w:tc>
      </w:tr>
      <w:tr w:rsidR="005D1278" w:rsidRPr="004F65F0" w14:paraId="37077324" w14:textId="77777777" w:rsidTr="005D1278">
        <w:trPr>
          <w:trHeight w:val="288"/>
        </w:trPr>
        <w:tc>
          <w:tcPr>
            <w:tcW w:w="3510" w:type="dxa"/>
            <w:noWrap/>
            <w:hideMark/>
          </w:tcPr>
          <w:p w14:paraId="6667CEB8"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ln (Credit)it</w:t>
            </w:r>
          </w:p>
        </w:tc>
        <w:tc>
          <w:tcPr>
            <w:tcW w:w="4215" w:type="dxa"/>
            <w:noWrap/>
            <w:hideMark/>
          </w:tcPr>
          <w:p w14:paraId="37724D2C" w14:textId="77777777" w:rsidR="005D1278" w:rsidRPr="004F65F0" w:rsidRDefault="005D1278" w:rsidP="00123F69">
            <w:pPr>
              <w:jc w:val="both"/>
              <w:rPr>
                <w:rFonts w:ascii="Times New Roman" w:hAnsi="Times New Roman" w:cs="Times New Roman"/>
              </w:rPr>
            </w:pPr>
            <w:r w:rsidRPr="005B275C">
              <w:rPr>
                <w:rFonts w:ascii="Times New Roman" w:hAnsi="Times New Roman" w:cs="Times New Roman"/>
              </w:rPr>
              <w:t>1.641 (0.215) ***</w:t>
            </w:r>
          </w:p>
        </w:tc>
      </w:tr>
      <w:tr w:rsidR="005D1278" w:rsidRPr="004F65F0" w14:paraId="12C6F03B" w14:textId="77777777" w:rsidTr="005D1278">
        <w:trPr>
          <w:trHeight w:val="288"/>
        </w:trPr>
        <w:tc>
          <w:tcPr>
            <w:tcW w:w="3510" w:type="dxa"/>
            <w:noWrap/>
            <w:hideMark/>
          </w:tcPr>
          <w:p w14:paraId="33D903F8" w14:textId="67C80AE1" w:rsidR="005D1278" w:rsidRPr="004F65F0" w:rsidRDefault="005D1278" w:rsidP="00123F69">
            <w:pPr>
              <w:jc w:val="both"/>
              <w:rPr>
                <w:rFonts w:ascii="Times New Roman" w:hAnsi="Times New Roman" w:cs="Times New Roman"/>
              </w:rPr>
            </w:pPr>
            <w:r w:rsidRPr="004F65F0">
              <w:rPr>
                <w:rFonts w:ascii="Times New Roman" w:hAnsi="Times New Roman" w:cs="Times New Roman"/>
              </w:rPr>
              <w:t>ln</w:t>
            </w:r>
            <w:r>
              <w:rPr>
                <w:rFonts w:ascii="Times New Roman" w:hAnsi="Times New Roman" w:cs="Times New Roman"/>
              </w:rPr>
              <w:t xml:space="preserve"> </w:t>
            </w:r>
            <w:r w:rsidRPr="004F65F0">
              <w:rPr>
                <w:rFonts w:ascii="Times New Roman" w:hAnsi="Times New Roman" w:cs="Times New Roman"/>
              </w:rPr>
              <w:t>(</w:t>
            </w:r>
            <w:r w:rsidR="0089228F" w:rsidRPr="004F65F0">
              <w:rPr>
                <w:rFonts w:ascii="Times New Roman" w:hAnsi="Times New Roman" w:cs="Times New Roman"/>
              </w:rPr>
              <w:t xml:space="preserve">Rural </w:t>
            </w:r>
            <w:proofErr w:type="gramStart"/>
            <w:r w:rsidR="0089228F" w:rsidRPr="004F65F0">
              <w:rPr>
                <w:rFonts w:ascii="Times New Roman" w:hAnsi="Times New Roman" w:cs="Times New Roman"/>
              </w:rPr>
              <w:t>Pop</w:t>
            </w:r>
            <w:r w:rsidRPr="004F65F0">
              <w:rPr>
                <w:rFonts w:ascii="Times New Roman" w:hAnsi="Times New Roman" w:cs="Times New Roman"/>
              </w:rPr>
              <w:t>)it</w:t>
            </w:r>
            <w:proofErr w:type="gramEnd"/>
          </w:p>
        </w:tc>
        <w:tc>
          <w:tcPr>
            <w:tcW w:w="4215" w:type="dxa"/>
            <w:noWrap/>
            <w:hideMark/>
          </w:tcPr>
          <w:p w14:paraId="277A1D68" w14:textId="77777777" w:rsidR="005D1278" w:rsidRPr="004F65F0" w:rsidRDefault="005D1278" w:rsidP="00123F69">
            <w:pPr>
              <w:jc w:val="both"/>
              <w:rPr>
                <w:rFonts w:ascii="Times New Roman" w:hAnsi="Times New Roman" w:cs="Times New Roman"/>
              </w:rPr>
            </w:pPr>
            <w:r w:rsidRPr="005B275C">
              <w:rPr>
                <w:rFonts w:ascii="Times New Roman" w:hAnsi="Times New Roman" w:cs="Times New Roman"/>
              </w:rPr>
              <w:t>24.802</w:t>
            </w:r>
            <w:r>
              <w:rPr>
                <w:rFonts w:ascii="Times New Roman" w:hAnsi="Times New Roman" w:cs="Times New Roman"/>
              </w:rPr>
              <w:t xml:space="preserve"> </w:t>
            </w:r>
            <w:r w:rsidRPr="005B275C">
              <w:rPr>
                <w:rFonts w:ascii="Times New Roman" w:hAnsi="Times New Roman" w:cs="Times New Roman"/>
              </w:rPr>
              <w:t>(5.945)</w:t>
            </w:r>
            <w:r>
              <w:rPr>
                <w:rFonts w:ascii="Times New Roman" w:hAnsi="Times New Roman" w:cs="Times New Roman"/>
              </w:rPr>
              <w:t xml:space="preserve"> ***</w:t>
            </w:r>
          </w:p>
        </w:tc>
      </w:tr>
      <w:tr w:rsidR="005D1278" w:rsidRPr="004F65F0" w14:paraId="13F63813" w14:textId="77777777" w:rsidTr="005D1278">
        <w:trPr>
          <w:trHeight w:val="288"/>
        </w:trPr>
        <w:tc>
          <w:tcPr>
            <w:tcW w:w="3510" w:type="dxa"/>
            <w:noWrap/>
            <w:hideMark/>
          </w:tcPr>
          <w:p w14:paraId="74FACBEA" w14:textId="77777777" w:rsidR="005D1278" w:rsidRPr="004F65F0" w:rsidRDefault="005D1278" w:rsidP="00123F69">
            <w:pPr>
              <w:jc w:val="both"/>
              <w:rPr>
                <w:rFonts w:ascii="Times New Roman" w:hAnsi="Times New Roman" w:cs="Times New Roman"/>
              </w:rPr>
            </w:pPr>
            <w:proofErr w:type="spellStart"/>
            <w:r w:rsidRPr="004F65F0">
              <w:rPr>
                <w:rFonts w:ascii="Times New Roman" w:hAnsi="Times New Roman" w:cs="Times New Roman"/>
              </w:rPr>
              <w:t>EmpAgriculture</w:t>
            </w:r>
            <w:proofErr w:type="spellEnd"/>
            <w:r>
              <w:rPr>
                <w:rFonts w:ascii="Times New Roman" w:hAnsi="Times New Roman" w:cs="Times New Roman"/>
              </w:rPr>
              <w:t xml:space="preserve"> </w:t>
            </w:r>
            <w:r w:rsidRPr="004F65F0">
              <w:rPr>
                <w:rFonts w:ascii="Times New Roman" w:hAnsi="Times New Roman" w:cs="Times New Roman"/>
              </w:rPr>
              <w:t>it​</w:t>
            </w:r>
          </w:p>
        </w:tc>
        <w:tc>
          <w:tcPr>
            <w:tcW w:w="4215" w:type="dxa"/>
            <w:noWrap/>
            <w:hideMark/>
          </w:tcPr>
          <w:p w14:paraId="546DD0F5" w14:textId="77777777" w:rsidR="005D1278" w:rsidRPr="004F65F0" w:rsidRDefault="005D1278" w:rsidP="00123F69">
            <w:pPr>
              <w:jc w:val="both"/>
              <w:rPr>
                <w:rFonts w:ascii="Times New Roman" w:hAnsi="Times New Roman" w:cs="Times New Roman"/>
              </w:rPr>
            </w:pPr>
            <w:r w:rsidRPr="005B275C">
              <w:rPr>
                <w:rFonts w:ascii="Times New Roman" w:hAnsi="Times New Roman" w:cs="Times New Roman"/>
              </w:rPr>
              <w:t>0.151 (0.132)</w:t>
            </w:r>
          </w:p>
        </w:tc>
      </w:tr>
      <w:tr w:rsidR="005D1278" w:rsidRPr="004F65F0" w14:paraId="3415BEAD" w14:textId="77777777" w:rsidTr="005D1278">
        <w:trPr>
          <w:trHeight w:val="288"/>
        </w:trPr>
        <w:tc>
          <w:tcPr>
            <w:tcW w:w="3510" w:type="dxa"/>
            <w:noWrap/>
            <w:hideMark/>
          </w:tcPr>
          <w:p w14:paraId="67D1E80C" w14:textId="4DC6B8BE" w:rsidR="005D1278" w:rsidRPr="004F65F0" w:rsidRDefault="0089228F" w:rsidP="00123F69">
            <w:pPr>
              <w:jc w:val="both"/>
              <w:rPr>
                <w:rFonts w:ascii="Times New Roman" w:hAnsi="Times New Roman" w:cs="Times New Roman"/>
              </w:rPr>
            </w:pPr>
            <w:r w:rsidRPr="005B275C">
              <w:rPr>
                <w:rFonts w:ascii="Times New Roman" w:hAnsi="Times New Roman" w:cs="Times New Roman"/>
              </w:rPr>
              <w:t>Access Electricity</w:t>
            </w:r>
            <w:r w:rsidR="005D1278">
              <w:rPr>
                <w:rFonts w:ascii="Times New Roman" w:hAnsi="Times New Roman" w:cs="Times New Roman"/>
              </w:rPr>
              <w:t xml:space="preserve"> </w:t>
            </w:r>
            <w:r w:rsidR="005D1278" w:rsidRPr="005B275C">
              <w:rPr>
                <w:rFonts w:ascii="Times New Roman" w:hAnsi="Times New Roman" w:cs="Times New Roman"/>
              </w:rPr>
              <w:t>it​</w:t>
            </w:r>
          </w:p>
        </w:tc>
        <w:tc>
          <w:tcPr>
            <w:tcW w:w="4215" w:type="dxa"/>
            <w:noWrap/>
            <w:hideMark/>
          </w:tcPr>
          <w:p w14:paraId="7AC00892" w14:textId="77777777" w:rsidR="005D1278" w:rsidRPr="004F65F0" w:rsidRDefault="005D1278" w:rsidP="00123F69">
            <w:pPr>
              <w:jc w:val="both"/>
              <w:rPr>
                <w:rFonts w:ascii="Times New Roman" w:hAnsi="Times New Roman" w:cs="Times New Roman"/>
              </w:rPr>
            </w:pPr>
            <w:r w:rsidRPr="005B275C">
              <w:rPr>
                <w:rFonts w:ascii="Times New Roman" w:hAnsi="Times New Roman" w:cs="Times New Roman"/>
              </w:rPr>
              <w:t>−0.062</w:t>
            </w:r>
            <w:r>
              <w:rPr>
                <w:rFonts w:ascii="Times New Roman" w:hAnsi="Times New Roman" w:cs="Times New Roman"/>
              </w:rPr>
              <w:t xml:space="preserve"> </w:t>
            </w:r>
            <w:r w:rsidRPr="005B275C">
              <w:rPr>
                <w:rFonts w:ascii="Times New Roman" w:hAnsi="Times New Roman" w:cs="Times New Roman"/>
              </w:rPr>
              <w:t>(0.024)</w:t>
            </w:r>
            <w:r>
              <w:rPr>
                <w:rFonts w:ascii="Times New Roman" w:hAnsi="Times New Roman" w:cs="Times New Roman"/>
              </w:rPr>
              <w:t xml:space="preserve"> **</w:t>
            </w:r>
          </w:p>
        </w:tc>
      </w:tr>
      <w:tr w:rsidR="005D1278" w:rsidRPr="004F65F0" w14:paraId="6F01C1B5" w14:textId="77777777" w:rsidTr="005D1278">
        <w:trPr>
          <w:trHeight w:val="288"/>
        </w:trPr>
        <w:tc>
          <w:tcPr>
            <w:tcW w:w="7725" w:type="dxa"/>
            <w:gridSpan w:val="2"/>
            <w:noWrap/>
          </w:tcPr>
          <w:p w14:paraId="4140D395"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Significance level: *10%; **5%; ***1%</w:t>
            </w:r>
          </w:p>
        </w:tc>
      </w:tr>
      <w:tr w:rsidR="005D1278" w:rsidRPr="004F65F0" w14:paraId="48668034" w14:textId="77777777" w:rsidTr="005D1278">
        <w:trPr>
          <w:trHeight w:val="288"/>
        </w:trPr>
        <w:tc>
          <w:tcPr>
            <w:tcW w:w="3510" w:type="dxa"/>
            <w:noWrap/>
          </w:tcPr>
          <w:p w14:paraId="31714101" w14:textId="77777777" w:rsidR="005D1278" w:rsidRPr="004F65F0" w:rsidRDefault="005D1278" w:rsidP="00123F69">
            <w:pPr>
              <w:jc w:val="both"/>
              <w:rPr>
                <w:rFonts w:ascii="Times New Roman" w:hAnsi="Times New Roman" w:cs="Times New Roman"/>
                <w:vertAlign w:val="superscript"/>
              </w:rPr>
            </w:pPr>
            <w:r>
              <w:rPr>
                <w:rFonts w:ascii="Times New Roman" w:hAnsi="Times New Roman" w:cs="Times New Roman"/>
              </w:rPr>
              <w:t>R</w:t>
            </w:r>
            <w:r>
              <w:rPr>
                <w:rFonts w:ascii="Times New Roman" w:hAnsi="Times New Roman" w:cs="Times New Roman"/>
                <w:vertAlign w:val="superscript"/>
              </w:rPr>
              <w:t>2</w:t>
            </w:r>
          </w:p>
        </w:tc>
        <w:tc>
          <w:tcPr>
            <w:tcW w:w="4215" w:type="dxa"/>
            <w:noWrap/>
          </w:tcPr>
          <w:p w14:paraId="60D78DC4" w14:textId="77777777" w:rsidR="005D1278" w:rsidRPr="004F65F0" w:rsidRDefault="005D1278" w:rsidP="00123F69">
            <w:pPr>
              <w:jc w:val="both"/>
              <w:rPr>
                <w:rFonts w:ascii="Times New Roman" w:hAnsi="Times New Roman" w:cs="Times New Roman"/>
              </w:rPr>
            </w:pPr>
            <w:r>
              <w:rPr>
                <w:rFonts w:ascii="Times New Roman" w:hAnsi="Times New Roman" w:cs="Times New Roman"/>
              </w:rPr>
              <w:t>0.362</w:t>
            </w:r>
          </w:p>
        </w:tc>
      </w:tr>
      <w:tr w:rsidR="005D1278" w:rsidRPr="004F65F0" w14:paraId="3BAE4423" w14:textId="77777777" w:rsidTr="005D1278">
        <w:trPr>
          <w:trHeight w:val="288"/>
        </w:trPr>
        <w:tc>
          <w:tcPr>
            <w:tcW w:w="3510" w:type="dxa"/>
            <w:noWrap/>
          </w:tcPr>
          <w:p w14:paraId="1F51293A" w14:textId="77777777" w:rsidR="005D1278" w:rsidRPr="004F65F0" w:rsidRDefault="005D1278" w:rsidP="00123F69">
            <w:pPr>
              <w:jc w:val="both"/>
              <w:rPr>
                <w:rFonts w:ascii="Times New Roman" w:hAnsi="Times New Roman" w:cs="Times New Roman"/>
              </w:rPr>
            </w:pPr>
            <w:r w:rsidRPr="004F65F0">
              <w:rPr>
                <w:rFonts w:ascii="Times New Roman" w:hAnsi="Times New Roman" w:cs="Times New Roman"/>
              </w:rPr>
              <w:t>Adjusted R</w:t>
            </w:r>
            <w:r w:rsidRPr="004F65F0">
              <w:rPr>
                <w:rFonts w:ascii="Times New Roman" w:hAnsi="Times New Roman" w:cs="Times New Roman"/>
                <w:vertAlign w:val="superscript"/>
              </w:rPr>
              <w:t>2</w:t>
            </w:r>
          </w:p>
        </w:tc>
        <w:tc>
          <w:tcPr>
            <w:tcW w:w="4215" w:type="dxa"/>
            <w:noWrap/>
          </w:tcPr>
          <w:p w14:paraId="07A763DA" w14:textId="77777777" w:rsidR="005D1278" w:rsidRPr="004F65F0" w:rsidRDefault="005D1278" w:rsidP="00123F69">
            <w:pPr>
              <w:jc w:val="both"/>
              <w:rPr>
                <w:rFonts w:ascii="Times New Roman" w:hAnsi="Times New Roman" w:cs="Times New Roman"/>
              </w:rPr>
            </w:pPr>
            <w:r>
              <w:rPr>
                <w:rFonts w:ascii="Times New Roman" w:hAnsi="Times New Roman" w:cs="Times New Roman"/>
              </w:rPr>
              <w:t>0.302</w:t>
            </w:r>
          </w:p>
        </w:tc>
      </w:tr>
      <w:tr w:rsidR="005D1278" w:rsidRPr="004F65F0" w14:paraId="5C85F883" w14:textId="77777777" w:rsidTr="005D1278">
        <w:trPr>
          <w:trHeight w:val="288"/>
        </w:trPr>
        <w:tc>
          <w:tcPr>
            <w:tcW w:w="3510" w:type="dxa"/>
            <w:noWrap/>
          </w:tcPr>
          <w:p w14:paraId="2778D76C" w14:textId="77777777" w:rsidR="005D1278" w:rsidRPr="004F65F0" w:rsidRDefault="005D1278" w:rsidP="00123F69">
            <w:pPr>
              <w:jc w:val="both"/>
              <w:rPr>
                <w:rFonts w:ascii="Times New Roman" w:hAnsi="Times New Roman" w:cs="Times New Roman"/>
              </w:rPr>
            </w:pPr>
            <w:r>
              <w:rPr>
                <w:rFonts w:ascii="Times New Roman" w:hAnsi="Times New Roman" w:cs="Times New Roman"/>
              </w:rPr>
              <w:t>LM Test</w:t>
            </w:r>
          </w:p>
        </w:tc>
        <w:tc>
          <w:tcPr>
            <w:tcW w:w="4215" w:type="dxa"/>
            <w:noWrap/>
          </w:tcPr>
          <w:p w14:paraId="61ED0281" w14:textId="77777777" w:rsidR="005D1278" w:rsidRPr="004F65F0" w:rsidRDefault="005D1278" w:rsidP="00123F69">
            <w:pPr>
              <w:jc w:val="both"/>
              <w:rPr>
                <w:rFonts w:ascii="Times New Roman" w:hAnsi="Times New Roman" w:cs="Times New Roman"/>
              </w:rPr>
            </w:pPr>
            <w:r>
              <w:rPr>
                <w:rFonts w:ascii="Times New Roman" w:hAnsi="Times New Roman" w:cs="Times New Roman"/>
              </w:rPr>
              <w:t>276.070 (0.000)</w:t>
            </w:r>
          </w:p>
        </w:tc>
      </w:tr>
    </w:tbl>
    <w:p w14:paraId="4997626A" w14:textId="3A1D9B36" w:rsidR="005D1278" w:rsidRDefault="0089228F" w:rsidP="00A05EBF">
      <w:pPr>
        <w:jc w:val="both"/>
        <w:rPr>
          <w:rFonts w:ascii="Times New Roman" w:hAnsi="Times New Roman" w:cs="Times New Roman"/>
        </w:rPr>
      </w:pPr>
      <w:r>
        <w:rPr>
          <w:rFonts w:ascii="Times New Roman" w:hAnsi="Times New Roman" w:cs="Times New Roman"/>
        </w:rPr>
        <w:t>Source- Authors own computation</w:t>
      </w:r>
    </w:p>
    <w:p w14:paraId="0F505F9B" w14:textId="66D9B8E7" w:rsidR="004D620F" w:rsidRPr="00DB5062" w:rsidRDefault="004D620F" w:rsidP="00A05EBF">
      <w:pPr>
        <w:jc w:val="both"/>
        <w:rPr>
          <w:rFonts w:ascii="Times New Roman" w:hAnsi="Times New Roman" w:cs="Times New Roman"/>
        </w:rPr>
      </w:pPr>
      <w:r w:rsidRPr="00DB5062">
        <w:rPr>
          <w:rFonts w:ascii="Times New Roman" w:hAnsi="Times New Roman" w:cs="Times New Roman"/>
        </w:rPr>
        <w:lastRenderedPageBreak/>
        <w:t>The panel regression results for Model 2 demonstrate a clear contrast with Model 1. Here, agricultural credit (</w:t>
      </w:r>
      <w:r w:rsidR="00DB5062" w:rsidRPr="00DB5062">
        <w:rPr>
          <w:rFonts w:ascii="Times New Roman" w:hAnsi="Times New Roman" w:cs="Times New Roman"/>
        </w:rPr>
        <w:t>ln. credit</w:t>
      </w:r>
      <w:r w:rsidRPr="00DB5062">
        <w:rPr>
          <w:rFonts w:ascii="Times New Roman" w:hAnsi="Times New Roman" w:cs="Times New Roman"/>
        </w:rPr>
        <w:t xml:space="preserve">) exerts a strong and positive effect on agricultural GDP across SAARC, suggesting that while credit may not always directly enhance physical agricultural production, it significantly contributes to the </w:t>
      </w:r>
      <w:r w:rsidR="00DB5062" w:rsidRPr="00DB5062">
        <w:rPr>
          <w:rFonts w:ascii="Times New Roman" w:hAnsi="Times New Roman" w:cs="Times New Roman"/>
        </w:rPr>
        <w:t>sectors</w:t>
      </w:r>
      <w:r w:rsidRPr="00DB5062">
        <w:rPr>
          <w:rFonts w:ascii="Times New Roman" w:hAnsi="Times New Roman" w:cs="Times New Roman"/>
        </w:rPr>
        <w:t xml:space="preserve"> overall value-added. This supports the finance-led growth hypothesis and the findings of Binswanger &amp; </w:t>
      </w:r>
      <w:proofErr w:type="spellStart"/>
      <w:r w:rsidRPr="00DB5062">
        <w:rPr>
          <w:rFonts w:ascii="Times New Roman" w:hAnsi="Times New Roman" w:cs="Times New Roman"/>
        </w:rPr>
        <w:t>Khandker</w:t>
      </w:r>
      <w:proofErr w:type="spellEnd"/>
      <w:r w:rsidRPr="00DB5062">
        <w:rPr>
          <w:rFonts w:ascii="Times New Roman" w:hAnsi="Times New Roman" w:cs="Times New Roman"/>
        </w:rPr>
        <w:t xml:space="preserve"> (1995), who emphasized the importance of rural financial flows in sustaining agricultural income and development. The divergence between Models 1 and 2 highlights that credit’s impact is more visible in terms of income and GDP rather than sheer production volumes.</w:t>
      </w:r>
    </w:p>
    <w:p w14:paraId="197088D7" w14:textId="77777777" w:rsidR="004D620F" w:rsidRPr="00DB5062" w:rsidRDefault="004D620F" w:rsidP="00A05EBF">
      <w:pPr>
        <w:jc w:val="both"/>
        <w:rPr>
          <w:rFonts w:ascii="Times New Roman" w:hAnsi="Times New Roman" w:cs="Times New Roman"/>
        </w:rPr>
      </w:pPr>
      <w:r w:rsidRPr="00DB5062">
        <w:rPr>
          <w:rFonts w:ascii="Times New Roman" w:hAnsi="Times New Roman" w:cs="Times New Roman"/>
        </w:rPr>
        <w:t>The rural population variable (</w:t>
      </w:r>
      <w:proofErr w:type="spellStart"/>
      <w:r w:rsidRPr="00DB5062">
        <w:rPr>
          <w:rFonts w:ascii="Times New Roman" w:hAnsi="Times New Roman" w:cs="Times New Roman"/>
        </w:rPr>
        <w:t>ln.Rural.pop</w:t>
      </w:r>
      <w:proofErr w:type="spellEnd"/>
      <w:r w:rsidRPr="00DB5062">
        <w:rPr>
          <w:rFonts w:ascii="Times New Roman" w:hAnsi="Times New Roman" w:cs="Times New Roman"/>
        </w:rPr>
        <w:t>) also shows a positive and significant association with agricultural GDP, indicating that rural demographic presence contributes to agricultural value-added when considered in aggregate. However, this finding must be understood cautiously: while more rural population may raise aggregate GDP, it may also mask low per capita productivity, echoing the structural issues identified in Model 1.</w:t>
      </w:r>
    </w:p>
    <w:p w14:paraId="0D3E572E" w14:textId="77777777" w:rsidR="004D620F" w:rsidRPr="00DB5062" w:rsidRDefault="004D620F" w:rsidP="00A05EBF">
      <w:pPr>
        <w:jc w:val="both"/>
        <w:rPr>
          <w:rFonts w:ascii="Times New Roman" w:hAnsi="Times New Roman" w:cs="Times New Roman"/>
        </w:rPr>
      </w:pPr>
      <w:r w:rsidRPr="00DB5062">
        <w:rPr>
          <w:rFonts w:ascii="Times New Roman" w:hAnsi="Times New Roman" w:cs="Times New Roman"/>
        </w:rPr>
        <w:t>Surprisingly, access to electricity emerges with a negative coefficient. One possible explanation lies in the quality and reliability of rural electrification in South Asia. Although electrification rates have improved rapidly, supply is often erratic, costly, or limited to household consumption rather than productive agricultural uses like irrigation and mechanization. This resonates with World Bank (2018), which documented South Asia’s rural electricity paradox: expansion in coverage without corresponding gains in productivity.</w:t>
      </w:r>
    </w:p>
    <w:p w14:paraId="2BA34698" w14:textId="77777777" w:rsidR="004D620F" w:rsidRPr="00DB5062" w:rsidRDefault="004D620F" w:rsidP="00A05EBF">
      <w:pPr>
        <w:jc w:val="both"/>
        <w:rPr>
          <w:rFonts w:ascii="Times New Roman" w:hAnsi="Times New Roman" w:cs="Times New Roman"/>
        </w:rPr>
      </w:pPr>
      <w:r w:rsidRPr="00DB5062">
        <w:rPr>
          <w:rFonts w:ascii="Times New Roman" w:hAnsi="Times New Roman" w:cs="Times New Roman"/>
        </w:rPr>
        <w:t>From a policy standpoint, Model 2 highlights that financial deepening in rural areas contributes positively to sectoral GDP. However, without complementary infrastructure improvements (e.g., reliable electricity for irrigation and storage), the full productivity potential remains unrealized.</w:t>
      </w:r>
    </w:p>
    <w:p w14:paraId="47CF4F3E" w14:textId="62E31633" w:rsidR="004D620F" w:rsidRPr="00C64988" w:rsidRDefault="00DA14BF" w:rsidP="00A05EBF">
      <w:pPr>
        <w:jc w:val="both"/>
        <w:rPr>
          <w:rFonts w:ascii="Times New Roman" w:hAnsi="Times New Roman" w:cs="Times New Roman"/>
        </w:rPr>
      </w:pPr>
      <w:r>
        <w:rPr>
          <w:rFonts w:ascii="Times New Roman" w:hAnsi="Times New Roman" w:cs="Times New Roman"/>
          <w:b/>
          <w:bCs/>
        </w:rPr>
        <w:t>Table 4-</w:t>
      </w:r>
      <w:r w:rsidR="004D620F" w:rsidRPr="004D620F">
        <w:rPr>
          <w:rFonts w:ascii="Times New Roman" w:hAnsi="Times New Roman" w:cs="Times New Roman"/>
          <w:b/>
          <w:bCs/>
        </w:rPr>
        <w:t>Country-Specific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9"/>
        <w:gridCol w:w="1837"/>
        <w:gridCol w:w="2128"/>
        <w:gridCol w:w="1896"/>
        <w:gridCol w:w="1806"/>
      </w:tblGrid>
      <w:tr w:rsidR="004D620F" w:rsidRPr="004D620F" w14:paraId="037E9CB9" w14:textId="77777777" w:rsidTr="004D620F">
        <w:trPr>
          <w:tblHeader/>
          <w:tblCellSpacing w:w="15" w:type="dxa"/>
        </w:trPr>
        <w:tc>
          <w:tcPr>
            <w:tcW w:w="0" w:type="auto"/>
            <w:vAlign w:val="center"/>
            <w:hideMark/>
          </w:tcPr>
          <w:p w14:paraId="29446A8C"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Country</w:t>
            </w:r>
          </w:p>
        </w:tc>
        <w:tc>
          <w:tcPr>
            <w:tcW w:w="0" w:type="auto"/>
            <w:vAlign w:val="center"/>
            <w:hideMark/>
          </w:tcPr>
          <w:p w14:paraId="40B840BF" w14:textId="6AF72FED" w:rsidR="004D620F" w:rsidRPr="004D620F" w:rsidRDefault="00DB5062"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ln. credit</w:t>
            </w:r>
          </w:p>
        </w:tc>
        <w:tc>
          <w:tcPr>
            <w:tcW w:w="0" w:type="auto"/>
            <w:vAlign w:val="center"/>
            <w:hideMark/>
          </w:tcPr>
          <w:p w14:paraId="7798A897"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proofErr w:type="spellStart"/>
            <w:r w:rsidRPr="004D620F">
              <w:rPr>
                <w:rFonts w:ascii="Times New Roman" w:eastAsia="Times New Roman" w:hAnsi="Times New Roman" w:cs="Times New Roman"/>
                <w:b/>
                <w:bCs/>
                <w:kern w:val="0"/>
                <w:lang w:eastAsia="en-IN"/>
                <w14:ligatures w14:val="none"/>
              </w:rPr>
              <w:t>ln.Rural.pop</w:t>
            </w:r>
            <w:proofErr w:type="spellEnd"/>
          </w:p>
        </w:tc>
        <w:tc>
          <w:tcPr>
            <w:tcW w:w="0" w:type="auto"/>
            <w:vAlign w:val="center"/>
            <w:hideMark/>
          </w:tcPr>
          <w:p w14:paraId="36889474" w14:textId="77777777"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proofErr w:type="spellStart"/>
            <w:r w:rsidRPr="004D620F">
              <w:rPr>
                <w:rFonts w:ascii="Times New Roman" w:eastAsia="Times New Roman" w:hAnsi="Times New Roman" w:cs="Times New Roman"/>
                <w:b/>
                <w:bCs/>
                <w:kern w:val="0"/>
                <w:lang w:eastAsia="en-IN"/>
                <w14:ligatures w14:val="none"/>
              </w:rPr>
              <w:t>Empagriculture</w:t>
            </w:r>
            <w:proofErr w:type="spellEnd"/>
          </w:p>
        </w:tc>
        <w:tc>
          <w:tcPr>
            <w:tcW w:w="0" w:type="auto"/>
            <w:vAlign w:val="center"/>
            <w:hideMark/>
          </w:tcPr>
          <w:p w14:paraId="30B3F9B0" w14:textId="27F67C54" w:rsidR="004D620F" w:rsidRPr="004D620F" w:rsidRDefault="004D620F" w:rsidP="00A05EBF">
            <w:pPr>
              <w:spacing w:after="0" w:line="240" w:lineRule="auto"/>
              <w:jc w:val="both"/>
              <w:rPr>
                <w:rFonts w:ascii="Times New Roman" w:eastAsia="Times New Roman" w:hAnsi="Times New Roman" w:cs="Times New Roman"/>
                <w:b/>
                <w:bCs/>
                <w:kern w:val="0"/>
                <w:lang w:eastAsia="en-IN"/>
                <w14:ligatures w14:val="none"/>
              </w:rPr>
            </w:pPr>
            <w:r w:rsidRPr="004D620F">
              <w:rPr>
                <w:rFonts w:ascii="Times New Roman" w:eastAsia="Times New Roman" w:hAnsi="Times New Roman" w:cs="Times New Roman"/>
                <w:b/>
                <w:bCs/>
                <w:kern w:val="0"/>
                <w:lang w:eastAsia="en-IN"/>
                <w14:ligatures w14:val="none"/>
              </w:rPr>
              <w:t>Access</w:t>
            </w:r>
            <w:r w:rsidR="00DB5062">
              <w:rPr>
                <w:rFonts w:ascii="Times New Roman" w:eastAsia="Times New Roman" w:hAnsi="Times New Roman" w:cs="Times New Roman"/>
                <w:b/>
                <w:bCs/>
                <w:kern w:val="0"/>
                <w:lang w:eastAsia="en-IN"/>
                <w14:ligatures w14:val="none"/>
              </w:rPr>
              <w:t xml:space="preserve"> </w:t>
            </w:r>
            <w:r w:rsidRPr="004D620F">
              <w:rPr>
                <w:rFonts w:ascii="Times New Roman" w:eastAsia="Times New Roman" w:hAnsi="Times New Roman" w:cs="Times New Roman"/>
                <w:b/>
                <w:bCs/>
                <w:kern w:val="0"/>
                <w:lang w:eastAsia="en-IN"/>
                <w14:ligatures w14:val="none"/>
              </w:rPr>
              <w:t>Electricity</w:t>
            </w:r>
          </w:p>
        </w:tc>
      </w:tr>
      <w:tr w:rsidR="004D620F" w:rsidRPr="004D620F" w14:paraId="740DE474" w14:textId="77777777" w:rsidTr="004D620F">
        <w:trPr>
          <w:tblCellSpacing w:w="15" w:type="dxa"/>
        </w:trPr>
        <w:tc>
          <w:tcPr>
            <w:tcW w:w="0" w:type="auto"/>
            <w:vAlign w:val="center"/>
            <w:hideMark/>
          </w:tcPr>
          <w:p w14:paraId="2B4F1922"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Afghanistan</w:t>
            </w:r>
          </w:p>
        </w:tc>
        <w:tc>
          <w:tcPr>
            <w:tcW w:w="0" w:type="auto"/>
            <w:vAlign w:val="center"/>
            <w:hideMark/>
          </w:tcPr>
          <w:p w14:paraId="14840279" w14:textId="360C654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+1.505 (0.397)</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275F9C9F" w14:textId="5BAA3E8F"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46.499 (25.117)</w:t>
            </w:r>
          </w:p>
        </w:tc>
        <w:tc>
          <w:tcPr>
            <w:tcW w:w="0" w:type="auto"/>
            <w:vAlign w:val="center"/>
            <w:hideMark/>
          </w:tcPr>
          <w:p w14:paraId="1A08503D" w14:textId="14962891"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+1.090 (0.112)</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4BFAEAC8" w14:textId="5F9EF8FF"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+0.094</w:t>
            </w:r>
            <w:r w:rsidRPr="004D620F">
              <w:rPr>
                <w:rFonts w:ascii="Times New Roman" w:eastAsia="Times New Roman" w:hAnsi="Times New Roman" w:cs="Times New Roman"/>
                <w:kern w:val="0"/>
                <w:lang w:eastAsia="en-IN"/>
                <w14:ligatures w14:val="none"/>
              </w:rPr>
              <w:t xml:space="preserve"> (0.030)</w:t>
            </w:r>
            <w:r w:rsidR="00DB5062">
              <w:rPr>
                <w:rFonts w:ascii="Times New Roman" w:eastAsia="Times New Roman" w:hAnsi="Times New Roman" w:cs="Times New Roman"/>
                <w:kern w:val="0"/>
                <w:lang w:eastAsia="en-IN"/>
                <w14:ligatures w14:val="none"/>
              </w:rPr>
              <w:t xml:space="preserve"> </w:t>
            </w:r>
            <w:r w:rsidRPr="004D620F">
              <w:rPr>
                <w:rFonts w:ascii="Times New Roman" w:eastAsia="Times New Roman" w:hAnsi="Times New Roman" w:cs="Times New Roman"/>
                <w:kern w:val="0"/>
                <w:lang w:eastAsia="en-IN"/>
                <w14:ligatures w14:val="none"/>
              </w:rPr>
              <w:t>**</w:t>
            </w:r>
          </w:p>
        </w:tc>
      </w:tr>
      <w:tr w:rsidR="004D620F" w:rsidRPr="004D620F" w14:paraId="234084B3" w14:textId="77777777" w:rsidTr="004D620F">
        <w:trPr>
          <w:tblCellSpacing w:w="15" w:type="dxa"/>
        </w:trPr>
        <w:tc>
          <w:tcPr>
            <w:tcW w:w="0" w:type="auto"/>
            <w:vAlign w:val="center"/>
            <w:hideMark/>
          </w:tcPr>
          <w:p w14:paraId="54022243"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Bangladesh</w:t>
            </w:r>
          </w:p>
        </w:tc>
        <w:tc>
          <w:tcPr>
            <w:tcW w:w="0" w:type="auto"/>
            <w:vAlign w:val="center"/>
            <w:hideMark/>
          </w:tcPr>
          <w:p w14:paraId="70E9425F" w14:textId="7777777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−9.616 (5.259).</w:t>
            </w:r>
          </w:p>
        </w:tc>
        <w:tc>
          <w:tcPr>
            <w:tcW w:w="0" w:type="auto"/>
            <w:vAlign w:val="center"/>
            <w:hideMark/>
          </w:tcPr>
          <w:p w14:paraId="3FA43524" w14:textId="70C342EC"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−190.422 (72.506)</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19977F05" w14:textId="7777777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0.371 (0.294)</w:t>
            </w:r>
          </w:p>
        </w:tc>
        <w:tc>
          <w:tcPr>
            <w:tcW w:w="0" w:type="auto"/>
            <w:vAlign w:val="center"/>
            <w:hideMark/>
          </w:tcPr>
          <w:p w14:paraId="63F0AD98"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kern w:val="0"/>
                <w:lang w:eastAsia="en-IN"/>
                <w14:ligatures w14:val="none"/>
              </w:rPr>
              <w:t>−0.030 (0.020)</w:t>
            </w:r>
          </w:p>
        </w:tc>
      </w:tr>
      <w:tr w:rsidR="004D620F" w:rsidRPr="004D620F" w14:paraId="26E509D9" w14:textId="77777777" w:rsidTr="004D620F">
        <w:trPr>
          <w:tblCellSpacing w:w="15" w:type="dxa"/>
        </w:trPr>
        <w:tc>
          <w:tcPr>
            <w:tcW w:w="0" w:type="auto"/>
            <w:vAlign w:val="center"/>
            <w:hideMark/>
          </w:tcPr>
          <w:p w14:paraId="7D2F90C1"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Bhutan</w:t>
            </w:r>
          </w:p>
        </w:tc>
        <w:tc>
          <w:tcPr>
            <w:tcW w:w="0" w:type="auto"/>
            <w:vAlign w:val="center"/>
            <w:hideMark/>
          </w:tcPr>
          <w:p w14:paraId="24D13221" w14:textId="7777777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2.115 (1.083).</w:t>
            </w:r>
          </w:p>
        </w:tc>
        <w:tc>
          <w:tcPr>
            <w:tcW w:w="0" w:type="auto"/>
            <w:vAlign w:val="center"/>
            <w:hideMark/>
          </w:tcPr>
          <w:p w14:paraId="087CD2C4" w14:textId="180F6A25"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−561.445 (72.986)</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37AE5436" w14:textId="2267CD6F"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+0.371 (0.086)</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35E17F7F" w14:textId="0DEB5458"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−0.114</w:t>
            </w:r>
            <w:r w:rsidRPr="004D620F">
              <w:rPr>
                <w:rFonts w:ascii="Times New Roman" w:eastAsia="Times New Roman" w:hAnsi="Times New Roman" w:cs="Times New Roman"/>
                <w:kern w:val="0"/>
                <w:lang w:eastAsia="en-IN"/>
                <w14:ligatures w14:val="none"/>
              </w:rPr>
              <w:t xml:space="preserve"> (0.018)</w:t>
            </w:r>
            <w:r w:rsidR="00DB5062">
              <w:rPr>
                <w:rFonts w:ascii="Times New Roman" w:eastAsia="Times New Roman" w:hAnsi="Times New Roman" w:cs="Times New Roman"/>
                <w:kern w:val="0"/>
                <w:lang w:eastAsia="en-IN"/>
                <w14:ligatures w14:val="none"/>
              </w:rPr>
              <w:t xml:space="preserve"> </w:t>
            </w:r>
            <w:r w:rsidRPr="004D620F">
              <w:rPr>
                <w:rFonts w:ascii="Times New Roman" w:eastAsia="Times New Roman" w:hAnsi="Times New Roman" w:cs="Times New Roman"/>
                <w:kern w:val="0"/>
                <w:lang w:eastAsia="en-IN"/>
                <w14:ligatures w14:val="none"/>
              </w:rPr>
              <w:t>***</w:t>
            </w:r>
          </w:p>
        </w:tc>
      </w:tr>
      <w:tr w:rsidR="004D620F" w:rsidRPr="004D620F" w14:paraId="1A626EB4" w14:textId="77777777" w:rsidTr="004D620F">
        <w:trPr>
          <w:tblCellSpacing w:w="15" w:type="dxa"/>
        </w:trPr>
        <w:tc>
          <w:tcPr>
            <w:tcW w:w="0" w:type="auto"/>
            <w:vAlign w:val="center"/>
            <w:hideMark/>
          </w:tcPr>
          <w:p w14:paraId="3BB79416"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India</w:t>
            </w:r>
          </w:p>
        </w:tc>
        <w:tc>
          <w:tcPr>
            <w:tcW w:w="0" w:type="auto"/>
            <w:vAlign w:val="center"/>
            <w:hideMark/>
          </w:tcPr>
          <w:p w14:paraId="0CB8EA0F" w14:textId="7777777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−6.050 (5.487)</w:t>
            </w:r>
          </w:p>
        </w:tc>
        <w:tc>
          <w:tcPr>
            <w:tcW w:w="0" w:type="auto"/>
            <w:vAlign w:val="center"/>
            <w:hideMark/>
          </w:tcPr>
          <w:p w14:paraId="2CF801AA" w14:textId="0340D373"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+237.95 (74.36)</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4164A3C9" w14:textId="68FC9820"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+0.368 (0.096)</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4CEC255E"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kern w:val="0"/>
                <w:lang w:eastAsia="en-IN"/>
                <w14:ligatures w14:val="none"/>
              </w:rPr>
              <w:t>−0.055 (0.041)</w:t>
            </w:r>
          </w:p>
        </w:tc>
      </w:tr>
      <w:tr w:rsidR="004D620F" w:rsidRPr="004D620F" w14:paraId="29826D38" w14:textId="77777777" w:rsidTr="004D620F">
        <w:trPr>
          <w:tblCellSpacing w:w="15" w:type="dxa"/>
        </w:trPr>
        <w:tc>
          <w:tcPr>
            <w:tcW w:w="0" w:type="auto"/>
            <w:vAlign w:val="center"/>
            <w:hideMark/>
          </w:tcPr>
          <w:p w14:paraId="4D3DA3EA"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Maldives</w:t>
            </w:r>
          </w:p>
        </w:tc>
        <w:tc>
          <w:tcPr>
            <w:tcW w:w="0" w:type="auto"/>
            <w:vAlign w:val="center"/>
            <w:hideMark/>
          </w:tcPr>
          <w:p w14:paraId="50C62E82" w14:textId="7777777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−0.121 (2.319)</w:t>
            </w:r>
          </w:p>
        </w:tc>
        <w:tc>
          <w:tcPr>
            <w:tcW w:w="0" w:type="auto"/>
            <w:vAlign w:val="center"/>
            <w:hideMark/>
          </w:tcPr>
          <w:p w14:paraId="5DF31DA5" w14:textId="7777777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4.160 (6.757)</w:t>
            </w:r>
          </w:p>
        </w:tc>
        <w:tc>
          <w:tcPr>
            <w:tcW w:w="0" w:type="auto"/>
            <w:vAlign w:val="center"/>
            <w:hideMark/>
          </w:tcPr>
          <w:p w14:paraId="52C53CC6" w14:textId="7777777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0.095 (0.174)</w:t>
            </w:r>
          </w:p>
        </w:tc>
        <w:tc>
          <w:tcPr>
            <w:tcW w:w="0" w:type="auto"/>
            <w:vAlign w:val="center"/>
            <w:hideMark/>
          </w:tcPr>
          <w:p w14:paraId="73B95F1A" w14:textId="7A436E9B"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−0.145</w:t>
            </w:r>
            <w:r w:rsidRPr="004D620F">
              <w:rPr>
                <w:rFonts w:ascii="Times New Roman" w:eastAsia="Times New Roman" w:hAnsi="Times New Roman" w:cs="Times New Roman"/>
                <w:kern w:val="0"/>
                <w:lang w:eastAsia="en-IN"/>
                <w14:ligatures w14:val="none"/>
              </w:rPr>
              <w:t xml:space="preserve"> (0.009)</w:t>
            </w:r>
            <w:r w:rsidR="00DB5062">
              <w:rPr>
                <w:rFonts w:ascii="Times New Roman" w:eastAsia="Times New Roman" w:hAnsi="Times New Roman" w:cs="Times New Roman"/>
                <w:kern w:val="0"/>
                <w:lang w:eastAsia="en-IN"/>
                <w14:ligatures w14:val="none"/>
              </w:rPr>
              <w:t xml:space="preserve"> </w:t>
            </w:r>
            <w:r w:rsidRPr="004D620F">
              <w:rPr>
                <w:rFonts w:ascii="Times New Roman" w:eastAsia="Times New Roman" w:hAnsi="Times New Roman" w:cs="Times New Roman"/>
                <w:kern w:val="0"/>
                <w:lang w:eastAsia="en-IN"/>
                <w14:ligatures w14:val="none"/>
              </w:rPr>
              <w:t>***</w:t>
            </w:r>
          </w:p>
        </w:tc>
      </w:tr>
      <w:tr w:rsidR="004D620F" w:rsidRPr="004D620F" w14:paraId="28C5E9E1" w14:textId="77777777" w:rsidTr="004D620F">
        <w:trPr>
          <w:tblCellSpacing w:w="15" w:type="dxa"/>
        </w:trPr>
        <w:tc>
          <w:tcPr>
            <w:tcW w:w="0" w:type="auto"/>
            <w:vAlign w:val="center"/>
            <w:hideMark/>
          </w:tcPr>
          <w:p w14:paraId="0BA4D217"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Nepal</w:t>
            </w:r>
          </w:p>
        </w:tc>
        <w:tc>
          <w:tcPr>
            <w:tcW w:w="0" w:type="auto"/>
            <w:vAlign w:val="center"/>
            <w:hideMark/>
          </w:tcPr>
          <w:p w14:paraId="4D1C808A" w14:textId="7777777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4.147 (3.413)</w:t>
            </w:r>
          </w:p>
        </w:tc>
        <w:tc>
          <w:tcPr>
            <w:tcW w:w="0" w:type="auto"/>
            <w:vAlign w:val="center"/>
            <w:hideMark/>
          </w:tcPr>
          <w:p w14:paraId="597C1336" w14:textId="7777777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70.162 (80.067)</w:t>
            </w:r>
          </w:p>
        </w:tc>
        <w:tc>
          <w:tcPr>
            <w:tcW w:w="0" w:type="auto"/>
            <w:vAlign w:val="center"/>
            <w:hideMark/>
          </w:tcPr>
          <w:p w14:paraId="07F9D9BC" w14:textId="07F718FD"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+2.834 (0.555)</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1722AFFB"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kern w:val="0"/>
                <w:lang w:eastAsia="en-IN"/>
                <w14:ligatures w14:val="none"/>
              </w:rPr>
              <w:t>0.077 (0.063)</w:t>
            </w:r>
          </w:p>
        </w:tc>
      </w:tr>
      <w:tr w:rsidR="004D620F" w:rsidRPr="004D620F" w14:paraId="4AA6E092" w14:textId="77777777" w:rsidTr="004D620F">
        <w:trPr>
          <w:tblCellSpacing w:w="15" w:type="dxa"/>
        </w:trPr>
        <w:tc>
          <w:tcPr>
            <w:tcW w:w="0" w:type="auto"/>
            <w:vAlign w:val="center"/>
            <w:hideMark/>
          </w:tcPr>
          <w:p w14:paraId="4BAA3155"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Pakistan</w:t>
            </w:r>
          </w:p>
        </w:tc>
        <w:tc>
          <w:tcPr>
            <w:tcW w:w="0" w:type="auto"/>
            <w:vAlign w:val="center"/>
            <w:hideMark/>
          </w:tcPr>
          <w:p w14:paraId="5B33667D" w14:textId="141C58EF"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−10.486 (2.203)</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5DEFB6BB" w14:textId="77777777"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8.450 (33.584)</w:t>
            </w:r>
          </w:p>
        </w:tc>
        <w:tc>
          <w:tcPr>
            <w:tcW w:w="0" w:type="auto"/>
            <w:vAlign w:val="center"/>
            <w:hideMark/>
          </w:tcPr>
          <w:p w14:paraId="5041FE4C" w14:textId="2D864BF2"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+0.534 (0.190)</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0EC585B3"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kern w:val="0"/>
                <w:lang w:eastAsia="en-IN"/>
                <w14:ligatures w14:val="none"/>
              </w:rPr>
              <w:t>0.148 (0.092)</w:t>
            </w:r>
          </w:p>
        </w:tc>
      </w:tr>
      <w:tr w:rsidR="004D620F" w:rsidRPr="004D620F" w14:paraId="7AA356EF" w14:textId="77777777" w:rsidTr="004D620F">
        <w:trPr>
          <w:tblCellSpacing w:w="15" w:type="dxa"/>
        </w:trPr>
        <w:tc>
          <w:tcPr>
            <w:tcW w:w="0" w:type="auto"/>
            <w:vAlign w:val="center"/>
            <w:hideMark/>
          </w:tcPr>
          <w:p w14:paraId="7F0211E2" w14:textId="77777777"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b/>
                <w:bCs/>
                <w:kern w:val="0"/>
                <w:lang w:eastAsia="en-IN"/>
                <w14:ligatures w14:val="none"/>
              </w:rPr>
              <w:t>Sri Lanka</w:t>
            </w:r>
          </w:p>
        </w:tc>
        <w:tc>
          <w:tcPr>
            <w:tcW w:w="0" w:type="auto"/>
            <w:vAlign w:val="center"/>
            <w:hideMark/>
          </w:tcPr>
          <w:p w14:paraId="0D750AEF" w14:textId="1E8C9062"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−9.694 (3.108)</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5E3121CE" w14:textId="2D2ED3EF"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49.811 (25.594)</w:t>
            </w:r>
          </w:p>
        </w:tc>
        <w:tc>
          <w:tcPr>
            <w:tcW w:w="0" w:type="auto"/>
            <w:vAlign w:val="center"/>
            <w:hideMark/>
          </w:tcPr>
          <w:p w14:paraId="1DEAB168" w14:textId="118BC4FD" w:rsidR="004D620F" w:rsidRPr="0089228F" w:rsidRDefault="004D620F" w:rsidP="0089228F">
            <w:pPr>
              <w:spacing w:after="0" w:line="240" w:lineRule="auto"/>
              <w:rPr>
                <w:rFonts w:ascii="Times New Roman" w:eastAsia="Times New Roman" w:hAnsi="Times New Roman" w:cs="Times New Roman"/>
                <w:kern w:val="0"/>
                <w:lang w:eastAsia="en-IN"/>
                <w14:ligatures w14:val="none"/>
              </w:rPr>
            </w:pPr>
            <w:r w:rsidRPr="0089228F">
              <w:rPr>
                <w:rFonts w:ascii="Times New Roman" w:eastAsia="Times New Roman" w:hAnsi="Times New Roman" w:cs="Times New Roman"/>
                <w:kern w:val="0"/>
                <w:lang w:eastAsia="en-IN"/>
                <w14:ligatures w14:val="none"/>
              </w:rPr>
              <w:t>+0.722 (0.167)</w:t>
            </w:r>
            <w:r w:rsidR="00DB5062" w:rsidRPr="0089228F">
              <w:rPr>
                <w:rFonts w:ascii="Times New Roman" w:eastAsia="Times New Roman" w:hAnsi="Times New Roman" w:cs="Times New Roman"/>
                <w:kern w:val="0"/>
                <w:lang w:eastAsia="en-IN"/>
                <w14:ligatures w14:val="none"/>
              </w:rPr>
              <w:t xml:space="preserve"> </w:t>
            </w:r>
            <w:r w:rsidRPr="0089228F">
              <w:rPr>
                <w:rFonts w:ascii="Times New Roman" w:eastAsia="Times New Roman" w:hAnsi="Times New Roman" w:cs="Times New Roman"/>
                <w:kern w:val="0"/>
                <w:lang w:eastAsia="en-IN"/>
                <w14:ligatures w14:val="none"/>
              </w:rPr>
              <w:t>**</w:t>
            </w:r>
          </w:p>
        </w:tc>
        <w:tc>
          <w:tcPr>
            <w:tcW w:w="0" w:type="auto"/>
            <w:vAlign w:val="center"/>
            <w:hideMark/>
          </w:tcPr>
          <w:p w14:paraId="4FA4A6E4" w14:textId="78854572" w:rsidR="004D620F" w:rsidRPr="004D620F" w:rsidRDefault="004D620F" w:rsidP="0089228F">
            <w:pPr>
              <w:spacing w:after="0" w:line="240" w:lineRule="auto"/>
              <w:rPr>
                <w:rFonts w:ascii="Times New Roman" w:eastAsia="Times New Roman" w:hAnsi="Times New Roman" w:cs="Times New Roman"/>
                <w:kern w:val="0"/>
                <w:lang w:eastAsia="en-IN"/>
                <w14:ligatures w14:val="none"/>
              </w:rPr>
            </w:pPr>
            <w:r w:rsidRPr="004D620F">
              <w:rPr>
                <w:rFonts w:ascii="Times New Roman" w:eastAsia="Times New Roman" w:hAnsi="Times New Roman" w:cs="Times New Roman"/>
                <w:kern w:val="0"/>
                <w:lang w:eastAsia="en-IN"/>
                <w14:ligatures w14:val="none"/>
              </w:rPr>
              <w:t>0.127 (0.065)</w:t>
            </w:r>
          </w:p>
        </w:tc>
      </w:tr>
    </w:tbl>
    <w:p w14:paraId="084CB2E3" w14:textId="6CCCC13F" w:rsidR="004D620F" w:rsidRPr="0089228F" w:rsidRDefault="0089228F" w:rsidP="0089228F">
      <w:pPr>
        <w:jc w:val="both"/>
        <w:rPr>
          <w:rFonts w:ascii="Times New Roman" w:hAnsi="Times New Roman" w:cs="Times New Roman"/>
        </w:rPr>
      </w:pPr>
      <w:r>
        <w:rPr>
          <w:rFonts w:ascii="Times New Roman" w:hAnsi="Times New Roman" w:cs="Times New Roman"/>
        </w:rPr>
        <w:t>Source- Authors own computation</w:t>
      </w:r>
    </w:p>
    <w:p w14:paraId="771FE00D" w14:textId="77777777" w:rsidR="004D620F" w:rsidRPr="00DB5062" w:rsidRDefault="004D620F" w:rsidP="00A05EBF">
      <w:pPr>
        <w:jc w:val="both"/>
        <w:rPr>
          <w:rFonts w:ascii="Times New Roman" w:hAnsi="Times New Roman" w:cs="Times New Roman"/>
        </w:rPr>
      </w:pPr>
      <w:r w:rsidRPr="00DB5062">
        <w:rPr>
          <w:rFonts w:ascii="Times New Roman" w:hAnsi="Times New Roman" w:cs="Times New Roman"/>
        </w:rPr>
        <w:lastRenderedPageBreak/>
        <w:t>Country-specific regressions again underline heterogeneity. In India and Bangladesh, agricultural credit shows a negative or insignificant impact on agricultural GDP, reinforcing the observation that institutional inefficiencies and regional inequalities in credit allocation hinder its developmental role. These results echo Kumar et al. (2010), who reported that rural credit in India often bypasses the most credit-constrained farmers.</w:t>
      </w:r>
    </w:p>
    <w:p w14:paraId="1CE34D75" w14:textId="77777777" w:rsidR="004D620F" w:rsidRPr="00DB5062" w:rsidRDefault="004D620F" w:rsidP="00A05EBF">
      <w:pPr>
        <w:jc w:val="both"/>
        <w:rPr>
          <w:rFonts w:ascii="Times New Roman" w:hAnsi="Times New Roman" w:cs="Times New Roman"/>
        </w:rPr>
      </w:pPr>
      <w:r w:rsidRPr="00DB5062">
        <w:rPr>
          <w:rFonts w:ascii="Times New Roman" w:hAnsi="Times New Roman" w:cs="Times New Roman"/>
        </w:rPr>
        <w:t>Pakistan presents an interesting contrast: despite agriculture’s reliance on credit, results indicate a negative relationship with GDP. This could reflect credit diversion to non-productive uses, poor loan recovery, or macroeconomic instability that undermines the effectiveness of agricultural lending. Malik (2015) also observed that credit expansion in Pakistan sometimes coincides with inefficiencies in utilization and corruption in allocation.</w:t>
      </w:r>
    </w:p>
    <w:p w14:paraId="571F495C" w14:textId="25179F38" w:rsidR="004D620F" w:rsidRPr="00DB5062" w:rsidRDefault="004D620F" w:rsidP="00A05EBF">
      <w:pPr>
        <w:jc w:val="both"/>
        <w:rPr>
          <w:rFonts w:ascii="Times New Roman" w:hAnsi="Times New Roman" w:cs="Times New Roman"/>
        </w:rPr>
      </w:pPr>
      <w:r w:rsidRPr="00DB5062">
        <w:rPr>
          <w:rFonts w:ascii="Times New Roman" w:hAnsi="Times New Roman" w:cs="Times New Roman"/>
        </w:rPr>
        <w:t>In Nepal and Sri Lanka, agricultural employment emerges as the primary driver of GDP, suggesting that agriculture remains labo</w:t>
      </w:r>
      <w:r w:rsidR="00DB5062">
        <w:rPr>
          <w:rFonts w:ascii="Times New Roman" w:hAnsi="Times New Roman" w:cs="Times New Roman"/>
        </w:rPr>
        <w:t>u</w:t>
      </w:r>
      <w:r w:rsidRPr="00DB5062">
        <w:rPr>
          <w:rFonts w:ascii="Times New Roman" w:hAnsi="Times New Roman" w:cs="Times New Roman"/>
        </w:rPr>
        <w:t>r-driven rather than capital-driven. This aligns with the Lewis model, where surplus labo</w:t>
      </w:r>
      <w:r w:rsidR="00DB5062">
        <w:rPr>
          <w:rFonts w:ascii="Times New Roman" w:hAnsi="Times New Roman" w:cs="Times New Roman"/>
        </w:rPr>
        <w:t>u</w:t>
      </w:r>
      <w:r w:rsidRPr="00DB5062">
        <w:rPr>
          <w:rFonts w:ascii="Times New Roman" w:hAnsi="Times New Roman" w:cs="Times New Roman"/>
        </w:rPr>
        <w:t>r sustains sectoral value-added but suppresses productivity growth. Conversely, Bhutan and Maldives highlight structural limitations: in Bhutan, rural electrification inefficiencies reduce output growth, while in Maldives, the very small agricultural sector limits the role of credit and labo</w:t>
      </w:r>
      <w:r w:rsidR="00DB5062">
        <w:rPr>
          <w:rFonts w:ascii="Times New Roman" w:hAnsi="Times New Roman" w:cs="Times New Roman"/>
        </w:rPr>
        <w:t>u</w:t>
      </w:r>
      <w:r w:rsidRPr="00DB5062">
        <w:rPr>
          <w:rFonts w:ascii="Times New Roman" w:hAnsi="Times New Roman" w:cs="Times New Roman"/>
        </w:rPr>
        <w:t>r, making the economy heavily dependent on imports.</w:t>
      </w:r>
    </w:p>
    <w:p w14:paraId="664E2FAD" w14:textId="77777777" w:rsidR="004D620F" w:rsidRPr="00DB5062" w:rsidRDefault="004D620F" w:rsidP="00A05EBF">
      <w:pPr>
        <w:jc w:val="both"/>
        <w:rPr>
          <w:rFonts w:ascii="Times New Roman" w:hAnsi="Times New Roman" w:cs="Times New Roman"/>
        </w:rPr>
      </w:pPr>
      <w:r w:rsidRPr="00DB5062">
        <w:rPr>
          <w:rFonts w:ascii="Times New Roman" w:hAnsi="Times New Roman" w:cs="Times New Roman"/>
        </w:rPr>
        <w:t>Finally, Afghanistan presents a unique case where both credit and infrastructure variables are positively associated with agricultural GDP. This indicates that, despite fragility, improvements in financial flows and basic infrastructure can meaningfully support agriculture.</w:t>
      </w:r>
    </w:p>
    <w:p w14:paraId="6087F735" w14:textId="1643E550" w:rsidR="004D620F" w:rsidRPr="00DB5062" w:rsidRDefault="004D620F" w:rsidP="00A05EBF">
      <w:pPr>
        <w:jc w:val="both"/>
        <w:rPr>
          <w:rFonts w:ascii="Times New Roman" w:hAnsi="Times New Roman" w:cs="Times New Roman"/>
        </w:rPr>
      </w:pPr>
      <w:r w:rsidRPr="00DB5062">
        <w:rPr>
          <w:rFonts w:ascii="Times New Roman" w:hAnsi="Times New Roman" w:cs="Times New Roman"/>
        </w:rPr>
        <w:t>The policy implications here are clear: India and Bangladesh must improve credit targeting mechanisms, Pakistan must strengthen accountability in loan disbursement, while Nepal and Sri Lanka need strategies to improve labo</w:t>
      </w:r>
      <w:r w:rsidR="00DB5062">
        <w:rPr>
          <w:rFonts w:ascii="Times New Roman" w:hAnsi="Times New Roman" w:cs="Times New Roman"/>
        </w:rPr>
        <w:t>u</w:t>
      </w:r>
      <w:r w:rsidRPr="00DB5062">
        <w:rPr>
          <w:rFonts w:ascii="Times New Roman" w:hAnsi="Times New Roman" w:cs="Times New Roman"/>
        </w:rPr>
        <w:t>r productivity rather than just employment expansion. For Bhutan and Maldives, diversification outside agriculture is critical, while in Afghanistan, stabilizing institutions and infrastructure is the immediate priority.</w:t>
      </w:r>
    </w:p>
    <w:p w14:paraId="14D84E74" w14:textId="77777777" w:rsidR="00DB5062" w:rsidRDefault="00DB5062" w:rsidP="00A05EBF">
      <w:pPr>
        <w:jc w:val="both"/>
        <w:rPr>
          <w:rFonts w:ascii="Times New Roman" w:hAnsi="Times New Roman" w:cs="Times New Roman"/>
        </w:rPr>
      </w:pPr>
    </w:p>
    <w:p w14:paraId="1A696BEE" w14:textId="45C0E9DB" w:rsidR="004D620F" w:rsidRPr="00DB5062" w:rsidRDefault="004D620F" w:rsidP="00A05EBF">
      <w:pPr>
        <w:jc w:val="both"/>
        <w:rPr>
          <w:rFonts w:ascii="Times New Roman" w:hAnsi="Times New Roman" w:cs="Times New Roman"/>
        </w:rPr>
      </w:pPr>
      <w:r w:rsidRPr="00DB5062">
        <w:rPr>
          <w:rFonts w:ascii="Times New Roman" w:hAnsi="Times New Roman" w:cs="Times New Roman"/>
        </w:rPr>
        <w:t>The two models together provide a complementary picture. Model 1 highlights that credit is not always effective in directly boosting agricultural production due to structural bottlenecks in land, labo</w:t>
      </w:r>
      <w:r w:rsidR="00DB5062">
        <w:rPr>
          <w:rFonts w:ascii="Times New Roman" w:hAnsi="Times New Roman" w:cs="Times New Roman"/>
        </w:rPr>
        <w:t>u</w:t>
      </w:r>
      <w:r w:rsidRPr="00DB5062">
        <w:rPr>
          <w:rFonts w:ascii="Times New Roman" w:hAnsi="Times New Roman" w:cs="Times New Roman"/>
        </w:rPr>
        <w:t>r, and input use. Model 2, however, reveals that credit contributes positively to agricultural GDP, indicating that while physical output effects are muted, financial flows still support income and value-added growth.</w:t>
      </w:r>
    </w:p>
    <w:p w14:paraId="595E4EEB" w14:textId="77777777" w:rsidR="004D620F" w:rsidRDefault="004D620F" w:rsidP="00A05EBF">
      <w:pPr>
        <w:jc w:val="both"/>
        <w:rPr>
          <w:rFonts w:ascii="Times New Roman" w:hAnsi="Times New Roman" w:cs="Times New Roman"/>
        </w:rPr>
      </w:pPr>
      <w:r w:rsidRPr="00DB5062">
        <w:rPr>
          <w:rFonts w:ascii="Times New Roman" w:hAnsi="Times New Roman" w:cs="Times New Roman"/>
        </w:rPr>
        <w:t>This divergence has important theoretical and policy implications. It suggests that credit in South Asia is functioning more as a consumption-smoothing and livelihood-support mechanism rather than as a pure productivity-enhancing input. This dual role must be recognized in policy design. If the objective is to raise output, credit programs must be tied to input use, technology adoption, and extension services. If the goal is income stabilization, current credit structures already play a useful role but require safeguards to prevent over-indebtedness and inefficiency.</w:t>
      </w:r>
    </w:p>
    <w:p w14:paraId="206212EF" w14:textId="77777777" w:rsidR="002B7370" w:rsidRDefault="002B7370" w:rsidP="00A05EBF">
      <w:pPr>
        <w:jc w:val="both"/>
        <w:rPr>
          <w:rFonts w:ascii="Times New Roman" w:hAnsi="Times New Roman" w:cs="Times New Roman"/>
        </w:rPr>
      </w:pPr>
    </w:p>
    <w:p w14:paraId="5924A961" w14:textId="77777777" w:rsidR="0089228F" w:rsidRDefault="0089228F" w:rsidP="00A05EBF">
      <w:pPr>
        <w:jc w:val="both"/>
        <w:rPr>
          <w:rFonts w:ascii="Times New Roman" w:hAnsi="Times New Roman" w:cs="Times New Roman"/>
        </w:rPr>
      </w:pPr>
    </w:p>
    <w:p w14:paraId="2D7B73D3" w14:textId="77777777" w:rsidR="0089228F" w:rsidRPr="00DB5062" w:rsidRDefault="0089228F" w:rsidP="00A05EBF">
      <w:pPr>
        <w:jc w:val="both"/>
        <w:rPr>
          <w:rFonts w:ascii="Times New Roman" w:hAnsi="Times New Roman" w:cs="Times New Roman"/>
        </w:rPr>
      </w:pPr>
    </w:p>
    <w:p w14:paraId="6F90BE65" w14:textId="28654BC5" w:rsidR="004D620F" w:rsidRPr="00594DB1" w:rsidRDefault="00594DB1" w:rsidP="00A05EBF">
      <w:pPr>
        <w:jc w:val="both"/>
        <w:rPr>
          <w:rFonts w:ascii="Times New Roman" w:hAnsi="Times New Roman" w:cs="Times New Roman"/>
          <w:b/>
          <w:bCs/>
        </w:rPr>
      </w:pPr>
      <w:r w:rsidRPr="00594DB1">
        <w:rPr>
          <w:rFonts w:ascii="Times New Roman" w:hAnsi="Times New Roman" w:cs="Times New Roman"/>
          <w:b/>
          <w:bCs/>
        </w:rPr>
        <w:t>CONCLUSION</w:t>
      </w:r>
    </w:p>
    <w:p w14:paraId="50DC3BEA"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This study set out to assess the impact of agricultural credit on agricultural outcomes in SAARC countries between 2008 and 2023, applying two complementary econometric models. The first model examined the relationship between credit and total agricultural production, while the second model evaluated the contribution of credit to agricultural value added as a percentage of GDP. By combining panel data analysis with country-specific regressions, the paper provides a nuanced understanding of how institutional credit affects agricultural performance and livelihood security across diverse South Asian economies.</w:t>
      </w:r>
    </w:p>
    <w:p w14:paraId="2BF3677C"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The findings reveal a dual role of agricultural credit. On the one hand, credit demonstrates only a weak and inconsistent effect on physical agricultural output. This suggests that production is influenced more heavily by structural factors such as land size, irrigation access, fertilizer use, and weather variability, which often outweigh the direct impact of credit inflows. On the other hand, agricultural credit shows a strong and statistically significant contribution to agricultural GDP, underlining its importance in supporting farm incomes, stabilizing rural livelihoods, and sustaining household consumption.</w:t>
      </w:r>
    </w:p>
    <w:p w14:paraId="33D5D3F8"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The heterogeneity across countries is also notable. In Pakistan and Sri Lanka, credit has a more visible impact on both output and agricultural value addition, reflecting relatively stronger institutional mechanisms and linkages between credit delivery and input use. By contrast, India and Bangladesh show weaker linkages, suggesting issues such as credit diversion, disguised unemployment in agriculture, and insufficient monitoring of loan utilization. Smaller economies like Bhutan, Maldives, and Nepal highlight unique structural constraints, including land scarcity and high dependence on external shocks, which dilute the production impact of credit.</w:t>
      </w:r>
    </w:p>
    <w:p w14:paraId="2D31955B"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Overall, the study concludes that agricultural credit in the SAARC region functions more as a tool for livelihood support than as a direct driver of productivity growth. This insight is critical for policymakers, as it implies that expanding credit availability alone is insufficient to transform agricultural output. Credit must be better targeted, integrated with complementary services, and linked to productive investments. Strengthening agricultural extension systems, ensuring affordable access to modern inputs, and leveraging digital finance to improve transparency and monitoring can significantly enhance the developmental impact of rural credit.</w:t>
      </w:r>
    </w:p>
    <w:p w14:paraId="623B89BD"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Finally, the study acknowledges certain limitations, such as the exclusion of variables like climate change shocks, irrigation infrastructure, crop diversification, and gendered access to credit, which may also influence outcomes. Future research should explore these dimensions and investigate how innovations like digital credit platforms, crop insurance, and climate-smart agriculture can improve the effectiveness of rural credit systems in South Asia.</w:t>
      </w:r>
    </w:p>
    <w:p w14:paraId="21201504" w14:textId="77777777" w:rsidR="00594DB1" w:rsidRDefault="00594DB1" w:rsidP="00594DB1">
      <w:pPr>
        <w:jc w:val="both"/>
        <w:rPr>
          <w:rFonts w:ascii="Times New Roman" w:hAnsi="Times New Roman" w:cs="Times New Roman"/>
        </w:rPr>
      </w:pPr>
      <w:r w:rsidRPr="00594DB1">
        <w:rPr>
          <w:rFonts w:ascii="Times New Roman" w:hAnsi="Times New Roman" w:cs="Times New Roman"/>
        </w:rPr>
        <w:lastRenderedPageBreak/>
        <w:t>In conclusion, while agricultural credit remains a cornerstone of rural financial policy, its true potential can only be realized when it is embedded within a broader framework of structural reforms, institutional strengthening, and technology-driven agricultural modernization.</w:t>
      </w:r>
    </w:p>
    <w:p w14:paraId="732CF68A" w14:textId="77777777" w:rsidR="002B7370" w:rsidRPr="00594DB1" w:rsidRDefault="002B7370" w:rsidP="00594DB1">
      <w:pPr>
        <w:jc w:val="both"/>
        <w:rPr>
          <w:rFonts w:ascii="Times New Roman" w:hAnsi="Times New Roman" w:cs="Times New Roman"/>
        </w:rPr>
      </w:pPr>
    </w:p>
    <w:p w14:paraId="133370B5" w14:textId="1E7163DF" w:rsidR="00D0149C" w:rsidRPr="00D0149C" w:rsidRDefault="002B7370" w:rsidP="00D0149C">
      <w:pPr>
        <w:jc w:val="both"/>
        <w:rPr>
          <w:rFonts w:ascii="Times New Roman" w:hAnsi="Times New Roman" w:cs="Times New Roman"/>
          <w:b/>
          <w:bCs/>
        </w:rPr>
      </w:pPr>
      <w:r w:rsidRPr="00D0149C">
        <w:rPr>
          <w:rFonts w:ascii="Times New Roman" w:hAnsi="Times New Roman" w:cs="Times New Roman"/>
          <w:b/>
          <w:bCs/>
        </w:rPr>
        <w:t>REFERENCES</w:t>
      </w:r>
    </w:p>
    <w:p w14:paraId="37779B35"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Binswanger, H. P., &amp; </w:t>
      </w:r>
      <w:proofErr w:type="spellStart"/>
      <w:r w:rsidRPr="00D0149C">
        <w:rPr>
          <w:rFonts w:ascii="Times New Roman" w:hAnsi="Times New Roman" w:cs="Times New Roman"/>
        </w:rPr>
        <w:t>Khandker</w:t>
      </w:r>
      <w:proofErr w:type="spellEnd"/>
      <w:r w:rsidRPr="00D0149C">
        <w:rPr>
          <w:rFonts w:ascii="Times New Roman" w:hAnsi="Times New Roman" w:cs="Times New Roman"/>
        </w:rPr>
        <w:t xml:space="preserve">, S. R. (1995). </w:t>
      </w:r>
      <w:r w:rsidRPr="00D0149C">
        <w:rPr>
          <w:rFonts w:ascii="Times New Roman" w:hAnsi="Times New Roman" w:cs="Times New Roman"/>
          <w:i/>
          <w:iCs/>
        </w:rPr>
        <w:t>The impact of formal finance on the rural economy of India</w:t>
      </w:r>
      <w:r w:rsidRPr="00D0149C">
        <w:rPr>
          <w:rFonts w:ascii="Times New Roman" w:hAnsi="Times New Roman" w:cs="Times New Roman"/>
        </w:rPr>
        <w:t xml:space="preserve">. </w:t>
      </w:r>
      <w:r w:rsidRPr="00D0149C">
        <w:rPr>
          <w:rFonts w:ascii="Times New Roman" w:hAnsi="Times New Roman" w:cs="Times New Roman"/>
          <w:i/>
          <w:iCs/>
        </w:rPr>
        <w:t>Journal of Development Studies, 32</w:t>
      </w:r>
      <w:r w:rsidRPr="00D0149C">
        <w:rPr>
          <w:rFonts w:ascii="Times New Roman" w:hAnsi="Times New Roman" w:cs="Times New Roman"/>
        </w:rPr>
        <w:t>(2), 234–262. https://doi.org/10.1080/00220389508422363</w:t>
      </w:r>
    </w:p>
    <w:p w14:paraId="028A16BA"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Burgess, R., &amp; </w:t>
      </w:r>
      <w:proofErr w:type="spellStart"/>
      <w:r w:rsidRPr="00D0149C">
        <w:rPr>
          <w:rFonts w:ascii="Times New Roman" w:hAnsi="Times New Roman" w:cs="Times New Roman"/>
        </w:rPr>
        <w:t>Pande</w:t>
      </w:r>
      <w:proofErr w:type="spellEnd"/>
      <w:r w:rsidRPr="00D0149C">
        <w:rPr>
          <w:rFonts w:ascii="Times New Roman" w:hAnsi="Times New Roman" w:cs="Times New Roman"/>
        </w:rPr>
        <w:t xml:space="preserve">, R. (2005). Do rural banks matter? Evidence from the Indian social banking experiment. </w:t>
      </w:r>
      <w:r w:rsidRPr="00D0149C">
        <w:rPr>
          <w:rFonts w:ascii="Times New Roman" w:hAnsi="Times New Roman" w:cs="Times New Roman"/>
          <w:i/>
          <w:iCs/>
        </w:rPr>
        <w:t>American Economic Review, 95</w:t>
      </w:r>
      <w:r w:rsidRPr="00D0149C">
        <w:rPr>
          <w:rFonts w:ascii="Times New Roman" w:hAnsi="Times New Roman" w:cs="Times New Roman"/>
        </w:rPr>
        <w:t>(3), 780–795. https://doi.org/10.1257/0002828054201242</w:t>
      </w:r>
    </w:p>
    <w:p w14:paraId="06968237"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Chand, R., Kumar, P., &amp; Kumar, S. (2015). Determinants of agricultural credit flow in India: Evidence and issues. </w:t>
      </w:r>
      <w:r w:rsidRPr="00D0149C">
        <w:rPr>
          <w:rFonts w:ascii="Times New Roman" w:hAnsi="Times New Roman" w:cs="Times New Roman"/>
          <w:i/>
          <w:iCs/>
        </w:rPr>
        <w:t>Indian Journal of Agricultural Economics, 70</w:t>
      </w:r>
      <w:r w:rsidRPr="00D0149C">
        <w:rPr>
          <w:rFonts w:ascii="Times New Roman" w:hAnsi="Times New Roman" w:cs="Times New Roman"/>
        </w:rPr>
        <w:t>(3), 255–268.</w:t>
      </w:r>
    </w:p>
    <w:p w14:paraId="570E24A4"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Chavan, P. (2007). Access to bank credit: Implications for rural poverty. </w:t>
      </w:r>
      <w:r w:rsidRPr="00D0149C">
        <w:rPr>
          <w:rFonts w:ascii="Times New Roman" w:hAnsi="Times New Roman" w:cs="Times New Roman"/>
          <w:i/>
          <w:iCs/>
        </w:rPr>
        <w:t>Economic and Political Weekly, 42</w:t>
      </w:r>
      <w:r w:rsidRPr="00D0149C">
        <w:rPr>
          <w:rFonts w:ascii="Times New Roman" w:hAnsi="Times New Roman" w:cs="Times New Roman"/>
        </w:rPr>
        <w:t>(46), 4613–4620.</w:t>
      </w:r>
    </w:p>
    <w:p w14:paraId="54A07BF0"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Food and Agriculture Organization of the United Nations. (n.d.). </w:t>
      </w:r>
      <w:r w:rsidRPr="00D0149C">
        <w:rPr>
          <w:rFonts w:ascii="Times New Roman" w:hAnsi="Times New Roman" w:cs="Times New Roman"/>
          <w:i/>
          <w:iCs/>
        </w:rPr>
        <w:t>FAOSTAT database</w:t>
      </w:r>
      <w:r w:rsidRPr="00D0149C">
        <w:rPr>
          <w:rFonts w:ascii="Times New Roman" w:hAnsi="Times New Roman" w:cs="Times New Roman"/>
        </w:rPr>
        <w:t xml:space="preserve">. Retrieved September 15, 2025, from </w:t>
      </w:r>
      <w:hyperlink r:id="rId7" w:tgtFrame="_new" w:history="1">
        <w:r w:rsidRPr="00D0149C">
          <w:rPr>
            <w:rStyle w:val="Hyperlink"/>
            <w:rFonts w:ascii="Times New Roman" w:hAnsi="Times New Roman" w:cs="Times New Roman"/>
          </w:rPr>
          <w:t>https://www.fao.org/faostat</w:t>
        </w:r>
      </w:hyperlink>
    </w:p>
    <w:p w14:paraId="2BBF84F9" w14:textId="77777777" w:rsidR="00D0149C" w:rsidRPr="00D0149C" w:rsidRDefault="00D0149C" w:rsidP="00D0149C">
      <w:pPr>
        <w:jc w:val="both"/>
        <w:rPr>
          <w:rFonts w:ascii="Times New Roman" w:hAnsi="Times New Roman" w:cs="Times New Roman"/>
        </w:rPr>
      </w:pPr>
      <w:proofErr w:type="spellStart"/>
      <w:r w:rsidRPr="00D0149C">
        <w:rPr>
          <w:rFonts w:ascii="Times New Roman" w:hAnsi="Times New Roman" w:cs="Times New Roman"/>
        </w:rPr>
        <w:t>Gollin</w:t>
      </w:r>
      <w:proofErr w:type="spellEnd"/>
      <w:r w:rsidRPr="00D0149C">
        <w:rPr>
          <w:rFonts w:ascii="Times New Roman" w:hAnsi="Times New Roman" w:cs="Times New Roman"/>
        </w:rPr>
        <w:t xml:space="preserve">, D. (2010). Agricultural productivity and economic growth. In P. L. </w:t>
      </w:r>
      <w:proofErr w:type="spellStart"/>
      <w:r w:rsidRPr="00D0149C">
        <w:rPr>
          <w:rFonts w:ascii="Times New Roman" w:hAnsi="Times New Roman" w:cs="Times New Roman"/>
        </w:rPr>
        <w:t>Pingali</w:t>
      </w:r>
      <w:proofErr w:type="spellEnd"/>
      <w:r w:rsidRPr="00D0149C">
        <w:rPr>
          <w:rFonts w:ascii="Times New Roman" w:hAnsi="Times New Roman" w:cs="Times New Roman"/>
        </w:rPr>
        <w:t xml:space="preserve"> &amp; R. E. Evenson (Eds.), </w:t>
      </w:r>
      <w:r w:rsidRPr="00D0149C">
        <w:rPr>
          <w:rFonts w:ascii="Times New Roman" w:hAnsi="Times New Roman" w:cs="Times New Roman"/>
          <w:i/>
          <w:iCs/>
        </w:rPr>
        <w:t>Handbook of agricultural economics</w:t>
      </w:r>
      <w:r w:rsidRPr="00D0149C">
        <w:rPr>
          <w:rFonts w:ascii="Times New Roman" w:hAnsi="Times New Roman" w:cs="Times New Roman"/>
        </w:rPr>
        <w:t xml:space="preserve"> (Vol. 4, pp. 3825–3866). Elsevier. https://doi.org/10.1016/S1574-0072(09)04073-0</w:t>
      </w:r>
    </w:p>
    <w:p w14:paraId="6D5D15AD"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Gulati, A., &amp; </w:t>
      </w:r>
      <w:proofErr w:type="spellStart"/>
      <w:r w:rsidRPr="00D0149C">
        <w:rPr>
          <w:rFonts w:ascii="Times New Roman" w:hAnsi="Times New Roman" w:cs="Times New Roman"/>
        </w:rPr>
        <w:t>Bathla</w:t>
      </w:r>
      <w:proofErr w:type="spellEnd"/>
      <w:r w:rsidRPr="00D0149C">
        <w:rPr>
          <w:rFonts w:ascii="Times New Roman" w:hAnsi="Times New Roman" w:cs="Times New Roman"/>
        </w:rPr>
        <w:t xml:space="preserve">, S. (2017). </w:t>
      </w:r>
      <w:r w:rsidRPr="00D0149C">
        <w:rPr>
          <w:rFonts w:ascii="Times New Roman" w:hAnsi="Times New Roman" w:cs="Times New Roman"/>
          <w:i/>
          <w:iCs/>
        </w:rPr>
        <w:t>Institutional credit to agriculture: Trends, issues and way forward</w:t>
      </w:r>
      <w:r w:rsidRPr="00D0149C">
        <w:rPr>
          <w:rFonts w:ascii="Times New Roman" w:hAnsi="Times New Roman" w:cs="Times New Roman"/>
        </w:rPr>
        <w:t>. Indian Council for Research on International Economic Relations (ICRIER).</w:t>
      </w:r>
    </w:p>
    <w:p w14:paraId="27158A28"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Iqbal, M., Ahmad, M., &amp; Abbas, K. (2003). The impact of institutional credit on agricultural production in Pakistan. </w:t>
      </w:r>
      <w:r w:rsidRPr="00D0149C">
        <w:rPr>
          <w:rFonts w:ascii="Times New Roman" w:hAnsi="Times New Roman" w:cs="Times New Roman"/>
          <w:i/>
          <w:iCs/>
        </w:rPr>
        <w:t>Pakistan Development Review, 42</w:t>
      </w:r>
      <w:r w:rsidRPr="00D0149C">
        <w:rPr>
          <w:rFonts w:ascii="Times New Roman" w:hAnsi="Times New Roman" w:cs="Times New Roman"/>
        </w:rPr>
        <w:t>(4), 469–485.</w:t>
      </w:r>
    </w:p>
    <w:p w14:paraId="0061E133"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Kumar, A., Singh, K. M., &amp; Sinha, S. (2010). Institutional credit to agriculture sector in India: Status, performance and determinants. </w:t>
      </w:r>
      <w:r w:rsidRPr="00D0149C">
        <w:rPr>
          <w:rFonts w:ascii="Times New Roman" w:hAnsi="Times New Roman" w:cs="Times New Roman"/>
          <w:i/>
          <w:iCs/>
        </w:rPr>
        <w:t>Agricultural Economics Research Review, 23</w:t>
      </w:r>
      <w:r w:rsidRPr="00D0149C">
        <w:rPr>
          <w:rFonts w:ascii="Times New Roman" w:hAnsi="Times New Roman" w:cs="Times New Roman"/>
        </w:rPr>
        <w:t>(2), 253–264.</w:t>
      </w:r>
    </w:p>
    <w:p w14:paraId="46090BA3"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Lewis, W. A. (1954). Economic development with unlimited supplies of labour. </w:t>
      </w:r>
      <w:r w:rsidRPr="00D0149C">
        <w:rPr>
          <w:rFonts w:ascii="Times New Roman" w:hAnsi="Times New Roman" w:cs="Times New Roman"/>
          <w:i/>
          <w:iCs/>
        </w:rPr>
        <w:t>The Manchester School, 22</w:t>
      </w:r>
      <w:r w:rsidRPr="00D0149C">
        <w:rPr>
          <w:rFonts w:ascii="Times New Roman" w:hAnsi="Times New Roman" w:cs="Times New Roman"/>
        </w:rPr>
        <w:t>(2), 139–191. https://doi.org/10.1111/j.1467-9957.1954.tb00021.x</w:t>
      </w:r>
    </w:p>
    <w:p w14:paraId="64104933"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Malik, S. J. (2015). Agricultural credit and productivity in Pakistan. </w:t>
      </w:r>
      <w:r w:rsidRPr="00D0149C">
        <w:rPr>
          <w:rFonts w:ascii="Times New Roman" w:hAnsi="Times New Roman" w:cs="Times New Roman"/>
          <w:i/>
          <w:iCs/>
        </w:rPr>
        <w:t>Pakistan Economic and Social Review, 53</w:t>
      </w:r>
      <w:r w:rsidRPr="00D0149C">
        <w:rPr>
          <w:rFonts w:ascii="Times New Roman" w:hAnsi="Times New Roman" w:cs="Times New Roman"/>
        </w:rPr>
        <w:t>(2), 159–180.</w:t>
      </w:r>
    </w:p>
    <w:p w14:paraId="5FD521B6"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Rahman, S., &amp; Rahman, M. (2009). Impact of microcredit programs on agricultural production: Evidence from Bangladesh. </w:t>
      </w:r>
      <w:r w:rsidRPr="00D0149C">
        <w:rPr>
          <w:rFonts w:ascii="Times New Roman" w:hAnsi="Times New Roman" w:cs="Times New Roman"/>
          <w:i/>
          <w:iCs/>
        </w:rPr>
        <w:t>Agricultural Economics, 40</w:t>
      </w:r>
      <w:r w:rsidRPr="00D0149C">
        <w:rPr>
          <w:rFonts w:ascii="Times New Roman" w:hAnsi="Times New Roman" w:cs="Times New Roman"/>
        </w:rPr>
        <w:t>(1), 97–106. https://doi.org/10.1111/j.1574-0862.2008.00347.x</w:t>
      </w:r>
    </w:p>
    <w:p w14:paraId="0E7B2A72"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Ray, S. K. (2001). </w:t>
      </w:r>
      <w:r w:rsidRPr="00D0149C">
        <w:rPr>
          <w:rFonts w:ascii="Times New Roman" w:hAnsi="Times New Roman" w:cs="Times New Roman"/>
          <w:i/>
          <w:iCs/>
        </w:rPr>
        <w:t>Land and credit in Indian agriculture</w:t>
      </w:r>
      <w:r w:rsidRPr="00D0149C">
        <w:rPr>
          <w:rFonts w:ascii="Times New Roman" w:hAnsi="Times New Roman" w:cs="Times New Roman"/>
        </w:rPr>
        <w:t>. Delhi: Oxford &amp; IBH Publishing.</w:t>
      </w:r>
    </w:p>
    <w:p w14:paraId="26181D66"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lastRenderedPageBreak/>
        <w:t xml:space="preserve">Reserve Bank of India. (2023). </w:t>
      </w:r>
      <w:r w:rsidRPr="00D0149C">
        <w:rPr>
          <w:rFonts w:ascii="Times New Roman" w:hAnsi="Times New Roman" w:cs="Times New Roman"/>
          <w:i/>
          <w:iCs/>
        </w:rPr>
        <w:t>Report on trend and progress of banking in India 2022–23</w:t>
      </w:r>
      <w:r w:rsidRPr="00D0149C">
        <w:rPr>
          <w:rFonts w:ascii="Times New Roman" w:hAnsi="Times New Roman" w:cs="Times New Roman"/>
        </w:rPr>
        <w:t>. Mumbai: Author. https://www.rbi.org.in</w:t>
      </w:r>
    </w:p>
    <w:p w14:paraId="062C9E8F"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Shah, M., Shankar, R., &amp; </w:t>
      </w:r>
      <w:proofErr w:type="spellStart"/>
      <w:r w:rsidRPr="00D0149C">
        <w:rPr>
          <w:rFonts w:ascii="Times New Roman" w:hAnsi="Times New Roman" w:cs="Times New Roman"/>
        </w:rPr>
        <w:t>Bhaduri</w:t>
      </w:r>
      <w:proofErr w:type="spellEnd"/>
      <w:r w:rsidRPr="00D0149C">
        <w:rPr>
          <w:rFonts w:ascii="Times New Roman" w:hAnsi="Times New Roman" w:cs="Times New Roman"/>
        </w:rPr>
        <w:t xml:space="preserve">, S. (2019). Credit constraints and agricultural productivity in South Asia. </w:t>
      </w:r>
      <w:r w:rsidRPr="00D0149C">
        <w:rPr>
          <w:rFonts w:ascii="Times New Roman" w:hAnsi="Times New Roman" w:cs="Times New Roman"/>
          <w:i/>
          <w:iCs/>
        </w:rPr>
        <w:t>World Development, 116</w:t>
      </w:r>
      <w:r w:rsidRPr="00D0149C">
        <w:rPr>
          <w:rFonts w:ascii="Times New Roman" w:hAnsi="Times New Roman" w:cs="Times New Roman"/>
        </w:rPr>
        <w:t>, 311–326. https://doi.org/10.1016/j.worlddev.2018.12.019</w:t>
      </w:r>
    </w:p>
    <w:p w14:paraId="78CB98E1"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Sharma, R. (2016). Agricultural credit and growth in SAARC countries: A panel data analysis. </w:t>
      </w:r>
      <w:r w:rsidRPr="00D0149C">
        <w:rPr>
          <w:rFonts w:ascii="Times New Roman" w:hAnsi="Times New Roman" w:cs="Times New Roman"/>
          <w:i/>
          <w:iCs/>
        </w:rPr>
        <w:t>South Asia Economic Journal, 17</w:t>
      </w:r>
      <w:r w:rsidRPr="00D0149C">
        <w:rPr>
          <w:rFonts w:ascii="Times New Roman" w:hAnsi="Times New Roman" w:cs="Times New Roman"/>
        </w:rPr>
        <w:t>(1), 45–67. https://doi.org/10.1177/1391561415616572</w:t>
      </w:r>
    </w:p>
    <w:p w14:paraId="35B4F423"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World Bank. (2018). </w:t>
      </w:r>
      <w:r w:rsidRPr="00D0149C">
        <w:rPr>
          <w:rFonts w:ascii="Times New Roman" w:hAnsi="Times New Roman" w:cs="Times New Roman"/>
          <w:i/>
          <w:iCs/>
        </w:rPr>
        <w:t>In the dark: How much do power sector distortions cost South Asia?</w:t>
      </w:r>
      <w:r w:rsidRPr="00D0149C">
        <w:rPr>
          <w:rFonts w:ascii="Times New Roman" w:hAnsi="Times New Roman" w:cs="Times New Roman"/>
        </w:rPr>
        <w:t xml:space="preserve"> Washington, DC: Author. https://openknowledge.worldbank.org</w:t>
      </w:r>
    </w:p>
    <w:p w14:paraId="7A06BB0D" w14:textId="77777777" w:rsidR="00D0149C" w:rsidRPr="00D0149C" w:rsidRDefault="00D0149C" w:rsidP="00D0149C">
      <w:pPr>
        <w:jc w:val="both"/>
        <w:rPr>
          <w:rFonts w:ascii="Times New Roman" w:hAnsi="Times New Roman" w:cs="Times New Roman"/>
        </w:rPr>
      </w:pPr>
      <w:r w:rsidRPr="00D0149C">
        <w:rPr>
          <w:rFonts w:ascii="Times New Roman" w:hAnsi="Times New Roman" w:cs="Times New Roman"/>
        </w:rPr>
        <w:t xml:space="preserve">World Bank. (2021). </w:t>
      </w:r>
      <w:r w:rsidRPr="00D0149C">
        <w:rPr>
          <w:rFonts w:ascii="Times New Roman" w:hAnsi="Times New Roman" w:cs="Times New Roman"/>
          <w:i/>
          <w:iCs/>
        </w:rPr>
        <w:t>World Development Indicators</w:t>
      </w:r>
      <w:r w:rsidRPr="00D0149C">
        <w:rPr>
          <w:rFonts w:ascii="Times New Roman" w:hAnsi="Times New Roman" w:cs="Times New Roman"/>
        </w:rPr>
        <w:t>. Washington, DC: Author. https://databank.worldbank.org/source/world-development-indicators</w:t>
      </w:r>
    </w:p>
    <w:p w14:paraId="36DB4077" w14:textId="77777777" w:rsidR="00594DB1" w:rsidRPr="00DB5062" w:rsidRDefault="00594DB1" w:rsidP="00A05EBF">
      <w:pPr>
        <w:jc w:val="both"/>
        <w:rPr>
          <w:rFonts w:ascii="Times New Roman" w:hAnsi="Times New Roman" w:cs="Times New Roman"/>
        </w:rPr>
      </w:pPr>
    </w:p>
    <w:sectPr w:rsidR="00594DB1" w:rsidRPr="00DB506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DDBA" w14:textId="77777777" w:rsidR="00C35926" w:rsidRDefault="00C35926" w:rsidP="00B14A8F">
      <w:pPr>
        <w:spacing w:after="0" w:line="240" w:lineRule="auto"/>
      </w:pPr>
      <w:r>
        <w:separator/>
      </w:r>
    </w:p>
  </w:endnote>
  <w:endnote w:type="continuationSeparator" w:id="0">
    <w:p w14:paraId="287BCA68" w14:textId="77777777" w:rsidR="00C35926" w:rsidRDefault="00C35926" w:rsidP="00B1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E49E9" w14:textId="77777777" w:rsidR="00B14A8F" w:rsidRDefault="00B14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1623" w14:textId="77777777" w:rsidR="00B14A8F" w:rsidRDefault="00B14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BD61" w14:textId="77777777" w:rsidR="00B14A8F" w:rsidRDefault="00B14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A2901" w14:textId="77777777" w:rsidR="00C35926" w:rsidRDefault="00C35926" w:rsidP="00B14A8F">
      <w:pPr>
        <w:spacing w:after="0" w:line="240" w:lineRule="auto"/>
      </w:pPr>
      <w:r>
        <w:separator/>
      </w:r>
    </w:p>
  </w:footnote>
  <w:footnote w:type="continuationSeparator" w:id="0">
    <w:p w14:paraId="48CFC864" w14:textId="77777777" w:rsidR="00C35926" w:rsidRDefault="00C35926" w:rsidP="00B14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3C80" w14:textId="4B54A7A2" w:rsidR="00B14A8F" w:rsidRDefault="00B14A8F">
    <w:pPr>
      <w:pStyle w:val="Header"/>
    </w:pPr>
    <w:r>
      <w:rPr>
        <w:noProof/>
      </w:rPr>
      <w:pict w14:anchorId="12F7E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920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E7EE3" w14:textId="0C78B501" w:rsidR="00B14A8F" w:rsidRDefault="00B14A8F">
    <w:pPr>
      <w:pStyle w:val="Header"/>
    </w:pPr>
    <w:r>
      <w:rPr>
        <w:noProof/>
      </w:rPr>
      <w:pict w14:anchorId="5726F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920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C896" w14:textId="646D1F40" w:rsidR="00B14A8F" w:rsidRDefault="00B14A8F">
    <w:pPr>
      <w:pStyle w:val="Header"/>
    </w:pPr>
    <w:r>
      <w:rPr>
        <w:noProof/>
      </w:rPr>
      <w:pict w14:anchorId="78EE2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920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3MDaxNDUwMjY2sLRQ0lEKTi0uzszPAykwrAUAOrJxrCwAAAA="/>
  </w:docVars>
  <w:rsids>
    <w:rsidRoot w:val="004D620F"/>
    <w:rsid w:val="000E6E80"/>
    <w:rsid w:val="00153F60"/>
    <w:rsid w:val="00272827"/>
    <w:rsid w:val="002B7370"/>
    <w:rsid w:val="00323E50"/>
    <w:rsid w:val="00354C4C"/>
    <w:rsid w:val="003B71D4"/>
    <w:rsid w:val="003D13AE"/>
    <w:rsid w:val="00407605"/>
    <w:rsid w:val="004D620F"/>
    <w:rsid w:val="004F65F0"/>
    <w:rsid w:val="00594DB1"/>
    <w:rsid w:val="005B275C"/>
    <w:rsid w:val="005D1278"/>
    <w:rsid w:val="00626ED9"/>
    <w:rsid w:val="00661A79"/>
    <w:rsid w:val="006D60F8"/>
    <w:rsid w:val="00715D58"/>
    <w:rsid w:val="00791159"/>
    <w:rsid w:val="007E1D89"/>
    <w:rsid w:val="0089228F"/>
    <w:rsid w:val="008C0A34"/>
    <w:rsid w:val="008F6F2D"/>
    <w:rsid w:val="00986664"/>
    <w:rsid w:val="00A05EBF"/>
    <w:rsid w:val="00A60E1D"/>
    <w:rsid w:val="00A636C7"/>
    <w:rsid w:val="00AC40A7"/>
    <w:rsid w:val="00B12CA0"/>
    <w:rsid w:val="00B14A8F"/>
    <w:rsid w:val="00B621F9"/>
    <w:rsid w:val="00BE4348"/>
    <w:rsid w:val="00C04DB3"/>
    <w:rsid w:val="00C34370"/>
    <w:rsid w:val="00C35926"/>
    <w:rsid w:val="00C370C9"/>
    <w:rsid w:val="00C60366"/>
    <w:rsid w:val="00C64988"/>
    <w:rsid w:val="00CB5169"/>
    <w:rsid w:val="00D0149C"/>
    <w:rsid w:val="00D56416"/>
    <w:rsid w:val="00D95654"/>
    <w:rsid w:val="00DA14BF"/>
    <w:rsid w:val="00DB5062"/>
    <w:rsid w:val="00E10844"/>
    <w:rsid w:val="00EC61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2D8780"/>
  <w15:chartTrackingRefBased/>
  <w15:docId w15:val="{0E8075F8-CE7A-4DBB-9190-88892BE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278"/>
  </w:style>
  <w:style w:type="paragraph" w:styleId="Heading1">
    <w:name w:val="heading 1"/>
    <w:basedOn w:val="Normal"/>
    <w:next w:val="Normal"/>
    <w:link w:val="Heading1Char"/>
    <w:uiPriority w:val="9"/>
    <w:qFormat/>
    <w:rsid w:val="004D6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6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6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6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6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6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6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6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6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6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6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20F"/>
    <w:rPr>
      <w:rFonts w:eastAsiaTheme="majorEastAsia" w:cstheme="majorBidi"/>
      <w:color w:val="272727" w:themeColor="text1" w:themeTint="D8"/>
    </w:rPr>
  </w:style>
  <w:style w:type="paragraph" w:styleId="Title">
    <w:name w:val="Title"/>
    <w:basedOn w:val="Normal"/>
    <w:next w:val="Normal"/>
    <w:link w:val="TitleChar"/>
    <w:uiPriority w:val="10"/>
    <w:qFormat/>
    <w:rsid w:val="004D6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20F"/>
    <w:pPr>
      <w:spacing w:before="160"/>
      <w:jc w:val="center"/>
    </w:pPr>
    <w:rPr>
      <w:i/>
      <w:iCs/>
      <w:color w:val="404040" w:themeColor="text1" w:themeTint="BF"/>
    </w:rPr>
  </w:style>
  <w:style w:type="character" w:customStyle="1" w:styleId="QuoteChar">
    <w:name w:val="Quote Char"/>
    <w:basedOn w:val="DefaultParagraphFont"/>
    <w:link w:val="Quote"/>
    <w:uiPriority w:val="29"/>
    <w:rsid w:val="004D620F"/>
    <w:rPr>
      <w:i/>
      <w:iCs/>
      <w:color w:val="404040" w:themeColor="text1" w:themeTint="BF"/>
    </w:rPr>
  </w:style>
  <w:style w:type="paragraph" w:styleId="ListParagraph">
    <w:name w:val="List Paragraph"/>
    <w:basedOn w:val="Normal"/>
    <w:uiPriority w:val="34"/>
    <w:qFormat/>
    <w:rsid w:val="004D620F"/>
    <w:pPr>
      <w:ind w:left="720"/>
      <w:contextualSpacing/>
    </w:pPr>
  </w:style>
  <w:style w:type="character" w:styleId="IntenseEmphasis">
    <w:name w:val="Intense Emphasis"/>
    <w:basedOn w:val="DefaultParagraphFont"/>
    <w:uiPriority w:val="21"/>
    <w:qFormat/>
    <w:rsid w:val="004D620F"/>
    <w:rPr>
      <w:i/>
      <w:iCs/>
      <w:color w:val="2F5496" w:themeColor="accent1" w:themeShade="BF"/>
    </w:rPr>
  </w:style>
  <w:style w:type="paragraph" w:styleId="IntenseQuote">
    <w:name w:val="Intense Quote"/>
    <w:basedOn w:val="Normal"/>
    <w:next w:val="Normal"/>
    <w:link w:val="IntenseQuoteChar"/>
    <w:uiPriority w:val="30"/>
    <w:qFormat/>
    <w:rsid w:val="004D6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620F"/>
    <w:rPr>
      <w:i/>
      <w:iCs/>
      <w:color w:val="2F5496" w:themeColor="accent1" w:themeShade="BF"/>
    </w:rPr>
  </w:style>
  <w:style w:type="character" w:styleId="IntenseReference">
    <w:name w:val="Intense Reference"/>
    <w:basedOn w:val="DefaultParagraphFont"/>
    <w:uiPriority w:val="32"/>
    <w:qFormat/>
    <w:rsid w:val="004D620F"/>
    <w:rPr>
      <w:b/>
      <w:bCs/>
      <w:smallCaps/>
      <w:color w:val="2F5496" w:themeColor="accent1" w:themeShade="BF"/>
      <w:spacing w:val="5"/>
    </w:rPr>
  </w:style>
  <w:style w:type="table" w:styleId="TableGrid">
    <w:name w:val="Table Grid"/>
    <w:basedOn w:val="TableNormal"/>
    <w:uiPriority w:val="39"/>
    <w:rsid w:val="004F6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65F0"/>
    <w:rPr>
      <w:b/>
      <w:bCs/>
    </w:rPr>
  </w:style>
  <w:style w:type="character" w:customStyle="1" w:styleId="katex-mathml">
    <w:name w:val="katex-mathml"/>
    <w:basedOn w:val="DefaultParagraphFont"/>
    <w:rsid w:val="004F65F0"/>
  </w:style>
  <w:style w:type="character" w:customStyle="1" w:styleId="mop">
    <w:name w:val="mop"/>
    <w:basedOn w:val="DefaultParagraphFont"/>
    <w:rsid w:val="004F65F0"/>
  </w:style>
  <w:style w:type="character" w:customStyle="1" w:styleId="mopen">
    <w:name w:val="mopen"/>
    <w:basedOn w:val="DefaultParagraphFont"/>
    <w:rsid w:val="004F65F0"/>
  </w:style>
  <w:style w:type="character" w:customStyle="1" w:styleId="mord">
    <w:name w:val="mord"/>
    <w:basedOn w:val="DefaultParagraphFont"/>
    <w:rsid w:val="004F65F0"/>
  </w:style>
  <w:style w:type="character" w:customStyle="1" w:styleId="mclose">
    <w:name w:val="mclose"/>
    <w:basedOn w:val="DefaultParagraphFont"/>
    <w:rsid w:val="004F65F0"/>
  </w:style>
  <w:style w:type="character" w:customStyle="1" w:styleId="vlist-s">
    <w:name w:val="vlist-s"/>
    <w:basedOn w:val="DefaultParagraphFont"/>
    <w:rsid w:val="004F65F0"/>
  </w:style>
  <w:style w:type="character" w:styleId="Hyperlink">
    <w:name w:val="Hyperlink"/>
    <w:basedOn w:val="DefaultParagraphFont"/>
    <w:uiPriority w:val="99"/>
    <w:unhideWhenUsed/>
    <w:rsid w:val="00D0149C"/>
    <w:rPr>
      <w:color w:val="0563C1" w:themeColor="hyperlink"/>
      <w:u w:val="single"/>
    </w:rPr>
  </w:style>
  <w:style w:type="character" w:styleId="UnresolvedMention">
    <w:name w:val="Unresolved Mention"/>
    <w:basedOn w:val="DefaultParagraphFont"/>
    <w:uiPriority w:val="99"/>
    <w:semiHidden/>
    <w:unhideWhenUsed/>
    <w:rsid w:val="00D0149C"/>
    <w:rPr>
      <w:color w:val="605E5C"/>
      <w:shd w:val="clear" w:color="auto" w:fill="E1DFDD"/>
    </w:rPr>
  </w:style>
  <w:style w:type="paragraph" w:styleId="NormalWeb">
    <w:name w:val="Normal (Web)"/>
    <w:basedOn w:val="Normal"/>
    <w:uiPriority w:val="99"/>
    <w:unhideWhenUsed/>
    <w:rsid w:val="00D0149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B14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A8F"/>
  </w:style>
  <w:style w:type="paragraph" w:styleId="Footer">
    <w:name w:val="footer"/>
    <w:basedOn w:val="Normal"/>
    <w:link w:val="FooterChar"/>
    <w:uiPriority w:val="99"/>
    <w:unhideWhenUsed/>
    <w:rsid w:val="00B14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fao.org/faosta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13</Pages>
  <Words>5006</Words>
  <Characters>28536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Mritunjay</dc:creator>
  <cp:keywords/>
  <dc:description/>
  <cp:lastModifiedBy>SDI 1084</cp:lastModifiedBy>
  <cp:revision>19</cp:revision>
  <dcterms:created xsi:type="dcterms:W3CDTF">2025-08-24T08:03:00Z</dcterms:created>
  <dcterms:modified xsi:type="dcterms:W3CDTF">2025-10-25T06:27:00Z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4196c237-da4e-4fe7-8659-f6c803169491</vt:lpwstr>
  </property>
</Properties>
</file>