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4EF22A46" w:rsidR="00754C9A" w:rsidRDefault="00FA3732" w:rsidP="00441B6F">
      <w:pPr>
        <w:pStyle w:val="Title"/>
        <w:spacing w:after="0"/>
        <w:jc w:val="both"/>
        <w:rPr>
          <w:rFonts w:ascii="Arial" w:hAnsi="Arial" w:cs="Arial"/>
        </w:rPr>
      </w:pPr>
      <w:r w:rsidRPr="00FA3732">
        <w:rPr>
          <w:rFonts w:ascii="Arial" w:hAnsi="Arial" w:cs="Arial"/>
        </w:rPr>
        <w:t>Original Research Article</w:t>
      </w:r>
    </w:p>
    <w:p w14:paraId="70781201" w14:textId="77777777" w:rsidR="00FA3732" w:rsidRDefault="00FA3732" w:rsidP="00441B6F">
      <w:pPr>
        <w:pStyle w:val="Title"/>
        <w:spacing w:after="0"/>
        <w:jc w:val="both"/>
        <w:rPr>
          <w:rFonts w:ascii="Arial" w:hAnsi="Arial" w:cs="Arial"/>
        </w:rPr>
      </w:pPr>
    </w:p>
    <w:p w14:paraId="36DE0F57" w14:textId="1C871755" w:rsidR="00163BC4" w:rsidRPr="000B430D" w:rsidRDefault="000B430D" w:rsidP="00441B6F">
      <w:pPr>
        <w:pStyle w:val="Author"/>
        <w:spacing w:line="240" w:lineRule="auto"/>
        <w:rPr>
          <w:rFonts w:ascii="Arial" w:hAnsi="Arial" w:cs="Arial"/>
          <w:bCs/>
          <w:iCs/>
          <w:kern w:val="28"/>
          <w:sz w:val="36"/>
        </w:rPr>
      </w:pPr>
      <w:r w:rsidRPr="000B430D">
        <w:rPr>
          <w:rFonts w:ascii="Arial" w:hAnsi="Arial" w:cs="Arial"/>
          <w:bCs/>
          <w:iCs/>
          <w:kern w:val="28"/>
          <w:sz w:val="36"/>
        </w:rPr>
        <w:t xml:space="preserve">An Analysis of Teachers’ Perceptions and Students’ Challenges in the Use of Self-Learning Modules (SLMs) for World History Learning </w:t>
      </w:r>
    </w:p>
    <w:p w14:paraId="7FFF3D0A" w14:textId="77777777" w:rsidR="00A258C3" w:rsidRPr="00790ADA" w:rsidRDefault="00A258C3" w:rsidP="00441B6F">
      <w:pPr>
        <w:pStyle w:val="Author"/>
        <w:spacing w:line="240" w:lineRule="auto"/>
        <w:jc w:val="both"/>
        <w:rPr>
          <w:rFonts w:ascii="Arial" w:hAnsi="Arial" w:cs="Arial"/>
          <w:sz w:val="36"/>
        </w:rPr>
      </w:pPr>
    </w:p>
    <w:p w14:paraId="019CC221" w14:textId="7BFEB8C9"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70A03AFC" w14:textId="77777777" w:rsidR="002B505C" w:rsidRPr="002B505C" w:rsidRDefault="002B505C" w:rsidP="002B505C">
            <w:pPr>
              <w:pStyle w:val="Body"/>
              <w:rPr>
                <w:rFonts w:ascii="Arial" w:eastAsia="Calibri" w:hAnsi="Arial" w:cs="Arial"/>
                <w:szCs w:val="22"/>
              </w:rPr>
            </w:pPr>
            <w:r w:rsidRPr="002B505C">
              <w:rPr>
                <w:rFonts w:ascii="Arial" w:eastAsia="Calibri" w:hAnsi="Arial" w:cs="Arial"/>
                <w:szCs w:val="22"/>
              </w:rPr>
              <w:t>This study employed a descriptive design to examine teachers’ perceptions of self-learning modules (SLMs) in World History, the challenges faced by both teachers and students, and the coping strategies adopted to address these challenges. Data were gathered through focus group discussions and interviews with World History teachers and analyzed thematically.</w:t>
            </w:r>
          </w:p>
          <w:p w14:paraId="4E03C69D" w14:textId="77777777" w:rsidR="002B505C" w:rsidRPr="002B505C" w:rsidRDefault="002B505C" w:rsidP="002B505C">
            <w:pPr>
              <w:pStyle w:val="Body"/>
              <w:rPr>
                <w:rFonts w:ascii="Arial" w:eastAsia="Calibri" w:hAnsi="Arial" w:cs="Arial"/>
                <w:szCs w:val="22"/>
              </w:rPr>
            </w:pPr>
            <w:r w:rsidRPr="002B505C">
              <w:rPr>
                <w:rFonts w:ascii="Arial" w:eastAsia="Calibri" w:hAnsi="Arial" w:cs="Arial"/>
                <w:szCs w:val="22"/>
              </w:rPr>
              <w:t>Findings revealed that teachers perceived SLM objectives as S.M.A.R.T.—clear, coherent, and adaptable to diverse learning settings. Activities were considered effective in promoting higher-order thinking skills and holistic development, while assessments enabled self-monitoring, feedback, and alignment with learning objectives.</w:t>
            </w:r>
          </w:p>
          <w:p w14:paraId="01E752A0" w14:textId="77777777" w:rsidR="002B505C" w:rsidRPr="002B505C" w:rsidRDefault="002B505C" w:rsidP="002B505C">
            <w:pPr>
              <w:pStyle w:val="Body"/>
              <w:rPr>
                <w:rFonts w:ascii="Arial" w:eastAsia="Calibri" w:hAnsi="Arial" w:cs="Arial"/>
                <w:szCs w:val="22"/>
              </w:rPr>
            </w:pPr>
            <w:r w:rsidRPr="002B505C">
              <w:rPr>
                <w:rFonts w:ascii="Arial" w:eastAsia="Calibri" w:hAnsi="Arial" w:cs="Arial"/>
                <w:szCs w:val="22"/>
              </w:rPr>
              <w:t>Students, however, encountered difficulties such as limited motivation, challenges in understanding lessons, lack of independent learning skills, and restricted access to supplementary resources. Teachers also faced constraints, including time-consuming preparation, difficulty contextualizing content, unclear dist</w:t>
            </w:r>
            <w:bookmarkStart w:id="0" w:name="_GoBack"/>
            <w:bookmarkEnd w:id="0"/>
            <w:r w:rsidRPr="002B505C">
              <w:rPr>
                <w:rFonts w:ascii="Arial" w:eastAsia="Calibri" w:hAnsi="Arial" w:cs="Arial"/>
                <w:szCs w:val="22"/>
              </w:rPr>
              <w:t>ribution systems, inadequate monitoring of student progress, and insufficient resources.</w:t>
            </w:r>
          </w:p>
          <w:p w14:paraId="22597295" w14:textId="77777777" w:rsidR="002B505C" w:rsidRPr="002B505C" w:rsidRDefault="002B505C" w:rsidP="002B505C">
            <w:pPr>
              <w:pStyle w:val="Body"/>
              <w:rPr>
                <w:rFonts w:ascii="Arial" w:eastAsia="Calibri" w:hAnsi="Arial" w:cs="Arial"/>
                <w:szCs w:val="22"/>
              </w:rPr>
            </w:pPr>
            <w:r w:rsidRPr="002B505C">
              <w:rPr>
                <w:rFonts w:ascii="Arial" w:eastAsia="Calibri" w:hAnsi="Arial" w:cs="Arial"/>
                <w:szCs w:val="22"/>
              </w:rPr>
              <w:t>To address these, teachers employed coping strategies such as providing enrichment activities, offering guidance via messaging or calls, supplying additional references, giving clear instructions, encouraging peer collaboration, leaving positive remarks to sustain interest, collaborating with colleagues for supplemental materials, and introducing interactive elements.</w:t>
            </w:r>
          </w:p>
          <w:p w14:paraId="0D08730E" w14:textId="093A175C" w:rsidR="00505F06" w:rsidRPr="002B505C" w:rsidRDefault="002B505C" w:rsidP="00441B6F">
            <w:pPr>
              <w:pStyle w:val="Body"/>
              <w:spacing w:after="0"/>
              <w:rPr>
                <w:rFonts w:ascii="Arial" w:eastAsia="Calibri" w:hAnsi="Arial" w:cs="Arial"/>
                <w:b/>
                <w:bCs/>
                <w:szCs w:val="22"/>
              </w:rPr>
            </w:pPr>
            <w:r w:rsidRPr="002B505C">
              <w:rPr>
                <w:rFonts w:ascii="Arial" w:eastAsia="Calibri" w:hAnsi="Arial" w:cs="Arial"/>
                <w:szCs w:val="22"/>
              </w:rPr>
              <w:t>The study highlights SLMs as valuable tools for sustaining learning in flexible education contexts, provided continuous monitoring and improvement are ensured by the Department of Education and stakeholders.</w:t>
            </w:r>
          </w:p>
        </w:tc>
      </w:tr>
    </w:tbl>
    <w:p w14:paraId="6559E3BE" w14:textId="77777777" w:rsidR="00636EB2" w:rsidRDefault="00636EB2" w:rsidP="00441B6F">
      <w:pPr>
        <w:pStyle w:val="Body"/>
        <w:spacing w:after="0"/>
        <w:rPr>
          <w:rFonts w:ascii="Arial" w:hAnsi="Arial" w:cs="Arial"/>
          <w:i/>
        </w:rPr>
      </w:pPr>
    </w:p>
    <w:p w14:paraId="6DAB79B9" w14:textId="5E24136A" w:rsidR="00790ADA" w:rsidRDefault="00A24E7E" w:rsidP="00441B6F">
      <w:pPr>
        <w:pStyle w:val="Body"/>
        <w:spacing w:after="0"/>
        <w:rPr>
          <w:rFonts w:ascii="Arial" w:hAnsi="Arial" w:cs="Arial"/>
          <w:i/>
        </w:rPr>
      </w:pPr>
      <w:r>
        <w:rPr>
          <w:rFonts w:ascii="Arial" w:hAnsi="Arial" w:cs="Arial"/>
          <w:i/>
        </w:rPr>
        <w:t xml:space="preserve">Keywords: </w:t>
      </w:r>
      <w:r w:rsidR="00FA1F21" w:rsidRPr="00FA1F21">
        <w:rPr>
          <w:rFonts w:ascii="Arial" w:hAnsi="Arial" w:cs="Arial"/>
          <w:i/>
        </w:rPr>
        <w:t>Araling Panlipunan 8, Challenges, Perception, Self-learning module (SLM), Objectives</w:t>
      </w:r>
    </w:p>
    <w:p w14:paraId="1D1F3FCC" w14:textId="77777777" w:rsidR="0024282C" w:rsidRDefault="0024282C" w:rsidP="00441B6F">
      <w:pPr>
        <w:pStyle w:val="Body"/>
        <w:spacing w:after="0"/>
        <w:rPr>
          <w:rFonts w:ascii="Arial" w:hAnsi="Arial" w:cs="Arial"/>
          <w:i/>
          <w:sz w:val="18"/>
        </w:rPr>
      </w:pPr>
    </w:p>
    <w:p w14:paraId="52DF2596" w14:textId="77777777" w:rsidR="00505F06" w:rsidRPr="00A24E7E" w:rsidRDefault="00505F06" w:rsidP="00441B6F">
      <w:pPr>
        <w:pStyle w:val="Body"/>
        <w:spacing w:after="0"/>
        <w:rPr>
          <w:rFonts w:ascii="Arial" w:hAnsi="Arial" w:cs="Arial"/>
          <w:i/>
        </w:rPr>
      </w:pPr>
    </w:p>
    <w:p w14:paraId="55B1D956" w14:textId="3CEDC7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EB9D06" w14:textId="77777777" w:rsidR="00790ADA" w:rsidRPr="00FB3A86" w:rsidRDefault="00790ADA" w:rsidP="00441B6F">
      <w:pPr>
        <w:pStyle w:val="AbstHead"/>
        <w:spacing w:after="0"/>
        <w:jc w:val="both"/>
        <w:rPr>
          <w:rFonts w:ascii="Arial" w:hAnsi="Arial" w:cs="Arial"/>
        </w:rPr>
      </w:pPr>
    </w:p>
    <w:p w14:paraId="490B2BB3" w14:textId="77777777" w:rsidR="00FA1F21" w:rsidRPr="00FA1F21" w:rsidRDefault="00FA1F21" w:rsidP="00FA1F21">
      <w:pPr>
        <w:pStyle w:val="Body"/>
        <w:rPr>
          <w:rFonts w:ascii="Arial" w:hAnsi="Arial" w:cs="Arial"/>
        </w:rPr>
      </w:pPr>
      <w:r w:rsidRPr="00FA1F21">
        <w:rPr>
          <w:rFonts w:ascii="Arial" w:hAnsi="Arial" w:cs="Arial"/>
        </w:rPr>
        <w:t xml:space="preserve">The Department of Education (DepEd) conducted the Learning Enrolment and Survey Form (LESF) at the onset of school opening in 2020 and revealed that modular learning, a form of distance learning using self-learning modules (SLMs), was among the most convenient and preferred modalities for Filipino students and their parents/guardians (DepEd, 2020). In response to the suspension of face-to-face classes during the pandemic, the Department </w:t>
      </w:r>
      <w:r w:rsidRPr="00FA1F21">
        <w:rPr>
          <w:rFonts w:ascii="Arial" w:hAnsi="Arial" w:cs="Arial"/>
        </w:rPr>
        <w:lastRenderedPageBreak/>
        <w:t>anchored these modules on the Most Essential Learning Competencies (MELCs), a streamlined version of the curriculum intended to reduce learners’ workload while ensuring the attainment of fundamental skills and knowledge. Designed for independent and self-paced learning, the SLMs serve as substitutes for classroom instruction and are expected to simulate the presence of a teacher by providing clear objectives, structured activities, and assessment tasks (Malipot, 2020).</w:t>
      </w:r>
    </w:p>
    <w:p w14:paraId="4C984C3E" w14:textId="77777777" w:rsidR="00FA1F21" w:rsidRPr="00FA1F21" w:rsidRDefault="00FA1F21" w:rsidP="00FA1F21">
      <w:pPr>
        <w:pStyle w:val="Body"/>
        <w:rPr>
          <w:rFonts w:ascii="Arial" w:hAnsi="Arial" w:cs="Arial"/>
        </w:rPr>
      </w:pPr>
      <w:r w:rsidRPr="00FA1F21">
        <w:rPr>
          <w:rFonts w:ascii="Arial" w:hAnsi="Arial" w:cs="Arial"/>
        </w:rPr>
        <w:t>In the basic education curriculum, Araling Panlipunan is integral to the formation of active and responsible citizens. At the Grade 8 level, Araling Panlipunan focuses on World History, a subject intended to develop investigation, critical analysis, effective communication, and historical understanding among students. However, social studies education has often been perceived as overwhelming and irrelevant to students’ lives, with some developing negative attitudes toward the subject (Coleman, 2021). The use of SLMs was seen as a practical means to sustain student learning in World History amid emergencies, yet both teachers and students encountered significant challenges in utilizing modular instruction. These included learners’ difficulties in comprehending lessons, sustaining motivation, and developing independent learning skills, while teachers struggled with module preparation, contextualization, distribution, and monitoring of student progress.</w:t>
      </w:r>
    </w:p>
    <w:p w14:paraId="09B1C250" w14:textId="7B0F9721" w:rsidR="00FA1F21" w:rsidRPr="00FA1F21" w:rsidRDefault="00FA1F21" w:rsidP="00FA1F21">
      <w:pPr>
        <w:pStyle w:val="Body"/>
        <w:rPr>
          <w:rFonts w:ascii="Arial" w:hAnsi="Arial" w:cs="Arial"/>
        </w:rPr>
      </w:pPr>
      <w:r w:rsidRPr="00FA1F21">
        <w:rPr>
          <w:rFonts w:ascii="Arial" w:hAnsi="Arial" w:cs="Arial"/>
        </w:rPr>
        <w:t>Despite the growing body of literature on modular and flexible learning, several gaps remain. Previous studies highlight the effectiveness of SLMs in promoting independence, critical thinking, and contextualized learning (</w:t>
      </w:r>
      <w:r w:rsidR="00864D87" w:rsidRPr="00864D87">
        <w:rPr>
          <w:rFonts w:ascii="Arial" w:hAnsi="Arial" w:cs="Arial"/>
        </w:rPr>
        <w:t>Savilla &amp; Asparin, 2025</w:t>
      </w:r>
      <w:r w:rsidRPr="00FA1F21">
        <w:rPr>
          <w:rFonts w:ascii="Arial" w:hAnsi="Arial" w:cs="Arial"/>
        </w:rPr>
        <w:t xml:space="preserve">, as cited in Ambayon, 2020; </w:t>
      </w:r>
      <w:r w:rsidR="00A45C10" w:rsidRPr="00A45C10">
        <w:rPr>
          <w:rFonts w:ascii="Arial" w:hAnsi="Arial" w:cs="Arial"/>
        </w:rPr>
        <w:t>Aquiatan &amp; Cacharo, 2025</w:t>
      </w:r>
      <w:r w:rsidRPr="00FA1F21">
        <w:rPr>
          <w:rFonts w:ascii="Arial" w:hAnsi="Arial" w:cs="Arial"/>
        </w:rPr>
        <w:t xml:space="preserve">; </w:t>
      </w:r>
      <w:r w:rsidR="00F21450" w:rsidRPr="00F21450">
        <w:rPr>
          <w:rFonts w:ascii="Arial" w:hAnsi="Arial" w:cs="Arial"/>
        </w:rPr>
        <w:t>Serrano &amp; Farin, 2022</w:t>
      </w:r>
      <w:r w:rsidRPr="00FA1F21">
        <w:rPr>
          <w:rFonts w:ascii="Arial" w:hAnsi="Arial" w:cs="Arial"/>
        </w:rPr>
        <w:t>). However, they also report limitations, such as students’ lack of engagement, difficulty in self-regulation, inadequate feedback mechanisms, and reduced opportunities for interaction with teachers (Estrada, 2021; Toquero, 2020; Sintema, 2020). Similarly, while research underscores the role of SLMs in sustaining education during emergencies (</w:t>
      </w:r>
      <w:r w:rsidR="006970CF" w:rsidRPr="006970CF">
        <w:rPr>
          <w:rFonts w:ascii="Arial" w:hAnsi="Arial" w:cs="Arial"/>
        </w:rPr>
        <w:t>Herero</w:t>
      </w:r>
      <w:r w:rsidRPr="00FA1F21">
        <w:rPr>
          <w:rFonts w:ascii="Arial" w:hAnsi="Arial" w:cs="Arial"/>
        </w:rPr>
        <w:t>, 202</w:t>
      </w:r>
      <w:r w:rsidR="006970CF">
        <w:rPr>
          <w:rFonts w:ascii="Arial" w:hAnsi="Arial" w:cs="Arial"/>
        </w:rPr>
        <w:t>2</w:t>
      </w:r>
      <w:r w:rsidRPr="00FA1F21">
        <w:rPr>
          <w:rFonts w:ascii="Arial" w:hAnsi="Arial" w:cs="Arial"/>
        </w:rPr>
        <w:t xml:space="preserve">; </w:t>
      </w:r>
      <w:r w:rsidR="00864D87" w:rsidRPr="00864D87">
        <w:rPr>
          <w:rFonts w:ascii="Arial" w:hAnsi="Arial" w:cs="Arial"/>
        </w:rPr>
        <w:t>Natividad, 2021</w:t>
      </w:r>
      <w:r w:rsidRPr="00FA1F21">
        <w:rPr>
          <w:rFonts w:ascii="Arial" w:hAnsi="Arial" w:cs="Arial"/>
        </w:rPr>
        <w:t>), little is known about how teachers specifically perceive the objectives, activities, and assessments within World History modules, and how they address challenges experienced by learners. These gaps suggest the need to document not only the effectiveness of SLMs but also the nuanced experiences of teachers and students within a subject that demands critical engagement with historical events.</w:t>
      </w:r>
    </w:p>
    <w:p w14:paraId="03783E19" w14:textId="77777777" w:rsidR="00FA1F21" w:rsidRPr="00FA1F21" w:rsidRDefault="00FA1F21" w:rsidP="00FA1F21">
      <w:pPr>
        <w:pStyle w:val="Body"/>
        <w:rPr>
          <w:rFonts w:ascii="Arial" w:hAnsi="Arial" w:cs="Arial"/>
        </w:rPr>
      </w:pPr>
      <w:r w:rsidRPr="00FA1F21">
        <w:rPr>
          <w:rFonts w:ascii="Arial" w:hAnsi="Arial" w:cs="Arial"/>
        </w:rPr>
        <w:t>Moreover, limitations in existing studies lie in their general focus on modular learning without giving equal attention to subject-specific challenges, such as those in Araling Panlipunan. Many investigations on modular learning centers on broad contexts, overlooking how SLMs function in content-heavy disciplines like World History that require higher-order thinking, contextual understanding, and reflective analysis. Past research also tends to concentrate on either teacher or student perspectives in isolation, leaving unexplored the interplay between teachers’ instructional challenges and students’ learning struggles. This absence of comprehensive perspectives restricts the design of interventions that could strengthen SLMs as sustainable tools for flexible learning.</w:t>
      </w:r>
    </w:p>
    <w:p w14:paraId="36F3000D" w14:textId="77777777" w:rsidR="00FA1F21" w:rsidRPr="00FA1F21" w:rsidRDefault="00FA1F21" w:rsidP="00FA1F21">
      <w:pPr>
        <w:pStyle w:val="Body"/>
        <w:rPr>
          <w:rFonts w:ascii="Arial" w:hAnsi="Arial" w:cs="Arial"/>
        </w:rPr>
      </w:pPr>
      <w:r w:rsidRPr="00FA1F21">
        <w:rPr>
          <w:rFonts w:ascii="Arial" w:hAnsi="Arial" w:cs="Arial"/>
        </w:rPr>
        <w:t>Given these gaps, this study was conducted to analyze teachers’ perceptions and students’ challenges in the use of self-learning modules in World History. Specifically, it sought to:</w:t>
      </w:r>
    </w:p>
    <w:p w14:paraId="49B5B9F4" w14:textId="0DDC6888" w:rsidR="00FA1F21" w:rsidRDefault="00FA1F21" w:rsidP="00FA1F21">
      <w:pPr>
        <w:pStyle w:val="Body"/>
        <w:numPr>
          <w:ilvl w:val="0"/>
          <w:numId w:val="31"/>
        </w:numPr>
        <w:rPr>
          <w:rFonts w:ascii="Arial" w:hAnsi="Arial" w:cs="Arial"/>
        </w:rPr>
      </w:pPr>
      <w:r w:rsidRPr="00FA1F21">
        <w:rPr>
          <w:rFonts w:ascii="Arial" w:hAnsi="Arial" w:cs="Arial"/>
        </w:rPr>
        <w:t>Examined teachers’ views on the objectives, activities, and assessments of SLMs;</w:t>
      </w:r>
    </w:p>
    <w:p w14:paraId="4C76C2D0" w14:textId="77777777" w:rsidR="00FA1F21" w:rsidRDefault="00FA1F21" w:rsidP="00FA1F21">
      <w:pPr>
        <w:pStyle w:val="Body"/>
        <w:numPr>
          <w:ilvl w:val="0"/>
          <w:numId w:val="31"/>
        </w:numPr>
        <w:rPr>
          <w:rFonts w:ascii="Arial" w:hAnsi="Arial" w:cs="Arial"/>
        </w:rPr>
      </w:pPr>
      <w:r w:rsidRPr="00FA1F21">
        <w:rPr>
          <w:rFonts w:ascii="Arial" w:hAnsi="Arial" w:cs="Arial"/>
        </w:rPr>
        <w:t xml:space="preserve">Explored the challenges encountered by both teachers and students in their implementation; and </w:t>
      </w:r>
    </w:p>
    <w:p w14:paraId="7747D8DD" w14:textId="4B63BDD7" w:rsidR="00790ADA" w:rsidRDefault="00FA1F21" w:rsidP="00FA1F21">
      <w:pPr>
        <w:pStyle w:val="Body"/>
        <w:numPr>
          <w:ilvl w:val="0"/>
          <w:numId w:val="31"/>
        </w:numPr>
        <w:spacing w:after="0"/>
        <w:rPr>
          <w:rFonts w:ascii="Arial" w:hAnsi="Arial" w:cs="Arial"/>
        </w:rPr>
      </w:pPr>
      <w:r w:rsidRPr="00FA1F21">
        <w:rPr>
          <w:rFonts w:ascii="Arial" w:hAnsi="Arial" w:cs="Arial"/>
        </w:rPr>
        <w:t>Identified the coping strategies employed by teachers to address these challenges.</w:t>
      </w:r>
    </w:p>
    <w:p w14:paraId="385DFD55" w14:textId="77777777" w:rsidR="00FA1F21" w:rsidRPr="00FA1F21" w:rsidRDefault="00FA1F21" w:rsidP="00FA1F21">
      <w:pPr>
        <w:pStyle w:val="Body"/>
        <w:spacing w:after="0"/>
        <w:ind w:left="720"/>
        <w:rPr>
          <w:rFonts w:ascii="Arial" w:hAnsi="Arial" w:cs="Arial"/>
        </w:rPr>
      </w:pPr>
    </w:p>
    <w:p w14:paraId="1A578688" w14:textId="5A039B19"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15FA49E1" w14:textId="30B86907" w:rsidR="00FA1F21" w:rsidRPr="00FA1F21" w:rsidRDefault="00FA1F21" w:rsidP="00FA1F21">
      <w:pPr>
        <w:pStyle w:val="Body"/>
        <w:rPr>
          <w:rFonts w:ascii="Arial" w:hAnsi="Arial" w:cs="Arial"/>
        </w:rPr>
      </w:pPr>
      <w:r w:rsidRPr="00FA1F21">
        <w:rPr>
          <w:rFonts w:ascii="Arial" w:hAnsi="Arial" w:cs="Arial"/>
        </w:rPr>
        <w:t xml:space="preserve">This study employed a descriptive research design to examine teachers’ perceptions of self-learning modules (SLMs) in World History, the challenges encountered by both teachers and students, and the coping strategies used by teachers to address these challenges. The design was selected because it allows a systematic analysis of the three essential components of the SLMs—objectives, activities, and assessments—without manipulating variables, focusing instead on how these elements support or hinder learning in flexible education contexts (Nowell et al., 2017; </w:t>
      </w:r>
      <w:r w:rsidR="00864D87" w:rsidRPr="00864D87">
        <w:rPr>
          <w:rFonts w:ascii="Arial" w:hAnsi="Arial" w:cs="Arial"/>
        </w:rPr>
        <w:t>Braun &amp; Clarke, 2022</w:t>
      </w:r>
      <w:r w:rsidRPr="00FA1F21">
        <w:rPr>
          <w:rFonts w:ascii="Arial" w:hAnsi="Arial" w:cs="Arial"/>
        </w:rPr>
        <w:t>).</w:t>
      </w:r>
    </w:p>
    <w:p w14:paraId="3DF10532" w14:textId="77777777" w:rsidR="00FA1F21" w:rsidRPr="00FA1F21" w:rsidRDefault="00FA1F21" w:rsidP="00FA1F21">
      <w:pPr>
        <w:pStyle w:val="Body"/>
        <w:rPr>
          <w:rFonts w:ascii="Arial" w:hAnsi="Arial" w:cs="Arial"/>
        </w:rPr>
      </w:pPr>
      <w:r w:rsidRPr="00FA1F21">
        <w:rPr>
          <w:rFonts w:ascii="Arial" w:hAnsi="Arial" w:cs="Arial"/>
        </w:rPr>
        <w:t>The study was conducted in five secondary schools categorized as mega schools under the three divisions of the Department of Education (DepEd) in Ilocos Sur: Sinait National High School, Narvacan National High School, and Tagudin National High School (Ilocos Sur Division); Ilocos Sur National High School (Vigan City Division); and Candon National High School (Candon City Division). These institutions were purposively selected because mega schools typically employ at least five Araling Panlipunan 8 teachers, all of whom are qualified social studies educators, with some holding master’s degrees. None of the respondents were out-of-field teachers, ensuring expertise in the subject matter.</w:t>
      </w:r>
    </w:p>
    <w:p w14:paraId="62611B70" w14:textId="77777777" w:rsidR="00FA1F21" w:rsidRPr="00FA1F21" w:rsidRDefault="00FA1F21" w:rsidP="00FA1F21">
      <w:pPr>
        <w:pStyle w:val="Body"/>
        <w:rPr>
          <w:rFonts w:ascii="Arial" w:hAnsi="Arial" w:cs="Arial"/>
        </w:rPr>
      </w:pPr>
      <w:r w:rsidRPr="00FA1F21">
        <w:rPr>
          <w:rFonts w:ascii="Arial" w:hAnsi="Arial" w:cs="Arial"/>
        </w:rPr>
        <w:t>A total of 21 teachers participated in the study, identified through purposive sampling based on specific criteria: they were currently teaching Araling Panlipunan 8, had at least three years of teaching experience, were assigned to mega schools with large student populations, and represented the three school divisions in the province. These criteria ensured the credibility of responses and the relevance of insights regarding modular learning challenges in World History.</w:t>
      </w:r>
    </w:p>
    <w:p w14:paraId="42669471" w14:textId="77777777" w:rsidR="00FA1F21" w:rsidRPr="00FA1F21" w:rsidRDefault="00FA1F21" w:rsidP="00FA1F21">
      <w:pPr>
        <w:pStyle w:val="Body"/>
        <w:rPr>
          <w:rFonts w:ascii="Arial" w:hAnsi="Arial" w:cs="Arial"/>
        </w:rPr>
      </w:pPr>
      <w:r w:rsidRPr="00FA1F21">
        <w:rPr>
          <w:rFonts w:ascii="Arial" w:hAnsi="Arial" w:cs="Arial"/>
        </w:rPr>
        <w:t>Data were collected using a validated interview guide, which covered teachers’ perceptions of SLMs, students’ challenges in using them, and coping strategies employed by teachers. This instrument was administered through focus group discussions and interviews, following ethical approval from the University Research Ethics Review Board (URERB) and with the consent of division offices, school heads, and respondents. Participation was voluntary, anonymity was maintained, and no compensation was provided.</w:t>
      </w:r>
    </w:p>
    <w:p w14:paraId="4DC2CA6D" w14:textId="496ED6E4" w:rsidR="00AA74E0" w:rsidRDefault="00FA1F21" w:rsidP="00441B6F">
      <w:pPr>
        <w:pStyle w:val="Body"/>
        <w:spacing w:after="0"/>
        <w:rPr>
          <w:rFonts w:ascii="Arial" w:hAnsi="Arial" w:cs="Arial"/>
        </w:rPr>
      </w:pPr>
      <w:r w:rsidRPr="00FA1F21">
        <w:rPr>
          <w:rFonts w:ascii="Arial" w:hAnsi="Arial" w:cs="Arial"/>
        </w:rPr>
        <w:t xml:space="preserve">The data collected were analyzed through thematic analysis, which is appropriate for organizing qualitative data into meaningful patterns and themes (Nowell et al., 2017). The process followed </w:t>
      </w:r>
      <w:r w:rsidR="00864D87" w:rsidRPr="00864D87">
        <w:rPr>
          <w:rFonts w:ascii="Arial" w:hAnsi="Arial" w:cs="Arial"/>
        </w:rPr>
        <w:t>Braun &amp; Clarke</w:t>
      </w:r>
      <w:r w:rsidR="00864D87">
        <w:rPr>
          <w:rFonts w:ascii="Arial" w:hAnsi="Arial" w:cs="Arial"/>
        </w:rPr>
        <w:t xml:space="preserve"> </w:t>
      </w:r>
      <w:r w:rsidRPr="00FA1F21">
        <w:rPr>
          <w:rFonts w:ascii="Arial" w:hAnsi="Arial" w:cs="Arial"/>
        </w:rPr>
        <w:t>(2022) six-phase framework: familiarization with data, generating codes, searching for themes, reviewing themes, defining and naming themes, and producing the report. This rigorous method allowed the researcher to extract recurring narratives about how SLMs are perceived, the specific challenges faced, and the strategies adopted by teachers to sustain learning under modular distance education. Data security and compliance with the Data Privacy Act were ensured throughout the study</w:t>
      </w:r>
      <w:r w:rsidR="00502516" w:rsidRPr="00502516">
        <w:rPr>
          <w:rFonts w:ascii="Arial" w:hAnsi="Arial" w:cs="Arial"/>
        </w:rPr>
        <w:t>.</w:t>
      </w:r>
      <w:r w:rsidR="00AA74E0" w:rsidRPr="00FB3A86">
        <w:rPr>
          <w:rFonts w:ascii="Arial" w:hAnsi="Arial" w:cs="Arial"/>
        </w:rPr>
        <w:t xml:space="preserve">  </w:t>
      </w:r>
    </w:p>
    <w:p w14:paraId="44DC8C0B" w14:textId="77777777" w:rsidR="00790ADA" w:rsidRPr="00FB3A86" w:rsidRDefault="00790ADA"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D24A5AE" w14:textId="77777777" w:rsidR="00790ADA" w:rsidRPr="00FB3A86" w:rsidRDefault="00790ADA" w:rsidP="00441B6F">
      <w:pPr>
        <w:pStyle w:val="Head1"/>
        <w:spacing w:after="0"/>
        <w:jc w:val="both"/>
        <w:rPr>
          <w:rFonts w:ascii="Arial" w:hAnsi="Arial" w:cs="Arial"/>
        </w:rPr>
      </w:pPr>
    </w:p>
    <w:p w14:paraId="1BB4A4C8" w14:textId="59717C1E" w:rsidR="00FA1F21" w:rsidRPr="00FA1F21" w:rsidRDefault="00FA1F21" w:rsidP="00FA1F21">
      <w:pPr>
        <w:keepNext/>
        <w:keepLines/>
        <w:widowControl w:val="0"/>
        <w:spacing w:after="240"/>
        <w:jc w:val="both"/>
        <w:outlineLvl w:val="2"/>
        <w:rPr>
          <w:rFonts w:ascii="Arial" w:hAnsi="Arial" w:cs="Arial"/>
          <w:b/>
          <w:bCs/>
          <w:sz w:val="22"/>
          <w:szCs w:val="22"/>
          <w:lang w:val="en-PH" w:eastAsia="en-PH"/>
        </w:rPr>
      </w:pPr>
      <w:r>
        <w:rPr>
          <w:rFonts w:ascii="Arial" w:hAnsi="Arial" w:cs="Arial"/>
          <w:b/>
          <w:bCs/>
          <w:sz w:val="22"/>
          <w:szCs w:val="22"/>
          <w:lang w:val="en-PH" w:eastAsia="en-PH"/>
        </w:rPr>
        <w:t xml:space="preserve">3.1 </w:t>
      </w:r>
      <w:r w:rsidRPr="00FA1F21">
        <w:rPr>
          <w:rFonts w:ascii="Arial" w:hAnsi="Arial" w:cs="Arial"/>
          <w:b/>
          <w:bCs/>
          <w:sz w:val="22"/>
          <w:szCs w:val="22"/>
          <w:lang w:val="en-PH" w:eastAsia="en-PH"/>
        </w:rPr>
        <w:t>Teachers’ Perceptions of the Objectives, Activities, and Assessments of SLMs in World History</w:t>
      </w:r>
    </w:p>
    <w:p w14:paraId="7C223C28" w14:textId="77777777" w:rsidR="00FA1F21" w:rsidRPr="00FA1F21" w:rsidRDefault="00FA1F21" w:rsidP="00FA1F21">
      <w:pPr>
        <w:spacing w:after="100" w:afterAutospacing="1"/>
        <w:jc w:val="both"/>
        <w:rPr>
          <w:rFonts w:ascii="Arial" w:hAnsi="Arial" w:cs="Arial"/>
          <w:lang w:val="en-PH" w:eastAsia="en-PH"/>
        </w:rPr>
      </w:pPr>
      <w:r w:rsidRPr="00FA1F21">
        <w:rPr>
          <w:rFonts w:ascii="Arial" w:hAnsi="Arial" w:cs="Arial"/>
          <w:lang w:val="en-PH" w:eastAsia="en-PH"/>
        </w:rPr>
        <w:t>The teachers’ perceptions of the SLMs in World History were examined in terms of three dimensions: objectives, activities, and assessments. Data from focus group discussions revealed generally positive views regarding the design and purpose of the modules, particularly their clarity, coherence, and alignment with learning competencies. However, the findings also surfaced nuanced insights into the effectiveness of these components when applied in flexible learning contexts.</w:t>
      </w:r>
    </w:p>
    <w:p w14:paraId="486AD0E1" w14:textId="11681FA1" w:rsidR="00FA1F21" w:rsidRPr="00FA1F21" w:rsidRDefault="00FA1F21" w:rsidP="00FA1F21">
      <w:pPr>
        <w:spacing w:after="100" w:afterAutospacing="1"/>
        <w:jc w:val="both"/>
        <w:rPr>
          <w:rFonts w:ascii="Arial" w:hAnsi="Arial" w:cs="Arial"/>
          <w:b/>
          <w:bCs/>
          <w:u w:val="single"/>
          <w:lang w:val="en-PH" w:eastAsia="en-PH"/>
        </w:rPr>
      </w:pPr>
      <w:r w:rsidRPr="00FA1F21">
        <w:rPr>
          <w:rFonts w:ascii="Arial" w:hAnsi="Arial" w:cs="Arial"/>
          <w:b/>
          <w:bCs/>
          <w:u w:val="single"/>
          <w:lang w:val="en-PH" w:eastAsia="en-PH"/>
        </w:rPr>
        <w:lastRenderedPageBreak/>
        <w:t>3.1.1 Teachers’ Perceptions of the Objectives of SLMs in World History</w:t>
      </w:r>
    </w:p>
    <w:p w14:paraId="44DC1570"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Teachers from the three school divisions in Ilocos Sur generally perceived the objectives of the World History SLMs as clear, coherent, and effective in guiding instruction, particularly during flexible arrangements such as the pandemic and hybrid learning. They emphasized that the objectives adhered to the SMART criteria—specific, measurable, attainable, relevant, and time-bound—making them practical and responsive to diverse learning environments.</w:t>
      </w:r>
    </w:p>
    <w:p w14:paraId="4A2F5163" w14:textId="4516B4B0"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 xml:space="preserve">Objectives are </w:t>
      </w:r>
      <w:proofErr w:type="gramStart"/>
      <w:r w:rsidRPr="00FA1F21">
        <w:rPr>
          <w:rFonts w:ascii="Arial" w:hAnsi="Arial" w:cs="Arial"/>
          <w:b/>
          <w:bCs/>
          <w:lang w:val="en-PH" w:eastAsia="en-PH"/>
        </w:rPr>
        <w:t>S.M.A.R.T..</w:t>
      </w:r>
      <w:proofErr w:type="gramEnd"/>
      <w:r w:rsidRPr="00FA1F21">
        <w:rPr>
          <w:rFonts w:ascii="Arial" w:hAnsi="Arial" w:cs="Arial"/>
          <w:b/>
          <w:bCs/>
          <w:lang w:val="en-PH" w:eastAsia="en-PH"/>
        </w:rPr>
        <w:t xml:space="preserve"> </w:t>
      </w:r>
      <w:r w:rsidRPr="00FA1F21">
        <w:rPr>
          <w:rFonts w:ascii="Arial" w:hAnsi="Arial" w:cs="Arial"/>
          <w:lang w:val="en-PH" w:eastAsia="en-PH"/>
        </w:rPr>
        <w:t xml:space="preserve">Respondents agreed that the objectives provided direction for students and teachers by clearly stating expected outcomes. This view supports </w:t>
      </w:r>
      <w:r w:rsidR="00F21450" w:rsidRPr="00F21450">
        <w:rPr>
          <w:rFonts w:ascii="Arial" w:hAnsi="Arial" w:cs="Arial"/>
          <w:lang w:eastAsia="en-PH"/>
        </w:rPr>
        <w:t>Reza and Rasoul</w:t>
      </w:r>
      <w:r w:rsidRPr="00FA1F21">
        <w:rPr>
          <w:rFonts w:ascii="Arial" w:hAnsi="Arial" w:cs="Arial"/>
          <w:lang w:val="en-PH" w:eastAsia="en-PH"/>
        </w:rPr>
        <w:t>’s (201</w:t>
      </w:r>
      <w:r w:rsidR="00F21450">
        <w:rPr>
          <w:rFonts w:ascii="Arial" w:hAnsi="Arial" w:cs="Arial"/>
          <w:lang w:val="en-PH" w:eastAsia="en-PH"/>
        </w:rPr>
        <w:t>8</w:t>
      </w:r>
      <w:r w:rsidRPr="00FA1F21">
        <w:rPr>
          <w:rFonts w:ascii="Arial" w:hAnsi="Arial" w:cs="Arial"/>
          <w:lang w:val="en-PH" w:eastAsia="en-PH"/>
        </w:rPr>
        <w:t>) claim that objectives function as performance descriptions leading students toward competencies. Similarly, Zhou (2017) stressed that measurable objectives enhance the evaluation of activity success, while Thakur (2015) argued that achievability strengthens both teaching and assessment processes. The teachers recognized that SLM objectives remained relevant to learners’ needs and adaptable to the demands of emergency remote and flexible learning. Moreover, the time-bound design facilitated monitoring of student progress and effective time management. Consequently, the SMART features of the objectives were seen as critical in sustaining learning across varied instructional contexts.</w:t>
      </w:r>
    </w:p>
    <w:p w14:paraId="14522BCB" w14:textId="4BDE21D3" w:rsidR="00FA1F21" w:rsidRPr="00FA1F21" w:rsidRDefault="00FA1F21" w:rsidP="00FA1F21">
      <w:pPr>
        <w:spacing w:after="240"/>
        <w:jc w:val="both"/>
        <w:rPr>
          <w:rFonts w:ascii="Arial" w:hAnsi="Arial" w:cs="Arial"/>
          <w:b/>
          <w:bCs/>
          <w:lang w:val="en-PH" w:eastAsia="en-PH"/>
        </w:rPr>
      </w:pPr>
      <w:r w:rsidRPr="00FA1F21">
        <w:rPr>
          <w:rFonts w:ascii="Arial" w:hAnsi="Arial" w:cs="Arial"/>
          <w:b/>
          <w:bCs/>
          <w:lang w:val="en-PH" w:eastAsia="en-PH"/>
        </w:rPr>
        <w:t xml:space="preserve">Objectives are Clear and Coherent. </w:t>
      </w:r>
      <w:r w:rsidRPr="00FA1F21">
        <w:rPr>
          <w:rFonts w:ascii="Arial" w:hAnsi="Arial" w:cs="Arial"/>
          <w:lang w:val="en-PH" w:eastAsia="en-PH"/>
        </w:rPr>
        <w:t xml:space="preserve">Teachers further emphasized that the coherence of the objectives provided a foundation for assessments that accurately measured mastery of historical knowledge. This perception resonates with Anderson and Krathwohl (2021), who argued that alignment between objectives and assessment is essential for cultivating higher-order thinking. Teachers also observed that the clarity of objectives allowed students to understand intended outcomes, track progress, and engage more meaningfully with lessons. This finding echoes </w:t>
      </w:r>
      <w:r w:rsidR="00F21450" w:rsidRPr="00F21450">
        <w:rPr>
          <w:rFonts w:ascii="Arial" w:hAnsi="Arial" w:cs="Arial"/>
          <w:lang w:val="en-PH" w:eastAsia="en-PH"/>
        </w:rPr>
        <w:t>Reza and Rasoul</w:t>
      </w:r>
      <w:r w:rsidR="00F21450">
        <w:rPr>
          <w:rFonts w:ascii="Arial" w:hAnsi="Arial" w:cs="Arial"/>
          <w:lang w:val="en-PH" w:eastAsia="en-PH"/>
        </w:rPr>
        <w:t xml:space="preserve"> </w:t>
      </w:r>
      <w:r w:rsidRPr="00FA1F21">
        <w:rPr>
          <w:rFonts w:ascii="Arial" w:hAnsi="Arial" w:cs="Arial"/>
          <w:lang w:val="en-PH" w:eastAsia="en-PH"/>
        </w:rPr>
        <w:t>(2017), who underscored the importance of well-defined objectives in directing instructional activities. In addition, the respondents highlighted that adaptability to different modalities ensures continued effectiveness despite crises such as pandemics or natural disasters.</w:t>
      </w:r>
    </w:p>
    <w:p w14:paraId="2F66C2A5" w14:textId="77777777" w:rsidR="00FA1F21" w:rsidRPr="00FA1F21" w:rsidRDefault="00FA1F21" w:rsidP="00FA1F21">
      <w:pPr>
        <w:spacing w:after="240"/>
        <w:jc w:val="both"/>
        <w:rPr>
          <w:rFonts w:ascii="Arial" w:hAnsi="Arial" w:cs="Arial"/>
          <w:b/>
          <w:bCs/>
          <w:lang w:val="en-PH" w:eastAsia="en-PH"/>
        </w:rPr>
      </w:pPr>
      <w:r w:rsidRPr="00FA1F21">
        <w:rPr>
          <w:rFonts w:ascii="Arial" w:hAnsi="Arial" w:cs="Arial"/>
          <w:b/>
          <w:bCs/>
          <w:lang w:val="en-PH" w:eastAsia="en-PH"/>
        </w:rPr>
        <w:t xml:space="preserve">Objectives are Suitable for Learners. </w:t>
      </w:r>
      <w:r w:rsidRPr="00FA1F21">
        <w:rPr>
          <w:rFonts w:ascii="Arial" w:hAnsi="Arial" w:cs="Arial"/>
          <w:lang w:val="en-PH" w:eastAsia="en-PH"/>
        </w:rPr>
        <w:t>The teachers described the objectives as appropriate for students’ capabilities and learning contexts. They emphasized that SMART-aligned objectives supported student engagement, self-regulation, and achievement. The flexibility and student-centered orientation of the modules ensured that objectives accommodated diverse instructional environments, even during disruptions like COVID-19. Teachers also provided specific examples:</w:t>
      </w:r>
    </w:p>
    <w:p w14:paraId="1445FAC0"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“Nadaras laeng nga awaten dagiti objectives nga linaon tay module. Kas kuma daytoy, ‘Mailalarawan ng mga mag-aaral ang epekto ng Renaissance sa kasalukuyang lipunan sa pamamagitan ng isang maikling sanaysay.’ Daytoy ket klaro isu nga ammo dagitay ubbing no ania ti ubraen da.” </w:t>
      </w:r>
      <w:r w:rsidRPr="00FA1F21">
        <w:rPr>
          <w:rFonts w:ascii="Arial" w:hAnsi="Arial" w:cs="Arial"/>
          <w:lang w:val="en-PH" w:eastAsia="en-PH"/>
        </w:rPr>
        <w:t>(It is easy to understand the learning objectives in the modules. For example, ‘Describe the impact of the Renaissance on contemporary society through a short essay.’ This objective is clear, so the students know exactly what they need to do.) – Teacher 1</w:t>
      </w:r>
    </w:p>
    <w:p w14:paraId="5BB1642D" w14:textId="77777777" w:rsidR="00FA1F21" w:rsidRPr="00FA1F21" w:rsidRDefault="00FA1F21" w:rsidP="00FA1F21">
      <w:pPr>
        <w:spacing w:after="240"/>
        <w:jc w:val="both"/>
        <w:rPr>
          <w:rFonts w:ascii="Arial" w:hAnsi="Arial" w:cs="Arial"/>
          <w:lang w:val="en-PH" w:eastAsia="en-PH"/>
        </w:rPr>
      </w:pPr>
      <w:r w:rsidRPr="00FA1F21">
        <w:rPr>
          <w:rFonts w:ascii="Arial" w:hAnsi="Arial" w:cs="Arial"/>
          <w:i/>
          <w:iCs/>
          <w:lang w:val="en-PH" w:eastAsia="en-PH"/>
        </w:rPr>
        <w:t>“Maiyannatop kadakuada daytoy module ta nakabase ket garud dagiti objectives na iti MELCS no ania dagiti dapat nga masursuro da iti World History.”</w:t>
      </w:r>
      <w:r w:rsidRPr="00FA1F21">
        <w:rPr>
          <w:rFonts w:ascii="Arial" w:hAnsi="Arial" w:cs="Arial"/>
          <w:lang w:val="en-PH" w:eastAsia="en-PH"/>
        </w:rPr>
        <w:t xml:space="preserve"> (The module is suitable for them because its objectives are based on the MELCs, which outline what they need to learn in World History.) – Teacher 2</w:t>
      </w:r>
    </w:p>
    <w:p w14:paraId="3F5CF6AD"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 xml:space="preserve">Overall, the findings reveal that teachers perceived the objectives of the SLMs in World History as clear, coherent, and well-structured, aligning with SMART principles and </w:t>
      </w:r>
      <w:r w:rsidRPr="00FA1F21">
        <w:rPr>
          <w:rFonts w:ascii="Arial" w:hAnsi="Arial" w:cs="Arial"/>
          <w:lang w:val="en-PH" w:eastAsia="en-PH"/>
        </w:rPr>
        <w:lastRenderedPageBreak/>
        <w:t xml:space="preserve">grounded in MELCs. Their relevance and adaptability to diverse modalities ensured continuity of learning during crises. By offering clarity and measurable outcomes, these objectives fostered student engagement, self-regulation, and achievement, thereby empowering learners to navigate their studies effectively across instructional </w:t>
      </w:r>
      <w:proofErr w:type="gramStart"/>
      <w:r w:rsidRPr="00FA1F21">
        <w:rPr>
          <w:rFonts w:ascii="Arial" w:hAnsi="Arial" w:cs="Arial"/>
          <w:lang w:val="en-PH" w:eastAsia="en-PH"/>
        </w:rPr>
        <w:t>settings..</w:t>
      </w:r>
      <w:proofErr w:type="gramEnd"/>
    </w:p>
    <w:p w14:paraId="6C702D00" w14:textId="2CA62D01" w:rsidR="00FA1F21" w:rsidRPr="00FA1F21" w:rsidRDefault="00FA1F21" w:rsidP="00FA1F21">
      <w:pPr>
        <w:spacing w:after="240"/>
        <w:jc w:val="both"/>
        <w:rPr>
          <w:rFonts w:ascii="Arial" w:hAnsi="Arial" w:cs="Arial"/>
          <w:b/>
          <w:bCs/>
          <w:u w:val="single"/>
          <w:lang w:val="en-PH" w:eastAsia="en-PH"/>
        </w:rPr>
      </w:pPr>
      <w:r w:rsidRPr="00FA1F21">
        <w:rPr>
          <w:rFonts w:ascii="Arial" w:hAnsi="Arial" w:cs="Arial"/>
          <w:b/>
          <w:bCs/>
          <w:u w:val="single"/>
          <w:lang w:val="en-PH" w:eastAsia="en-PH"/>
        </w:rPr>
        <w:t>3.1.2 Teachers’ Perceptions on the Activities of SLMs in World History</w:t>
      </w:r>
    </w:p>
    <w:p w14:paraId="267B5742"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Teachers expressed positive perceptions of the activities embedded in the SLMs, underscoring their role in fostering higher-order thinking skills (HOTS), providing clarity of tasks, and supporting students’ holistic development. These findings indicate that activities were not limited to memorization but encouraged analytical reasoning, reflection, and practical application of knowledge.</w:t>
      </w:r>
    </w:p>
    <w:p w14:paraId="7C311969" w14:textId="4CBEAA0D"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Activities Foster Higher-Order Thinking Skills.</w:t>
      </w:r>
      <w:r w:rsidRPr="00FA1F21">
        <w:rPr>
          <w:rFonts w:ascii="Arial" w:hAnsi="Arial" w:cs="Arial"/>
          <w:lang w:val="en-PH" w:eastAsia="en-PH"/>
        </w:rPr>
        <w:t xml:space="preserve"> Respondents noted that the SLM activities went beyond rote learning, requiring students to analyze, evaluate, and synthesize information. This aligns with the </w:t>
      </w:r>
      <w:r w:rsidR="00E34B85" w:rsidRPr="00E34B85">
        <w:rPr>
          <w:rFonts w:ascii="Arial" w:hAnsi="Arial" w:cs="Arial"/>
          <w:lang w:val="en-PH" w:eastAsia="en-PH"/>
        </w:rPr>
        <w:t xml:space="preserve">Organization for Economic Co-operation Development </w:t>
      </w:r>
      <w:r w:rsidR="00E34B85">
        <w:rPr>
          <w:rFonts w:ascii="Arial" w:hAnsi="Arial" w:cs="Arial"/>
          <w:lang w:val="en-PH" w:eastAsia="en-PH"/>
        </w:rPr>
        <w:t>(</w:t>
      </w:r>
      <w:r w:rsidRPr="00FA1F21">
        <w:rPr>
          <w:rFonts w:ascii="Arial" w:hAnsi="Arial" w:cs="Arial"/>
          <w:lang w:val="en-PH" w:eastAsia="en-PH"/>
        </w:rPr>
        <w:t>OECD</w:t>
      </w:r>
      <w:r w:rsidR="00E34B85">
        <w:rPr>
          <w:rFonts w:ascii="Arial" w:hAnsi="Arial" w:cs="Arial"/>
          <w:lang w:val="en-PH" w:eastAsia="en-PH"/>
        </w:rPr>
        <w:t>)</w:t>
      </w:r>
      <w:r w:rsidRPr="00FA1F21">
        <w:rPr>
          <w:rFonts w:ascii="Arial" w:hAnsi="Arial" w:cs="Arial"/>
          <w:lang w:val="en-PH" w:eastAsia="en-PH"/>
        </w:rPr>
        <w:t xml:space="preserve"> (20</w:t>
      </w:r>
      <w:r w:rsidR="00E34B85">
        <w:rPr>
          <w:rFonts w:ascii="Arial" w:hAnsi="Arial" w:cs="Arial"/>
          <w:lang w:val="en-PH" w:eastAsia="en-PH"/>
        </w:rPr>
        <w:t>20</w:t>
      </w:r>
      <w:r w:rsidRPr="00FA1F21">
        <w:rPr>
          <w:rFonts w:ascii="Arial" w:hAnsi="Arial" w:cs="Arial"/>
          <w:lang w:val="en-PH" w:eastAsia="en-PH"/>
        </w:rPr>
        <w:t>), which emphasized that tasks promoting problem-solving and critical thinking enable learners to reach their full potential. Teachers pointed out that the varied activities ranged in difficulty, allowing students to be challenged appropriately.</w:t>
      </w:r>
    </w:p>
    <w:p w14:paraId="02A8DE3D"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“Iti pagsayaatan na daytoy moduleda ket naduma duma ng activity ti linaon na. adda dagitay nalaka adda met tay narigrigat nga ubraen da.” </w:t>
      </w:r>
      <w:r w:rsidRPr="00FA1F21">
        <w:rPr>
          <w:rFonts w:ascii="Arial" w:hAnsi="Arial" w:cs="Arial"/>
          <w:lang w:val="en-PH" w:eastAsia="en-PH"/>
        </w:rPr>
        <w:t>(The advantage of the module is that it contains a variety of activities. Some are easy, while others are more challenging for the students to accomplish.) – Teacher 3</w:t>
      </w:r>
    </w:p>
    <w:p w14:paraId="23627ED6"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“Kasla kuma daytoy, ‘Pagbuo ng Isang Sanhi at Bunga Concept Map tungkol sa rebolusyong industriyal’ aan laeng nga panagited ti impormasyon ti ubraen tay ubing masapol ng panunuten na dagiti koneksyon ti napaspasamak ken ti epekto na.” </w:t>
      </w:r>
      <w:r w:rsidRPr="00FA1F21">
        <w:rPr>
          <w:rFonts w:ascii="Arial" w:hAnsi="Arial" w:cs="Arial"/>
          <w:lang w:val="en-PH" w:eastAsia="en-PH"/>
        </w:rPr>
        <w:t>(For instance, ‘Create a cause and effect concept map about the Industrial Revolution.’ The students will not just provide information; they also need to analyze the connections between events and their effects.) – Teacher 2</w:t>
      </w:r>
    </w:p>
    <w:p w14:paraId="14A8A5D3" w14:textId="77777777"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Activities Are Clear.</w:t>
      </w:r>
      <w:r w:rsidRPr="00FA1F21">
        <w:rPr>
          <w:rFonts w:ascii="Arial" w:hAnsi="Arial" w:cs="Arial"/>
          <w:lang w:val="en-PH" w:eastAsia="en-PH"/>
        </w:rPr>
        <w:t xml:space="preserve"> Clarity of instructions was also recognized as a key feature that supported successful student engagement. Teachers valued activities that balanced autonomy with clear directions, thereby minimizing confusion. This balance provided opportunities for both structure and creativity, ensuring students could navigate learning tasks independently while remaining focused.</w:t>
      </w:r>
    </w:p>
    <w:p w14:paraId="24EE3E1C"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“Gapo kadagiti instruksyon nga adda didiay inti module da ket naal alisto da nga ubraen dagitay activity da ta tulungan na ida nga agpokus. Adda pay ‘gabay na tanong’ wennu ‘pamprosesong tanong’ nga basehan da tapno aan da nga maulaw no kasano ti pamay-an da ken daytay activity da.” </w:t>
      </w:r>
      <w:r w:rsidRPr="00FA1F21">
        <w:rPr>
          <w:rFonts w:ascii="Arial" w:hAnsi="Arial" w:cs="Arial"/>
          <w:lang w:val="en-PH" w:eastAsia="en-PH"/>
        </w:rPr>
        <w:t>(Because of the clear instructions in their module, it became easier for them to complete their tasks as it helped them stay focused. There are also ‘guiding questions’ or ‘process questions’ that serve as a reference to prevent them from getting confused about how to carry out their activities.) – Teacher 3</w:t>
      </w:r>
    </w:p>
    <w:p w14:paraId="62D18353" w14:textId="234E01A3"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Activities Foster Students’ Holistic Growth.</w:t>
      </w:r>
      <w:r w:rsidRPr="00FA1F21">
        <w:rPr>
          <w:rFonts w:ascii="Arial" w:hAnsi="Arial" w:cs="Arial"/>
          <w:lang w:val="en-PH" w:eastAsia="en-PH"/>
        </w:rPr>
        <w:t xml:space="preserve"> In addition, teachers emphasized that SLM activities were designed to foster connections between prior knowledge and new learning, thereby supporting cognitive, emotional, and social growth. This is consistent with Bacomo (2022), who noted the effectiveness of SLMs in sustaining learning during crises, and </w:t>
      </w:r>
      <w:r w:rsidR="00A45C10" w:rsidRPr="00A45C10">
        <w:rPr>
          <w:rFonts w:ascii="Arial" w:hAnsi="Arial" w:cs="Arial"/>
          <w:lang w:val="en-PH" w:eastAsia="en-PH"/>
        </w:rPr>
        <w:t xml:space="preserve">Aquiatan &amp; Cacharo </w:t>
      </w:r>
      <w:r w:rsidRPr="00FA1F21">
        <w:rPr>
          <w:rFonts w:ascii="Arial" w:hAnsi="Arial" w:cs="Arial"/>
          <w:lang w:val="en-PH" w:eastAsia="en-PH"/>
        </w:rPr>
        <w:t>(202</w:t>
      </w:r>
      <w:r w:rsidR="00A45C10">
        <w:rPr>
          <w:rFonts w:ascii="Arial" w:hAnsi="Arial" w:cs="Arial"/>
          <w:lang w:val="en-PH" w:eastAsia="en-PH"/>
        </w:rPr>
        <w:t>5</w:t>
      </w:r>
      <w:r w:rsidRPr="00FA1F21">
        <w:rPr>
          <w:rFonts w:ascii="Arial" w:hAnsi="Arial" w:cs="Arial"/>
          <w:lang w:val="en-PH" w:eastAsia="en-PH"/>
        </w:rPr>
        <w:t>), who argued that engaging activities deepen topic mastery. Ancheta (2022) further suggested that diverse activities enhance transfer of learning to new contexts, leading to more permanent knowledge.</w:t>
      </w:r>
    </w:p>
    <w:p w14:paraId="1AA7E81D"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lastRenderedPageBreak/>
        <w:t xml:space="preserve">“Saan laeng nga panagmemorya dagiti impormasyon or panagikabesa iti importante nga petsa iti World History. Adda dagiti aktibidad a mangipaay kadakuada no kasano aganalisa iti impormasyon ken no kasano da nga mausar daytoy iti nalinteg ken no kasano da nga iyaplikar nadumaduma a sitwasyon iti pudno a biag.” </w:t>
      </w:r>
      <w:r w:rsidRPr="00FA1F21">
        <w:rPr>
          <w:rFonts w:ascii="Arial" w:hAnsi="Arial" w:cs="Arial"/>
          <w:lang w:val="en-PH" w:eastAsia="en-PH"/>
        </w:rPr>
        <w:t>(It is not just about memorizing information or recalling important dates in World History. There are also activities where they analyze information and learn how to apply it in real-life situations.) – Teacher 6</w:t>
      </w:r>
    </w:p>
    <w:p w14:paraId="368055A9"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 xml:space="preserve">Overall, teachers valued the activities in the SLMs for their ability to stimulate higher-order thinking, provide clear guidance, and foster holistic development. The variety of tasks promoted independence, while scaffolding ensured accessibility. By connecting knowledge with real-life applications, these activities supported cognitive, emotional, and social growth, demonstrating the capacity of SLMs to promote meaningful and lasting learning even in flexible and disrupted educational </w:t>
      </w:r>
      <w:proofErr w:type="gramStart"/>
      <w:r w:rsidRPr="00FA1F21">
        <w:rPr>
          <w:rFonts w:ascii="Arial" w:hAnsi="Arial" w:cs="Arial"/>
          <w:lang w:val="en-PH" w:eastAsia="en-PH"/>
        </w:rPr>
        <w:t>contexts..</w:t>
      </w:r>
      <w:proofErr w:type="gramEnd"/>
    </w:p>
    <w:p w14:paraId="746305EA" w14:textId="23011BD1" w:rsidR="00FA1F21" w:rsidRPr="00FA1F21" w:rsidRDefault="00FA1F21" w:rsidP="00FA1F21">
      <w:pPr>
        <w:spacing w:after="240"/>
        <w:jc w:val="both"/>
        <w:rPr>
          <w:rFonts w:ascii="Arial" w:hAnsi="Arial" w:cs="Arial"/>
          <w:b/>
          <w:bCs/>
          <w:u w:val="single"/>
          <w:lang w:val="en-PH" w:eastAsia="en-PH"/>
        </w:rPr>
      </w:pPr>
      <w:r w:rsidRPr="00FA1F21">
        <w:rPr>
          <w:rFonts w:ascii="Arial" w:hAnsi="Arial" w:cs="Arial"/>
          <w:b/>
          <w:bCs/>
          <w:u w:val="single"/>
          <w:lang w:val="en-PH" w:eastAsia="en-PH"/>
        </w:rPr>
        <w:t>3.1.3 Teachers’ Perceptions on the Assessment of SLMs in World History</w:t>
      </w:r>
    </w:p>
    <w:p w14:paraId="15E6D3D4"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Teachers perceived the assessment strategies within the SLMs in World History as valuable components of the learning process, particularly because they allowed self-monitoring, aligned with objectives, promoted higher-order thinking, and supported continuous learning. These perceptions highlight the central role of assessment in fostering student independence and accountability in flexible learning contexts.</w:t>
      </w:r>
    </w:p>
    <w:p w14:paraId="53591C32" w14:textId="5C04E517"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Assessments as Tools for Self-Monitoring and Feedback</w:t>
      </w:r>
      <w:r w:rsidRPr="00FA1F21">
        <w:rPr>
          <w:rFonts w:ascii="Arial" w:hAnsi="Arial" w:cs="Arial"/>
          <w:lang w:val="en-PH" w:eastAsia="en-PH"/>
        </w:rPr>
        <w:t xml:space="preserve">. Teachers highlighted the benefit of answer keys, which enabled students to check their work, monitor progress, and receive immediate feedback. This feature helped learners correct errors, reinforced understanding, and promoted independence. Such findings support </w:t>
      </w:r>
      <w:r w:rsidR="00167300">
        <w:rPr>
          <w:rFonts w:ascii="Arial" w:hAnsi="Arial" w:cs="Arial"/>
          <w:lang w:val="en-PH" w:eastAsia="en-PH"/>
        </w:rPr>
        <w:t>Hua et al.</w:t>
      </w:r>
      <w:r w:rsidRPr="00FA1F21">
        <w:rPr>
          <w:rFonts w:ascii="Arial" w:hAnsi="Arial" w:cs="Arial"/>
          <w:lang w:val="en-PH" w:eastAsia="en-PH"/>
        </w:rPr>
        <w:t xml:space="preserve"> (2021), who emphasized the value of self-directed learning for fostering autonomy. One teacher explained:</w:t>
      </w:r>
    </w:p>
    <w:p w14:paraId="1C9B7C23"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“Gapu ta adda access da kadagiti answer key, mabalin da nga kitaen ken suruten ti trabaho da ken ti progreso da. Maragsakan da ta instant nga makita da no kusto wenno saan tay sungbat da.” </w:t>
      </w:r>
      <w:r w:rsidRPr="00FA1F21">
        <w:rPr>
          <w:rFonts w:ascii="Arial" w:hAnsi="Arial" w:cs="Arial"/>
          <w:lang w:val="en-PH" w:eastAsia="en-PH"/>
        </w:rPr>
        <w:t>(Because they had access to the answer keys, they were able to review and track their work and progress. They were happy because they could instantly see whether their answers were correct or not.) – Teacher 7</w:t>
      </w:r>
    </w:p>
    <w:p w14:paraId="13F6199E" w14:textId="336FB5A3" w:rsidR="00FA1F21" w:rsidRPr="00FA1F21" w:rsidRDefault="00FA1F21" w:rsidP="00FA1F21">
      <w:pPr>
        <w:spacing w:after="240"/>
        <w:jc w:val="both"/>
        <w:rPr>
          <w:rFonts w:ascii="Arial" w:hAnsi="Arial" w:cs="Arial"/>
          <w:lang w:val="en-PH" w:eastAsia="en-PH"/>
        </w:rPr>
      </w:pPr>
      <w:r w:rsidRPr="00FA1F21">
        <w:rPr>
          <w:rFonts w:ascii="Arial" w:hAnsi="Arial" w:cs="Arial"/>
          <w:b/>
          <w:bCs/>
          <w:lang w:val="en-GB" w:eastAsia="en-PH"/>
        </w:rPr>
        <w:t>Alignment of Assessments with Learning Objectives</w:t>
      </w:r>
      <w:r w:rsidRPr="00FA1F21">
        <w:rPr>
          <w:rFonts w:ascii="Arial" w:hAnsi="Arial" w:cs="Arial"/>
          <w:b/>
          <w:bCs/>
          <w:lang w:val="en-PH" w:eastAsia="en-PH"/>
        </w:rPr>
        <w:t>.</w:t>
      </w:r>
      <w:r w:rsidRPr="00FA1F21">
        <w:rPr>
          <w:rFonts w:ascii="Arial" w:hAnsi="Arial" w:cs="Arial"/>
          <w:lang w:val="en-PH" w:eastAsia="en-PH"/>
        </w:rPr>
        <w:t xml:space="preserve"> Teachers also emphasized that the assessments were closely aligned with the competencies outlined in the SLMs, ensuring validity and relevance. This echoes </w:t>
      </w:r>
      <w:r w:rsidR="006970CF" w:rsidRPr="006970CF">
        <w:rPr>
          <w:rFonts w:ascii="Arial" w:hAnsi="Arial" w:cs="Arial"/>
          <w:lang w:val="en-PH" w:eastAsia="en-PH"/>
        </w:rPr>
        <w:t>Johnson School</w:t>
      </w:r>
      <w:r w:rsidR="006970CF">
        <w:rPr>
          <w:rFonts w:ascii="Arial" w:hAnsi="Arial" w:cs="Arial"/>
          <w:lang w:val="en-PH" w:eastAsia="en-PH"/>
        </w:rPr>
        <w:t xml:space="preserve">’s </w:t>
      </w:r>
      <w:r w:rsidRPr="00FA1F21">
        <w:rPr>
          <w:rFonts w:ascii="Arial" w:hAnsi="Arial" w:cs="Arial"/>
          <w:lang w:val="en-PH" w:eastAsia="en-PH"/>
        </w:rPr>
        <w:t>(</w:t>
      </w:r>
      <w:r w:rsidR="006970CF">
        <w:rPr>
          <w:rFonts w:ascii="Arial" w:hAnsi="Arial" w:cs="Arial"/>
          <w:lang w:val="en-PH" w:eastAsia="en-PH"/>
        </w:rPr>
        <w:t>n.d.</w:t>
      </w:r>
      <w:r w:rsidRPr="00FA1F21">
        <w:rPr>
          <w:rFonts w:ascii="Arial" w:hAnsi="Arial" w:cs="Arial"/>
          <w:lang w:val="en-PH" w:eastAsia="en-PH"/>
        </w:rPr>
        <w:t>) argument that assessments should demonstrate whether objectives are achieved, and that alignment fosters inclusivity and accountability even in varied learning contexts. As one teacher stated:</w:t>
      </w:r>
    </w:p>
    <w:p w14:paraId="63418023"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“Sigun iti padasko nga nagusar iti SLM ti World History, makunak nga dagitay assessment ket naka-align da ken daydiay objectives. For example, didiay ‘sanhi at bunga ng rebolusyong industiyal’ saan laeng panagmemorya no di ket masapol na ti panaganalisa dagiti pasamak ken no kasano da nga ikonektar itatta nga panawen, daytoy ket naka-align iti competency ken iti objective ti module.” </w:t>
      </w:r>
      <w:r w:rsidRPr="00FA1F21">
        <w:rPr>
          <w:rFonts w:ascii="Arial" w:hAnsi="Arial" w:cs="Arial"/>
          <w:lang w:val="en-PH" w:eastAsia="en-PH"/>
        </w:rPr>
        <w:t>(Based on my experience using the SLMs, I noticed that the assessments were well-structured and aligned with the learning objectives. For example, in a lesson about the causes and effects of the Industrial Revolution, the activities and assessments required students not just to recall facts but to analyze historical events and connect them to present-day issues. This alignment ensured that they were evaluated based on the competencies they were expected to develop.) – Teacher 13</w:t>
      </w:r>
    </w:p>
    <w:p w14:paraId="62DDB254" w14:textId="1E634210"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lastRenderedPageBreak/>
        <w:t>Promoting Critical Thinking and Metacognitive Reflection through Assessments.</w:t>
      </w:r>
      <w:r w:rsidRPr="00FA1F21">
        <w:rPr>
          <w:rFonts w:ascii="Arial" w:hAnsi="Arial" w:cs="Arial"/>
          <w:lang w:val="en-PH" w:eastAsia="en-PH"/>
        </w:rPr>
        <w:t xml:space="preserve"> The teachers appreciated how assessments encouraged reflection, problem-solving, and deeper analysis beyond mere recall. This finding resonates with Harlen and Crick (20</w:t>
      </w:r>
      <w:r w:rsidR="00504A9F">
        <w:rPr>
          <w:rFonts w:ascii="Arial" w:hAnsi="Arial" w:cs="Arial"/>
          <w:lang w:val="en-PH" w:eastAsia="en-PH"/>
        </w:rPr>
        <w:t>0</w:t>
      </w:r>
      <w:r w:rsidRPr="00FA1F21">
        <w:rPr>
          <w:rFonts w:ascii="Arial" w:hAnsi="Arial" w:cs="Arial"/>
          <w:lang w:val="en-PH" w:eastAsia="en-PH"/>
        </w:rPr>
        <w:t>2)</w:t>
      </w:r>
      <w:r w:rsidR="00504A9F">
        <w:rPr>
          <w:rFonts w:ascii="Arial" w:hAnsi="Arial" w:cs="Arial"/>
          <w:lang w:val="en-PH" w:eastAsia="en-PH"/>
        </w:rPr>
        <w:t xml:space="preserve"> and </w:t>
      </w:r>
      <w:r w:rsidR="00504A9F" w:rsidRPr="00504A9F">
        <w:rPr>
          <w:rFonts w:ascii="Arial" w:hAnsi="Arial" w:cs="Arial"/>
          <w:lang w:eastAsia="en-PH"/>
        </w:rPr>
        <w:t>Muho &amp; Taraj</w:t>
      </w:r>
      <w:r w:rsidR="00504A9F">
        <w:rPr>
          <w:rFonts w:ascii="Arial" w:hAnsi="Arial" w:cs="Arial"/>
          <w:lang w:eastAsia="en-PH"/>
        </w:rPr>
        <w:t xml:space="preserve"> (2022)</w:t>
      </w:r>
      <w:r w:rsidRPr="00FA1F21">
        <w:rPr>
          <w:rFonts w:ascii="Arial" w:hAnsi="Arial" w:cs="Arial"/>
          <w:lang w:val="en-PH" w:eastAsia="en-PH"/>
        </w:rPr>
        <w:t>, who described assessments as systematic tools to gather evidence of learning, with a strong metacognitive dimension. One teacher described:</w:t>
      </w:r>
    </w:p>
    <w:p w14:paraId="6E0F24C4"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“Saan laeng nga objective type nga assessment iti linaon daydiay module da. Adda dagitay identification, mangted da ti sarili da nga kapanunutan iti maysa nga sitwasyon, ited da dagiti implikasyon ken epekto dagiti pasamak. Saan laeng nga sino ken anya dagiti saludsod adda met dagitay agdamag no kasano kas kuma no kasano nga aramaten agiti adal gapuanan kadagiti pasamak ti naglabas tapno masolusyonan dagiti agdama nga isyu ti pagilyan. Dagitoy nga saludsod ket tulungan na dagiti estudiantek nga agpanonot ti mas naun-uneg.” </w:t>
      </w:r>
      <w:r w:rsidRPr="00FA1F21">
        <w:rPr>
          <w:rFonts w:ascii="Arial" w:hAnsi="Arial" w:cs="Arial"/>
          <w:lang w:val="en-PH" w:eastAsia="en-PH"/>
        </w:rPr>
        <w:t>(Their module does not only contain objective-type assessments. There are identification questions; they provide their own perspectives on a situation, and they present the implications and effects of events. The questions are not just about who and what, but also about how, such as how lessons from the past can be used to solve the country's current issues. This type of questioning helps my students think more deeply.) – Teacher 15</w:t>
      </w:r>
    </w:p>
    <w:p w14:paraId="560274C1" w14:textId="640C841C" w:rsidR="00FA1F21" w:rsidRPr="00FA1F21" w:rsidRDefault="00FA1F21" w:rsidP="00FA1F21">
      <w:pPr>
        <w:spacing w:after="240"/>
        <w:jc w:val="both"/>
        <w:rPr>
          <w:rFonts w:ascii="Arial" w:hAnsi="Arial" w:cs="Arial"/>
          <w:lang w:val="en-PH" w:eastAsia="en-PH"/>
        </w:rPr>
      </w:pPr>
      <w:r w:rsidRPr="00FA1F21">
        <w:rPr>
          <w:rFonts w:ascii="Arial" w:hAnsi="Arial" w:cs="Arial"/>
          <w:b/>
          <w:bCs/>
          <w:lang w:val="en-PH" w:eastAsia="en-PH"/>
        </w:rPr>
        <w:t>Assessments as Tools for Lifelong and Continuous.</w:t>
      </w:r>
      <w:r w:rsidRPr="00FA1F21">
        <w:rPr>
          <w:rFonts w:ascii="Arial" w:hAnsi="Arial" w:cs="Arial"/>
          <w:lang w:val="en-PH" w:eastAsia="en-PH"/>
        </w:rPr>
        <w:t xml:space="preserve"> Learning. Finally, teachers emphasized that assessments were not only tools to measure progress but also mechanisms to sustain learning by connecting past knowledge with present realities. </w:t>
      </w:r>
      <w:r w:rsidR="00A45C10" w:rsidRPr="00A45C10">
        <w:rPr>
          <w:rFonts w:ascii="Arial" w:hAnsi="Arial" w:cs="Arial"/>
          <w:lang w:val="en-PH" w:eastAsia="en-PH"/>
        </w:rPr>
        <w:t xml:space="preserve">Aquiatan &amp; Cacharo, </w:t>
      </w:r>
      <w:r w:rsidRPr="00FA1F21">
        <w:rPr>
          <w:rFonts w:ascii="Arial" w:hAnsi="Arial" w:cs="Arial"/>
          <w:lang w:val="en-PH" w:eastAsia="en-PH"/>
        </w:rPr>
        <w:t>(202</w:t>
      </w:r>
      <w:r w:rsidR="00A45C10">
        <w:rPr>
          <w:rFonts w:ascii="Arial" w:hAnsi="Arial" w:cs="Arial"/>
          <w:lang w:val="en-PH" w:eastAsia="en-PH"/>
        </w:rPr>
        <w:t>5</w:t>
      </w:r>
      <w:r w:rsidRPr="00FA1F21">
        <w:rPr>
          <w:rFonts w:ascii="Arial" w:hAnsi="Arial" w:cs="Arial"/>
          <w:lang w:val="en-PH" w:eastAsia="en-PH"/>
        </w:rPr>
        <w:t>) observed that challenging activities enhance mastery, while Ancheta (2022) highlighted the long-term application of varied assessments. One teacher articulated:</w:t>
      </w:r>
    </w:p>
    <w:p w14:paraId="3745EC33" w14:textId="77777777" w:rsidR="00FA1F21" w:rsidRPr="00FA1F21" w:rsidRDefault="00FA1F21" w:rsidP="00FA1F21">
      <w:pPr>
        <w:spacing w:after="240"/>
        <w:jc w:val="both"/>
        <w:rPr>
          <w:rFonts w:ascii="Arial" w:hAnsi="Arial" w:cs="Arial"/>
          <w:i/>
          <w:iCs/>
          <w:lang w:val="en-PH" w:eastAsia="en-PH"/>
        </w:rPr>
      </w:pPr>
      <w:r w:rsidRPr="00FA1F21">
        <w:rPr>
          <w:rFonts w:ascii="Arial" w:hAnsi="Arial" w:cs="Arial"/>
          <w:i/>
          <w:iCs/>
          <w:lang w:val="en-PH" w:eastAsia="en-PH"/>
        </w:rPr>
        <w:t xml:space="preserve">“Importante dagiti assessment didiay modules ta didiay ti pakakitaan no adda ti nag-improban dagiti estudiante. Example, imbes nga multiple choice ti nausar nga assessment didiay lesson mi nga epekto ng kolonyalismo, iti nausar nga assessment ket kasapolan nga ag-reflect da no kasano nga naka-impuwensiya ti panagkontrol dagiti espanyol kadagiti pilipino ken ti pagilian tayo nga Pilipinas. Gapu ken daytoy nga assessment agtultuloy ti panagadal dagiti ubbing kadagiti pasamak idi agingana ita nga panawen.” </w:t>
      </w:r>
      <w:r w:rsidRPr="00FA1F21">
        <w:rPr>
          <w:rFonts w:ascii="Arial" w:hAnsi="Arial" w:cs="Arial"/>
          <w:lang w:val="en-PH" w:eastAsia="en-PH"/>
        </w:rPr>
        <w:t>(Assessments in the modules are important because these show the improvement of students. For example, instead of using multiple-choice tests in our lesson on the effects of colonialism, reflection-based assessment is used where students reflect on how Spanish colonization influenced the Filipinos and our country, the Philippines. This type of assessment ensures that students' learning about the past and the present continues.) – Teacher 6</w:t>
      </w:r>
    </w:p>
    <w:p w14:paraId="10834370" w14:textId="77777777" w:rsidR="00FA1F21" w:rsidRPr="00FA1F21" w:rsidRDefault="00FA1F21" w:rsidP="00FA1F21">
      <w:pPr>
        <w:spacing w:after="240"/>
        <w:jc w:val="both"/>
        <w:rPr>
          <w:rFonts w:ascii="Arial" w:hAnsi="Arial" w:cs="Arial"/>
          <w:lang w:val="en-PH" w:eastAsia="en-PH"/>
        </w:rPr>
      </w:pPr>
      <w:r w:rsidRPr="00FA1F21">
        <w:rPr>
          <w:rFonts w:ascii="Arial" w:hAnsi="Arial" w:cs="Arial"/>
          <w:lang w:val="en-PH" w:eastAsia="en-PH"/>
        </w:rPr>
        <w:t>Collectively, these findings reveal that teachers valued the SLMs’ assessments as well-structured, aligned with objectives, and effective in promoting self-monitoring, higher-order thinking, and continuous learning. The availability of answer keys facilitated autonomy, while reflective tasks strengthened metacognition and deeper analysis. These features positioned SLM assessments as crucial mechanisms for sustaining meaningful learning in flexible educational contexts.</w:t>
      </w:r>
    </w:p>
    <w:p w14:paraId="16BECA2D" w14:textId="3F1BB0D7" w:rsidR="00FA1F21" w:rsidRPr="00FA1F21" w:rsidRDefault="00FA1F21" w:rsidP="00FA1F21">
      <w:pPr>
        <w:spacing w:before="100" w:beforeAutospacing="1" w:after="100" w:afterAutospacing="1"/>
        <w:jc w:val="both"/>
        <w:outlineLvl w:val="1"/>
        <w:rPr>
          <w:rFonts w:ascii="Arial" w:hAnsi="Arial" w:cs="Arial"/>
          <w:b/>
          <w:bCs/>
          <w:sz w:val="22"/>
          <w:szCs w:val="22"/>
          <w:lang w:val="en-PH" w:eastAsia="en-PH"/>
        </w:rPr>
      </w:pPr>
      <w:r w:rsidRPr="00FA1F21">
        <w:rPr>
          <w:rFonts w:ascii="Arial" w:hAnsi="Arial" w:cs="Arial"/>
          <w:b/>
          <w:bCs/>
          <w:sz w:val="22"/>
          <w:szCs w:val="22"/>
          <w:lang w:val="en-PH" w:eastAsia="en-PH"/>
        </w:rPr>
        <w:t xml:space="preserve">3.2 </w:t>
      </w:r>
      <w:r w:rsidRPr="00FA1F21">
        <w:rPr>
          <w:rFonts w:ascii="Arial" w:hAnsi="Arial" w:cs="Arial"/>
          <w:b/>
          <w:bCs/>
          <w:sz w:val="22"/>
          <w:szCs w:val="22"/>
          <w:lang w:val="en-GB" w:eastAsia="en-PH"/>
        </w:rPr>
        <w:t>Students’ and Teachers’ Challenges in the Utilization of Self-Learning Modules (SLMs) in World History</w:t>
      </w:r>
    </w:p>
    <w:p w14:paraId="305ED373" w14:textId="4795DC52" w:rsidR="00FA1F21" w:rsidRPr="00FA1F21" w:rsidRDefault="00FA1F21" w:rsidP="00FA1F21">
      <w:pPr>
        <w:spacing w:before="100" w:beforeAutospacing="1" w:after="100" w:afterAutospacing="1"/>
        <w:jc w:val="both"/>
        <w:outlineLvl w:val="1"/>
        <w:rPr>
          <w:rFonts w:ascii="Arial" w:hAnsi="Arial" w:cs="Arial"/>
          <w:b/>
          <w:bCs/>
          <w:u w:val="single"/>
          <w:lang w:val="en-PH" w:eastAsia="en-PH"/>
        </w:rPr>
      </w:pPr>
      <w:r w:rsidRPr="00FA1F21">
        <w:rPr>
          <w:rFonts w:ascii="Arial" w:hAnsi="Arial" w:cs="Arial"/>
          <w:b/>
          <w:bCs/>
          <w:u w:val="single"/>
          <w:lang w:val="en-PH" w:eastAsia="en-PH"/>
        </w:rPr>
        <w:t xml:space="preserve">3.2.1 Students’ Challenges in the Utilization of Self-Learning Modules (SLMs) </w:t>
      </w:r>
      <w:r w:rsidRPr="00FA1F21">
        <w:rPr>
          <w:rFonts w:ascii="Arial" w:hAnsi="Arial" w:cs="Arial"/>
          <w:b/>
          <w:bCs/>
          <w:u w:val="single"/>
          <w:lang w:val="en-GB" w:eastAsia="en-PH"/>
        </w:rPr>
        <w:t>in World History</w:t>
      </w:r>
    </w:p>
    <w:p w14:paraId="40E2B7F9"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 xml:space="preserve">This section presents the challenges experienced by both students and teachers in using the SLMs in World History. While the modules provided structured guidance for independent </w:t>
      </w:r>
      <w:r w:rsidRPr="00FA1F21">
        <w:rPr>
          <w:rFonts w:ascii="Arial" w:hAnsi="Arial" w:cs="Arial"/>
          <w:lang w:val="en-PH" w:eastAsia="en-PH"/>
        </w:rPr>
        <w:lastRenderedPageBreak/>
        <w:t>study, findings reveal that both groups faced difficulties that limited the effectiveness of this learning approach. For students, challenges included limited autonomy in learning, difficulty completing tasks, lack of motivation, and restricted access to additional resources. Meanwhile, teachers encountered problems related to preparing, distributing, contextualizing, and monitoring the use of SLMs. These difficulties underscore the need for targeted improvements in modular learning to enhance student engagement and instructional delivery in World History.</w:t>
      </w:r>
    </w:p>
    <w:p w14:paraId="54B89316"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Students’ Struggles in Accomplishing Learning Tasks. </w:t>
      </w:r>
      <w:r w:rsidRPr="00FA1F21">
        <w:rPr>
          <w:rFonts w:ascii="Arial" w:hAnsi="Arial" w:cs="Arial"/>
          <w:lang w:val="en-PH" w:eastAsia="en-PH"/>
        </w:rPr>
        <w:t>The data revealed that many students found the SLM activity tasks difficult to complete. Teachers reported instances where students either left items unanswered or submitted incomplete activity sheets, with some failing to comply at all. Delayed submissions compounded the problem, as these were often still incomplete despite the extension of time. This behavior gave teachers the impression that students were unmotivated or disinterested in their learning tasks. One teacher shared:</w:t>
      </w:r>
    </w:p>
    <w:p w14:paraId="47EFA5B5"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“Madi ti riknak kas maestra no isubli dagiti estudiantek ti modules-da a kurang-kurang ti sungbatna, lalo kadagitay awan pulos ti ikargana ket nagrigrigatak met ti nagprinprinta ken nagur-urnos tapno laeng adda ti maitedko kadakuada.” </w:t>
      </w:r>
      <w:r w:rsidRPr="00FA1F21">
        <w:rPr>
          <w:rFonts w:ascii="Arial" w:hAnsi="Arial" w:cs="Arial"/>
          <w:lang w:val="en-PH" w:eastAsia="en-PH"/>
        </w:rPr>
        <w:t>(I feel bad when students passed their modules unanswered or with incomplete answers after all the efforts exerted to reproduce them.)</w:t>
      </w:r>
      <w:r w:rsidRPr="00FA1F21">
        <w:rPr>
          <w:rFonts w:ascii="Arial" w:hAnsi="Arial" w:cs="Arial"/>
          <w:i/>
          <w:iCs/>
          <w:lang w:val="en-PH" w:eastAsia="en-PH"/>
        </w:rPr>
        <w:t xml:space="preserve"> </w:t>
      </w:r>
      <w:r w:rsidRPr="00FA1F21">
        <w:rPr>
          <w:rFonts w:ascii="Arial" w:hAnsi="Arial" w:cs="Arial"/>
          <w:lang w:val="en-PH" w:eastAsia="en-PH"/>
        </w:rPr>
        <w:t>– Teacher 2</w:t>
      </w:r>
    </w:p>
    <w:p w14:paraId="4FB4EE1D"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These findings emphasize that difficulties in completing activity tasks reduce the potential of SLMs to foster meaningful learning. Consequently, interventions are needed to increase student motivation and ensure timely, complete submissions.</w:t>
      </w:r>
    </w:p>
    <w:p w14:paraId="6B1FB4CF"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GB" w:eastAsia="en-PH"/>
        </w:rPr>
        <w:t>Lack of Motivation in Completing Modular Tasks</w:t>
      </w:r>
      <w:r w:rsidRPr="00FA1F21">
        <w:rPr>
          <w:rFonts w:ascii="Arial" w:hAnsi="Arial" w:cs="Arial"/>
          <w:b/>
          <w:bCs/>
          <w:lang w:val="en-PH" w:eastAsia="en-PH"/>
        </w:rPr>
        <w:t xml:space="preserve">. </w:t>
      </w:r>
      <w:r w:rsidRPr="00FA1F21">
        <w:rPr>
          <w:rFonts w:ascii="Arial" w:hAnsi="Arial" w:cs="Arial"/>
          <w:lang w:val="en-PH" w:eastAsia="en-PH"/>
        </w:rPr>
        <w:t>The lack of motivation was further evident in students’ selective responses to activities. Teachers noted that some students answered only the items they found easy, leaving more challenging tasks blank. While this reflected honesty on the part of learners, teachers worried about the adverse effect on their academic performance. As one teacher recounted:</w:t>
      </w:r>
    </w:p>
    <w:p w14:paraId="3A68671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“Nadlawak a pilien laeng dagiti estudiante dagiti kayatda a sungbatan idiay module-da. Sungbatanda lang kano dagitay ammoda ket haanda met kayat ti agswitik. Ala maay-ayoak met ta honest-da ngem ‘tayton grade-da ti ag-suffer.” </w:t>
      </w:r>
      <w:r w:rsidRPr="00FA1F21">
        <w:rPr>
          <w:rFonts w:ascii="Arial" w:hAnsi="Arial" w:cs="Arial"/>
          <w:lang w:val="en-PH" w:eastAsia="en-PH"/>
        </w:rPr>
        <w:t>(I observed that students only chose the activities that they wanted to answer in their modules. They only accomplished those that they could understand because they wanted their outputs to be a product of honesty. I appreciated their honesty, but their grades would suffer.)</w:t>
      </w:r>
      <w:r w:rsidRPr="00FA1F21">
        <w:rPr>
          <w:rFonts w:ascii="Arial" w:hAnsi="Arial" w:cs="Arial"/>
          <w:i/>
          <w:iCs/>
          <w:lang w:val="en-PH" w:eastAsia="en-PH"/>
        </w:rPr>
        <w:t xml:space="preserve"> </w:t>
      </w:r>
      <w:r w:rsidRPr="00FA1F21">
        <w:rPr>
          <w:rFonts w:ascii="Arial" w:hAnsi="Arial" w:cs="Arial"/>
          <w:lang w:val="en-PH" w:eastAsia="en-PH"/>
        </w:rPr>
        <w:t>– Teacher 14</w:t>
      </w:r>
    </w:p>
    <w:p w14:paraId="52474A19"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In addition, poor documentation practices, such as failing to write names on answer sheets, complicated the tracking of student performance.</w:t>
      </w:r>
    </w:p>
    <w:p w14:paraId="13F28723"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“No dadduma, agipasa dagiti estudiante iti answer sheets nga awan ti naganna. Ulitenda uray mamin-ano a daras a mapalagipanda a haanda a liplipatan nga isurat ti naganda. Haan met ngarud mabalin a pugpugtuan ni siasinno ti makinbagi. Isu ti pagsakitan ti ulok, namuna ta adu ti masayang nga oras. Idi nakasaritak ida, adu ti mangayat iti face-to-face ta narigrigat kano ti ag-module. Malipatanda kano nga isurat ti naganda udiay module-da.” </w:t>
      </w:r>
      <w:r w:rsidRPr="00FA1F21">
        <w:rPr>
          <w:rFonts w:ascii="Arial" w:hAnsi="Arial" w:cs="Arial"/>
          <w:lang w:val="en-PH" w:eastAsia="en-PH"/>
        </w:rPr>
        <w:t>(Sometimes, students submitted their answer sheets without including their names or labels, despite my repeated instructions. This often left me guessing who submitted what, which is frustrating and time-consuming. When I discussed this with them, many expressed that they prefer face-to-face learning because working with the SLMs independently was challenging for them. They often forgot to write their names on their modules.)</w:t>
      </w:r>
      <w:r w:rsidRPr="00FA1F21">
        <w:rPr>
          <w:rFonts w:ascii="Arial" w:hAnsi="Arial" w:cs="Arial"/>
          <w:i/>
          <w:iCs/>
          <w:lang w:val="en-PH" w:eastAsia="en-PH"/>
        </w:rPr>
        <w:t xml:space="preserve"> </w:t>
      </w:r>
      <w:r w:rsidRPr="00FA1F21">
        <w:rPr>
          <w:rFonts w:ascii="Arial" w:hAnsi="Arial" w:cs="Arial"/>
          <w:lang w:val="en-PH" w:eastAsia="en-PH"/>
        </w:rPr>
        <w:t>– Teacher 10</w:t>
      </w:r>
    </w:p>
    <w:p w14:paraId="5A370C53"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lastRenderedPageBreak/>
        <w:t>The lack of motivation and accountability reflects a broader issue: many students were unprepared for the demands of modular learning, particularly in contexts that required self-discipline and independence.</w:t>
      </w:r>
    </w:p>
    <w:p w14:paraId="0CE0B85A"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Students’ Struggles with Lesson Comprehension</w:t>
      </w:r>
      <w:r w:rsidRPr="00FA1F21">
        <w:rPr>
          <w:rFonts w:ascii="Arial" w:hAnsi="Arial" w:cs="Arial"/>
          <w:lang w:val="en-PH" w:eastAsia="en-PH"/>
        </w:rPr>
        <w:t>. Incomplete submissions were also symptomatic of students’ limited understanding of the lessons. Some struggled to comprehend historical concepts and simply copied the provided answer key, even replicating notes such as “answer may vary.” One teacher narrated:</w:t>
      </w:r>
    </w:p>
    <w:p w14:paraId="240D1343"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“Adda ti estudiantek a kopiaenna laeng tay answer key idiay likod ti module-na. Kinopiana pay mismo tay ‘answer may vary’ kadaytay non-objective test. Ket ti kunana idi dinamagko ket marigatan kano a mangawat kadagitay konsepto ta iraprapinna pay ti agtrabaho tapno adda nayon ti balonna inton malpas daytoy flexible learning.” </w:t>
      </w:r>
      <w:r w:rsidRPr="00FA1F21">
        <w:rPr>
          <w:rFonts w:ascii="Arial" w:hAnsi="Arial" w:cs="Arial"/>
          <w:lang w:val="en-PH" w:eastAsia="en-PH"/>
        </w:rPr>
        <w:t>(I had a student who simply copied the attached answer key from the back of his module. He even included the phrase ‘answer may vary’ for a non-objective type test. When I inquired about this, he admitted that he struggles to understand the concepts. He also mentioned that he is a working student, as he needs to earn his allowance upon returning to school after the flexible learning modality.)</w:t>
      </w:r>
      <w:r w:rsidRPr="00FA1F21">
        <w:rPr>
          <w:rFonts w:ascii="Arial" w:hAnsi="Arial" w:cs="Arial"/>
          <w:i/>
          <w:iCs/>
          <w:lang w:val="en-PH" w:eastAsia="en-PH"/>
        </w:rPr>
        <w:t xml:space="preserve"> </w:t>
      </w:r>
      <w:r w:rsidRPr="00FA1F21">
        <w:rPr>
          <w:rFonts w:ascii="Arial" w:hAnsi="Arial" w:cs="Arial"/>
          <w:lang w:val="en-PH" w:eastAsia="en-PH"/>
        </w:rPr>
        <w:t>– Teacher 6</w:t>
      </w:r>
    </w:p>
    <w:p w14:paraId="24A8BE85"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resonates with Ellis and Loughland (2016), who found that pressures such as employment and household responsibilities limit learners’ capacity to engage deeply with modular activities. Students’ struggles with comprehension and time management reveal the critical need for scaffolding and teacher support, even in self-paced modalities.</w:t>
      </w:r>
    </w:p>
    <w:p w14:paraId="78A1AB3C"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Limited Capacity for Self-Directed Learning. </w:t>
      </w:r>
      <w:r w:rsidRPr="00FA1F21">
        <w:rPr>
          <w:rFonts w:ascii="Arial" w:hAnsi="Arial" w:cs="Arial"/>
          <w:lang w:val="en-PH" w:eastAsia="en-PH"/>
        </w:rPr>
        <w:t xml:space="preserve">Another challenge was students’ limited ability to engage in independent learning. Many expressed </w:t>
      </w:r>
      <w:proofErr w:type="gramStart"/>
      <w:r w:rsidRPr="00FA1F21">
        <w:rPr>
          <w:rFonts w:ascii="Arial" w:hAnsi="Arial" w:cs="Arial"/>
          <w:lang w:val="en-PH" w:eastAsia="en-PH"/>
        </w:rPr>
        <w:t>frustration</w:t>
      </w:r>
      <w:proofErr w:type="gramEnd"/>
      <w:r w:rsidRPr="00FA1F21">
        <w:rPr>
          <w:rFonts w:ascii="Arial" w:hAnsi="Arial" w:cs="Arial"/>
          <w:lang w:val="en-PH" w:eastAsia="en-PH"/>
        </w:rPr>
        <w:t xml:space="preserve"> over difficult concepts and the absence of guidance. The lack of internet access further restricted their ability to seek supplementary materials. A teacher highlighted their sentiments:</w:t>
      </w:r>
    </w:p>
    <w:p w14:paraId="6D332277"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“Marigatan dagiti estudiantek nga agsungbat kadagitay activities-da lalo no haanda a maawatan ket dagitoy met dadduma, awan met ti internet iti babbalayda. Kuna tay maysa, maymayat kano koma no adda met laeng maestra nga mang-guide kaniada. Kuna met tay maysa, pugpugtuanna lattan ti ip-ipannan ta awan met ti pagdamaganna wenno pagpatulonganna a kabbalayna. Ngem anian ti rigat ta haanko met mamaysamaysa ti amin a concerns-da gapu ta flexible mode met.” </w:t>
      </w:r>
      <w:r w:rsidRPr="00FA1F21">
        <w:rPr>
          <w:rFonts w:ascii="Arial" w:hAnsi="Arial" w:cs="Arial"/>
          <w:lang w:val="en-PH" w:eastAsia="en-PH"/>
        </w:rPr>
        <w:t xml:space="preserve">(My students found it difficult to complete the activities because they did not understand some concepts, and many </w:t>
      </w:r>
      <w:proofErr w:type="gramStart"/>
      <w:r w:rsidRPr="00FA1F21">
        <w:rPr>
          <w:rFonts w:ascii="Arial" w:hAnsi="Arial" w:cs="Arial"/>
          <w:lang w:val="en-PH" w:eastAsia="en-PH"/>
        </w:rPr>
        <w:t>lack</w:t>
      </w:r>
      <w:proofErr w:type="gramEnd"/>
      <w:r w:rsidRPr="00FA1F21">
        <w:rPr>
          <w:rFonts w:ascii="Arial" w:hAnsi="Arial" w:cs="Arial"/>
          <w:lang w:val="en-PH" w:eastAsia="en-PH"/>
        </w:rPr>
        <w:t xml:space="preserve"> internet access at home. One student mentioned that they would prefer having me as their guide during learning. Another student expressed that he could not accomplish all the tasks because there is no support system at home. It is disheartening to learn about these challenges, especially since I could not address all their individual concerns due to the constraints of the flexible learning mode.)</w:t>
      </w:r>
      <w:r w:rsidRPr="00FA1F21">
        <w:rPr>
          <w:rFonts w:ascii="Arial" w:hAnsi="Arial" w:cs="Arial"/>
          <w:i/>
          <w:iCs/>
          <w:lang w:val="en-PH" w:eastAsia="en-PH"/>
        </w:rPr>
        <w:t xml:space="preserve"> </w:t>
      </w:r>
      <w:r w:rsidRPr="00FA1F21">
        <w:rPr>
          <w:rFonts w:ascii="Arial" w:hAnsi="Arial" w:cs="Arial"/>
          <w:lang w:val="en-PH" w:eastAsia="en-PH"/>
        </w:rPr>
        <w:t>– Teacher 13</w:t>
      </w:r>
    </w:p>
    <w:p w14:paraId="5DBE313B"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These difficulties underscore the gap between the intended autonomy of modular learning and students’ actual preparedness for self-regulated study.</w:t>
      </w:r>
    </w:p>
    <w:p w14:paraId="647383F7"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Challenges in Accessing Supplementary Learning Resources.</w:t>
      </w:r>
      <w:r w:rsidRPr="00FA1F21">
        <w:rPr>
          <w:rFonts w:ascii="Arial" w:hAnsi="Arial" w:cs="Arial"/>
          <w:lang w:val="en-PH" w:eastAsia="en-PH"/>
        </w:rPr>
        <w:t xml:space="preserve"> Lastly, many students struggled with limited access to supplemental learning resources. The lack of internet connectivity restricted their ability to search for explanations or clarifications beyond the modules. One teacher recounted:</w:t>
      </w:r>
    </w:p>
    <w:p w14:paraId="3E9A8B46"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“Kuna dagiti ubbingko ket kaadduan kaniada ti awan ti access-na iti internet ket no adda dagiti concept a dida maawatan, awan pagadawanda iti umno a pannakaawat. Daytoy ti </w:t>
      </w:r>
      <w:r w:rsidRPr="00FA1F21">
        <w:rPr>
          <w:rFonts w:ascii="Arial" w:hAnsi="Arial" w:cs="Arial"/>
          <w:i/>
          <w:iCs/>
          <w:lang w:val="en-PH" w:eastAsia="en-PH"/>
        </w:rPr>
        <w:lastRenderedPageBreak/>
        <w:t xml:space="preserve">maysa nga inraise-da idi a concern-da iti SLM idi nagdamagak tapnon iti kasta ket ammok iti pamayak ‘ton sumaruno a pannakaimplementar ti flexible learning.” </w:t>
      </w:r>
      <w:r w:rsidRPr="00FA1F21">
        <w:rPr>
          <w:rFonts w:ascii="Arial" w:hAnsi="Arial" w:cs="Arial"/>
          <w:lang w:val="en-PH" w:eastAsia="en-PH"/>
        </w:rPr>
        <w:t>(According to my students, most of them lack access to the internet, and when they encountered difficult concepts, they have no additional resources to help them understand these topics better. This concern was highlighted during our discussions, as I sought their feedback to inform improvements for the next implementation of flexible learning.)</w:t>
      </w:r>
      <w:r w:rsidRPr="00FA1F21">
        <w:rPr>
          <w:rFonts w:ascii="Arial" w:hAnsi="Arial" w:cs="Arial"/>
          <w:i/>
          <w:iCs/>
          <w:lang w:val="en-PH" w:eastAsia="en-PH"/>
        </w:rPr>
        <w:t xml:space="preserve"> </w:t>
      </w:r>
      <w:r w:rsidRPr="00FA1F21">
        <w:rPr>
          <w:rFonts w:ascii="Arial" w:hAnsi="Arial" w:cs="Arial"/>
          <w:lang w:val="en-PH" w:eastAsia="en-PH"/>
        </w:rPr>
        <w:t>– Teacher 18</w:t>
      </w:r>
    </w:p>
    <w:p w14:paraId="49DDCF86"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challenge suggests that while SLMs were designed to facilitate independent learning, their effectiveness was constrained by external factors such as access to technology and supportive environments.</w:t>
      </w:r>
    </w:p>
    <w:p w14:paraId="5D6F3260"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Overall, students encountered multiple barriers in using SLMs for World History. These included difficulties completing tasks, lack of motivation, poor comprehension, weak independent learning skills, and limited access to additional resources. Such challenges reveal that while SLMs provided structure, students struggled to maximize their potential without sufficient guidance and support. These findings emphasize the importance of scaffolding strategies, digital inclusion efforts, and sustained teacher-student engagement to ensure that modular learning effectively meets its intended goals.</w:t>
      </w:r>
    </w:p>
    <w:p w14:paraId="0DEC7FE5" w14:textId="0259DE3B" w:rsidR="00FA1F21" w:rsidRPr="00FA1F21" w:rsidRDefault="00FA1F21" w:rsidP="00FA1F21">
      <w:pPr>
        <w:spacing w:before="100" w:beforeAutospacing="1" w:after="100" w:afterAutospacing="1"/>
        <w:jc w:val="both"/>
        <w:outlineLvl w:val="1"/>
        <w:rPr>
          <w:rFonts w:ascii="Arial" w:hAnsi="Arial" w:cs="Arial"/>
          <w:b/>
          <w:bCs/>
          <w:u w:val="single"/>
          <w:lang w:val="en-PH" w:eastAsia="en-PH"/>
        </w:rPr>
      </w:pPr>
      <w:r w:rsidRPr="00FA1F21">
        <w:rPr>
          <w:rFonts w:ascii="Arial" w:hAnsi="Arial" w:cs="Arial"/>
          <w:b/>
          <w:bCs/>
          <w:u w:val="single"/>
          <w:lang w:val="en-PH" w:eastAsia="en-PH"/>
        </w:rPr>
        <w:t xml:space="preserve">3.2.2 Teachers’ Challenges in the Utilization of Self-Learning Modules (SLMs) </w:t>
      </w:r>
      <w:r w:rsidRPr="00FA1F21">
        <w:rPr>
          <w:rFonts w:ascii="Arial" w:hAnsi="Arial" w:cs="Arial"/>
          <w:b/>
          <w:bCs/>
          <w:u w:val="single"/>
          <w:lang w:val="en-GB" w:eastAsia="en-PH"/>
        </w:rPr>
        <w:t>in World History</w:t>
      </w:r>
    </w:p>
    <w:p w14:paraId="44F320B3"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Teachers reported encountering significant difficulties in the preparation, distribution, contextualization, and monitoring of Self-Learning Modules (SLMs) in World History. These challenges were compounded by the demands of flexible learning arrangements during emergencies, which required teachers to adapt instructional materials and strategies under limited time and resources. The following themes emerged from the focus group discussions.</w:t>
      </w:r>
    </w:p>
    <w:p w14:paraId="3E3A48D2"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Time and Resource Demands in Preparing SLMs.</w:t>
      </w:r>
      <w:r w:rsidRPr="00FA1F21">
        <w:rPr>
          <w:rFonts w:ascii="Arial" w:hAnsi="Arial" w:cs="Arial"/>
          <w:lang w:val="en-PH" w:eastAsia="en-PH"/>
        </w:rPr>
        <w:t xml:space="preserve"> A recurring concern among teachers was the time-intensive nature of preparing SLMs, which involved tasks such as printing, stapling, sorting, and packaging. Teachers highlighted that the workload often extended beyond school hours, requiring support from family members. One respondent narrated:</w:t>
      </w:r>
    </w:p>
    <w:p w14:paraId="5D08794D"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“Narikut ti agisagana iti SLMs gapuna ta makaibus iti oras. Agprint-ka, sakanto ag-stapler, samonto isagana nga iplastar, urnosem a saggaysa, sakbay a maibunong. Adu nga overtime ti kasapulan, pati ni lakayko mairamraman nga ag-stapler tapno laeng malpas ti maibunong nga usaren ti ubbing iti makalawas.” </w:t>
      </w:r>
      <w:r w:rsidRPr="00FA1F21">
        <w:rPr>
          <w:rFonts w:ascii="Arial" w:hAnsi="Arial" w:cs="Arial"/>
          <w:lang w:val="en-PH" w:eastAsia="en-PH"/>
        </w:rPr>
        <w:t>(The preparation of Self-Learning Modules (SLMs) was quite time-consuming. It involved printing, stapling, and sorting the modules before distribution. I often worked on this at home, and sometimes I even enlisted my husband's help to staple them, just to ensure that the modules are ready for distribution for the upcoming week.) – Teacher 13</w:t>
      </w:r>
    </w:p>
    <w:p w14:paraId="29227716"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Similarly, another teacher noted:</w:t>
      </w:r>
    </w:p>
    <w:p w14:paraId="2A3F40FD"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“Ti agisagana ti SLMs ket adu ti kanenna nga oras. Limmaingak ken immalistoak nga ag-stapler gapu’t SLMs, nangruna ta masapul a makabuoka ti maysa a buo nga SLM kada estudiante. Ita addaanak iti lima a seksion ti AP 8 nga addaan iti estudyante na 38 agingga 45…” </w:t>
      </w:r>
      <w:r w:rsidRPr="00FA1F21">
        <w:rPr>
          <w:rFonts w:ascii="Arial" w:hAnsi="Arial" w:cs="Arial"/>
          <w:lang w:val="en-PH" w:eastAsia="en-PH"/>
        </w:rPr>
        <w:t>(The preparation of the SLMs was indeed very time-consuming. I have become quite efficient and speedy at stapling them, especially since we provided one module per student. With a teaching load of Araling Panlipunan 8 across five sections, each consisting of 38 to 45 students, the task of preparing these modules was quite overwhelming.) – Teacher 4</w:t>
      </w:r>
    </w:p>
    <w:p w14:paraId="57ACF403"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lastRenderedPageBreak/>
        <w:t>These narratives align with Park (2023), who emphasized that creating high-quality learning modules requires significant time investment, including sourcing content, designing activities, and ensuring alignment with learning objectives.</w:t>
      </w:r>
    </w:p>
    <w:p w14:paraId="211A0995"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 xml:space="preserve">Challenges in Contextualizing Self-Learning </w:t>
      </w:r>
      <w:proofErr w:type="gramStart"/>
      <w:r w:rsidRPr="00FA1F21">
        <w:rPr>
          <w:rFonts w:ascii="Arial" w:hAnsi="Arial" w:cs="Arial"/>
          <w:b/>
          <w:bCs/>
          <w:lang w:val="en-PH" w:eastAsia="en-PH"/>
        </w:rPr>
        <w:t>Modules</w:t>
      </w:r>
      <w:r w:rsidRPr="00FA1F21">
        <w:rPr>
          <w:rFonts w:ascii="Arial" w:hAnsi="Arial" w:cs="Arial"/>
          <w:lang w:val="en-PH" w:eastAsia="en-PH"/>
        </w:rPr>
        <w:t>..</w:t>
      </w:r>
      <w:proofErr w:type="gramEnd"/>
      <w:r w:rsidRPr="00FA1F21">
        <w:rPr>
          <w:rFonts w:ascii="Arial" w:hAnsi="Arial" w:cs="Arial"/>
          <w:lang w:val="en-PH" w:eastAsia="en-PH"/>
        </w:rPr>
        <w:t xml:space="preserve"> Another challenge was contextualizing the modules to meet learners’ needs. Teachers reported that while DepEd-issued SLMs followed the curriculum standards, they often required modifications to suit the local context. Furthermore, the scarcity of supplies exacerbated the difficulty of preparing contextualized materials. As one respondent shared:</w:t>
      </w:r>
    </w:p>
    <w:p w14:paraId="7EEE6195"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“Gapu iti kaadu ti SLMs a maiprinprinta, gimmatangakon iti bukodko a printer. Haantayo a masakbayan no kaano manen ti idadateng ti flexible learning. Adda man printer-mi ditoy eskuela ngem pagsusublatan ti teachers isu ti makagapuna a gimmatangakon iti bagik tapno haanak a mapan iti eskuelan nga agprinta lalo no maiparit ti sumrek.” </w:t>
      </w:r>
      <w:r w:rsidRPr="00FA1F21">
        <w:rPr>
          <w:rFonts w:ascii="Arial" w:hAnsi="Arial" w:cs="Arial"/>
          <w:lang w:val="en-PH" w:eastAsia="en-PH"/>
        </w:rPr>
        <w:t>(Printing lots of SLMs made me buy my personal printer at home so that I could provide module for my students. No one knew when the next flexible learning would be. We have printer at school, but it is for sharing. This was the reason I bought my own printer, so I could print SLMs at home and could use anytime without going to school since there were times that going to school was restricted during flexible learning modality.) – Teacher 2</w:t>
      </w:r>
    </w:p>
    <w:p w14:paraId="1A2283C6"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reflects Almahasees et al. (2022), who noted that contextualizing materials and tailoring them to diverse learners requires additional time, resources, and teacher effort. Similarly, Castroverde and Acala (2021) emphasized that supply shortages hinder effective monitoring and distribution of SLMs.</w:t>
      </w:r>
    </w:p>
    <w:p w14:paraId="3925F31C"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Distribution Issues.</w:t>
      </w:r>
      <w:r w:rsidRPr="00FA1F21">
        <w:rPr>
          <w:rFonts w:ascii="Arial" w:hAnsi="Arial" w:cs="Arial"/>
          <w:lang w:val="en-PH" w:eastAsia="en-PH"/>
        </w:rPr>
        <w:t xml:space="preserve"> Distribution of SLMs also posed difficulties. Teachers cited irregular module claiming and submission, lack of communication with parents, and logistical challenges due to lockdowns. One teacher observed:</w:t>
      </w:r>
    </w:p>
    <w:p w14:paraId="7FEC4B2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“Narigat ti ag-monitor iti distribution ken panangi-submit ti SLMs ta adu ti iggemko nga estudiante argaman dagitay kakaduak [manursuro]. Addaanak iti 48 nga estudyante iti maysa a seksionko, tay met advisory class-ko addaanak iti 46. Halos agpapadada ti bilang kada klase nga iggemko.” </w:t>
      </w:r>
      <w:r w:rsidRPr="00FA1F21">
        <w:rPr>
          <w:rFonts w:ascii="Arial" w:hAnsi="Arial" w:cs="Arial"/>
          <w:lang w:val="en-PH" w:eastAsia="en-PH"/>
        </w:rPr>
        <w:t>(Monitoring the distribution and submission of SLMs was challenging due to the large number of students I managed, a situation shared by my co-teachers. I had 48 students in one section and 46 in my advisory class, with nearly all my classes having similar sizes. This high student-to-teacher ratio made it increasingly difficult to keep track of the SLMs effectively.) – Teacher 19</w:t>
      </w:r>
    </w:p>
    <w:p w14:paraId="270B9958" w14:textId="2B491369"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 xml:space="preserve">These findings support Castroverde and Acala (2024), who pointed out that communication barriers, transport restrictions, and late claiming of modules delay learning. Similarly, </w:t>
      </w:r>
      <w:r w:rsidR="006970CF">
        <w:rPr>
          <w:rFonts w:ascii="Arial" w:hAnsi="Arial" w:cs="Arial"/>
          <w:lang w:val="en-PH" w:eastAsia="en-PH"/>
        </w:rPr>
        <w:t>Herero</w:t>
      </w:r>
      <w:r w:rsidRPr="00FA1F21">
        <w:rPr>
          <w:rFonts w:ascii="Arial" w:hAnsi="Arial" w:cs="Arial"/>
          <w:lang w:val="en-PH" w:eastAsia="en-PH"/>
        </w:rPr>
        <w:t xml:space="preserve"> (202</w:t>
      </w:r>
      <w:r w:rsidR="006970CF">
        <w:rPr>
          <w:rFonts w:ascii="Arial" w:hAnsi="Arial" w:cs="Arial"/>
          <w:lang w:val="en-PH" w:eastAsia="en-PH"/>
        </w:rPr>
        <w:t>2</w:t>
      </w:r>
      <w:r w:rsidRPr="00FA1F21">
        <w:rPr>
          <w:rFonts w:ascii="Arial" w:hAnsi="Arial" w:cs="Arial"/>
          <w:lang w:val="en-PH" w:eastAsia="en-PH"/>
        </w:rPr>
        <w:t>) argued that distance education delivery relies heavily on efficient communication systems and community support.</w:t>
      </w:r>
    </w:p>
    <w:p w14:paraId="030682CA"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Difficulties in Monitoring Students’ Academic Progress. </w:t>
      </w:r>
      <w:r w:rsidRPr="00FA1F21">
        <w:rPr>
          <w:rFonts w:ascii="Arial" w:hAnsi="Arial" w:cs="Arial"/>
          <w:lang w:val="en-PH" w:eastAsia="en-PH"/>
        </w:rPr>
        <w:t>Teachers reported significant challenges in validating students’ learning outcomes when using SLMs. A major concern was the authenticity of student outputs, as many modules appeared to have been completed by parents, siblings, or peers rather than the learners themselves. One teacher explained:</w:t>
      </w:r>
    </w:p>
    <w:p w14:paraId="2BD42D3E"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“Dagitay dadduma nga estudiantek ket nagannak, kakabsat, wenno dagitay gagayyemda ti mangub-ubra iti modules-da. Daytoy unay ti pagrigatak ta haan ko ammo nu siasinnon kadagitay estudiantek ti pudno a nagubra iti module-na.” </w:t>
      </w:r>
      <w:r w:rsidRPr="00FA1F21">
        <w:rPr>
          <w:rFonts w:ascii="Arial" w:hAnsi="Arial" w:cs="Arial"/>
          <w:lang w:val="en-PH" w:eastAsia="en-PH"/>
        </w:rPr>
        <w:t xml:space="preserve">(Some students received assistance from their parents, siblings, or other individuals when completing their modules, </w:t>
      </w:r>
      <w:r w:rsidRPr="00FA1F21">
        <w:rPr>
          <w:rFonts w:ascii="Arial" w:hAnsi="Arial" w:cs="Arial"/>
          <w:lang w:val="en-PH" w:eastAsia="en-PH"/>
        </w:rPr>
        <w:lastRenderedPageBreak/>
        <w:t>which made it challenging for me to identify which students were truly engaging with the work themselves.) – Teacher 7</w:t>
      </w:r>
    </w:p>
    <w:p w14:paraId="05D85D4D"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Another respondent recalled a more alarming case:</w:t>
      </w:r>
    </w:p>
    <w:p w14:paraId="587FF8CF"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“Agko-contest ti nagannak iti panagubra kadagiti SLMs ti annakda. Adda ti maysa a kasomi ditoy eskuela nga idi modular learning, adda ti estudiantemi a ti outputs-na ket kompleto, napipintas ti sungbatna, isu nga inikkanmi iti nangangato a marka kas koma 90 agpangato ket nakaragpat isuna iti with honors. Ngem idi nalpasen ti flexible learning, natakuatanmi a daytoy nga estudiante ket haan gayam nga isu ti agsungsungbat kadagiti SLMs-na, lalokami pay a naalarma idi naammuanmi a daytoy nga ubing gayam ket madi pay makabasa.” </w:t>
      </w:r>
      <w:r w:rsidRPr="00FA1F21">
        <w:rPr>
          <w:rFonts w:ascii="Arial" w:hAnsi="Arial" w:cs="Arial"/>
          <w:lang w:val="en-PH" w:eastAsia="en-PH"/>
        </w:rPr>
        <w:t>(The parents competed in completing the SLMs of their children. For instance, during the modular learning phase, one of our students produced excellent and complete outputs, earning a grade of 90 and above, and he was recognized with honors. However, when the flexible learning period concluded, we discovered that he had not actually been the one answering his modules. To make matters worse, this student is a non-reader.) – Teacher 12</w:t>
      </w:r>
    </w:p>
    <w:p w14:paraId="7FDA3C10" w14:textId="62C88F48"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These accounts resonate with Arzadon (2017), who discussed how parental involvement in schooling—when coupled with social pressures—can lead to questionable practices for securing academic rewards. Similarly, Idulog (2022) highlighted that parental support is crucial in distance learning, yet excessive intervention risks undermining the authenticity of students’ work.</w:t>
      </w:r>
    </w:p>
    <w:p w14:paraId="723F2EF1"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Teachers also admitted that competing demands, such as preparing modules and managing personal responsibilities, further reduced the time available to monitor student progress effectively. As one teacher remarked:</w:t>
      </w:r>
    </w:p>
    <w:p w14:paraId="7CF8BA93"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“Marigatanak unay nga ag-check ti modules dagitay ubbingko ta ad-adu met tay orasko nga agisagana ti modules ket adu pay ti sabali a maubra.” </w:t>
      </w:r>
      <w:r w:rsidRPr="00FA1F21">
        <w:rPr>
          <w:rFonts w:ascii="Arial" w:hAnsi="Arial" w:cs="Arial"/>
          <w:lang w:val="en-PH" w:eastAsia="en-PH"/>
        </w:rPr>
        <w:t>(There was not enough time to check my students’ answers because the preparation of module itself was time-consuming, and there were other tasks to do.) – Teacher 9</w:t>
      </w:r>
    </w:p>
    <w:p w14:paraId="6D1A9050"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Taken together, these findings indicate that the monitoring of students’ learning progress in modular distance education is hampered by authenticity issues, limited teacher time, and excessive reliance on parents. This underscores the need for strategies that safeguard academic integrity and provide teachers with tools to validate genuine student performance.</w:t>
      </w:r>
    </w:p>
    <w:p w14:paraId="2F1F3118"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Insufficient Resources for Monitoring Students’ Progress</w:t>
      </w:r>
      <w:r w:rsidRPr="00FA1F21">
        <w:rPr>
          <w:rFonts w:ascii="Arial" w:hAnsi="Arial" w:cs="Arial"/>
          <w:lang w:val="en-PH" w:eastAsia="en-PH"/>
        </w:rPr>
        <w:t>. Another recurring challenge concerned the lack of sufficient resources to assess students’ learning. Teachers acknowledged that they struggled to provide timely and effective feedback due to incomplete answers, limited communication channels, and the absence of supplementary assessment tools. The difficulty in validating student understanding was compounded by geographic and technological barriers.</w:t>
      </w:r>
    </w:p>
    <w:p w14:paraId="5AAB2C13"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 scarcity of materials such as additional worksheets, intervention tools, and diagnostic activities hindered teachers’ ability to track progress. Incomplete submissions often left gaps in the evaluation process, making it difficult to distinguish between lack of comprehension and lack of effort. This resonates with Vásquez (2017), who argued that teachers’ quality of work-life is often compromised by systemic limitations that prevent them from fulfilling their instructional duties effectively.</w:t>
      </w:r>
    </w:p>
    <w:p w14:paraId="73C6C43E"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lastRenderedPageBreak/>
        <w:t>Overall, the lack of resources constrained teachers’ capacity to assess student learning meaningfully and undermined the reliability of SLMs as the sole tool for evaluation. This situation highlights the need for structural support in the form of accessible learning materials, digital resources, and communication platforms to ensure that monitoring processes remain accurate and effective in flexible learning environments.</w:t>
      </w:r>
    </w:p>
    <w:p w14:paraId="2B637B95"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The findings reveal that teachers encountered multiple challenges in the use of SLMs, ranging from time and resource demands in preparation, difficulties in contextualization, distribution issues, and problems in monitoring and assessing students’ progress. While SLMs provided continuity of learning during emergencies, their implementation placed heavy burdens on teachers, raising concerns about authenticity, resource adequacy, and workload management. Consequently, addressing these issues is essential for improving modular learning practices and ensuring both teacher sustainability and student success in flexible education systems.</w:t>
      </w:r>
    </w:p>
    <w:p w14:paraId="2288BCC0" w14:textId="59230031" w:rsidR="00FA1F21" w:rsidRPr="00FA1F21" w:rsidRDefault="00FA1F21" w:rsidP="00FA1F21">
      <w:pPr>
        <w:widowControl w:val="0"/>
        <w:spacing w:after="240"/>
        <w:jc w:val="both"/>
        <w:rPr>
          <w:rFonts w:ascii="Arial" w:hAnsi="Arial" w:cs="Arial"/>
          <w:b/>
          <w:bCs/>
          <w:sz w:val="22"/>
          <w:szCs w:val="22"/>
          <w:lang w:val="en-PH" w:eastAsia="en-PH"/>
        </w:rPr>
      </w:pPr>
      <w:r w:rsidRPr="00FA1F21">
        <w:rPr>
          <w:rFonts w:ascii="Arial" w:hAnsi="Arial" w:cs="Arial"/>
          <w:b/>
          <w:bCs/>
          <w:sz w:val="22"/>
          <w:szCs w:val="22"/>
          <w:lang w:val="en-PH" w:eastAsia="en-PH"/>
        </w:rPr>
        <w:t>3.3 Coping Strategies of Teachers in Response to Students’ Difficulties in Using Self-Learning Modules (SLMs) in World History</w:t>
      </w:r>
    </w:p>
    <w:p w14:paraId="792F469B" w14:textId="63FCD3CE"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Teachers employed diverse coping strategies to address the challenges their students faced when engaging with Self-Learning Modules (SLMs) during modular distance learning. These strategies were shaped by resource limitations, students’ varied learning needs, and the constraints of flexible learning environments. While not all approaches were equally effective, they demonstrated teachers’ resilience and creativity in sustaining student engagement in World History.</w:t>
      </w:r>
    </w:p>
    <w:p w14:paraId="25B49555"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Providing Enrichment Activities and Learning Activity Sheets (LAS). </w:t>
      </w:r>
      <w:r w:rsidRPr="00FA1F21">
        <w:rPr>
          <w:rFonts w:ascii="Arial" w:hAnsi="Arial" w:cs="Arial"/>
          <w:lang w:val="en-PH" w:eastAsia="en-PH"/>
        </w:rPr>
        <w:t>One of the most common coping strategies was the development of enrichment activities and teacher-made Learning Activity Sheets (LAS) to supplement the SLMs. Teachers designed these materials to be contextualized and values-integrated, thereby deepening students’ understanding of historical concepts. As one teacher explained:</w:t>
      </w:r>
    </w:p>
    <w:p w14:paraId="1BD19C72"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“No nababa ti iskor dagiti ubbingko, mangaramidak ti kabukodak a learning activity sheets (LAS) nga adda QR codes-na para iti videos ken interactive quizzes kasla koma EdPuzzle, ket adda met nagdalananna ta nagimprove met dagitay ubbing.” </w:t>
      </w:r>
      <w:r w:rsidRPr="00FA1F21">
        <w:rPr>
          <w:rFonts w:ascii="Arial" w:hAnsi="Arial" w:cs="Arial"/>
          <w:lang w:val="en-PH" w:eastAsia="en-PH"/>
        </w:rPr>
        <w:t>(If students got low scores, I made my own LAS with QR codes for videos and interactive quizzes like EdPuzzle, and this was effective because the students showed improvement.) – Teacher 16</w:t>
      </w:r>
    </w:p>
    <w:p w14:paraId="536B8E97"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Teachers found their self-made LAS effective because they could be tailored to student needs, supported assessment, and encouraged more active engagement. Literature supports this finding: activity sheets enhance comprehension, sustain motivation, and transform teachers into facilitators rather than sole sources of knowledge (Lee, 2014). Teacher 4 and Teacher 3 respondent respectively:</w:t>
      </w:r>
    </w:p>
    <w:p w14:paraId="604A142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“Makunak nga epektibo dagitay LAS-ko gapuma ta nakabase dagitoy iti ILMP-ko. Sakbayak a nagaramid iti LAS, in-assess-ko nga umuna no ania ti enrichment activities a masapul ti estudiantek.” </w:t>
      </w:r>
      <w:r w:rsidRPr="00FA1F21">
        <w:rPr>
          <w:rFonts w:ascii="Arial" w:hAnsi="Arial" w:cs="Arial"/>
          <w:lang w:val="en-PH" w:eastAsia="en-PH"/>
        </w:rPr>
        <w:t xml:space="preserve">(I can say that my LAS was effective because it was based on my ILMP. Before I made the LAS, I first examined the kind of enrichment activity needed by my learners.) </w:t>
      </w:r>
      <w:r w:rsidRPr="00FA1F21">
        <w:rPr>
          <w:rFonts w:ascii="Arial" w:hAnsi="Arial" w:cs="Arial"/>
          <w:i/>
          <w:iCs/>
          <w:lang w:val="en-PH" w:eastAsia="en-PH"/>
        </w:rPr>
        <w:t>– T</w:t>
      </w:r>
      <w:r w:rsidRPr="00FA1F21">
        <w:rPr>
          <w:rFonts w:ascii="Arial" w:hAnsi="Arial" w:cs="Arial"/>
          <w:lang w:val="en-PH" w:eastAsia="en-PH"/>
        </w:rPr>
        <w:t xml:space="preserve">eacher 4 </w:t>
      </w:r>
    </w:p>
    <w:p w14:paraId="14F3886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lastRenderedPageBreak/>
        <w:t>“Base iti panang-assess-ko, nangat-ngato ti maala dagiti    estudiantek no adda pasurotna a LAS ti module-da.” (Based on my assessment, learners got higher score if their module had an accompanying LAS.) – Te</w:t>
      </w:r>
      <w:r w:rsidRPr="00FA1F21">
        <w:rPr>
          <w:rFonts w:ascii="Arial" w:hAnsi="Arial" w:cs="Arial"/>
          <w:lang w:val="en-PH" w:eastAsia="en-PH"/>
        </w:rPr>
        <w:t>acher 3</w:t>
      </w:r>
    </w:p>
    <w:p w14:paraId="5DC4199A"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Extending Guidance through Online Support. </w:t>
      </w:r>
      <w:r w:rsidRPr="00FA1F21">
        <w:rPr>
          <w:rFonts w:ascii="Arial" w:hAnsi="Arial" w:cs="Arial"/>
          <w:lang w:val="en-PH" w:eastAsia="en-PH"/>
        </w:rPr>
        <w:t>To address difficulties in comprehension and task completion, teachers increased communication with students via online platforms, including Messenger, Google Meet, and phone calls. These provided real-time clarification, personalized support, and monitoring of student progress.</w:t>
      </w:r>
    </w:p>
    <w:p w14:paraId="47170867"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lang w:val="en-PH" w:eastAsia="en-PH"/>
        </w:rPr>
        <w:t>“</w:t>
      </w:r>
      <w:r w:rsidRPr="00FA1F21">
        <w:rPr>
          <w:rFonts w:ascii="Arial" w:hAnsi="Arial" w:cs="Arial"/>
          <w:i/>
          <w:iCs/>
          <w:lang w:val="en-PH" w:eastAsia="en-PH"/>
        </w:rPr>
        <w:t xml:space="preserve">Mangi-schedule-ak iti maminsan makalwas nga online kumustahan gamit ti Google Meet or Group Chat diay Messenger tapno ma-monitor-ko dagiti estudiantek iti panagsungbatda kadagiti module-da.” </w:t>
      </w:r>
      <w:r w:rsidRPr="00FA1F21">
        <w:rPr>
          <w:rFonts w:ascii="Arial" w:hAnsi="Arial" w:cs="Arial"/>
          <w:lang w:val="en-PH" w:eastAsia="en-PH"/>
        </w:rPr>
        <w:t>(I scheduled a weekly online catch-up through Google Meet or Messenger so that I could monitor my students as they worked on their modules.) – Teacher 3</w:t>
      </w:r>
    </w:p>
    <w:p w14:paraId="59AA40FE"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Such practices align with findings that timely online guidance enhances motivation, confidence, and persistence in flexible learning contexts (Barrot et al., 2024; Penney, 2024).</w:t>
      </w:r>
    </w:p>
    <w:p w14:paraId="738C277D"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Offering Additional References and Online Resources.</w:t>
      </w:r>
      <w:r w:rsidRPr="00FA1F21">
        <w:rPr>
          <w:rFonts w:ascii="Arial" w:hAnsi="Arial" w:cs="Arial"/>
          <w:lang w:val="en-PH" w:eastAsia="en-PH"/>
        </w:rPr>
        <w:t xml:space="preserve"> Teachers also supplemented the SLMs with online references such as YouTube videos, DepEd TV content, and curated resources uploaded to Google Drive. These provided flexible, accessible support for students who struggled with complex topics.</w:t>
      </w:r>
    </w:p>
    <w:p w14:paraId="62D3D0BB"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“Mangmangtedak ti video links manipud iti Youtube a related idiay topiko… makaalada iti nayon tay nasursuroda manipud idiay module.” </w:t>
      </w:r>
      <w:r w:rsidRPr="00FA1F21">
        <w:rPr>
          <w:rFonts w:ascii="Arial" w:hAnsi="Arial" w:cs="Arial"/>
          <w:lang w:val="en-PH" w:eastAsia="en-PH"/>
        </w:rPr>
        <w:t>(I shared YouTube links related to the topic so students could learn more beyond the module.) – Teacher 2</w:t>
      </w:r>
    </w:p>
    <w:p w14:paraId="72FB8C8B" w14:textId="5893AD9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 xml:space="preserve">This strategy resonates with Gueta </w:t>
      </w:r>
      <w:r w:rsidR="00A45C10">
        <w:rPr>
          <w:rFonts w:ascii="Arial" w:hAnsi="Arial" w:cs="Arial"/>
          <w:lang w:val="en-PH" w:eastAsia="en-PH"/>
        </w:rPr>
        <w:t xml:space="preserve">et al. </w:t>
      </w:r>
      <w:r w:rsidRPr="00FA1F21">
        <w:rPr>
          <w:rFonts w:ascii="Arial" w:hAnsi="Arial" w:cs="Arial"/>
          <w:lang w:val="en-PH" w:eastAsia="en-PH"/>
        </w:rPr>
        <w:t>(2023), who emphasized that digital platforms improve motivation and participation in distance learning.</w:t>
      </w:r>
    </w:p>
    <w:p w14:paraId="374B9EF1"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Providing Clear Instructions and Guidelines. </w:t>
      </w:r>
      <w:r w:rsidRPr="00FA1F21">
        <w:rPr>
          <w:rFonts w:ascii="Arial" w:hAnsi="Arial" w:cs="Arial"/>
          <w:lang w:val="en-PH" w:eastAsia="en-PH"/>
        </w:rPr>
        <w:t>Another coping mechanism was the deliberate effort to simplify and clarify instructions. Teachers attached explanatory notes to modules, reducing student confusion and minimizing repetitive inquiries.</w:t>
      </w:r>
    </w:p>
    <w:p w14:paraId="6B1D537F"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“Nangiattach-ak iti notes nga agserbi a pammalagip no kasano a nalaklaka a maawatan dagiti instructions… basbassit ti questions ti ubbing diay GC wenno PM.” </w:t>
      </w:r>
      <w:r w:rsidRPr="00FA1F21">
        <w:rPr>
          <w:rFonts w:ascii="Arial" w:hAnsi="Arial" w:cs="Arial"/>
          <w:lang w:val="en-PH" w:eastAsia="en-PH"/>
        </w:rPr>
        <w:t>(I attached reminder notes to simplify instructions, which reduced students’ queries in group chats and messages.) – Teacher 8</w:t>
      </w:r>
    </w:p>
    <w:p w14:paraId="5F192812"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aligns with Angulo-Jiménez et al. (2024), who highlighted the importance of clarity and scaffolding in distance education.</w:t>
      </w:r>
    </w:p>
    <w:p w14:paraId="63231AF8"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b/>
          <w:bCs/>
          <w:lang w:val="en-PH" w:eastAsia="en-PH"/>
        </w:rPr>
        <w:t>Encouraging Peer Collaboration and Support.</w:t>
      </w:r>
      <w:r w:rsidRPr="00FA1F21">
        <w:rPr>
          <w:rFonts w:ascii="Arial" w:hAnsi="Arial" w:cs="Arial"/>
          <w:lang w:val="en-PH" w:eastAsia="en-PH"/>
        </w:rPr>
        <w:t xml:space="preserve"> Teachers also encouraged peer-to-peer support by forming group chats or distributing fast learners across groups to tutor struggling classmates. This approach promoted cooperative learning and alleviated teachers’ workload.</w:t>
      </w:r>
    </w:p>
    <w:p w14:paraId="54CE9387"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“Inbunongko dagitay fast learners-ko tapnon adda katulongan dagitay struggling a kaeskuelaanda… Nag-improve ti performance dagiti ubbingko after one quarter idi in-implement-ko daytoy.” </w:t>
      </w:r>
      <w:r w:rsidRPr="00FA1F21">
        <w:rPr>
          <w:rFonts w:ascii="Arial" w:hAnsi="Arial" w:cs="Arial"/>
          <w:lang w:val="en-PH" w:eastAsia="en-PH"/>
        </w:rPr>
        <w:t>(I distributed fast learners across groups to help struggling peers. After one quarter, students’ performance improved.) – Teacher 11</w:t>
      </w:r>
    </w:p>
    <w:p w14:paraId="13FE906A" w14:textId="5013257E"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lastRenderedPageBreak/>
        <w:t>Peer collaboration has been shown to enhance cognition, social interaction, and problem-solving skills (</w:t>
      </w:r>
      <w:r w:rsidR="00C731F5" w:rsidRPr="00C731F5">
        <w:rPr>
          <w:rFonts w:ascii="Arial" w:hAnsi="Arial" w:cs="Arial"/>
          <w:lang w:val="en-PH" w:eastAsia="en-PH"/>
        </w:rPr>
        <w:t>Boholano et al., 2022</w:t>
      </w:r>
      <w:r w:rsidRPr="00FA1F21">
        <w:rPr>
          <w:rFonts w:ascii="Arial" w:hAnsi="Arial" w:cs="Arial"/>
          <w:lang w:val="en-PH" w:eastAsia="en-PH"/>
        </w:rPr>
        <w:t xml:space="preserve">; </w:t>
      </w:r>
      <w:r w:rsidR="00504A9F" w:rsidRPr="00504A9F">
        <w:rPr>
          <w:rFonts w:ascii="Arial" w:hAnsi="Arial" w:cs="Arial"/>
          <w:lang w:val="en-PH" w:eastAsia="en-PH"/>
        </w:rPr>
        <w:t>Hairida et al., 2021)</w:t>
      </w:r>
      <w:r w:rsidRPr="00FA1F21">
        <w:rPr>
          <w:rFonts w:ascii="Arial" w:hAnsi="Arial" w:cs="Arial"/>
          <w:lang w:val="en-PH" w:eastAsia="en-PH"/>
        </w:rPr>
        <w:t>).</w:t>
      </w:r>
    </w:p>
    <w:p w14:paraId="27F6FB57"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Providing Encouraging Remarks and Positive Feedback. </w:t>
      </w:r>
      <w:r w:rsidRPr="00FA1F21">
        <w:rPr>
          <w:rFonts w:ascii="Arial" w:hAnsi="Arial" w:cs="Arial"/>
          <w:lang w:val="en-PH" w:eastAsia="en-PH"/>
        </w:rPr>
        <w:t>Feedback was another vital coping strategy. Teachers shifted away from purely evaluative comments, instead leaving encouraging remarks, stars, or stamps to motivate learners.</w:t>
      </w:r>
    </w:p>
    <w:p w14:paraId="4915015C"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“Mangtedak ti equivalent star… Agusarak iti stamps ti ubbing. No dadduma mangtedak iti plus points. Kerida met.” </w:t>
      </w:r>
      <w:r w:rsidRPr="00FA1F21">
        <w:rPr>
          <w:rFonts w:ascii="Arial" w:hAnsi="Arial" w:cs="Arial"/>
          <w:lang w:val="en-PH" w:eastAsia="en-PH"/>
        </w:rPr>
        <w:t>(I used stars, stamps, and bonus points in modules to encourage my students. They liked it.) – Teacher 14</w:t>
      </w:r>
    </w:p>
    <w:p w14:paraId="45E20E92" w14:textId="77A74EA5"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Positive, improvement-focused feedback is linked to reduced student anxiety and increased persistence (</w:t>
      </w:r>
      <w:r w:rsidR="00451D5E" w:rsidRPr="00451D5E">
        <w:rPr>
          <w:rFonts w:ascii="Arial" w:hAnsi="Arial" w:cs="Arial"/>
          <w:lang w:val="en-PH" w:eastAsia="en-PH"/>
        </w:rPr>
        <w:t>Williams, 2024</w:t>
      </w:r>
      <w:r w:rsidRPr="00FA1F21">
        <w:rPr>
          <w:rFonts w:ascii="Arial" w:hAnsi="Arial" w:cs="Arial"/>
          <w:lang w:val="en-PH" w:eastAsia="en-PH"/>
        </w:rPr>
        <w:t xml:space="preserve">; </w:t>
      </w:r>
      <w:r w:rsidR="00EF1E6C" w:rsidRPr="00EF1E6C">
        <w:rPr>
          <w:rFonts w:ascii="Arial" w:hAnsi="Arial" w:cs="Arial"/>
          <w:lang w:val="en-PH" w:eastAsia="en-PH"/>
        </w:rPr>
        <w:t>Konstantinidis, 2024</w:t>
      </w:r>
      <w:r w:rsidRPr="00FA1F21">
        <w:rPr>
          <w:rFonts w:ascii="Arial" w:hAnsi="Arial" w:cs="Arial"/>
          <w:lang w:val="en-PH" w:eastAsia="en-PH"/>
        </w:rPr>
        <w:t>).</w:t>
      </w:r>
    </w:p>
    <w:p w14:paraId="55FE3998" w14:textId="73CBE78F"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Collaborating with Fellow Teachers. </w:t>
      </w:r>
      <w:r w:rsidRPr="00FA1F21">
        <w:rPr>
          <w:rFonts w:ascii="Arial" w:hAnsi="Arial" w:cs="Arial"/>
          <w:lang w:val="en-PH" w:eastAsia="en-PH"/>
        </w:rPr>
        <w:t>Collaboration among World History teachers emerged as another adaptive practice. By sharing insights, co-developing supplemental activities, and contextualizing SLM content, teachers reduced the workload and improved materials’ relevance.</w:t>
      </w:r>
    </w:p>
    <w:p w14:paraId="14F46BA4"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“Nagaramidkamin iti alternative a nagko-colab-kami a teachers ti World History a nagaramid iti supplemental activities para kadagitay ubbingmi.” </w:t>
      </w:r>
      <w:r w:rsidRPr="00FA1F21">
        <w:rPr>
          <w:rFonts w:ascii="Arial" w:hAnsi="Arial" w:cs="Arial"/>
          <w:lang w:val="en-PH" w:eastAsia="en-PH"/>
        </w:rPr>
        <w:t>(We collaborated as World History teachers to create supplemental activities for our students.) – Teacher 4</w:t>
      </w:r>
    </w:p>
    <w:p w14:paraId="7FD229DF" w14:textId="77777777"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Research confirms that collaboration fosters professional growth and improves instructional practices (Vangrieken et al., 2015).</w:t>
      </w:r>
    </w:p>
    <w:p w14:paraId="3C9D522A" w14:textId="77777777" w:rsidR="00FA1F21" w:rsidRPr="00FA1F21" w:rsidRDefault="00FA1F21" w:rsidP="00FA1F21">
      <w:pPr>
        <w:spacing w:before="100" w:beforeAutospacing="1" w:after="100" w:afterAutospacing="1"/>
        <w:jc w:val="both"/>
        <w:rPr>
          <w:rFonts w:ascii="Arial" w:hAnsi="Arial" w:cs="Arial"/>
          <w:b/>
          <w:bCs/>
          <w:lang w:val="en-PH" w:eastAsia="en-PH"/>
        </w:rPr>
      </w:pPr>
      <w:r w:rsidRPr="00FA1F21">
        <w:rPr>
          <w:rFonts w:ascii="Arial" w:hAnsi="Arial" w:cs="Arial"/>
          <w:b/>
          <w:bCs/>
          <w:lang w:val="en-PH" w:eastAsia="en-PH"/>
        </w:rPr>
        <w:t xml:space="preserve">Introducing Interactive Elements. </w:t>
      </w:r>
      <w:r w:rsidRPr="00FA1F21">
        <w:rPr>
          <w:rFonts w:ascii="Arial" w:hAnsi="Arial" w:cs="Arial"/>
          <w:lang w:val="en-PH" w:eastAsia="en-PH"/>
        </w:rPr>
        <w:t>Finally, teachers used interactive tools—such as QR codes linked to videos, gamified quizzes, and downloadable content—to make learning more engaging.</w:t>
      </w:r>
    </w:p>
    <w:p w14:paraId="7A65DC5D" w14:textId="77777777" w:rsidR="00FA1F21" w:rsidRPr="00FA1F21" w:rsidRDefault="00FA1F21" w:rsidP="00FA1F21">
      <w:pPr>
        <w:spacing w:before="100" w:beforeAutospacing="1" w:after="100" w:afterAutospacing="1"/>
        <w:jc w:val="both"/>
        <w:rPr>
          <w:rFonts w:ascii="Arial" w:hAnsi="Arial" w:cs="Arial"/>
          <w:i/>
          <w:iCs/>
          <w:lang w:val="en-PH" w:eastAsia="en-PH"/>
        </w:rPr>
      </w:pPr>
      <w:r w:rsidRPr="00FA1F21">
        <w:rPr>
          <w:rFonts w:ascii="Arial" w:hAnsi="Arial" w:cs="Arial"/>
          <w:i/>
          <w:iCs/>
          <w:lang w:val="en-PH" w:eastAsia="en-PH"/>
        </w:rPr>
        <w:t xml:space="preserve">“Mangipaspasurotak kada activity iti QR Code… interactive learning kasla koma EdPuzzle ken dadduma pay a </w:t>
      </w:r>
      <w:proofErr w:type="gramStart"/>
      <w:r w:rsidRPr="00FA1F21">
        <w:rPr>
          <w:rFonts w:ascii="Arial" w:hAnsi="Arial" w:cs="Arial"/>
          <w:i/>
          <w:iCs/>
          <w:lang w:val="en-PH" w:eastAsia="en-PH"/>
        </w:rPr>
        <w:t>gamified activities</w:t>
      </w:r>
      <w:proofErr w:type="gramEnd"/>
      <w:r w:rsidRPr="00FA1F21">
        <w:rPr>
          <w:rFonts w:ascii="Arial" w:hAnsi="Arial" w:cs="Arial"/>
          <w:i/>
          <w:iCs/>
          <w:lang w:val="en-PH" w:eastAsia="en-PH"/>
        </w:rPr>
        <w:t xml:space="preserve">.” </w:t>
      </w:r>
      <w:r w:rsidRPr="00FA1F21">
        <w:rPr>
          <w:rFonts w:ascii="Arial" w:hAnsi="Arial" w:cs="Arial"/>
          <w:lang w:val="en-PH" w:eastAsia="en-PH"/>
        </w:rPr>
        <w:t>(I attached QR codes to activities for interactive learning such as EdPuzzle and gamified tasks.) – Teacher 7</w:t>
      </w:r>
    </w:p>
    <w:p w14:paraId="755B8B9C" w14:textId="4AA4FDDD" w:rsidR="00FA1F21" w:rsidRPr="00FA1F21" w:rsidRDefault="00FA1F21" w:rsidP="00FA1F21">
      <w:pPr>
        <w:spacing w:before="100" w:beforeAutospacing="1" w:after="100" w:afterAutospacing="1"/>
        <w:jc w:val="both"/>
        <w:rPr>
          <w:rFonts w:ascii="Arial" w:hAnsi="Arial" w:cs="Arial"/>
          <w:lang w:val="en-PH" w:eastAsia="en-PH"/>
        </w:rPr>
      </w:pPr>
      <w:r w:rsidRPr="00FA1F21">
        <w:rPr>
          <w:rFonts w:ascii="Arial" w:hAnsi="Arial" w:cs="Arial"/>
          <w:lang w:val="en-PH" w:eastAsia="en-PH"/>
        </w:rPr>
        <w:t>This is consistent with findings that integrating technology and blended learning boosts student engagement and performance (</w:t>
      </w:r>
      <w:r w:rsidR="002340DD" w:rsidRPr="002340DD">
        <w:rPr>
          <w:rFonts w:ascii="Arial" w:hAnsi="Arial" w:cs="Arial"/>
          <w:lang w:val="en-PH" w:eastAsia="en-PH"/>
        </w:rPr>
        <w:t>Garcia et al., 2022</w:t>
      </w:r>
      <w:r w:rsidRPr="00FA1F21">
        <w:rPr>
          <w:rFonts w:ascii="Arial" w:hAnsi="Arial" w:cs="Arial"/>
          <w:lang w:val="en-PH" w:eastAsia="en-PH"/>
        </w:rPr>
        <w:t>; Hashemi &amp; Sina, 2020</w:t>
      </w:r>
      <w:r w:rsidR="00504A9F">
        <w:rPr>
          <w:rFonts w:ascii="Arial" w:hAnsi="Arial" w:cs="Arial"/>
          <w:lang w:val="en-PH" w:eastAsia="en-PH"/>
        </w:rPr>
        <w:t xml:space="preserve">, </w:t>
      </w:r>
      <w:r w:rsidR="00504A9F" w:rsidRPr="00504A9F">
        <w:rPr>
          <w:rFonts w:ascii="Arial" w:hAnsi="Arial" w:cs="Arial"/>
          <w:lang w:eastAsia="en-PH"/>
        </w:rPr>
        <w:t>Al-Rowayeh, 2022</w:t>
      </w:r>
      <w:r w:rsidRPr="00FA1F21">
        <w:rPr>
          <w:rFonts w:ascii="Arial" w:hAnsi="Arial" w:cs="Arial"/>
          <w:lang w:val="en-PH" w:eastAsia="en-PH"/>
        </w:rPr>
        <w:t>).</w:t>
      </w:r>
    </w:p>
    <w:p w14:paraId="64F57F08" w14:textId="117EC05F" w:rsidR="00790ADA" w:rsidRPr="00FA1F21" w:rsidRDefault="00FA1F21" w:rsidP="00FA1F21">
      <w:pPr>
        <w:spacing w:before="100" w:beforeAutospacing="1" w:after="100" w:afterAutospacing="1"/>
        <w:jc w:val="both"/>
        <w:rPr>
          <w:rFonts w:ascii="Palatino Linotype" w:hAnsi="Palatino Linotype"/>
          <w:sz w:val="32"/>
          <w:szCs w:val="32"/>
          <w:lang w:val="en-PH" w:eastAsia="en-PH"/>
        </w:rPr>
      </w:pPr>
      <w:r w:rsidRPr="00FA1F21">
        <w:rPr>
          <w:rFonts w:ascii="Arial" w:eastAsia="SimSun" w:hAnsi="Arial" w:cs="Arial"/>
          <w:lang w:val="en-GB"/>
        </w:rPr>
        <w:t>Overall, the coping strategies implemented by World History teachers reveal a proactive attempt to adapt modular distance learning to students’ needs. These strategies—ranging from enrichment activities and online guidance to peer collaboration, feedback, and interactive elements—helped mitigate challenges in comprehension, motivation, and engagement. While many approaches were resource-intensive, they illustrate the crucial role of teacher creativity, collaboration, and empathy in sustaining learning through SLMs</w:t>
      </w:r>
      <w:r w:rsidR="00502516" w:rsidRPr="00FA1F21">
        <w:rPr>
          <w:rFonts w:ascii="Arial" w:hAnsi="Arial" w:cs="Arial"/>
          <w:sz w:val="24"/>
          <w:szCs w:val="24"/>
        </w:rPr>
        <w:t>.</w:t>
      </w: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22ABD0C0" w14:textId="77777777" w:rsidR="00FA1F21" w:rsidRPr="00FA1F21" w:rsidRDefault="00FA1F21" w:rsidP="00FA1F21">
      <w:pPr>
        <w:pStyle w:val="Body"/>
        <w:rPr>
          <w:rFonts w:ascii="Arial" w:hAnsi="Arial" w:cs="Arial"/>
        </w:rPr>
      </w:pPr>
      <w:r w:rsidRPr="00FA1F21">
        <w:rPr>
          <w:rFonts w:ascii="Arial" w:hAnsi="Arial" w:cs="Arial"/>
        </w:rPr>
        <w:t xml:space="preserve">Based on the findings, it can be concluded that the Self-Learning Modules (SLMs) in World History are perceived by teachers as suitable instructional tools because they embody characteristics that are specific, measurable, attainable, relevant, and time-bound (SMART). The modules are designed with clear and coherent objectives, and their activities promote </w:t>
      </w:r>
      <w:r w:rsidRPr="00FA1F21">
        <w:rPr>
          <w:rFonts w:ascii="Arial" w:hAnsi="Arial" w:cs="Arial"/>
        </w:rPr>
        <w:lastRenderedPageBreak/>
        <w:t>higher-order thinking skills, foster students’ holistic development, and incorporate assessment techniques that are crucial for monitoring learning and supporting metacognitive growth. Collectively, these features enable SLMs to facilitate continuous learning in flexible education contexts. However, the study also highlights that the implementation of modular distance learning presents several challenges for both teachers and students. Learners encountered issues such as difficulty in accomplishing tasks, lack of motivation, limited access to resources, and underdeveloped independent learning skills. Teachers, on the other hand, faced time-consuming preparation, challenges in contextualization, lack of clear distribution systems, difficulties in monitoring student progress, and resource constraints in evaluating outputs.</w:t>
      </w:r>
    </w:p>
    <w:p w14:paraId="34740B1A" w14:textId="77777777" w:rsidR="00FA1F21" w:rsidRPr="00FA1F21" w:rsidRDefault="00FA1F21" w:rsidP="00FA1F21">
      <w:pPr>
        <w:pStyle w:val="Body"/>
        <w:rPr>
          <w:rFonts w:ascii="Arial" w:hAnsi="Arial" w:cs="Arial"/>
        </w:rPr>
      </w:pPr>
      <w:r w:rsidRPr="00FA1F21">
        <w:rPr>
          <w:rFonts w:ascii="Arial" w:hAnsi="Arial" w:cs="Arial"/>
        </w:rPr>
        <w:t>In response to these challenges, teachers developed and adapted various coping strategies, including the creation of enrichment activities, providing additional guidance through online platforms, offering supplemental resources, ensuring clear instructions, encouraging peer collaboration, giving positive feedback, and collaborating with fellow educators. These approaches helped mitigate barriers and ensured that students remained engaged and motivated in their learning. The findings further align with Moore’s Transactional Distance Theory, underscoring the importance of bridging the psychological and communication gap between teachers and learners in distance education. Teachers’ strategies effectively functioned as mechanisms to reduce transactional distance, enabling students to engage meaningfully with SLMs and appreciate the advantages of flexible learning modalities.</w:t>
      </w:r>
    </w:p>
    <w:p w14:paraId="413136B7" w14:textId="52ED89E5" w:rsidR="00B01FCD" w:rsidRDefault="00FA1F21" w:rsidP="00FA1F21">
      <w:pPr>
        <w:pStyle w:val="Body"/>
        <w:spacing w:after="0"/>
        <w:rPr>
          <w:rFonts w:ascii="Arial" w:hAnsi="Arial" w:cs="Arial"/>
        </w:rPr>
      </w:pPr>
      <w:r w:rsidRPr="00FA1F21">
        <w:rPr>
          <w:rFonts w:ascii="Arial" w:hAnsi="Arial" w:cs="Arial"/>
        </w:rPr>
        <w:t>In light of the findings, several recommendations are proposed to strengthen the use of SLMs in World History and beyond. Teachers and instructional material writers are encouraged to continue developing contextualized SLMs that respond to diverse learner needs while integrating enrichment activities and interactive elements to sustain engagement and comprehension. School administrators may provide institutional support by allocating resources and offering sustained professional development for teachers in instructional material development, particularly in crafting and adapting SLMs for flexible learning. The Department of Education (DepEd) is encouraged to strengthen its monitoring and evaluation mechanisms, institutionalize clear distribution and retrieval systems, and ensure the continuous improvement of modules during emergencies. Lastly, curriculum developers and policymakers may revisit and enhance curriculum standards to make them responsive, relevant, and adaptable to various delivery modes, thereby ensuring preparedness for future disruptions to traditional classroom instruction.</w:t>
      </w:r>
    </w:p>
    <w:p w14:paraId="180CEDB0" w14:textId="77777777" w:rsidR="00790ADA" w:rsidRPr="00FB3A86" w:rsidRDefault="00790ADA" w:rsidP="00441B6F">
      <w:pPr>
        <w:pStyle w:val="Body"/>
        <w:spacing w:after="0"/>
        <w:rPr>
          <w:rFonts w:ascii="Arial" w:hAnsi="Arial" w:cs="Arial"/>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6DD7A86C"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711D66CF" w:rsidR="001A29D8" w:rsidRPr="009141C6" w:rsidRDefault="001A29D8" w:rsidP="00441B6F">
      <w:pPr>
        <w:pStyle w:val="ReferHead"/>
        <w:spacing w:after="0"/>
        <w:jc w:val="both"/>
        <w:rPr>
          <w:rFonts w:ascii="Arial" w:hAnsi="Arial" w:cs="Arial"/>
          <w:b w:val="0"/>
          <w:caps w:val="0"/>
          <w:sz w:val="20"/>
        </w:rPr>
      </w:pPr>
      <w:r w:rsidRPr="009141C6">
        <w:rPr>
          <w:rFonts w:ascii="Arial" w:hAnsi="Arial" w:cs="Arial"/>
          <w:b w:val="0"/>
          <w:caps w:val="0"/>
          <w:sz w:val="20"/>
        </w:rPr>
        <w:t xml:space="preserve">All authors declare that ‘written informed consent was obtained from </w:t>
      </w:r>
      <w:r w:rsidR="009141C6" w:rsidRPr="009141C6">
        <w:rPr>
          <w:rFonts w:ascii="Arial" w:hAnsi="Arial" w:cs="Arial"/>
          <w:b w:val="0"/>
          <w:caps w:val="0"/>
          <w:sz w:val="20"/>
        </w:rPr>
        <w:t xml:space="preserve">all the respondents and asked permission to necessary authorities to conduct the study. </w:t>
      </w:r>
      <w:r w:rsidRPr="009141C6">
        <w:rPr>
          <w:rFonts w:ascii="Arial" w:hAnsi="Arial" w:cs="Arial"/>
          <w:b w:val="0"/>
          <w:caps w:val="0"/>
          <w:sz w:val="20"/>
        </w:rPr>
        <w:t>A copy of the written consent is available for review by the Editorial office/Chief Editor/Editorial Board members of this journal.</w:t>
      </w:r>
    </w:p>
    <w:p w14:paraId="1E353AF7" w14:textId="77777777" w:rsidR="005C784C" w:rsidRDefault="005C784C" w:rsidP="00441B6F">
      <w:pPr>
        <w:pStyle w:val="ReferHead"/>
        <w:spacing w:after="0"/>
        <w:jc w:val="both"/>
        <w:rPr>
          <w:rFonts w:ascii="Arial" w:hAnsi="Arial" w:cs="Arial"/>
          <w:b w:val="0"/>
          <w:caps w:val="0"/>
          <w:sz w:val="20"/>
        </w:rPr>
      </w:pPr>
    </w:p>
    <w:p w14:paraId="7B23D99D" w14:textId="3BE246CC" w:rsidR="005C784C" w:rsidRDefault="005C784C" w:rsidP="00441B6F">
      <w:pPr>
        <w:pStyle w:val="ReferHead"/>
        <w:spacing w:after="0"/>
        <w:jc w:val="both"/>
        <w:rPr>
          <w:rFonts w:ascii="Arial" w:hAnsi="Arial" w:cs="Arial"/>
          <w:bCs/>
        </w:rPr>
      </w:pPr>
      <w:r>
        <w:rPr>
          <w:rFonts w:ascii="Arial" w:hAnsi="Arial" w:cs="Arial"/>
          <w:bCs/>
        </w:rPr>
        <w:t>Ethical approval</w:t>
      </w:r>
    </w:p>
    <w:p w14:paraId="4F0DB3C9" w14:textId="77777777" w:rsidR="00CD6856" w:rsidRDefault="00CD6856" w:rsidP="00441B6F">
      <w:pPr>
        <w:pStyle w:val="ReferHead"/>
        <w:spacing w:after="0"/>
        <w:jc w:val="both"/>
        <w:rPr>
          <w:rFonts w:ascii="Arial" w:hAnsi="Arial" w:cs="Arial"/>
          <w:b w:val="0"/>
          <w:caps w:val="0"/>
          <w:sz w:val="20"/>
        </w:rPr>
      </w:pPr>
    </w:p>
    <w:p w14:paraId="67E8FCD0" w14:textId="3CAFF3F5" w:rsidR="009141C6" w:rsidRDefault="009141C6" w:rsidP="00441B6F">
      <w:pPr>
        <w:pStyle w:val="ReferHead"/>
        <w:spacing w:after="0"/>
        <w:jc w:val="both"/>
        <w:rPr>
          <w:rFonts w:ascii="Arial" w:hAnsi="Arial" w:cs="Arial"/>
          <w:b w:val="0"/>
          <w:caps w:val="0"/>
          <w:sz w:val="20"/>
        </w:rPr>
      </w:pPr>
      <w:r w:rsidRPr="009141C6">
        <w:rPr>
          <w:rFonts w:ascii="Arial" w:hAnsi="Arial" w:cs="Arial"/>
          <w:b w:val="0"/>
          <w:caps w:val="0"/>
          <w:sz w:val="20"/>
        </w:rPr>
        <w:t>This study was granted ethical clearance by the University Research Ethics Review Board (URERB) of a recognized university. All authors affirm that the data-gathering procedures and the informed consent process were reviewed and approved by the said ethics committee. The conduct of the study adhered to the ethical standards outlined in the 1964 Declaration of Helsinki and its subsequent amendments.</w:t>
      </w:r>
    </w:p>
    <w:p w14:paraId="0B4DFAD5" w14:textId="77777777" w:rsidR="009141C6" w:rsidRPr="009141C6" w:rsidRDefault="009141C6" w:rsidP="00441B6F">
      <w:pPr>
        <w:pStyle w:val="ReferHead"/>
        <w:spacing w:after="0"/>
        <w:jc w:val="both"/>
        <w:rPr>
          <w:rFonts w:ascii="Arial" w:hAnsi="Arial" w:cs="Arial"/>
          <w:b w:val="0"/>
          <w:caps w:val="0"/>
          <w:sz w:val="20"/>
        </w:rPr>
      </w:pPr>
    </w:p>
    <w:p w14:paraId="7BBDD103" w14:textId="53B9C78C" w:rsidR="009141C6" w:rsidRDefault="009141C6" w:rsidP="009141C6">
      <w:pPr>
        <w:pStyle w:val="ReferHead"/>
        <w:spacing w:after="0"/>
        <w:jc w:val="both"/>
        <w:rPr>
          <w:rFonts w:ascii="Arial" w:hAnsi="Arial" w:cs="Arial"/>
          <w:bCs/>
        </w:rPr>
      </w:pPr>
      <w:r w:rsidRPr="009141C6">
        <w:rPr>
          <w:rFonts w:ascii="Arial" w:hAnsi="Arial" w:cs="Arial"/>
          <w:bCs/>
        </w:rPr>
        <w:t>DISCLAIMER (ARTIFICIAL INTELLIGENCE)</w:t>
      </w:r>
    </w:p>
    <w:p w14:paraId="342A48EB" w14:textId="77777777" w:rsidR="009141C6" w:rsidRPr="009141C6" w:rsidRDefault="009141C6" w:rsidP="009141C6">
      <w:pPr>
        <w:pStyle w:val="ReferHead"/>
        <w:spacing w:after="0"/>
        <w:jc w:val="both"/>
        <w:rPr>
          <w:rFonts w:ascii="Arial" w:hAnsi="Arial" w:cs="Arial"/>
          <w:bCs/>
        </w:rPr>
      </w:pPr>
    </w:p>
    <w:p w14:paraId="19FD374E" w14:textId="0115B79A" w:rsidR="009141C6" w:rsidRPr="009141C6" w:rsidRDefault="009141C6" w:rsidP="009141C6">
      <w:pPr>
        <w:pStyle w:val="ReferHead"/>
        <w:jc w:val="both"/>
        <w:rPr>
          <w:rFonts w:ascii="Arial" w:hAnsi="Arial" w:cs="Arial"/>
          <w:b w:val="0"/>
          <w:caps w:val="0"/>
          <w:sz w:val="20"/>
        </w:rPr>
      </w:pPr>
      <w:r w:rsidRPr="009141C6">
        <w:rPr>
          <w:rFonts w:ascii="Arial" w:hAnsi="Arial" w:cs="Arial"/>
          <w:b w:val="0"/>
          <w:caps w:val="0"/>
          <w:sz w:val="20"/>
        </w:rPr>
        <w:t>The author(s) declare that generative Artificial Intelligence (AI) tools, including Large Language Models, were utilized in the preparation and refinement of this manuscript. The details regarding the use of AI technology, including the model, version, source, and nature of its application, are provided below:</w:t>
      </w:r>
    </w:p>
    <w:p w14:paraId="5DE2EB84" w14:textId="77777777" w:rsidR="009141C6" w:rsidRPr="009141C6" w:rsidRDefault="009141C6" w:rsidP="009141C6">
      <w:pPr>
        <w:pStyle w:val="ReferHead"/>
        <w:numPr>
          <w:ilvl w:val="0"/>
          <w:numId w:val="32"/>
        </w:numPr>
        <w:spacing w:after="0"/>
        <w:jc w:val="both"/>
        <w:rPr>
          <w:rFonts w:ascii="Arial" w:hAnsi="Arial" w:cs="Arial"/>
          <w:b w:val="0"/>
          <w:caps w:val="0"/>
          <w:sz w:val="20"/>
        </w:rPr>
      </w:pPr>
      <w:r w:rsidRPr="009141C6">
        <w:rPr>
          <w:rFonts w:ascii="Arial" w:hAnsi="Arial" w:cs="Arial"/>
          <w:b w:val="0"/>
          <w:caps w:val="0"/>
          <w:sz w:val="20"/>
        </w:rPr>
        <w:t>Name and Version: ChatGPT-5</w:t>
      </w:r>
    </w:p>
    <w:p w14:paraId="399F9B06" w14:textId="77777777" w:rsidR="009141C6" w:rsidRPr="009141C6" w:rsidRDefault="009141C6" w:rsidP="009141C6">
      <w:pPr>
        <w:pStyle w:val="ReferHead"/>
        <w:numPr>
          <w:ilvl w:val="0"/>
          <w:numId w:val="32"/>
        </w:numPr>
        <w:spacing w:after="0"/>
        <w:jc w:val="both"/>
        <w:rPr>
          <w:rFonts w:ascii="Arial" w:hAnsi="Arial" w:cs="Arial"/>
          <w:b w:val="0"/>
          <w:caps w:val="0"/>
          <w:sz w:val="20"/>
        </w:rPr>
      </w:pPr>
      <w:r w:rsidRPr="009141C6">
        <w:rPr>
          <w:rFonts w:ascii="Arial" w:hAnsi="Arial" w:cs="Arial"/>
          <w:b w:val="0"/>
          <w:caps w:val="0"/>
          <w:sz w:val="20"/>
        </w:rPr>
        <w:t>Purpose of Use: Employed as a tool for English language critique and enhancement.</w:t>
      </w:r>
    </w:p>
    <w:p w14:paraId="24C87081" w14:textId="507175BA" w:rsidR="009141C6" w:rsidRPr="009141C6" w:rsidRDefault="009141C6" w:rsidP="009141C6">
      <w:pPr>
        <w:pStyle w:val="ReferHead"/>
        <w:numPr>
          <w:ilvl w:val="0"/>
          <w:numId w:val="32"/>
        </w:numPr>
        <w:spacing w:after="0"/>
        <w:jc w:val="both"/>
        <w:rPr>
          <w:rFonts w:ascii="Arial" w:hAnsi="Arial" w:cs="Arial"/>
          <w:b w:val="0"/>
          <w:caps w:val="0"/>
          <w:sz w:val="20"/>
        </w:rPr>
      </w:pPr>
      <w:r w:rsidRPr="009141C6">
        <w:rPr>
          <w:rFonts w:ascii="Arial" w:hAnsi="Arial" w:cs="Arial"/>
          <w:b w:val="0"/>
          <w:caps w:val="0"/>
          <w:sz w:val="20"/>
        </w:rPr>
        <w:t>Prompt Used: “Assume the role of an English critic at a reputable university. Rephrase and synthesize the given research article for publication, refining its structure by improving grammar, spelling, and sentence construction. The output must adhere to the provided example for topics and subtopics.”</w:t>
      </w:r>
    </w:p>
    <w:p w14:paraId="360DC320" w14:textId="3890BD5C" w:rsidR="009141C6" w:rsidRPr="009141C6" w:rsidRDefault="009141C6" w:rsidP="009141C6">
      <w:pPr>
        <w:pStyle w:val="ReferHead"/>
        <w:spacing w:before="240" w:after="0"/>
        <w:jc w:val="both"/>
        <w:rPr>
          <w:rFonts w:ascii="Arial" w:hAnsi="Arial" w:cs="Arial"/>
          <w:b w:val="0"/>
          <w:caps w:val="0"/>
          <w:sz w:val="20"/>
        </w:rPr>
      </w:pPr>
      <w:r w:rsidRPr="009141C6">
        <w:rPr>
          <w:rFonts w:ascii="Arial" w:hAnsi="Arial" w:cs="Arial"/>
          <w:b w:val="0"/>
          <w:caps w:val="0"/>
          <w:sz w:val="20"/>
        </w:rPr>
        <w:t>The authors affirm that the final manuscript was thoroughly reviewed, revised, and approved by all authors, ensuring that the intellectual and analytical integrity of the work remains entirely their own.</w:t>
      </w:r>
    </w:p>
    <w:p w14:paraId="5143A3F8" w14:textId="77777777" w:rsidR="00860000" w:rsidRDefault="00860000" w:rsidP="00441B6F">
      <w:pPr>
        <w:pStyle w:val="ReferHead"/>
        <w:spacing w:after="0"/>
        <w:jc w:val="both"/>
        <w:rPr>
          <w:rFonts w:ascii="Arial" w:hAnsi="Arial" w:cs="Arial"/>
        </w:rPr>
      </w:pPr>
    </w:p>
    <w:p w14:paraId="2D59FD8E" w14:textId="77777777" w:rsidR="007B6319" w:rsidRDefault="007B6319" w:rsidP="007B6319">
      <w:pPr>
        <w:pStyle w:val="DefAcrHead"/>
        <w:jc w:val="both"/>
        <w:rPr>
          <w:rFonts w:ascii="Arial" w:hAnsi="Arial" w:cs="Arial"/>
        </w:rPr>
      </w:pPr>
      <w:r w:rsidRPr="00FB3A86">
        <w:rPr>
          <w:rFonts w:ascii="Arial" w:hAnsi="Arial" w:cs="Arial"/>
        </w:rPr>
        <w:t>Definitions</w:t>
      </w:r>
      <w:r>
        <w:rPr>
          <w:rFonts w:ascii="Arial" w:hAnsi="Arial" w:cs="Arial"/>
        </w:rPr>
        <w:t xml:space="preserve"> OF TERMS</w:t>
      </w:r>
    </w:p>
    <w:p w14:paraId="7060FAEA" w14:textId="77777777" w:rsidR="007B6319" w:rsidRDefault="007B6319" w:rsidP="007B6319">
      <w:pPr>
        <w:pStyle w:val="Body"/>
        <w:rPr>
          <w:rFonts w:ascii="Arial" w:hAnsi="Arial" w:cs="Arial"/>
        </w:rPr>
      </w:pPr>
      <w:r w:rsidRPr="000C3A8D">
        <w:rPr>
          <w:rFonts w:ascii="Arial" w:hAnsi="Arial" w:cs="Arial"/>
        </w:rPr>
        <w:t>The following terms are operationally defined to establish clarity and consistency within the context of this</w:t>
      </w:r>
      <w:r>
        <w:rPr>
          <w:rFonts w:ascii="Arial" w:hAnsi="Arial" w:cs="Arial"/>
        </w:rPr>
        <w:t xml:space="preserve"> research study:</w:t>
      </w:r>
    </w:p>
    <w:p w14:paraId="5386C40A" w14:textId="77777777" w:rsidR="007B6319" w:rsidRDefault="007B6319" w:rsidP="007B6319">
      <w:pPr>
        <w:pStyle w:val="Body"/>
        <w:rPr>
          <w:rFonts w:ascii="Arial" w:hAnsi="Arial" w:cs="Arial"/>
        </w:rPr>
      </w:pPr>
      <w:r w:rsidRPr="000C3A8D">
        <w:rPr>
          <w:rFonts w:ascii="Arial" w:hAnsi="Arial" w:cs="Arial"/>
          <w:b/>
          <w:bCs/>
        </w:rPr>
        <w:t>Araling Panlipunan 8.</w:t>
      </w:r>
      <w:r>
        <w:rPr>
          <w:rFonts w:ascii="Arial" w:hAnsi="Arial" w:cs="Arial"/>
        </w:rPr>
        <w:t xml:space="preserve"> </w:t>
      </w:r>
      <w:r w:rsidRPr="000C3A8D">
        <w:rPr>
          <w:rFonts w:ascii="Arial" w:hAnsi="Arial" w:cs="Arial"/>
        </w:rPr>
        <w:t>This pertains to an issue-centered and inquiry-based interdisciplinary subject that integrates concepts from history, geography, economics, law, ecology, philosophy, political science, and other related social science disciplines. It is taught in junior high school and primarily focuses on World History.</w:t>
      </w:r>
    </w:p>
    <w:p w14:paraId="741B9629" w14:textId="77777777" w:rsidR="007B6319" w:rsidRDefault="007B6319" w:rsidP="007B6319">
      <w:pPr>
        <w:pStyle w:val="Body"/>
        <w:rPr>
          <w:rFonts w:ascii="Arial" w:hAnsi="Arial" w:cs="Arial"/>
        </w:rPr>
      </w:pPr>
      <w:r w:rsidRPr="000C3A8D">
        <w:rPr>
          <w:rFonts w:ascii="Arial" w:hAnsi="Arial" w:cs="Arial"/>
          <w:b/>
          <w:bCs/>
        </w:rPr>
        <w:t>Challenges.</w:t>
      </w:r>
      <w:r w:rsidRPr="000C3A8D">
        <w:rPr>
          <w:rFonts w:ascii="Arial" w:hAnsi="Arial" w:cs="Arial"/>
        </w:rPr>
        <w:t xml:space="preserve"> These refer to the common difficulties or obstacles encountered by students in utilizing the Self-Learning Modules (SLMs) in Araling Panlipunan 8 during the implementation of flexible learning.</w:t>
      </w:r>
    </w:p>
    <w:p w14:paraId="615C9DA0" w14:textId="77777777" w:rsidR="007B6319" w:rsidRDefault="007B6319" w:rsidP="007B6319">
      <w:pPr>
        <w:pStyle w:val="Body"/>
        <w:rPr>
          <w:rFonts w:ascii="Arial" w:hAnsi="Arial" w:cs="Arial"/>
        </w:rPr>
      </w:pPr>
      <w:r w:rsidRPr="000C3A8D">
        <w:rPr>
          <w:rFonts w:ascii="Arial" w:hAnsi="Arial" w:cs="Arial"/>
          <w:b/>
          <w:bCs/>
        </w:rPr>
        <w:t>Objectives.</w:t>
      </w:r>
      <w:r w:rsidRPr="000C3A8D">
        <w:rPr>
          <w:rFonts w:ascii="Arial" w:hAnsi="Arial" w:cs="Arial"/>
        </w:rPr>
        <w:t xml:space="preserve"> These are the clearly defined, measurable, and attainable learning goals embedded within the SLMs in World History, aligned with the Department of Education’s (DepEd) Most Essential Learning Competencies (MELCs).</w:t>
      </w:r>
    </w:p>
    <w:p w14:paraId="3917F158" w14:textId="77777777" w:rsidR="007B6319" w:rsidRDefault="007B6319" w:rsidP="007B6319">
      <w:pPr>
        <w:pStyle w:val="Body"/>
        <w:rPr>
          <w:rFonts w:ascii="Arial" w:hAnsi="Arial" w:cs="Arial"/>
        </w:rPr>
      </w:pPr>
      <w:r w:rsidRPr="000C3A8D">
        <w:rPr>
          <w:rFonts w:ascii="Arial" w:hAnsi="Arial" w:cs="Arial"/>
          <w:b/>
          <w:bCs/>
        </w:rPr>
        <w:lastRenderedPageBreak/>
        <w:t xml:space="preserve">Perceptions. </w:t>
      </w:r>
      <w:r w:rsidRPr="000C3A8D">
        <w:rPr>
          <w:rFonts w:ascii="Arial" w:hAnsi="Arial" w:cs="Arial"/>
        </w:rPr>
        <w:t>These denote the viewpoints, attitudes, and interpretations of teachers based on their personal experiences with the use of SLMs in teaching Social Studies—specifically World History—at the junior high school level under flexible learning conditions.</w:t>
      </w:r>
    </w:p>
    <w:p w14:paraId="66929E39" w14:textId="77777777" w:rsidR="007B6319" w:rsidRDefault="007B6319" w:rsidP="007B6319">
      <w:pPr>
        <w:pStyle w:val="Body"/>
        <w:rPr>
          <w:rFonts w:ascii="Arial" w:hAnsi="Arial" w:cs="Arial"/>
        </w:rPr>
      </w:pPr>
      <w:r w:rsidRPr="000C3A8D">
        <w:rPr>
          <w:rFonts w:ascii="Arial" w:hAnsi="Arial" w:cs="Arial"/>
          <w:b/>
          <w:bCs/>
        </w:rPr>
        <w:t>Self-Learning Module (SLM).</w:t>
      </w:r>
      <w:r w:rsidRPr="000C3A8D">
        <w:rPr>
          <w:rFonts w:ascii="Arial" w:hAnsi="Arial" w:cs="Arial"/>
        </w:rPr>
        <w:t xml:space="preserve"> This refers to a teacher-developed instructional material in modular format used for teaching World History through distance or flexible learning. It is designed for self-paced learning and contains lessons, activities, and self-assessment tasks that allow learners to monitor their own progress and performance.</w:t>
      </w:r>
    </w:p>
    <w:p w14:paraId="21CCE812" w14:textId="77777777" w:rsidR="007B6319" w:rsidRPr="000C3A8D" w:rsidRDefault="007B6319" w:rsidP="007B6319">
      <w:pPr>
        <w:pStyle w:val="Body"/>
        <w:rPr>
          <w:rFonts w:ascii="Arial" w:hAnsi="Arial" w:cs="Arial"/>
        </w:rPr>
      </w:pPr>
      <w:r w:rsidRPr="000C3A8D">
        <w:rPr>
          <w:rFonts w:ascii="Arial" w:hAnsi="Arial" w:cs="Arial"/>
          <w:b/>
          <w:bCs/>
        </w:rPr>
        <w:t>Use of SLMs.</w:t>
      </w:r>
      <w:r w:rsidRPr="000C3A8D">
        <w:rPr>
          <w:rFonts w:ascii="Arial" w:hAnsi="Arial" w:cs="Arial"/>
        </w:rPr>
        <w:t xml:space="preserve"> This refers to the application of self-learning modules as instructional materials that enable learners to study independently and at their own pace. Through the SLMs, students follow structured instructions that help them develop independent thinking skills and take ownership of their learning process. This construct encompasses several dimensions, including:</w:t>
      </w:r>
    </w:p>
    <w:p w14:paraId="34077C47" w14:textId="77777777" w:rsidR="007B6319" w:rsidRDefault="007B6319"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Pr="00FB3A86" w:rsidRDefault="00790ADA" w:rsidP="00441B6F">
      <w:pPr>
        <w:pStyle w:val="ReferHead"/>
        <w:spacing w:after="0"/>
        <w:jc w:val="both"/>
        <w:rPr>
          <w:rFonts w:ascii="Arial" w:hAnsi="Arial" w:cs="Arial"/>
        </w:rPr>
      </w:pPr>
    </w:p>
    <w:p w14:paraId="1DFC13AC"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Almahasees, Z., Husienat, I., &amp; Husienat, A. (2022). Perceptions of university students toward blended learning during COVID-19. </w:t>
      </w:r>
      <w:r w:rsidRPr="00F21450">
        <w:rPr>
          <w:rFonts w:ascii="Arial" w:hAnsi="Arial" w:cs="Arial"/>
          <w:i/>
          <w:iCs/>
          <w:lang w:val="en-PH" w:eastAsia="en-PH"/>
        </w:rPr>
        <w:t>Journal of Higher Education Theory and Practice</w:t>
      </w:r>
      <w:r w:rsidRPr="00F21450">
        <w:rPr>
          <w:rFonts w:ascii="Arial" w:hAnsi="Arial" w:cs="Arial"/>
          <w:lang w:val="en-PH" w:eastAsia="en-PH"/>
        </w:rPr>
        <w:t xml:space="preserve">, </w:t>
      </w:r>
      <w:r w:rsidRPr="00F21450">
        <w:rPr>
          <w:rFonts w:ascii="Arial" w:hAnsi="Arial" w:cs="Arial"/>
          <w:i/>
          <w:iCs/>
          <w:lang w:val="en-PH" w:eastAsia="en-PH"/>
        </w:rPr>
        <w:t>22</w:t>
      </w:r>
      <w:r w:rsidRPr="00F21450">
        <w:rPr>
          <w:rFonts w:ascii="Arial" w:hAnsi="Arial" w:cs="Arial"/>
          <w:lang w:val="en-PH" w:eastAsia="en-PH"/>
        </w:rPr>
        <w:t xml:space="preserve">(18). </w:t>
      </w:r>
      <w:hyperlink r:id="rId8" w:history="1">
        <w:r w:rsidRPr="00F21450">
          <w:rPr>
            <w:rFonts w:ascii="Arial" w:hAnsi="Arial" w:cs="Arial"/>
            <w:lang w:val="en-PH" w:eastAsia="en-PH"/>
          </w:rPr>
          <w:t>https://doi.org/10.33423/jhetp.v22i18.5701</w:t>
        </w:r>
      </w:hyperlink>
    </w:p>
    <w:p w14:paraId="6A8B721E"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Al-Rowayeh, J. (2022). The effects of Using Blended Learning Approach in English Language Teaching and Learning: A literature Review. </w:t>
      </w:r>
      <w:r w:rsidRPr="00F21450">
        <w:rPr>
          <w:rFonts w:ascii="Arial" w:hAnsi="Arial" w:cs="Arial"/>
          <w:i/>
          <w:iCs/>
          <w:lang w:val="en-PH" w:eastAsia="en-PH"/>
        </w:rPr>
        <w:t>Zenodo (CERN European Organization for Nuclear Research)</w:t>
      </w:r>
      <w:r w:rsidRPr="00F21450">
        <w:rPr>
          <w:rFonts w:ascii="Arial" w:hAnsi="Arial" w:cs="Arial"/>
          <w:lang w:val="en-PH" w:eastAsia="en-PH"/>
        </w:rPr>
        <w:t>. https://doi.org/10.5281/zenodo.7406740</w:t>
      </w:r>
    </w:p>
    <w:p w14:paraId="02A5D16D"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Ambayon, C. M. (2020). Modular-Based approach and students’ achievement in literature. </w:t>
      </w:r>
      <w:r w:rsidRPr="00F21450">
        <w:rPr>
          <w:rFonts w:ascii="Arial" w:hAnsi="Arial" w:cs="Arial"/>
          <w:i/>
          <w:iCs/>
          <w:lang w:val="en-PH" w:eastAsia="en-PH"/>
        </w:rPr>
        <w:t>International Journal of Education and Literacy Studies</w:t>
      </w:r>
      <w:r w:rsidRPr="00F21450">
        <w:rPr>
          <w:rFonts w:ascii="Arial" w:hAnsi="Arial" w:cs="Arial"/>
          <w:lang w:val="en-PH" w:eastAsia="en-PH"/>
        </w:rPr>
        <w:t xml:space="preserve">, </w:t>
      </w:r>
      <w:r w:rsidRPr="00F21450">
        <w:rPr>
          <w:rFonts w:ascii="Arial" w:hAnsi="Arial" w:cs="Arial"/>
          <w:i/>
          <w:iCs/>
          <w:lang w:val="en-PH" w:eastAsia="en-PH"/>
        </w:rPr>
        <w:t>8</w:t>
      </w:r>
      <w:r w:rsidRPr="00F21450">
        <w:rPr>
          <w:rFonts w:ascii="Arial" w:hAnsi="Arial" w:cs="Arial"/>
          <w:lang w:val="en-PH" w:eastAsia="en-PH"/>
        </w:rPr>
        <w:t>(3), 32. https://doi.org/10.7575/aiac.ijels.v.8n.3p.32</w:t>
      </w:r>
    </w:p>
    <w:p w14:paraId="2E6004FC"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Ancheta, R., &amp; Ancheta, H. (2020). The new normal in education: a challenge to the private basic education institutions in the Philippines? </w:t>
      </w:r>
      <w:r w:rsidRPr="00F21450">
        <w:rPr>
          <w:rFonts w:ascii="Arial" w:hAnsi="Arial" w:cs="Arial"/>
          <w:i/>
          <w:iCs/>
          <w:lang w:val="en-PH" w:eastAsia="en-PH"/>
        </w:rPr>
        <w:t>International Journal of Educational Management and Development Studies</w:t>
      </w:r>
      <w:r w:rsidRPr="00F21450">
        <w:rPr>
          <w:rFonts w:ascii="Arial" w:hAnsi="Arial" w:cs="Arial"/>
          <w:lang w:val="en-PH" w:eastAsia="en-PH"/>
        </w:rPr>
        <w:t xml:space="preserve">, </w:t>
      </w:r>
      <w:r w:rsidRPr="00F21450">
        <w:rPr>
          <w:rFonts w:ascii="Arial" w:hAnsi="Arial" w:cs="Arial"/>
          <w:i/>
          <w:iCs/>
          <w:lang w:val="en-PH" w:eastAsia="en-PH"/>
        </w:rPr>
        <w:t>1</w:t>
      </w:r>
      <w:r w:rsidRPr="00F21450">
        <w:rPr>
          <w:rFonts w:ascii="Arial" w:hAnsi="Arial" w:cs="Arial"/>
          <w:lang w:val="en-PH" w:eastAsia="en-PH"/>
        </w:rPr>
        <w:t>(1), 1–19. https://doi.org/10.53378/345960</w:t>
      </w:r>
    </w:p>
    <w:p w14:paraId="34AC0ED7" w14:textId="77777777" w:rsidR="00F21450" w:rsidRPr="00F21450" w:rsidRDefault="00F21450" w:rsidP="00F21450">
      <w:pPr>
        <w:spacing w:after="240"/>
        <w:ind w:left="720" w:right="45" w:hanging="720"/>
        <w:jc w:val="both"/>
        <w:rPr>
          <w:rFonts w:ascii="Arial" w:hAnsi="Arial" w:cs="Arial"/>
          <w:iCs/>
          <w:color w:val="000000"/>
          <w:kern w:val="2"/>
          <w:lang w:val="en-PH" w:eastAsia="en-PH"/>
        </w:rPr>
      </w:pPr>
      <w:r w:rsidRPr="00F21450">
        <w:rPr>
          <w:rFonts w:ascii="Arial" w:hAnsi="Arial" w:cs="Arial"/>
          <w:color w:val="000000"/>
          <w:kern w:val="2"/>
          <w:lang w:val="en-PH" w:eastAsia="en-PH"/>
        </w:rPr>
        <w:t>Anderson, L. W. and Krathwohl, D. R., et al (</w:t>
      </w:r>
      <w:proofErr w:type="gramStart"/>
      <w:r w:rsidRPr="00F21450">
        <w:rPr>
          <w:rFonts w:ascii="Arial" w:hAnsi="Arial" w:cs="Arial"/>
          <w:color w:val="000000"/>
          <w:kern w:val="2"/>
          <w:lang w:val="en-PH" w:eastAsia="en-PH"/>
        </w:rPr>
        <w:t>Eds..</w:t>
      </w:r>
      <w:proofErr w:type="gramEnd"/>
      <w:r w:rsidRPr="00F21450">
        <w:rPr>
          <w:rFonts w:ascii="Arial" w:hAnsi="Arial" w:cs="Arial"/>
          <w:color w:val="000000"/>
          <w:kern w:val="2"/>
          <w:lang w:val="en-PH" w:eastAsia="en-PH"/>
        </w:rPr>
        <w:t xml:space="preserve">) (2001) </w:t>
      </w:r>
      <w:r w:rsidRPr="00F21450">
        <w:rPr>
          <w:rFonts w:ascii="Arial" w:hAnsi="Arial" w:cs="Arial"/>
          <w:i/>
          <w:iCs/>
          <w:color w:val="000000"/>
          <w:kern w:val="2"/>
          <w:lang w:val="en-PH" w:eastAsia="en-PH"/>
        </w:rPr>
        <w:t>A Taxonomy for Learning, Teaching, and Assessing: A Revision of Bloom’s Taxonomy of Educational Objectives</w:t>
      </w:r>
      <w:r w:rsidRPr="00F21450">
        <w:rPr>
          <w:rFonts w:ascii="Arial" w:hAnsi="Arial" w:cs="Arial"/>
          <w:color w:val="000000"/>
          <w:kern w:val="2"/>
          <w:lang w:val="en-PH" w:eastAsia="en-PH"/>
        </w:rPr>
        <w:t>. Allyn &amp; Bacon. Boston, MA (Pearson Education Group).</w:t>
      </w:r>
      <w:r w:rsidRPr="00F21450">
        <w:rPr>
          <w:rFonts w:ascii="Arial" w:hAnsi="Arial" w:cs="Arial"/>
          <w:i/>
          <w:color w:val="000000"/>
          <w:kern w:val="2"/>
          <w:lang w:val="en-PH" w:eastAsia="en-PH"/>
        </w:rPr>
        <w:t xml:space="preserve"> </w:t>
      </w:r>
      <w:hyperlink r:id="rId9" w:history="1">
        <w:r w:rsidRPr="00F21450">
          <w:rPr>
            <w:rFonts w:ascii="Arial" w:hAnsi="Arial" w:cs="Arial"/>
            <w:iCs/>
            <w:kern w:val="2"/>
            <w:lang w:val="en-PH" w:eastAsia="en-PH"/>
          </w:rPr>
          <w:t>https://quincycollege.edu/wp-content/uploads/Anderson-and-Krathwohl_Revised-Blooms-Taxonomy.pdf</w:t>
        </w:r>
      </w:hyperlink>
    </w:p>
    <w:p w14:paraId="47C23009" w14:textId="77777777" w:rsidR="00F21450" w:rsidRPr="00F21450" w:rsidRDefault="00F21450" w:rsidP="00F21450">
      <w:pPr>
        <w:spacing w:after="240"/>
        <w:ind w:left="720" w:right="45" w:hanging="720"/>
        <w:jc w:val="both"/>
        <w:rPr>
          <w:rFonts w:ascii="Arial" w:hAnsi="Arial" w:cs="Arial"/>
          <w:iCs/>
          <w:color w:val="000000"/>
          <w:kern w:val="2"/>
          <w:sz w:val="32"/>
          <w:szCs w:val="32"/>
          <w:lang w:val="en-PH" w:eastAsia="en-PH"/>
        </w:rPr>
      </w:pPr>
      <w:r w:rsidRPr="00F21450">
        <w:rPr>
          <w:rFonts w:ascii="Arial" w:eastAsia="SimSun" w:hAnsi="Arial" w:cs="Arial"/>
          <w:szCs w:val="24"/>
          <w:lang w:val="en-GB"/>
        </w:rPr>
        <w:t xml:space="preserve">Aquiatan, L. R., &amp; Cacharo, A. (2025). Extent of Teachers’ Readiness to Use the Modular Approach in Teaching During the New Normal and its Impact on Learners’ Academic Achievement in Araling Panlipunan. </w:t>
      </w:r>
      <w:r w:rsidRPr="00F21450">
        <w:rPr>
          <w:rFonts w:ascii="Arial" w:eastAsia="SimSun" w:hAnsi="Arial" w:cs="Arial"/>
          <w:i/>
          <w:iCs/>
          <w:szCs w:val="24"/>
          <w:lang w:val="en-GB"/>
        </w:rPr>
        <w:t>Psychology and Education a Multidisciplinary Journal 44(9):1170-1182</w:t>
      </w:r>
      <w:r w:rsidRPr="00F21450">
        <w:rPr>
          <w:rFonts w:ascii="Arial" w:eastAsia="SimSun" w:hAnsi="Arial" w:cs="Arial"/>
          <w:szCs w:val="24"/>
          <w:lang w:val="en-GB"/>
        </w:rPr>
        <w:t xml:space="preserve">, </w:t>
      </w:r>
      <w:r w:rsidRPr="00F21450">
        <w:rPr>
          <w:rFonts w:ascii="Arial" w:eastAsia="SimSun" w:hAnsi="Arial" w:cs="Arial"/>
          <w:i/>
          <w:iCs/>
          <w:szCs w:val="24"/>
          <w:lang w:val="en-GB"/>
        </w:rPr>
        <w:t>44</w:t>
      </w:r>
      <w:r w:rsidRPr="00F21450">
        <w:rPr>
          <w:rFonts w:ascii="Arial" w:eastAsia="SimSun" w:hAnsi="Arial" w:cs="Arial"/>
          <w:szCs w:val="24"/>
          <w:lang w:val="en-GB"/>
        </w:rPr>
        <w:t>(9), 1170–1182. https://doi.org/10.70838/pemj.440902</w:t>
      </w:r>
    </w:p>
    <w:p w14:paraId="7FB9B29D" w14:textId="77777777" w:rsidR="00F21450" w:rsidRPr="00F21450" w:rsidRDefault="00F21450" w:rsidP="00F21450">
      <w:pPr>
        <w:spacing w:after="240"/>
        <w:ind w:left="720" w:right="45" w:hanging="720"/>
        <w:jc w:val="both"/>
        <w:rPr>
          <w:rFonts w:ascii="Arial" w:hAnsi="Arial" w:cs="Arial"/>
          <w:iCs/>
          <w:color w:val="000000"/>
          <w:kern w:val="2"/>
          <w:sz w:val="32"/>
          <w:szCs w:val="32"/>
          <w:lang w:val="en-PH" w:eastAsia="en-PH"/>
        </w:rPr>
      </w:pPr>
      <w:r w:rsidRPr="00F21450">
        <w:rPr>
          <w:rFonts w:ascii="Arial" w:eastAsia="SimSun" w:hAnsi="Arial" w:cs="Arial"/>
          <w:szCs w:val="24"/>
          <w:lang w:val="en-GB"/>
        </w:rPr>
        <w:t xml:space="preserve">Arzadon, M. M. E. (2017). Killing for the Grade. </w:t>
      </w:r>
      <w:r w:rsidRPr="00F21450">
        <w:rPr>
          <w:rFonts w:ascii="Arial" w:eastAsia="SimSun" w:hAnsi="Arial" w:cs="Arial"/>
          <w:i/>
          <w:iCs/>
          <w:szCs w:val="24"/>
          <w:lang w:val="en-GB"/>
        </w:rPr>
        <w:t>Siliman Journal</w:t>
      </w:r>
      <w:r w:rsidRPr="00F21450">
        <w:rPr>
          <w:rFonts w:ascii="Arial" w:eastAsia="SimSun" w:hAnsi="Arial" w:cs="Arial"/>
          <w:szCs w:val="24"/>
          <w:lang w:val="en-GB"/>
        </w:rPr>
        <w:t xml:space="preserve">, </w:t>
      </w:r>
      <w:r w:rsidRPr="00F21450">
        <w:rPr>
          <w:rFonts w:ascii="Arial" w:eastAsia="SimSun" w:hAnsi="Arial" w:cs="Arial"/>
          <w:i/>
          <w:iCs/>
          <w:szCs w:val="24"/>
          <w:lang w:val="en-GB"/>
        </w:rPr>
        <w:t>58</w:t>
      </w:r>
      <w:r w:rsidRPr="00F21450">
        <w:rPr>
          <w:rFonts w:ascii="Arial" w:eastAsia="SimSun" w:hAnsi="Arial" w:cs="Arial"/>
          <w:szCs w:val="24"/>
          <w:lang w:val="en-GB"/>
        </w:rPr>
        <w:t>(1), 99–113. https://sillimanjournal.su.edu.ph/index.php/sj/article/view/59</w:t>
      </w:r>
    </w:p>
    <w:p w14:paraId="12064014"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Arzaga, J. S. (2023). Assessment challenges encountered by teachers in the implementation of printed modular distance learning. </w:t>
      </w:r>
      <w:r w:rsidRPr="00F21450">
        <w:rPr>
          <w:rFonts w:ascii="Arial" w:hAnsi="Arial" w:cs="Arial"/>
          <w:i/>
          <w:iCs/>
          <w:lang w:val="en-PH" w:eastAsia="en-PH"/>
        </w:rPr>
        <w:t>International Journal of Multidisciplinary Applied Business and Education Research</w:t>
      </w:r>
      <w:r w:rsidRPr="00F21450">
        <w:rPr>
          <w:rFonts w:ascii="Arial" w:hAnsi="Arial" w:cs="Arial"/>
          <w:lang w:val="en-PH" w:eastAsia="en-PH"/>
        </w:rPr>
        <w:t xml:space="preserve">, </w:t>
      </w:r>
      <w:r w:rsidRPr="00F21450">
        <w:rPr>
          <w:rFonts w:ascii="Arial" w:hAnsi="Arial" w:cs="Arial"/>
          <w:i/>
          <w:iCs/>
          <w:lang w:val="en-PH" w:eastAsia="en-PH"/>
        </w:rPr>
        <w:t>4</w:t>
      </w:r>
      <w:r w:rsidRPr="00F21450">
        <w:rPr>
          <w:rFonts w:ascii="Arial" w:hAnsi="Arial" w:cs="Arial"/>
          <w:lang w:val="en-PH" w:eastAsia="en-PH"/>
        </w:rPr>
        <w:t xml:space="preserve">(5), 1535–1545. </w:t>
      </w:r>
      <w:hyperlink r:id="rId10" w:history="1">
        <w:r w:rsidRPr="00F21450">
          <w:rPr>
            <w:rFonts w:ascii="Arial" w:hAnsi="Arial" w:cs="Arial"/>
            <w:lang w:val="en-PH" w:eastAsia="en-PH"/>
          </w:rPr>
          <w:t>https://doi.org/10.11594/ijmaber.04.05.15</w:t>
        </w:r>
      </w:hyperlink>
    </w:p>
    <w:p w14:paraId="14D4E94E"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lastRenderedPageBreak/>
        <w:t xml:space="preserve">Bacomo, A. C. C., Daculap, L. P., Ocampo, M. G. O., Paguia, C. D., Pentang, J. T., &amp; Bautista, R. M. (2022). MODULAR LEARNING EFFICIENCY: LEARNER’S ATTITUDE AND PERFORMANCE TOWARDS SELF-LEARNING MODULES. </w:t>
      </w:r>
      <w:r w:rsidRPr="00F21450">
        <w:rPr>
          <w:rFonts w:ascii="Arial" w:hAnsi="Arial" w:cs="Arial"/>
          <w:i/>
          <w:iCs/>
          <w:lang w:val="en-PH" w:eastAsia="en-PH"/>
        </w:rPr>
        <w:t>Zenodo (CERN European Organization for Nuclear Research)</w:t>
      </w:r>
      <w:r w:rsidRPr="00F21450">
        <w:rPr>
          <w:rFonts w:ascii="Arial" w:hAnsi="Arial" w:cs="Arial"/>
          <w:lang w:val="en-PH" w:eastAsia="en-PH"/>
        </w:rPr>
        <w:t xml:space="preserve">. </w:t>
      </w:r>
      <w:hyperlink r:id="rId11" w:history="1">
        <w:r w:rsidRPr="00F21450">
          <w:rPr>
            <w:rFonts w:ascii="Arial" w:hAnsi="Arial" w:cs="Arial"/>
            <w:lang w:val="en-PH" w:eastAsia="en-PH"/>
          </w:rPr>
          <w:t>https://doi.org/10.5281/zenodo.6511719</w:t>
        </w:r>
      </w:hyperlink>
    </w:p>
    <w:p w14:paraId="470704FD"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Barrot, J., Agdeppa, J., &amp; Manzano, B. (2024). What It Takes to Teach in a Fully Online Learning Environment: Provisional Views from a Developing Country. </w:t>
      </w:r>
      <w:r w:rsidRPr="00F21450">
        <w:rPr>
          <w:rFonts w:ascii="Arial" w:hAnsi="Arial" w:cs="Arial"/>
          <w:i/>
          <w:iCs/>
          <w:lang w:val="en-PH" w:eastAsia="en-PH"/>
        </w:rPr>
        <w:t>Online Learning</w:t>
      </w:r>
      <w:r w:rsidRPr="00F21450">
        <w:rPr>
          <w:rFonts w:ascii="Arial" w:hAnsi="Arial" w:cs="Arial"/>
          <w:lang w:val="en-PH" w:eastAsia="en-PH"/>
        </w:rPr>
        <w:t xml:space="preserve">, </w:t>
      </w:r>
      <w:r w:rsidRPr="00F21450">
        <w:rPr>
          <w:rFonts w:ascii="Arial" w:hAnsi="Arial" w:cs="Arial"/>
          <w:i/>
          <w:iCs/>
          <w:lang w:val="en-PH" w:eastAsia="en-PH"/>
        </w:rPr>
        <w:t>28</w:t>
      </w:r>
      <w:r w:rsidRPr="00F21450">
        <w:rPr>
          <w:rFonts w:ascii="Arial" w:hAnsi="Arial" w:cs="Arial"/>
          <w:lang w:val="en-PH" w:eastAsia="en-PH"/>
        </w:rPr>
        <w:t>(1). https://doi.org/10.24059/olj.v28i1.3921</w:t>
      </w:r>
    </w:p>
    <w:p w14:paraId="73574BD4"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Boholano, H. B., Jamon, B. E. V., &amp; Jamon, M. G. M. C. (2022). Modular-Distance Learning Experiences of </w:t>
      </w:r>
      <w:proofErr w:type="gramStart"/>
      <w:r w:rsidRPr="00F21450">
        <w:rPr>
          <w:rFonts w:ascii="Arial" w:hAnsi="Arial" w:cs="Arial"/>
          <w:lang w:val="en-PH" w:eastAsia="en-PH"/>
        </w:rPr>
        <w:t>Public School</w:t>
      </w:r>
      <w:proofErr w:type="gramEnd"/>
      <w:r w:rsidRPr="00F21450">
        <w:rPr>
          <w:rFonts w:ascii="Arial" w:hAnsi="Arial" w:cs="Arial"/>
          <w:lang w:val="en-PH" w:eastAsia="en-PH"/>
        </w:rPr>
        <w:t xml:space="preserve"> Teachers in the Philippines: A Phenomenology. </w:t>
      </w:r>
      <w:r w:rsidRPr="00F21450">
        <w:rPr>
          <w:rFonts w:ascii="Arial" w:hAnsi="Arial" w:cs="Arial"/>
          <w:i/>
          <w:iCs/>
          <w:lang w:val="en-PH" w:eastAsia="en-PH"/>
        </w:rPr>
        <w:t>London Journal of Research in Humanities and Social Sciences</w:t>
      </w:r>
      <w:r w:rsidRPr="00F21450">
        <w:rPr>
          <w:rFonts w:ascii="Arial" w:hAnsi="Arial" w:cs="Arial"/>
          <w:lang w:val="en-PH" w:eastAsia="en-PH"/>
        </w:rPr>
        <w:t xml:space="preserve">, </w:t>
      </w:r>
      <w:r w:rsidRPr="00F21450">
        <w:rPr>
          <w:rFonts w:ascii="Arial" w:hAnsi="Arial" w:cs="Arial"/>
          <w:i/>
          <w:iCs/>
          <w:lang w:val="en-PH" w:eastAsia="en-PH"/>
        </w:rPr>
        <w:t>22</w:t>
      </w:r>
      <w:r w:rsidRPr="00F21450">
        <w:rPr>
          <w:rFonts w:ascii="Arial" w:hAnsi="Arial" w:cs="Arial"/>
          <w:lang w:val="en-PH" w:eastAsia="en-PH"/>
        </w:rPr>
        <w:t xml:space="preserve">(13), 15–24. </w:t>
      </w:r>
      <w:hyperlink r:id="rId12" w:history="1">
        <w:r w:rsidRPr="00F21450">
          <w:rPr>
            <w:rFonts w:ascii="Arial" w:hAnsi="Arial" w:cs="Arial"/>
            <w:lang w:val="en-PH" w:eastAsia="en-PH"/>
          </w:rPr>
          <w:t>https://journalspress.com/LJRHSS_Volume22/Modular-Distance-Learning-Experiences-of-Public-School-Teachers-in-the-Philippines-A-Phenomenology.pdf</w:t>
        </w:r>
      </w:hyperlink>
    </w:p>
    <w:p w14:paraId="7704EFC2"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Braun, V., &amp; Clarke, V. (2022). Thematic Analysis: A practical guide. </w:t>
      </w:r>
      <w:r w:rsidRPr="00F21450">
        <w:rPr>
          <w:rFonts w:ascii="Arial" w:hAnsi="Arial" w:cs="Arial"/>
          <w:i/>
          <w:iCs/>
          <w:lang w:val="en-PH" w:eastAsia="en-PH"/>
        </w:rPr>
        <w:t>QMiP Bulletin</w:t>
      </w:r>
      <w:r w:rsidRPr="00F21450">
        <w:rPr>
          <w:rFonts w:ascii="Arial" w:hAnsi="Arial" w:cs="Arial"/>
          <w:lang w:val="en-PH" w:eastAsia="en-PH"/>
        </w:rPr>
        <w:t xml:space="preserve">, </w:t>
      </w:r>
      <w:r w:rsidRPr="00F21450">
        <w:rPr>
          <w:rFonts w:ascii="Arial" w:hAnsi="Arial" w:cs="Arial"/>
          <w:i/>
          <w:iCs/>
          <w:lang w:val="en-PH" w:eastAsia="en-PH"/>
        </w:rPr>
        <w:t>1</w:t>
      </w:r>
      <w:r w:rsidRPr="00F21450">
        <w:rPr>
          <w:rFonts w:ascii="Arial" w:hAnsi="Arial" w:cs="Arial"/>
          <w:lang w:val="en-PH" w:eastAsia="en-PH"/>
        </w:rPr>
        <w:t>(33), 46–50. https://doi.org/10.53841/bpsqmip.2022.1.33.46</w:t>
      </w:r>
    </w:p>
    <w:p w14:paraId="136EED79"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Castroverde, F., &amp; Acala, M. (2021). Modular distance learning modality: Challenges of teachers in teaching amid the Covid-19 pandemic. </w:t>
      </w:r>
      <w:r w:rsidRPr="00F21450">
        <w:rPr>
          <w:rFonts w:ascii="Arial" w:hAnsi="Arial" w:cs="Arial"/>
          <w:i/>
          <w:iCs/>
          <w:lang w:val="en-PH" w:eastAsia="en-PH"/>
        </w:rPr>
        <w:t>International Journal of Research Studies in Education</w:t>
      </w:r>
      <w:r w:rsidRPr="00F21450">
        <w:rPr>
          <w:rFonts w:ascii="Arial" w:hAnsi="Arial" w:cs="Arial"/>
          <w:lang w:val="en-PH" w:eastAsia="en-PH"/>
        </w:rPr>
        <w:t xml:space="preserve">, </w:t>
      </w:r>
      <w:r w:rsidRPr="00F21450">
        <w:rPr>
          <w:rFonts w:ascii="Arial" w:hAnsi="Arial" w:cs="Arial"/>
          <w:i/>
          <w:iCs/>
          <w:lang w:val="en-PH" w:eastAsia="en-PH"/>
        </w:rPr>
        <w:t>10</w:t>
      </w:r>
      <w:r w:rsidRPr="00F21450">
        <w:rPr>
          <w:rFonts w:ascii="Arial" w:hAnsi="Arial" w:cs="Arial"/>
          <w:lang w:val="en-PH" w:eastAsia="en-PH"/>
        </w:rPr>
        <w:t>(8). https://doi.org/10.5861/ijrse.2021.602</w:t>
      </w:r>
    </w:p>
    <w:p w14:paraId="21990883"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szCs w:val="24"/>
          <w:lang w:val="en-PH" w:eastAsia="en-PH"/>
        </w:rPr>
        <w:t xml:space="preserve">Coleman, V. (2021). </w:t>
      </w:r>
      <w:r w:rsidRPr="00F21450">
        <w:rPr>
          <w:rFonts w:ascii="Arial" w:hAnsi="Arial" w:cs="Arial"/>
          <w:i/>
          <w:iCs/>
          <w:szCs w:val="24"/>
          <w:lang w:val="en-PH" w:eastAsia="en-PH"/>
        </w:rPr>
        <w:t xml:space="preserve">What is (or are) social </w:t>
      </w:r>
      <w:proofErr w:type="gramStart"/>
      <w:r w:rsidRPr="00F21450">
        <w:rPr>
          <w:rFonts w:ascii="Arial" w:hAnsi="Arial" w:cs="Arial"/>
          <w:i/>
          <w:iCs/>
          <w:szCs w:val="24"/>
          <w:lang w:val="en-PH" w:eastAsia="en-PH"/>
        </w:rPr>
        <w:t>studies?</w:t>
      </w:r>
      <w:r w:rsidRPr="00F21450">
        <w:rPr>
          <w:rFonts w:ascii="Arial" w:hAnsi="Arial" w:cs="Arial"/>
          <w:szCs w:val="24"/>
          <w:lang w:val="en-PH" w:eastAsia="en-PH"/>
        </w:rPr>
        <w:t>.</w:t>
      </w:r>
      <w:proofErr w:type="gramEnd"/>
      <w:r w:rsidRPr="00F21450">
        <w:rPr>
          <w:rFonts w:ascii="Arial" w:hAnsi="Arial" w:cs="Arial"/>
          <w:szCs w:val="24"/>
          <w:lang w:val="en-PH" w:eastAsia="en-PH"/>
        </w:rPr>
        <w:t xml:space="preserve"> </w:t>
      </w:r>
      <w:hyperlink r:id="rId13" w:history="1">
        <w:r w:rsidRPr="00F21450">
          <w:rPr>
            <w:rFonts w:ascii="Arial" w:hAnsi="Arial" w:cs="Arial"/>
            <w:szCs w:val="24"/>
            <w:lang w:val="en-PH" w:eastAsia="en-PH"/>
          </w:rPr>
          <w:t>https://eric.ed.gov/?id=EJ1317445</w:t>
        </w:r>
      </w:hyperlink>
    </w:p>
    <w:p w14:paraId="06E83CFF"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i/>
          <w:iCs/>
          <w:lang w:val="en-PH" w:eastAsia="en-PH"/>
        </w:rPr>
        <w:t>Curriculum &amp; Standards - W.A. Johnson School</w:t>
      </w:r>
      <w:r w:rsidRPr="00F21450">
        <w:rPr>
          <w:rFonts w:ascii="Arial" w:hAnsi="Arial" w:cs="Arial"/>
          <w:lang w:val="en-PH" w:eastAsia="en-PH"/>
        </w:rPr>
        <w:t>. (n.d.). https://johnson.bsd2.org/teaching-learning/curriculum-standards</w:t>
      </w:r>
    </w:p>
    <w:p w14:paraId="1678A6FB"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eastAsia="en-PH"/>
        </w:rPr>
        <w:t xml:space="preserve">Department of Education. (2019). </w:t>
      </w:r>
      <w:r w:rsidRPr="00F21450">
        <w:rPr>
          <w:rFonts w:ascii="Arial" w:hAnsi="Arial" w:cs="Arial"/>
          <w:i/>
          <w:iCs/>
          <w:lang w:eastAsia="en-PH"/>
        </w:rPr>
        <w:t>DepEd Order No. 21 series of 2019: Policy Guidelines on the K-</w:t>
      </w:r>
      <w:proofErr w:type="gramStart"/>
      <w:r w:rsidRPr="00F21450">
        <w:rPr>
          <w:rFonts w:ascii="Arial" w:hAnsi="Arial" w:cs="Arial"/>
          <w:i/>
          <w:iCs/>
          <w:lang w:eastAsia="en-PH"/>
        </w:rPr>
        <w:t>12  Basic</w:t>
      </w:r>
      <w:proofErr w:type="gramEnd"/>
      <w:r w:rsidRPr="00F21450">
        <w:rPr>
          <w:rFonts w:ascii="Arial" w:hAnsi="Arial" w:cs="Arial"/>
          <w:i/>
          <w:iCs/>
          <w:lang w:eastAsia="en-PH"/>
        </w:rPr>
        <w:t xml:space="preserve"> Education Program</w:t>
      </w:r>
      <w:r w:rsidRPr="00F21450">
        <w:rPr>
          <w:rFonts w:ascii="Arial" w:hAnsi="Arial" w:cs="Arial"/>
          <w:lang w:eastAsia="en-PH"/>
        </w:rPr>
        <w:t>. Republic of the Philippines, Department of Education. https://www.deped.gov.ph/wp-content/uploads/2019/08/DO_s2019_021.pdf</w:t>
      </w:r>
    </w:p>
    <w:p w14:paraId="2DAAA255"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Department of Education (2020). </w:t>
      </w:r>
      <w:r w:rsidRPr="00F21450">
        <w:rPr>
          <w:rFonts w:ascii="Arial" w:hAnsi="Arial" w:cs="Arial"/>
          <w:i/>
          <w:color w:val="000000"/>
          <w:kern w:val="2"/>
          <w:lang w:val="en-PH" w:eastAsia="en-PH"/>
        </w:rPr>
        <w:t>Policy Guidelines for the Provision of Learning Resources in the Implementation of the Basic Education Continuity Plan.</w:t>
      </w:r>
      <w:r w:rsidRPr="00F21450">
        <w:rPr>
          <w:rFonts w:ascii="Arial" w:hAnsi="Arial" w:cs="Arial"/>
          <w:color w:val="000000"/>
          <w:kern w:val="2"/>
          <w:lang w:val="en-PH" w:eastAsia="en-PH"/>
        </w:rPr>
        <w:t xml:space="preserve"> https://www.deped.gov.ph/ july-20-2020-do-018-s2020. </w:t>
      </w:r>
    </w:p>
    <w:p w14:paraId="062264BC" w14:textId="77777777" w:rsidR="00F21450" w:rsidRPr="00F21450" w:rsidRDefault="00F21450" w:rsidP="00F21450">
      <w:pPr>
        <w:spacing w:after="240" w:line="248" w:lineRule="auto"/>
        <w:ind w:left="720" w:right="45" w:hanging="720"/>
        <w:jc w:val="both"/>
        <w:rPr>
          <w:rFonts w:ascii="Arial" w:eastAsia="SimSun" w:hAnsi="Arial" w:cs="Arial"/>
          <w:lang w:val="en-GB"/>
        </w:rPr>
      </w:pPr>
      <w:r w:rsidRPr="00F21450">
        <w:rPr>
          <w:rFonts w:ascii="Arial" w:eastAsia="SimSun" w:hAnsi="Arial" w:cs="Arial"/>
          <w:lang w:val="en-GB"/>
        </w:rPr>
        <w:t xml:space="preserve">Ellis, N., &amp; Loughland, T. (2016). The Challenges of Practitioner Research: A Comparative Study of Singapore and NSW. </w:t>
      </w:r>
      <w:r w:rsidRPr="00F21450">
        <w:rPr>
          <w:rFonts w:ascii="Arial" w:eastAsia="SimSun" w:hAnsi="Arial" w:cs="Arial"/>
          <w:i/>
          <w:iCs/>
          <w:lang w:val="en-GB"/>
        </w:rPr>
        <w:t>The Australian Journal of Teacher Education</w:t>
      </w:r>
      <w:r w:rsidRPr="00F21450">
        <w:rPr>
          <w:rFonts w:ascii="Arial" w:eastAsia="SimSun" w:hAnsi="Arial" w:cs="Arial"/>
          <w:lang w:val="en-GB"/>
        </w:rPr>
        <w:t xml:space="preserve">, </w:t>
      </w:r>
      <w:r w:rsidRPr="00F21450">
        <w:rPr>
          <w:rFonts w:ascii="Arial" w:eastAsia="SimSun" w:hAnsi="Arial" w:cs="Arial"/>
          <w:i/>
          <w:iCs/>
          <w:lang w:val="en-GB"/>
        </w:rPr>
        <w:t>41</w:t>
      </w:r>
      <w:r w:rsidRPr="00F21450">
        <w:rPr>
          <w:rFonts w:ascii="Arial" w:eastAsia="SimSun" w:hAnsi="Arial" w:cs="Arial"/>
          <w:lang w:val="en-GB"/>
        </w:rPr>
        <w:t xml:space="preserve">(2), 122–136. </w:t>
      </w:r>
      <w:hyperlink r:id="rId14" w:history="1">
        <w:r w:rsidRPr="00F21450">
          <w:rPr>
            <w:rFonts w:ascii="Arial" w:eastAsia="SimSun" w:hAnsi="Arial" w:cs="Arial"/>
            <w:lang w:val="en-GB"/>
          </w:rPr>
          <w:t>https://doi.org/10.14221/ajte.2016v41n2.8</w:t>
        </w:r>
      </w:hyperlink>
    </w:p>
    <w:p w14:paraId="707F2935" w14:textId="77777777" w:rsidR="00F21450" w:rsidRPr="00F21450" w:rsidRDefault="00F21450" w:rsidP="00F21450">
      <w:pPr>
        <w:spacing w:after="240" w:line="248" w:lineRule="auto"/>
        <w:ind w:left="720" w:right="45" w:hanging="720"/>
        <w:jc w:val="both"/>
        <w:rPr>
          <w:rFonts w:ascii="Arial" w:eastAsia="SimSun" w:hAnsi="Arial" w:cs="Arial"/>
          <w:szCs w:val="24"/>
          <w:lang w:val="en-GB"/>
        </w:rPr>
      </w:pPr>
      <w:r w:rsidRPr="00F21450">
        <w:rPr>
          <w:rFonts w:ascii="Arial" w:eastAsia="SimSun" w:hAnsi="Arial" w:cs="Arial"/>
          <w:szCs w:val="24"/>
          <w:lang w:val="en-GB"/>
        </w:rPr>
        <w:t xml:space="preserve">Estrada, L. P. R. (2021, January 12). [OPINION] Are self-learning modules effective? </w:t>
      </w:r>
      <w:r w:rsidRPr="00F21450">
        <w:rPr>
          <w:rFonts w:ascii="Arial" w:eastAsia="SimSun" w:hAnsi="Arial" w:cs="Arial"/>
          <w:i/>
          <w:iCs/>
          <w:szCs w:val="24"/>
          <w:lang w:val="en-GB"/>
        </w:rPr>
        <w:t>RAPPLER</w:t>
      </w:r>
      <w:r w:rsidRPr="00F21450">
        <w:rPr>
          <w:rFonts w:ascii="Arial" w:eastAsia="SimSun" w:hAnsi="Arial" w:cs="Arial"/>
          <w:szCs w:val="24"/>
          <w:lang w:val="en-GB"/>
        </w:rPr>
        <w:t xml:space="preserve">. </w:t>
      </w:r>
      <w:hyperlink r:id="rId15" w:history="1">
        <w:r w:rsidRPr="00F21450">
          <w:rPr>
            <w:rFonts w:ascii="Arial" w:eastAsia="SimSun" w:hAnsi="Arial" w:cs="Arial"/>
            <w:szCs w:val="24"/>
            <w:lang w:val="en-GB"/>
          </w:rPr>
          <w:t>https://www.rappler.com/voices/imho/opinion-are-self-learning-modules-effective/</w:t>
        </w:r>
      </w:hyperlink>
    </w:p>
    <w:p w14:paraId="595CB6D6" w14:textId="77777777" w:rsidR="00F21450" w:rsidRPr="00F21450" w:rsidRDefault="00F21450" w:rsidP="00F21450">
      <w:pPr>
        <w:spacing w:after="240" w:line="248" w:lineRule="auto"/>
        <w:ind w:left="720" w:right="45" w:hanging="720"/>
        <w:jc w:val="both"/>
        <w:rPr>
          <w:rFonts w:ascii="Arial" w:eastAsia="SimSun" w:hAnsi="Arial" w:cs="Arial"/>
          <w:sz w:val="32"/>
          <w:szCs w:val="40"/>
          <w:lang w:val="en-GB"/>
        </w:rPr>
      </w:pPr>
      <w:r w:rsidRPr="00F21450">
        <w:rPr>
          <w:rFonts w:ascii="Arial" w:eastAsia="SimSun" w:hAnsi="Arial" w:cs="Arial"/>
          <w:szCs w:val="24"/>
          <w:lang w:val="en-GB"/>
        </w:rPr>
        <w:t xml:space="preserve">Garcia, S. M., Buao, A., Cabeje, G., Sabardan, G., Sarmiento, J., &amp; Saro, J. (2022). Blended Learning Education: The effectiveness of new ways of teaching and learning in enhancing students’ academic achievement. </w:t>
      </w:r>
      <w:r w:rsidRPr="00F21450">
        <w:rPr>
          <w:rFonts w:ascii="Arial" w:eastAsia="SimSun" w:hAnsi="Arial" w:cs="Arial"/>
          <w:i/>
          <w:iCs/>
          <w:szCs w:val="24"/>
          <w:lang w:val="en-GB"/>
        </w:rPr>
        <w:t>Zenodo (CERN European Organization for Nuclear Research)</w:t>
      </w:r>
      <w:r w:rsidRPr="00F21450">
        <w:rPr>
          <w:rFonts w:ascii="Arial" w:eastAsia="SimSun" w:hAnsi="Arial" w:cs="Arial"/>
          <w:szCs w:val="24"/>
          <w:lang w:val="en-GB"/>
        </w:rPr>
        <w:t>. https://doi.org/10.5281/zenodo.7273062</w:t>
      </w:r>
    </w:p>
    <w:p w14:paraId="54DF0ED3" w14:textId="77777777" w:rsidR="00F21450" w:rsidRPr="00F21450" w:rsidRDefault="00F21450" w:rsidP="00F21450">
      <w:pPr>
        <w:spacing w:after="240" w:line="248" w:lineRule="auto"/>
        <w:ind w:left="720" w:right="45" w:hanging="720"/>
        <w:jc w:val="both"/>
        <w:rPr>
          <w:rFonts w:ascii="Arial" w:eastAsia="SimSun" w:hAnsi="Arial" w:cs="Arial"/>
          <w:szCs w:val="24"/>
          <w:lang w:val="en-GB"/>
        </w:rPr>
      </w:pPr>
      <w:r w:rsidRPr="00F21450">
        <w:rPr>
          <w:rFonts w:ascii="Arial" w:eastAsia="SimSun" w:hAnsi="Arial" w:cs="Arial"/>
          <w:szCs w:val="24"/>
          <w:lang w:val="en-GB"/>
        </w:rPr>
        <w:t xml:space="preserve">Gueta, K., Harel-Fisch, Y., &amp; Walsh, S. D. (2023). Cultural accommodation of internet-based interventions for substance use and related disorders: a proposed comprehensive </w:t>
      </w:r>
      <w:r w:rsidRPr="00F21450">
        <w:rPr>
          <w:rFonts w:ascii="Arial" w:eastAsia="SimSun" w:hAnsi="Arial" w:cs="Arial"/>
          <w:szCs w:val="24"/>
          <w:lang w:val="en-GB"/>
        </w:rPr>
        <w:lastRenderedPageBreak/>
        <w:t xml:space="preserve">framework based on a pilot study and a literature review. </w:t>
      </w:r>
      <w:r w:rsidRPr="00F21450">
        <w:rPr>
          <w:rFonts w:ascii="Arial" w:eastAsia="SimSun" w:hAnsi="Arial" w:cs="Arial"/>
          <w:i/>
          <w:iCs/>
          <w:szCs w:val="24"/>
          <w:lang w:val="en-GB"/>
        </w:rPr>
        <w:t>Frontiers in Psychology</w:t>
      </w:r>
      <w:r w:rsidRPr="00F21450">
        <w:rPr>
          <w:rFonts w:ascii="Arial" w:eastAsia="SimSun" w:hAnsi="Arial" w:cs="Arial"/>
          <w:szCs w:val="24"/>
          <w:lang w:val="en-GB"/>
        </w:rPr>
        <w:t xml:space="preserve">, </w:t>
      </w:r>
      <w:r w:rsidRPr="00F21450">
        <w:rPr>
          <w:rFonts w:ascii="Arial" w:eastAsia="SimSun" w:hAnsi="Arial" w:cs="Arial"/>
          <w:i/>
          <w:iCs/>
          <w:szCs w:val="24"/>
          <w:lang w:val="en-GB"/>
        </w:rPr>
        <w:t>14</w:t>
      </w:r>
      <w:r w:rsidRPr="00F21450">
        <w:rPr>
          <w:rFonts w:ascii="Arial" w:eastAsia="SimSun" w:hAnsi="Arial" w:cs="Arial"/>
          <w:szCs w:val="24"/>
          <w:lang w:val="en-GB"/>
        </w:rPr>
        <w:t xml:space="preserve">. </w:t>
      </w:r>
      <w:hyperlink r:id="rId16" w:history="1">
        <w:r w:rsidRPr="00F21450">
          <w:rPr>
            <w:rFonts w:ascii="Arial" w:eastAsia="SimSun" w:hAnsi="Arial" w:cs="Arial"/>
            <w:szCs w:val="24"/>
            <w:lang w:val="en-GB"/>
          </w:rPr>
          <w:t>https://doi.org/10.3389/fpsyg.2023.1063200</w:t>
        </w:r>
      </w:hyperlink>
    </w:p>
    <w:p w14:paraId="0C48A1C0" w14:textId="77777777" w:rsidR="00F21450" w:rsidRPr="00F21450" w:rsidRDefault="00F21450" w:rsidP="00F21450">
      <w:pPr>
        <w:spacing w:after="240" w:line="248" w:lineRule="auto"/>
        <w:ind w:left="720" w:right="45" w:hanging="720"/>
        <w:jc w:val="both"/>
        <w:rPr>
          <w:rFonts w:ascii="Arial" w:eastAsia="SimSun" w:hAnsi="Arial" w:cs="Arial"/>
          <w:sz w:val="48"/>
          <w:szCs w:val="56"/>
          <w:lang w:val="en-GB"/>
        </w:rPr>
      </w:pPr>
      <w:r w:rsidRPr="00F21450">
        <w:rPr>
          <w:rFonts w:ascii="Arial" w:eastAsia="SimSun" w:hAnsi="Arial" w:cs="Arial"/>
          <w:szCs w:val="24"/>
          <w:lang w:val="en-GB"/>
        </w:rPr>
        <w:t xml:space="preserve">Hairida, H., Marmawi, M., &amp; Kartono, K. (2021). An analysis of students’ collaboration skills in science learning through inquiry and Project-Based learning. </w:t>
      </w:r>
      <w:r w:rsidRPr="00F21450">
        <w:rPr>
          <w:rFonts w:ascii="Arial" w:eastAsia="SimSun" w:hAnsi="Arial" w:cs="Arial"/>
          <w:i/>
          <w:iCs/>
          <w:szCs w:val="24"/>
          <w:lang w:val="en-GB"/>
        </w:rPr>
        <w:t>Tadris Jurnal Keguruan Dan Ilmu Tarbiyah</w:t>
      </w:r>
      <w:r w:rsidRPr="00F21450">
        <w:rPr>
          <w:rFonts w:ascii="Arial" w:eastAsia="SimSun" w:hAnsi="Arial" w:cs="Arial"/>
          <w:szCs w:val="24"/>
          <w:lang w:val="en-GB"/>
        </w:rPr>
        <w:t xml:space="preserve">, </w:t>
      </w:r>
      <w:r w:rsidRPr="00F21450">
        <w:rPr>
          <w:rFonts w:ascii="Arial" w:eastAsia="SimSun" w:hAnsi="Arial" w:cs="Arial"/>
          <w:i/>
          <w:iCs/>
          <w:szCs w:val="24"/>
          <w:lang w:val="en-GB"/>
        </w:rPr>
        <w:t>6</w:t>
      </w:r>
      <w:r w:rsidRPr="00F21450">
        <w:rPr>
          <w:rFonts w:ascii="Arial" w:eastAsia="SimSun" w:hAnsi="Arial" w:cs="Arial"/>
          <w:szCs w:val="24"/>
          <w:lang w:val="en-GB"/>
        </w:rPr>
        <w:t>(2), 219–228. https://doi.org/10.24042/tadris.v6i2.9320</w:t>
      </w:r>
    </w:p>
    <w:p w14:paraId="59720835"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Harlen, W., &amp; Crick, D. R. (2002). </w:t>
      </w:r>
      <w:r w:rsidRPr="00F21450">
        <w:rPr>
          <w:rFonts w:ascii="Arial" w:hAnsi="Arial" w:cs="Arial"/>
          <w:i/>
          <w:color w:val="000000"/>
          <w:kern w:val="2"/>
          <w:lang w:val="en-PH" w:eastAsia="en-PH"/>
        </w:rPr>
        <w:t>A systematic review of the impact of summative assessment and tests on students' motivation for learning.</w:t>
      </w:r>
      <w:r w:rsidRPr="00F21450">
        <w:rPr>
          <w:rFonts w:ascii="Arial" w:hAnsi="Arial" w:cs="Arial"/>
          <w:color w:val="000000"/>
          <w:kern w:val="2"/>
          <w:lang w:val="en-PH" w:eastAsia="en-PH"/>
        </w:rPr>
        <w:t xml:space="preserve"> Evidence for Policy and Practice Information and Co-ordinating Centre (EPPI-Centre), Institute of Education, University of London. https://dspace.stir.ac.uk/bitstream/1893/19607/1/SysRevImpSummativeAssessment2002.pdf</w:t>
      </w:r>
    </w:p>
    <w:p w14:paraId="06B1C1B5"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Hashemi, A. &amp; Sina, K. (2020). The effects of using blended learning in teaching and learning English: A review </w:t>
      </w:r>
      <w:proofErr w:type="gramStart"/>
      <w:r w:rsidRPr="00F21450">
        <w:rPr>
          <w:rFonts w:ascii="Arial" w:hAnsi="Arial" w:cs="Arial"/>
          <w:color w:val="000000"/>
          <w:kern w:val="2"/>
          <w:lang w:val="en-PH" w:eastAsia="en-PH"/>
        </w:rPr>
        <w:t>of  literature</w:t>
      </w:r>
      <w:proofErr w:type="gramEnd"/>
      <w:r w:rsidRPr="00F21450">
        <w:rPr>
          <w:rFonts w:ascii="Arial" w:hAnsi="Arial" w:cs="Arial"/>
          <w:color w:val="000000"/>
          <w:kern w:val="2"/>
          <w:lang w:val="en-PH" w:eastAsia="en-PH"/>
        </w:rPr>
        <w:t xml:space="preserve">. </w:t>
      </w:r>
      <w:proofErr w:type="gramStart"/>
      <w:r w:rsidRPr="00F21450">
        <w:rPr>
          <w:rFonts w:ascii="Arial" w:hAnsi="Arial" w:cs="Arial"/>
          <w:i/>
          <w:color w:val="000000"/>
          <w:kern w:val="2"/>
          <w:lang w:val="en-PH" w:eastAsia="en-PH"/>
        </w:rPr>
        <w:t>The  Eurasia</w:t>
      </w:r>
      <w:proofErr w:type="gramEnd"/>
      <w:r w:rsidRPr="00F21450">
        <w:rPr>
          <w:rFonts w:ascii="Arial" w:hAnsi="Arial" w:cs="Arial"/>
          <w:i/>
          <w:color w:val="000000"/>
          <w:kern w:val="2"/>
          <w:lang w:val="en-PH" w:eastAsia="en-PH"/>
        </w:rPr>
        <w:t xml:space="preserve"> Proceedings  of Educational &amp; Social </w:t>
      </w:r>
      <w:r w:rsidRPr="00F21450">
        <w:rPr>
          <w:rFonts w:ascii="Arial" w:hAnsi="Arial" w:cs="Arial"/>
          <w:i/>
          <w:color w:val="000000"/>
          <w:kern w:val="2"/>
          <w:lang w:val="en-PH" w:eastAsia="en-PH"/>
        </w:rPr>
        <w:tab/>
        <w:t>Sciences (EPESS), 18</w:t>
      </w:r>
      <w:r w:rsidRPr="00F21450">
        <w:rPr>
          <w:rFonts w:ascii="Arial" w:hAnsi="Arial" w:cs="Arial"/>
          <w:color w:val="000000"/>
          <w:kern w:val="2"/>
          <w:lang w:val="en-PH" w:eastAsia="en-PH"/>
        </w:rPr>
        <w:t xml:space="preserve">, 173-179. https://files.eric.ed.gov/fulltext/ED614699.pdf.  </w:t>
      </w:r>
    </w:p>
    <w:p w14:paraId="6C60F82B"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bookmarkStart w:id="1" w:name="_Hlk211596414"/>
      <w:r w:rsidRPr="00F21450">
        <w:rPr>
          <w:rFonts w:ascii="Arial" w:hAnsi="Arial" w:cs="Arial"/>
          <w:color w:val="000000"/>
          <w:kern w:val="2"/>
          <w:lang w:val="en-PH" w:eastAsia="en-PH"/>
        </w:rPr>
        <w:t>Herero</w:t>
      </w:r>
      <w:bookmarkEnd w:id="1"/>
      <w:r w:rsidRPr="00F21450">
        <w:rPr>
          <w:rFonts w:ascii="Arial" w:hAnsi="Arial" w:cs="Arial"/>
          <w:color w:val="000000"/>
          <w:kern w:val="2"/>
          <w:lang w:val="en-PH" w:eastAsia="en-PH"/>
        </w:rPr>
        <w:t xml:space="preserve">, J. T. (2022). The Developed Self-Learning Modules in Araling Panlipunan 8. </w:t>
      </w:r>
      <w:r w:rsidRPr="00F21450">
        <w:rPr>
          <w:rFonts w:ascii="Arial" w:hAnsi="Arial" w:cs="Arial"/>
          <w:i/>
          <w:color w:val="000000"/>
          <w:kern w:val="2"/>
          <w:lang w:val="en-PH" w:eastAsia="en-PH"/>
        </w:rPr>
        <w:t>Instabright e-Gazette</w:t>
      </w:r>
      <w:r w:rsidRPr="00F21450">
        <w:rPr>
          <w:rFonts w:ascii="Arial" w:hAnsi="Arial" w:cs="Arial"/>
          <w:color w:val="000000"/>
          <w:kern w:val="2"/>
          <w:lang w:val="en-PH" w:eastAsia="en-PH"/>
        </w:rPr>
        <w:t xml:space="preserve">, </w:t>
      </w:r>
      <w:r w:rsidRPr="00F21450">
        <w:rPr>
          <w:rFonts w:ascii="Arial" w:hAnsi="Arial" w:cs="Arial"/>
          <w:i/>
          <w:color w:val="000000"/>
          <w:kern w:val="2"/>
          <w:lang w:val="en-PH" w:eastAsia="en-PH"/>
        </w:rPr>
        <w:t>4</w:t>
      </w:r>
      <w:r w:rsidRPr="00F21450">
        <w:rPr>
          <w:rFonts w:ascii="Arial" w:hAnsi="Arial" w:cs="Arial"/>
          <w:color w:val="000000"/>
          <w:kern w:val="2"/>
          <w:lang w:val="en-PH" w:eastAsia="en-PH"/>
        </w:rPr>
        <w:t>(1), 2704-3010. https://uploads.strikinglycdn.com/files/dcf219c7-380e-4d59-ae8b-2513b6d6ebd9/1051%20HERRERO.pdf</w:t>
      </w:r>
    </w:p>
    <w:p w14:paraId="5F1D8B65"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szCs w:val="24"/>
          <w:lang w:val="en-PH" w:eastAsia="en-PH"/>
        </w:rPr>
        <w:t xml:space="preserve">Hua, M., Wang, L., &amp; Li, J. (2024). The impact of self-directed learning experience and course experience on learning satisfaction of university students in blended learning environments: the mediating role of deep and surface learning approach. </w:t>
      </w:r>
      <w:r w:rsidRPr="00F21450">
        <w:rPr>
          <w:rFonts w:ascii="Arial" w:hAnsi="Arial" w:cs="Arial"/>
          <w:i/>
          <w:iCs/>
          <w:szCs w:val="24"/>
          <w:lang w:val="en-PH" w:eastAsia="en-PH"/>
        </w:rPr>
        <w:t>Frontiers in Psychology</w:t>
      </w:r>
      <w:r w:rsidRPr="00F21450">
        <w:rPr>
          <w:rFonts w:ascii="Arial" w:hAnsi="Arial" w:cs="Arial"/>
          <w:szCs w:val="24"/>
          <w:lang w:val="en-PH" w:eastAsia="en-PH"/>
        </w:rPr>
        <w:t xml:space="preserve">, </w:t>
      </w:r>
      <w:r w:rsidRPr="00F21450">
        <w:rPr>
          <w:rFonts w:ascii="Arial" w:hAnsi="Arial" w:cs="Arial"/>
          <w:i/>
          <w:iCs/>
          <w:szCs w:val="24"/>
          <w:lang w:val="en-PH" w:eastAsia="en-PH"/>
        </w:rPr>
        <w:t>14</w:t>
      </w:r>
      <w:r w:rsidRPr="00F21450">
        <w:rPr>
          <w:rFonts w:ascii="Arial" w:hAnsi="Arial" w:cs="Arial"/>
          <w:szCs w:val="24"/>
          <w:lang w:val="en-PH" w:eastAsia="en-PH"/>
        </w:rPr>
        <w:t xml:space="preserve">. </w:t>
      </w:r>
      <w:hyperlink r:id="rId17" w:history="1">
        <w:r w:rsidRPr="00F21450">
          <w:rPr>
            <w:rFonts w:ascii="Arial" w:hAnsi="Arial" w:cs="Arial"/>
            <w:szCs w:val="24"/>
            <w:lang w:val="en-PH" w:eastAsia="en-PH"/>
          </w:rPr>
          <w:t>https://doi.org/10.3389/fpsyg.2023.1278827</w:t>
        </w:r>
      </w:hyperlink>
    </w:p>
    <w:p w14:paraId="0B79929D"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Idulog, M. V. (2022). </w:t>
      </w:r>
      <w:r w:rsidRPr="00F21450">
        <w:rPr>
          <w:rFonts w:ascii="Arial" w:hAnsi="Arial" w:cs="Arial"/>
          <w:i/>
          <w:iCs/>
          <w:lang w:val="en-PH" w:eastAsia="en-PH"/>
        </w:rPr>
        <w:t>PANDEMIC ERA: THE ROLE OF PARENTS AT HOME IN THE OCCURRENCE OF MODULAR DISTANCE LEARNING</w:t>
      </w:r>
      <w:r w:rsidRPr="00F21450">
        <w:rPr>
          <w:rFonts w:ascii="Arial" w:hAnsi="Arial" w:cs="Arial"/>
          <w:lang w:val="en-PH" w:eastAsia="en-PH"/>
        </w:rPr>
        <w:t>. https://www.ijase.org/index.php/ijase/article/view/167</w:t>
      </w:r>
    </w:p>
    <w:p w14:paraId="51FA3A3F"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Konstantinidis, A. (2024). An integrative review of the literature on factors influencing student well-being in the learning environment. </w:t>
      </w:r>
      <w:r w:rsidRPr="00F21450">
        <w:rPr>
          <w:rFonts w:ascii="Arial" w:hAnsi="Arial" w:cs="Arial"/>
          <w:i/>
          <w:iCs/>
          <w:lang w:val="en-PH" w:eastAsia="en-PH"/>
        </w:rPr>
        <w:t>International Journal of Educational Research Open</w:t>
      </w:r>
      <w:r w:rsidRPr="00F21450">
        <w:rPr>
          <w:rFonts w:ascii="Arial" w:hAnsi="Arial" w:cs="Arial"/>
          <w:lang w:val="en-PH" w:eastAsia="en-PH"/>
        </w:rPr>
        <w:t xml:space="preserve">, </w:t>
      </w:r>
      <w:r w:rsidRPr="00F21450">
        <w:rPr>
          <w:rFonts w:ascii="Arial" w:hAnsi="Arial" w:cs="Arial"/>
          <w:i/>
          <w:iCs/>
          <w:lang w:val="en-PH" w:eastAsia="en-PH"/>
        </w:rPr>
        <w:t>7</w:t>
      </w:r>
      <w:r w:rsidRPr="00F21450">
        <w:rPr>
          <w:rFonts w:ascii="Arial" w:hAnsi="Arial" w:cs="Arial"/>
          <w:lang w:val="en-PH" w:eastAsia="en-PH"/>
        </w:rPr>
        <w:t>, 100384. https://doi.org/10.1016/j.ijedro.2024.100384</w:t>
      </w:r>
    </w:p>
    <w:p w14:paraId="079958FC"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Lee, C. D. (2014). Worksheet usage, reading achievement, classes' lack of readiness, and science achievement: A cross-country comparison. </w:t>
      </w:r>
      <w:r w:rsidRPr="00F21450">
        <w:rPr>
          <w:rFonts w:ascii="Arial" w:hAnsi="Arial" w:cs="Arial"/>
          <w:i/>
          <w:color w:val="000000"/>
          <w:kern w:val="2"/>
          <w:lang w:val="en-PH" w:eastAsia="en-PH"/>
        </w:rPr>
        <w:t>International Journal of Education in Mathematics, Science and Technology</w:t>
      </w:r>
      <w:r w:rsidRPr="00F21450">
        <w:rPr>
          <w:rFonts w:ascii="Arial" w:hAnsi="Arial" w:cs="Arial"/>
          <w:color w:val="000000"/>
          <w:kern w:val="2"/>
          <w:lang w:val="en-PH" w:eastAsia="en-PH"/>
        </w:rPr>
        <w:t xml:space="preserve">, </w:t>
      </w:r>
      <w:r w:rsidRPr="00F21450">
        <w:rPr>
          <w:rFonts w:ascii="Arial" w:hAnsi="Arial" w:cs="Arial"/>
          <w:i/>
          <w:color w:val="000000"/>
          <w:kern w:val="2"/>
          <w:lang w:val="en-PH" w:eastAsia="en-PH"/>
        </w:rPr>
        <w:t>2</w:t>
      </w:r>
      <w:r w:rsidRPr="00F21450">
        <w:rPr>
          <w:rFonts w:ascii="Arial" w:hAnsi="Arial" w:cs="Arial"/>
          <w:color w:val="000000"/>
          <w:kern w:val="2"/>
          <w:lang w:val="en-PH" w:eastAsia="en-PH"/>
        </w:rPr>
        <w:t xml:space="preserve">(2), 96-106. </w:t>
      </w:r>
      <w:hyperlink r:id="rId18" w:history="1">
        <w:r w:rsidRPr="00F21450">
          <w:rPr>
            <w:rFonts w:ascii="Arial" w:hAnsi="Arial" w:cs="Arial"/>
            <w:kern w:val="2"/>
            <w:lang w:val="en-PH" w:eastAsia="en-PH"/>
          </w:rPr>
          <w:t>https://files.eric.ed.gov/fulltext/EJ1066356.pdf</w:t>
        </w:r>
      </w:hyperlink>
    </w:p>
    <w:p w14:paraId="20F763B6" w14:textId="77777777" w:rsidR="00F21450" w:rsidRPr="00F21450" w:rsidRDefault="00F21450" w:rsidP="00F21450">
      <w:pPr>
        <w:spacing w:after="240" w:line="248" w:lineRule="auto"/>
        <w:ind w:left="720" w:right="45" w:hanging="720"/>
        <w:jc w:val="both"/>
        <w:rPr>
          <w:rFonts w:ascii="Arial" w:eastAsia="SimSun" w:hAnsi="Arial" w:cs="Arial"/>
          <w:szCs w:val="24"/>
          <w:lang w:val="en-GB"/>
        </w:rPr>
      </w:pPr>
      <w:r w:rsidRPr="00F21450">
        <w:rPr>
          <w:rFonts w:ascii="Arial" w:eastAsia="SimSun" w:hAnsi="Arial" w:cs="Arial"/>
          <w:szCs w:val="24"/>
          <w:lang w:val="en-GB"/>
        </w:rPr>
        <w:t xml:space="preserve">Malipot, M. H. (2020). Teachers air problems on modular learning system. In </w:t>
      </w:r>
      <w:r w:rsidRPr="00F21450">
        <w:rPr>
          <w:rFonts w:ascii="Arial" w:eastAsia="SimSun" w:hAnsi="Arial" w:cs="Arial"/>
          <w:i/>
          <w:iCs/>
          <w:szCs w:val="24"/>
          <w:lang w:val="en-GB"/>
        </w:rPr>
        <w:t>Manila Bulletin | Philippines | National</w:t>
      </w:r>
      <w:r w:rsidRPr="00F21450">
        <w:rPr>
          <w:rFonts w:ascii="Arial" w:eastAsia="SimSun" w:hAnsi="Arial" w:cs="Arial"/>
          <w:szCs w:val="24"/>
          <w:lang w:val="en-GB"/>
        </w:rPr>
        <w:t xml:space="preserve">. Manila Bulletin. Retrieved May 10, 2025, from </w:t>
      </w:r>
      <w:hyperlink r:id="rId19" w:history="1">
        <w:r w:rsidRPr="00F21450">
          <w:rPr>
            <w:rFonts w:ascii="Arial" w:eastAsia="SimSun" w:hAnsi="Arial" w:cs="Arial"/>
            <w:szCs w:val="24"/>
            <w:lang w:val="en-GB"/>
          </w:rPr>
          <w:t>https://mb.com.ph/2020/08/04/teachers-air-problems-on-modular-learning-system/</w:t>
        </w:r>
      </w:hyperlink>
    </w:p>
    <w:p w14:paraId="4DB8FE61" w14:textId="77777777" w:rsidR="00F21450" w:rsidRPr="00F21450" w:rsidRDefault="00F21450" w:rsidP="00F21450">
      <w:pPr>
        <w:spacing w:after="240" w:line="248" w:lineRule="auto"/>
        <w:ind w:left="720" w:right="45" w:hanging="720"/>
        <w:jc w:val="both"/>
        <w:rPr>
          <w:rFonts w:ascii="Arial" w:hAnsi="Arial" w:cs="Arial"/>
          <w:color w:val="000000"/>
          <w:kern w:val="2"/>
          <w:sz w:val="48"/>
          <w:szCs w:val="48"/>
          <w:lang w:val="en-PH" w:eastAsia="en-PH"/>
        </w:rPr>
      </w:pPr>
      <w:r w:rsidRPr="00F21450">
        <w:rPr>
          <w:rFonts w:ascii="Arial" w:eastAsia="SimSun" w:hAnsi="Arial" w:cs="Arial"/>
          <w:szCs w:val="24"/>
          <w:lang w:val="en-GB"/>
        </w:rPr>
        <w:t xml:space="preserve">Moore, M. G. (2015). The theory of transactional distance. In </w:t>
      </w:r>
      <w:r w:rsidRPr="00F21450">
        <w:rPr>
          <w:rFonts w:ascii="Arial" w:eastAsia="SimSun" w:hAnsi="Arial" w:cs="Arial"/>
          <w:i/>
          <w:iCs/>
          <w:szCs w:val="24"/>
          <w:lang w:val="en-GB"/>
        </w:rPr>
        <w:t>Routledge eBooks</w:t>
      </w:r>
      <w:r w:rsidRPr="00F21450">
        <w:rPr>
          <w:rFonts w:ascii="Arial" w:eastAsia="SimSun" w:hAnsi="Arial" w:cs="Arial"/>
          <w:szCs w:val="24"/>
          <w:lang w:val="en-GB"/>
        </w:rPr>
        <w:t>. https://doi.org/10.4324/9780203803738.ch5</w:t>
      </w:r>
    </w:p>
    <w:p w14:paraId="4D03B118"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lastRenderedPageBreak/>
        <w:t xml:space="preserve">Muho, A., &amp; Taraj, G. (2022). Impact of formative assessment practices on student motivation for learning the English Language. </w:t>
      </w:r>
      <w:r w:rsidRPr="00F21450">
        <w:rPr>
          <w:rFonts w:ascii="Arial" w:hAnsi="Arial" w:cs="Arial"/>
          <w:i/>
          <w:iCs/>
          <w:lang w:val="en-PH" w:eastAsia="en-PH"/>
        </w:rPr>
        <w:t>International Journal of Education and Practice</w:t>
      </w:r>
      <w:r w:rsidRPr="00F21450">
        <w:rPr>
          <w:rFonts w:ascii="Arial" w:hAnsi="Arial" w:cs="Arial"/>
          <w:lang w:val="en-PH" w:eastAsia="en-PH"/>
        </w:rPr>
        <w:t xml:space="preserve">, </w:t>
      </w:r>
      <w:r w:rsidRPr="00F21450">
        <w:rPr>
          <w:rFonts w:ascii="Arial" w:hAnsi="Arial" w:cs="Arial"/>
          <w:i/>
          <w:iCs/>
          <w:lang w:val="en-PH" w:eastAsia="en-PH"/>
        </w:rPr>
        <w:t>10</w:t>
      </w:r>
      <w:r w:rsidRPr="00F21450">
        <w:rPr>
          <w:rFonts w:ascii="Arial" w:hAnsi="Arial" w:cs="Arial"/>
          <w:lang w:val="en-PH" w:eastAsia="en-PH"/>
        </w:rPr>
        <w:t>(1), 25–41. https://doi.org/10.18488/61.v10i1.2842</w:t>
      </w:r>
    </w:p>
    <w:p w14:paraId="21ADC81A"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Natividad, E. (2021). Perceived effectiveness of self learning modules in the implementation of modular distance learning in the elementary level. </w:t>
      </w:r>
      <w:r w:rsidRPr="00F21450">
        <w:rPr>
          <w:rFonts w:ascii="Arial" w:hAnsi="Arial" w:cs="Arial"/>
          <w:i/>
          <w:iCs/>
          <w:lang w:val="en-PH" w:eastAsia="en-PH"/>
        </w:rPr>
        <w:t>SSRN Electronic Journal</w:t>
      </w:r>
      <w:r w:rsidRPr="00F21450">
        <w:rPr>
          <w:rFonts w:ascii="Arial" w:hAnsi="Arial" w:cs="Arial"/>
          <w:lang w:val="en-PH" w:eastAsia="en-PH"/>
        </w:rPr>
        <w:t xml:space="preserve">. </w:t>
      </w:r>
      <w:hyperlink r:id="rId20" w:history="1">
        <w:r w:rsidRPr="00F21450">
          <w:rPr>
            <w:rFonts w:ascii="Arial" w:hAnsi="Arial" w:cs="Arial"/>
            <w:lang w:val="en-PH" w:eastAsia="en-PH"/>
          </w:rPr>
          <w:t>https://doi.org/10.2139/ssrn.3889429</w:t>
        </w:r>
      </w:hyperlink>
    </w:p>
    <w:p w14:paraId="22E253E1" w14:textId="77777777" w:rsidR="00F21450" w:rsidRPr="00F21450" w:rsidRDefault="00F21450" w:rsidP="00F21450">
      <w:pPr>
        <w:spacing w:after="240"/>
        <w:ind w:left="720" w:hanging="720"/>
        <w:jc w:val="both"/>
        <w:rPr>
          <w:rFonts w:ascii="Arial" w:hAnsi="Arial" w:cs="Arial"/>
          <w:szCs w:val="24"/>
          <w:lang w:val="en-PH" w:eastAsia="en-PH"/>
        </w:rPr>
      </w:pPr>
      <w:r w:rsidRPr="00F21450">
        <w:rPr>
          <w:rFonts w:ascii="Arial" w:hAnsi="Arial" w:cs="Arial"/>
          <w:lang w:val="en-PH" w:eastAsia="en-PH"/>
        </w:rPr>
        <w:t xml:space="preserve">Nowell, L. S., Norris, J. M., White, D. E., &amp; Moules, N. J. (2017). Thematic analysis. </w:t>
      </w:r>
      <w:r w:rsidRPr="00F21450">
        <w:rPr>
          <w:rFonts w:ascii="Arial" w:hAnsi="Arial" w:cs="Arial"/>
          <w:i/>
          <w:iCs/>
          <w:lang w:val="en-PH" w:eastAsia="en-PH"/>
        </w:rPr>
        <w:t>International Journal of Qualitative Methods</w:t>
      </w:r>
      <w:r w:rsidRPr="00F21450">
        <w:rPr>
          <w:rFonts w:ascii="Arial" w:hAnsi="Arial" w:cs="Arial"/>
          <w:lang w:val="en-PH" w:eastAsia="en-PH"/>
        </w:rPr>
        <w:t xml:space="preserve">, </w:t>
      </w:r>
      <w:r w:rsidRPr="00F21450">
        <w:rPr>
          <w:rFonts w:ascii="Arial" w:hAnsi="Arial" w:cs="Arial"/>
          <w:i/>
          <w:iCs/>
          <w:lang w:val="en-PH" w:eastAsia="en-PH"/>
        </w:rPr>
        <w:t>16</w:t>
      </w:r>
      <w:r w:rsidRPr="00F21450">
        <w:rPr>
          <w:rFonts w:ascii="Arial" w:hAnsi="Arial" w:cs="Arial"/>
          <w:lang w:val="en-PH" w:eastAsia="en-PH"/>
        </w:rPr>
        <w:t xml:space="preserve">(1). </w:t>
      </w:r>
      <w:hyperlink r:id="rId21" w:history="1">
        <w:r w:rsidRPr="00F21450">
          <w:rPr>
            <w:rFonts w:ascii="Arial" w:hAnsi="Arial" w:cs="Arial"/>
            <w:lang w:val="en-PH" w:eastAsia="en-PH"/>
          </w:rPr>
          <w:t>https://doi.org/10.1177/1609406917733847</w:t>
        </w:r>
      </w:hyperlink>
    </w:p>
    <w:p w14:paraId="5FB8AEAF" w14:textId="77777777" w:rsidR="00F21450" w:rsidRPr="00F21450" w:rsidRDefault="00F21450" w:rsidP="00F21450">
      <w:pPr>
        <w:spacing w:after="240"/>
        <w:ind w:left="720" w:hanging="720"/>
        <w:jc w:val="both"/>
        <w:rPr>
          <w:rFonts w:ascii="Arial" w:hAnsi="Arial" w:cs="Arial"/>
          <w:color w:val="000000"/>
          <w:sz w:val="32"/>
          <w:szCs w:val="40"/>
          <w:lang w:val="en-PH" w:eastAsia="en-PH"/>
        </w:rPr>
      </w:pPr>
      <w:r w:rsidRPr="00F21450">
        <w:rPr>
          <w:rFonts w:ascii="Arial" w:eastAsia="SimSun" w:hAnsi="Arial" w:cs="Arial"/>
          <w:color w:val="000000"/>
          <w:szCs w:val="24"/>
          <w:shd w:val="clear" w:color="auto" w:fill="FFFFFF"/>
          <w:lang w:val="en-GB"/>
        </w:rPr>
        <w:t xml:space="preserve">OECD (2020), “Strengthening online learning when schools are closed: The role of families and teachers in supporting students during the COVID-19 </w:t>
      </w:r>
      <w:proofErr w:type="gramStart"/>
      <w:r w:rsidRPr="00F21450">
        <w:rPr>
          <w:rFonts w:ascii="Arial" w:eastAsia="SimSun" w:hAnsi="Arial" w:cs="Arial"/>
          <w:color w:val="000000"/>
          <w:szCs w:val="24"/>
          <w:shd w:val="clear" w:color="auto" w:fill="FFFFFF"/>
          <w:lang w:val="en-GB"/>
        </w:rPr>
        <w:t>crisis ”</w:t>
      </w:r>
      <w:proofErr w:type="gramEnd"/>
      <w:r w:rsidRPr="00F21450">
        <w:rPr>
          <w:rFonts w:ascii="Arial" w:eastAsia="SimSun" w:hAnsi="Arial" w:cs="Arial"/>
          <w:color w:val="000000"/>
          <w:szCs w:val="24"/>
          <w:shd w:val="clear" w:color="auto" w:fill="FFFFFF"/>
          <w:lang w:val="en-GB"/>
        </w:rPr>
        <w:t>, </w:t>
      </w:r>
      <w:r w:rsidRPr="00F21450">
        <w:rPr>
          <w:rFonts w:ascii="Arial" w:eastAsia="SimSun" w:hAnsi="Arial" w:cs="Arial"/>
          <w:i/>
          <w:iCs/>
          <w:color w:val="000000"/>
          <w:szCs w:val="24"/>
          <w:bdr w:val="none" w:sz="0" w:space="0" w:color="auto" w:frame="1"/>
          <w:shd w:val="clear" w:color="auto" w:fill="FFFFFF"/>
          <w:lang w:val="en-GB"/>
        </w:rPr>
        <w:t>OECD Policy Responses to Coronavirus (COVID-19)</w:t>
      </w:r>
      <w:r w:rsidRPr="00F21450">
        <w:rPr>
          <w:rFonts w:ascii="Arial" w:eastAsia="SimSun" w:hAnsi="Arial" w:cs="Arial"/>
          <w:color w:val="000000"/>
          <w:szCs w:val="24"/>
          <w:shd w:val="clear" w:color="auto" w:fill="FFFFFF"/>
          <w:lang w:val="en-GB"/>
        </w:rPr>
        <w:t>, OECD Publishing, Paris, </w:t>
      </w:r>
      <w:hyperlink r:id="rId22" w:history="1">
        <w:r w:rsidRPr="00F21450">
          <w:rPr>
            <w:rFonts w:ascii="Arial" w:eastAsia="SimSun" w:hAnsi="Arial" w:cs="Arial"/>
            <w:color w:val="000000"/>
            <w:szCs w:val="24"/>
            <w:bdr w:val="none" w:sz="0" w:space="0" w:color="auto" w:frame="1"/>
            <w:shd w:val="clear" w:color="auto" w:fill="FFFFFF"/>
            <w:lang w:val="en-GB"/>
          </w:rPr>
          <w:t>https://doi.org/10.1787/c4ecba6c-en</w:t>
        </w:r>
      </w:hyperlink>
      <w:r w:rsidRPr="00F21450">
        <w:rPr>
          <w:rFonts w:ascii="Arial" w:eastAsia="SimSun" w:hAnsi="Arial" w:cs="Arial"/>
          <w:color w:val="000000"/>
          <w:szCs w:val="24"/>
          <w:shd w:val="clear" w:color="auto" w:fill="FFFFFF"/>
          <w:lang w:val="en-GB"/>
        </w:rPr>
        <w:t>.</w:t>
      </w:r>
    </w:p>
    <w:p w14:paraId="4B126882" w14:textId="77777777" w:rsidR="00F21450" w:rsidRPr="00F21450" w:rsidRDefault="00F21450" w:rsidP="00F21450">
      <w:pPr>
        <w:spacing w:after="240" w:line="248" w:lineRule="auto"/>
        <w:ind w:left="720" w:right="45" w:hanging="720"/>
        <w:jc w:val="both"/>
        <w:rPr>
          <w:rFonts w:ascii="Arial" w:hAnsi="Arial" w:cs="Arial"/>
          <w:color w:val="000000"/>
          <w:kern w:val="2"/>
          <w:lang w:val="en-PH" w:eastAsia="en-PH"/>
        </w:rPr>
      </w:pPr>
      <w:r w:rsidRPr="00F21450">
        <w:rPr>
          <w:rFonts w:ascii="Arial" w:hAnsi="Arial" w:cs="Arial"/>
          <w:color w:val="000000"/>
          <w:kern w:val="2"/>
          <w:lang w:val="en-PH" w:eastAsia="en-PH"/>
        </w:rPr>
        <w:t xml:space="preserve">Park, Y. (2023). </w:t>
      </w:r>
      <w:r w:rsidRPr="00F21450">
        <w:rPr>
          <w:rFonts w:ascii="Arial" w:hAnsi="Arial" w:cs="Arial"/>
          <w:i/>
          <w:color w:val="000000"/>
          <w:kern w:val="2"/>
          <w:lang w:val="en-PH" w:eastAsia="en-PH"/>
        </w:rPr>
        <w:t>Elementary stem teachers' digital curation for lesson planning.</w:t>
      </w:r>
      <w:r w:rsidRPr="00F21450">
        <w:rPr>
          <w:rFonts w:ascii="Arial" w:hAnsi="Arial" w:cs="Arial"/>
          <w:color w:val="000000"/>
          <w:kern w:val="2"/>
          <w:lang w:val="en-PH" w:eastAsia="en-PH"/>
        </w:rPr>
        <w:t xml:space="preserve"> The Florida State University {Doctorate Dissertation]. </w:t>
      </w:r>
      <w:hyperlink r:id="rId23" w:history="1">
        <w:r w:rsidRPr="00F21450">
          <w:rPr>
            <w:rFonts w:ascii="Arial" w:hAnsi="Arial" w:cs="Arial"/>
            <w:kern w:val="2"/>
            <w:lang w:val="en-PH" w:eastAsia="en-PH"/>
          </w:rPr>
          <w:t>https://repository.lib.fsu.edu/islandora/object/fsu:915318/datastream/PDF/view</w:t>
        </w:r>
      </w:hyperlink>
    </w:p>
    <w:p w14:paraId="1C402383" w14:textId="77777777" w:rsidR="00F21450" w:rsidRPr="00F21450" w:rsidRDefault="00F21450" w:rsidP="00F21450">
      <w:pPr>
        <w:spacing w:after="240" w:line="248" w:lineRule="auto"/>
        <w:ind w:left="720" w:right="45" w:hanging="720"/>
        <w:jc w:val="both"/>
        <w:rPr>
          <w:rFonts w:ascii="Arial" w:hAnsi="Arial" w:cs="Arial"/>
          <w:color w:val="000000"/>
          <w:kern w:val="2"/>
          <w:sz w:val="32"/>
          <w:szCs w:val="32"/>
          <w:lang w:val="en-PH" w:eastAsia="en-PH"/>
        </w:rPr>
      </w:pPr>
      <w:r w:rsidRPr="00F21450">
        <w:rPr>
          <w:rFonts w:ascii="Arial" w:eastAsia="SimSun" w:hAnsi="Arial" w:cs="Arial"/>
          <w:szCs w:val="24"/>
          <w:lang w:val="en-GB"/>
        </w:rPr>
        <w:t xml:space="preserve">Reza, B. N., &amp; Rasoul, M. H. (2018). The College Instructor’s Guide to Writing Test </w:t>
      </w:r>
      <w:proofErr w:type="gramStart"/>
      <w:r w:rsidRPr="00F21450">
        <w:rPr>
          <w:rFonts w:ascii="Arial" w:eastAsia="SimSun" w:hAnsi="Arial" w:cs="Arial"/>
          <w:szCs w:val="24"/>
          <w:lang w:val="en-GB"/>
        </w:rPr>
        <w:t>Items :</w:t>
      </w:r>
      <w:proofErr w:type="gramEnd"/>
      <w:r w:rsidRPr="00F21450">
        <w:rPr>
          <w:rFonts w:ascii="Arial" w:eastAsia="SimSun" w:hAnsi="Arial" w:cs="Arial"/>
          <w:szCs w:val="24"/>
          <w:lang w:val="en-GB"/>
        </w:rPr>
        <w:t xml:space="preserve"> Measuring Student Learning, by Michael C. Rodriguez and Anthony D. Albano, Routledge, New York: NY, 2017, 173 pp., $123.90 (Hardcover), ISBN 978-1-138-88653-7. </w:t>
      </w:r>
      <w:r w:rsidRPr="00F21450">
        <w:rPr>
          <w:rFonts w:ascii="Arial" w:eastAsia="SimSun" w:hAnsi="Arial" w:cs="Arial"/>
          <w:i/>
          <w:iCs/>
          <w:szCs w:val="24"/>
          <w:lang w:val="en-GB"/>
        </w:rPr>
        <w:t>The Journal of AsiaTEFL</w:t>
      </w:r>
      <w:r w:rsidRPr="00F21450">
        <w:rPr>
          <w:rFonts w:ascii="Arial" w:eastAsia="SimSun" w:hAnsi="Arial" w:cs="Arial"/>
          <w:szCs w:val="24"/>
          <w:lang w:val="en-GB"/>
        </w:rPr>
        <w:t xml:space="preserve">, </w:t>
      </w:r>
      <w:r w:rsidRPr="00F21450">
        <w:rPr>
          <w:rFonts w:ascii="Arial" w:eastAsia="SimSun" w:hAnsi="Arial" w:cs="Arial"/>
          <w:i/>
          <w:iCs/>
          <w:szCs w:val="24"/>
          <w:lang w:val="en-GB"/>
        </w:rPr>
        <w:t>15</w:t>
      </w:r>
      <w:r w:rsidRPr="00F21450">
        <w:rPr>
          <w:rFonts w:ascii="Arial" w:eastAsia="SimSun" w:hAnsi="Arial" w:cs="Arial"/>
          <w:szCs w:val="24"/>
          <w:lang w:val="en-GB"/>
        </w:rPr>
        <w:t>(2), 559–560. https://doi.org/10.18823/asiatefl.2018.15.2.24.559</w:t>
      </w:r>
    </w:p>
    <w:p w14:paraId="639F1BB9"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Savilla, R. D., &amp; Asparin, A. A. (2025). Effectiveness of Modular Approach to Teaching and Learners’ Academic Achievement in Araling Panlipunan. </w:t>
      </w:r>
      <w:r w:rsidRPr="00F21450">
        <w:rPr>
          <w:rFonts w:ascii="Arial" w:hAnsi="Arial" w:cs="Arial"/>
          <w:i/>
          <w:iCs/>
          <w:lang w:val="en-PH" w:eastAsia="en-PH"/>
        </w:rPr>
        <w:t>Psychology and Education: A Multidisciplinary Journal</w:t>
      </w:r>
      <w:r w:rsidRPr="00F21450">
        <w:rPr>
          <w:rFonts w:ascii="Arial" w:hAnsi="Arial" w:cs="Arial"/>
          <w:lang w:val="en-PH" w:eastAsia="en-PH"/>
        </w:rPr>
        <w:t xml:space="preserve">, </w:t>
      </w:r>
      <w:r w:rsidRPr="00F21450">
        <w:rPr>
          <w:rFonts w:ascii="Arial" w:hAnsi="Arial" w:cs="Arial"/>
          <w:i/>
          <w:iCs/>
          <w:lang w:val="en-PH" w:eastAsia="en-PH"/>
        </w:rPr>
        <w:t>32</w:t>
      </w:r>
      <w:r w:rsidRPr="00F21450">
        <w:rPr>
          <w:rFonts w:ascii="Arial" w:hAnsi="Arial" w:cs="Arial"/>
          <w:lang w:val="en-PH" w:eastAsia="en-PH"/>
        </w:rPr>
        <w:t xml:space="preserve">(8), 2025PEMJ3111. </w:t>
      </w:r>
      <w:hyperlink r:id="rId24" w:history="1">
        <w:r w:rsidRPr="00F21450">
          <w:rPr>
            <w:rFonts w:ascii="Arial" w:hAnsi="Arial" w:cs="Arial"/>
            <w:lang w:val="en-PH" w:eastAsia="en-PH"/>
          </w:rPr>
          <w:t>https://doi.org/10.5281/zenodo.14941998</w:t>
        </w:r>
      </w:hyperlink>
    </w:p>
    <w:p w14:paraId="69F77ED1"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Serrano, R. E., &amp; Farin, E. N. (2022). Effectiveness of Modular Learning Approach among Secondary School Students during Pandemic in Zambales, Philippines. </w:t>
      </w:r>
      <w:r w:rsidRPr="00F21450">
        <w:rPr>
          <w:rFonts w:ascii="Arial" w:hAnsi="Arial" w:cs="Arial"/>
          <w:i/>
          <w:iCs/>
          <w:lang w:val="en-PH" w:eastAsia="en-PH"/>
        </w:rPr>
        <w:t>Asian Journal of Education and Social Studies</w:t>
      </w:r>
      <w:r w:rsidRPr="00F21450">
        <w:rPr>
          <w:rFonts w:ascii="Arial" w:hAnsi="Arial" w:cs="Arial"/>
          <w:lang w:val="en-PH" w:eastAsia="en-PH"/>
        </w:rPr>
        <w:t xml:space="preserve">, 22–34. </w:t>
      </w:r>
      <w:hyperlink r:id="rId25" w:history="1">
        <w:r w:rsidRPr="00F21450">
          <w:rPr>
            <w:rFonts w:ascii="Arial" w:hAnsi="Arial" w:cs="Arial"/>
            <w:lang w:val="en-PH" w:eastAsia="en-PH"/>
          </w:rPr>
          <w:t>https://doi.org/10.9734/ajess/2022/v33i230789</w:t>
        </w:r>
      </w:hyperlink>
    </w:p>
    <w:p w14:paraId="56C9065E"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Sintema, E. J. (2020). Effect of COVID-19 on the performance of Grade 12 students: Implications for STEM education. </w:t>
      </w:r>
      <w:r w:rsidRPr="00F21450">
        <w:rPr>
          <w:rFonts w:ascii="Arial" w:hAnsi="Arial" w:cs="Arial"/>
          <w:i/>
          <w:iCs/>
          <w:lang w:val="en-PH" w:eastAsia="en-PH"/>
        </w:rPr>
        <w:t>Eurasia Journal of Mathematics Science and Technology Education</w:t>
      </w:r>
      <w:r w:rsidRPr="00F21450">
        <w:rPr>
          <w:rFonts w:ascii="Arial" w:hAnsi="Arial" w:cs="Arial"/>
          <w:lang w:val="en-PH" w:eastAsia="en-PH"/>
        </w:rPr>
        <w:t xml:space="preserve">, </w:t>
      </w:r>
      <w:r w:rsidRPr="00F21450">
        <w:rPr>
          <w:rFonts w:ascii="Arial" w:hAnsi="Arial" w:cs="Arial"/>
          <w:i/>
          <w:iCs/>
          <w:lang w:val="en-PH" w:eastAsia="en-PH"/>
        </w:rPr>
        <w:t>16</w:t>
      </w:r>
      <w:r w:rsidRPr="00F21450">
        <w:rPr>
          <w:rFonts w:ascii="Arial" w:hAnsi="Arial" w:cs="Arial"/>
          <w:lang w:val="en-PH" w:eastAsia="en-PH"/>
        </w:rPr>
        <w:t xml:space="preserve">(7). </w:t>
      </w:r>
      <w:hyperlink r:id="rId26" w:history="1">
        <w:r w:rsidRPr="00F21450">
          <w:rPr>
            <w:rFonts w:ascii="Arial" w:hAnsi="Arial" w:cs="Arial"/>
            <w:lang w:val="en-PH" w:eastAsia="en-PH"/>
          </w:rPr>
          <w:t>https://doi.org/10.29333/ejmste/7893</w:t>
        </w:r>
      </w:hyperlink>
    </w:p>
    <w:p w14:paraId="79063A4F"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Thakur, V. S. (2015). Using Supplementary materials in the Teaching of English: Pedagogic scope and Applications. </w:t>
      </w:r>
      <w:r w:rsidRPr="00F21450">
        <w:rPr>
          <w:rFonts w:ascii="Arial" w:hAnsi="Arial" w:cs="Arial"/>
          <w:i/>
          <w:iCs/>
          <w:lang w:val="en-PH" w:eastAsia="en-PH"/>
        </w:rPr>
        <w:t>English Language Teaching</w:t>
      </w:r>
      <w:r w:rsidRPr="00F21450">
        <w:rPr>
          <w:rFonts w:ascii="Arial" w:hAnsi="Arial" w:cs="Arial"/>
          <w:lang w:val="en-PH" w:eastAsia="en-PH"/>
        </w:rPr>
        <w:t xml:space="preserve">, </w:t>
      </w:r>
      <w:r w:rsidRPr="00F21450">
        <w:rPr>
          <w:rFonts w:ascii="Arial" w:hAnsi="Arial" w:cs="Arial"/>
          <w:i/>
          <w:iCs/>
          <w:lang w:val="en-PH" w:eastAsia="en-PH"/>
        </w:rPr>
        <w:t>8</w:t>
      </w:r>
      <w:r w:rsidRPr="00F21450">
        <w:rPr>
          <w:rFonts w:ascii="Arial" w:hAnsi="Arial" w:cs="Arial"/>
          <w:lang w:val="en-PH" w:eastAsia="en-PH"/>
        </w:rPr>
        <w:t xml:space="preserve">(12), 1. </w:t>
      </w:r>
      <w:hyperlink r:id="rId27" w:history="1">
        <w:r w:rsidRPr="00F21450">
          <w:rPr>
            <w:rFonts w:ascii="Arial" w:hAnsi="Arial" w:cs="Arial"/>
            <w:lang w:val="en-PH" w:eastAsia="en-PH"/>
          </w:rPr>
          <w:t>https://doi.org/10.5539/elt.v8n12p1</w:t>
        </w:r>
      </w:hyperlink>
    </w:p>
    <w:p w14:paraId="7EF7D3B1"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Toquero, C. M. (2020). Challenges and Opportunities for Higher Education amid the COVID-19 Pandemic: The Philippine Context. </w:t>
      </w:r>
      <w:r w:rsidRPr="00F21450">
        <w:rPr>
          <w:rFonts w:ascii="Arial" w:hAnsi="Arial" w:cs="Arial"/>
          <w:i/>
          <w:iCs/>
          <w:lang w:val="en-PH" w:eastAsia="en-PH"/>
        </w:rPr>
        <w:t>Pedagogical Research</w:t>
      </w:r>
      <w:r w:rsidRPr="00F21450">
        <w:rPr>
          <w:rFonts w:ascii="Arial" w:hAnsi="Arial" w:cs="Arial"/>
          <w:lang w:val="en-PH" w:eastAsia="en-PH"/>
        </w:rPr>
        <w:t xml:space="preserve">, </w:t>
      </w:r>
      <w:r w:rsidRPr="00F21450">
        <w:rPr>
          <w:rFonts w:ascii="Arial" w:hAnsi="Arial" w:cs="Arial"/>
          <w:i/>
          <w:iCs/>
          <w:lang w:val="en-PH" w:eastAsia="en-PH"/>
        </w:rPr>
        <w:t>5</w:t>
      </w:r>
      <w:r w:rsidRPr="00F21450">
        <w:rPr>
          <w:rFonts w:ascii="Arial" w:hAnsi="Arial" w:cs="Arial"/>
          <w:lang w:val="en-PH" w:eastAsia="en-PH"/>
        </w:rPr>
        <w:t xml:space="preserve">(4), em0063. </w:t>
      </w:r>
      <w:hyperlink r:id="rId28" w:history="1">
        <w:r w:rsidRPr="00F21450">
          <w:rPr>
            <w:rFonts w:ascii="Arial" w:hAnsi="Arial" w:cs="Arial"/>
            <w:lang w:val="en-PH" w:eastAsia="en-PH"/>
          </w:rPr>
          <w:t>https://doi.org/10.29333/pr/7947</w:t>
        </w:r>
      </w:hyperlink>
    </w:p>
    <w:p w14:paraId="04813C31"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Vangrieken, K., Dochy, F., Raes, E., &amp; Kyndt, E. (2015). Teacher collaboration: A systematic review. </w:t>
      </w:r>
      <w:r w:rsidRPr="00F21450">
        <w:rPr>
          <w:rFonts w:ascii="Arial" w:hAnsi="Arial" w:cs="Arial"/>
          <w:i/>
          <w:iCs/>
          <w:lang w:val="en-PH" w:eastAsia="en-PH"/>
        </w:rPr>
        <w:t>Educational Research Review</w:t>
      </w:r>
      <w:r w:rsidRPr="00F21450">
        <w:rPr>
          <w:rFonts w:ascii="Arial" w:hAnsi="Arial" w:cs="Arial"/>
          <w:lang w:val="en-PH" w:eastAsia="en-PH"/>
        </w:rPr>
        <w:t xml:space="preserve">, </w:t>
      </w:r>
      <w:r w:rsidRPr="00F21450">
        <w:rPr>
          <w:rFonts w:ascii="Arial" w:hAnsi="Arial" w:cs="Arial"/>
          <w:i/>
          <w:iCs/>
          <w:lang w:val="en-PH" w:eastAsia="en-PH"/>
        </w:rPr>
        <w:t>15</w:t>
      </w:r>
      <w:r w:rsidRPr="00F21450">
        <w:rPr>
          <w:rFonts w:ascii="Arial" w:hAnsi="Arial" w:cs="Arial"/>
          <w:lang w:val="en-PH" w:eastAsia="en-PH"/>
        </w:rPr>
        <w:t xml:space="preserve">, 17–40. </w:t>
      </w:r>
      <w:hyperlink r:id="rId29" w:history="1">
        <w:r w:rsidRPr="00F21450">
          <w:rPr>
            <w:rFonts w:ascii="Arial" w:hAnsi="Arial" w:cs="Arial"/>
            <w:lang w:val="en-PH" w:eastAsia="en-PH"/>
          </w:rPr>
          <w:t>https://doi.org/10.1016/j.edurev.2015.04.002</w:t>
        </w:r>
      </w:hyperlink>
    </w:p>
    <w:p w14:paraId="6CEEE642"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lastRenderedPageBreak/>
        <w:t xml:space="preserve">Vasquez, V. M. (2016). Critical literacy. </w:t>
      </w:r>
      <w:r w:rsidRPr="00F21450">
        <w:rPr>
          <w:rFonts w:ascii="Arial" w:hAnsi="Arial" w:cs="Arial"/>
          <w:i/>
          <w:iCs/>
          <w:lang w:val="en-PH" w:eastAsia="en-PH"/>
        </w:rPr>
        <w:t>Oxford Research Encyclopedia of Education</w:t>
      </w:r>
      <w:r w:rsidRPr="00F21450">
        <w:rPr>
          <w:rFonts w:ascii="Arial" w:hAnsi="Arial" w:cs="Arial"/>
          <w:lang w:val="en-PH" w:eastAsia="en-PH"/>
        </w:rPr>
        <w:t>. https://doi.org/10.1093/acrefore/9780190264093.013.20</w:t>
      </w:r>
    </w:p>
    <w:p w14:paraId="2404769A"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Williams, A. (2024). Delivering Effective student feedback in Higher Education: An evaluation of the challenges and best practice. </w:t>
      </w:r>
      <w:r w:rsidRPr="00F21450">
        <w:rPr>
          <w:rFonts w:ascii="Arial" w:hAnsi="Arial" w:cs="Arial"/>
          <w:i/>
          <w:iCs/>
          <w:lang w:val="en-PH" w:eastAsia="en-PH"/>
        </w:rPr>
        <w:t>International Journal of Research in Education and Science</w:t>
      </w:r>
      <w:r w:rsidRPr="00F21450">
        <w:rPr>
          <w:rFonts w:ascii="Arial" w:hAnsi="Arial" w:cs="Arial"/>
          <w:lang w:val="en-PH" w:eastAsia="en-PH"/>
        </w:rPr>
        <w:t xml:space="preserve">, </w:t>
      </w:r>
      <w:r w:rsidRPr="00F21450">
        <w:rPr>
          <w:rFonts w:ascii="Arial" w:hAnsi="Arial" w:cs="Arial"/>
          <w:i/>
          <w:iCs/>
          <w:lang w:val="en-PH" w:eastAsia="en-PH"/>
        </w:rPr>
        <w:t>10</w:t>
      </w:r>
      <w:r w:rsidRPr="00F21450">
        <w:rPr>
          <w:rFonts w:ascii="Arial" w:hAnsi="Arial" w:cs="Arial"/>
          <w:lang w:val="en-PH" w:eastAsia="en-PH"/>
        </w:rPr>
        <w:t xml:space="preserve">(2), 473–501. </w:t>
      </w:r>
      <w:hyperlink r:id="rId30" w:history="1">
        <w:r w:rsidRPr="00F21450">
          <w:rPr>
            <w:rFonts w:ascii="Arial" w:hAnsi="Arial" w:cs="Arial"/>
            <w:lang w:val="en-PH" w:eastAsia="en-PH"/>
          </w:rPr>
          <w:t>https://doi.org/10.46328/ijres.3404</w:t>
        </w:r>
      </w:hyperlink>
    </w:p>
    <w:p w14:paraId="5A46B8E7" w14:textId="77777777" w:rsidR="00F21450" w:rsidRPr="00F21450" w:rsidRDefault="00F21450" w:rsidP="00F21450">
      <w:pPr>
        <w:spacing w:after="240"/>
        <w:ind w:left="720" w:hanging="720"/>
        <w:jc w:val="both"/>
        <w:rPr>
          <w:rFonts w:ascii="Arial" w:hAnsi="Arial" w:cs="Arial"/>
          <w:lang w:val="en-PH" w:eastAsia="en-PH"/>
        </w:rPr>
      </w:pPr>
      <w:r w:rsidRPr="00F21450">
        <w:rPr>
          <w:rFonts w:ascii="Arial" w:hAnsi="Arial" w:cs="Arial"/>
          <w:lang w:val="en-PH" w:eastAsia="en-PH"/>
        </w:rPr>
        <w:t xml:space="preserve">Zhou, H. (2017). </w:t>
      </w:r>
      <w:r w:rsidRPr="00F21450">
        <w:rPr>
          <w:rFonts w:ascii="Arial" w:hAnsi="Arial" w:cs="Arial"/>
          <w:i/>
          <w:iCs/>
          <w:lang w:val="en-PH" w:eastAsia="en-PH"/>
        </w:rPr>
        <w:t>Why does writing good learning objectives matter?</w:t>
      </w:r>
      <w:r w:rsidRPr="00F21450">
        <w:rPr>
          <w:rFonts w:ascii="Arial" w:hAnsi="Arial" w:cs="Arial"/>
          <w:lang w:val="en-PH" w:eastAsia="en-PH"/>
        </w:rPr>
        <w:t xml:space="preserve"> Duke Learning Innovation &amp; Lifetime Education. https://lile.duke.edu/blog/2017/03/learning-objectives/</w:t>
      </w:r>
    </w:p>
    <w:p w14:paraId="1D6C1B6E" w14:textId="77777777" w:rsidR="00B01FCD" w:rsidRPr="00FB3A86" w:rsidRDefault="00B01FCD" w:rsidP="00441B6F">
      <w:pPr>
        <w:pStyle w:val="Reference"/>
        <w:numPr>
          <w:ilvl w:val="0"/>
          <w:numId w:val="0"/>
        </w:numPr>
        <w:spacing w:line="240" w:lineRule="auto"/>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7B2D280E" w:rsidR="004D4277" w:rsidRPr="00FB3A86" w:rsidRDefault="004D4277" w:rsidP="00441B6F">
      <w:pPr>
        <w:pStyle w:val="Appendix"/>
        <w:spacing w:after="0"/>
        <w:jc w:val="both"/>
        <w:rPr>
          <w:rFonts w:ascii="Arial" w:hAnsi="Arial" w:cs="Arial"/>
          <w:b w:val="0"/>
        </w:rPr>
        <w:sectPr w:rsidR="004D4277" w:rsidRPr="00FB3A86" w:rsidSect="0052395E">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5239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CE524" w14:textId="77777777" w:rsidR="00A93AB4" w:rsidRDefault="00A93AB4" w:rsidP="00C37E61">
      <w:r>
        <w:separator/>
      </w:r>
    </w:p>
  </w:endnote>
  <w:endnote w:type="continuationSeparator" w:id="0">
    <w:p w14:paraId="5A78ADE3" w14:textId="77777777" w:rsidR="00A93AB4" w:rsidRDefault="00A93A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4A1F" w14:textId="77777777" w:rsidR="00596028" w:rsidRDefault="00596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CCB3" w14:textId="77777777" w:rsidR="00596028" w:rsidRDefault="00596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8D8EC" w14:textId="77777777" w:rsidR="00A93AB4" w:rsidRDefault="00A93AB4" w:rsidP="00C37E61">
      <w:r>
        <w:separator/>
      </w:r>
    </w:p>
  </w:footnote>
  <w:footnote w:type="continuationSeparator" w:id="0">
    <w:p w14:paraId="11F13F88" w14:textId="77777777" w:rsidR="00A93AB4" w:rsidRDefault="00A93A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0E31A" w14:textId="5256AB17" w:rsidR="00596028" w:rsidRDefault="00596028">
    <w:pPr>
      <w:pStyle w:val="Header"/>
    </w:pPr>
    <w:r>
      <w:rPr>
        <w:noProof/>
      </w:rPr>
      <w:pict w14:anchorId="6E29B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72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FBAB" w14:textId="1A0B9CBD" w:rsidR="00596028" w:rsidRDefault="00596028">
    <w:pPr>
      <w:pStyle w:val="Header"/>
    </w:pPr>
    <w:r>
      <w:rPr>
        <w:noProof/>
      </w:rPr>
      <w:pict w14:anchorId="06202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72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5F84F" w14:textId="29073553" w:rsidR="00596028" w:rsidRDefault="00596028">
    <w:pPr>
      <w:pStyle w:val="Header"/>
    </w:pPr>
    <w:r>
      <w:rPr>
        <w:noProof/>
      </w:rPr>
      <w:pict w14:anchorId="0E608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47243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076B1"/>
    <w:multiLevelType w:val="hybridMultilevel"/>
    <w:tmpl w:val="5156D6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746568"/>
    <w:multiLevelType w:val="hybridMultilevel"/>
    <w:tmpl w:val="99480A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430D"/>
    <w:rsid w:val="000C3A8D"/>
    <w:rsid w:val="000D689F"/>
    <w:rsid w:val="000E7B7B"/>
    <w:rsid w:val="000E7D62"/>
    <w:rsid w:val="0010120F"/>
    <w:rsid w:val="00103357"/>
    <w:rsid w:val="00123C9F"/>
    <w:rsid w:val="00126190"/>
    <w:rsid w:val="00130F17"/>
    <w:rsid w:val="001320BF"/>
    <w:rsid w:val="00163BC4"/>
    <w:rsid w:val="00167300"/>
    <w:rsid w:val="00191062"/>
    <w:rsid w:val="00192B72"/>
    <w:rsid w:val="0019749F"/>
    <w:rsid w:val="001A29D8"/>
    <w:rsid w:val="001A5CAA"/>
    <w:rsid w:val="001B0427"/>
    <w:rsid w:val="001D3A51"/>
    <w:rsid w:val="001E10D2"/>
    <w:rsid w:val="001E25B4"/>
    <w:rsid w:val="001E44FE"/>
    <w:rsid w:val="00200595"/>
    <w:rsid w:val="00202211"/>
    <w:rsid w:val="00204835"/>
    <w:rsid w:val="00231920"/>
    <w:rsid w:val="0023195C"/>
    <w:rsid w:val="002340DD"/>
    <w:rsid w:val="0024282C"/>
    <w:rsid w:val="002460DC"/>
    <w:rsid w:val="00250985"/>
    <w:rsid w:val="002556F6"/>
    <w:rsid w:val="00283105"/>
    <w:rsid w:val="00284C4C"/>
    <w:rsid w:val="00287E68"/>
    <w:rsid w:val="00296529"/>
    <w:rsid w:val="002B27FB"/>
    <w:rsid w:val="002B505C"/>
    <w:rsid w:val="002B685A"/>
    <w:rsid w:val="002C57D2"/>
    <w:rsid w:val="002D2611"/>
    <w:rsid w:val="002E0D56"/>
    <w:rsid w:val="00300D7A"/>
    <w:rsid w:val="00315186"/>
    <w:rsid w:val="0033343E"/>
    <w:rsid w:val="003512C2"/>
    <w:rsid w:val="00371FB6"/>
    <w:rsid w:val="003763C1"/>
    <w:rsid w:val="00376BBE"/>
    <w:rsid w:val="0039224F"/>
    <w:rsid w:val="003A28E9"/>
    <w:rsid w:val="003A43A4"/>
    <w:rsid w:val="003A7E18"/>
    <w:rsid w:val="003C44E6"/>
    <w:rsid w:val="003C4C86"/>
    <w:rsid w:val="003C6258"/>
    <w:rsid w:val="003E2904"/>
    <w:rsid w:val="00401927"/>
    <w:rsid w:val="0041027F"/>
    <w:rsid w:val="00412475"/>
    <w:rsid w:val="00423789"/>
    <w:rsid w:val="00440F43"/>
    <w:rsid w:val="00441B6F"/>
    <w:rsid w:val="00446221"/>
    <w:rsid w:val="00450E62"/>
    <w:rsid w:val="00451D5E"/>
    <w:rsid w:val="004539DB"/>
    <w:rsid w:val="00471A80"/>
    <w:rsid w:val="004D305E"/>
    <w:rsid w:val="004D4277"/>
    <w:rsid w:val="00502516"/>
    <w:rsid w:val="00504A9F"/>
    <w:rsid w:val="00505F06"/>
    <w:rsid w:val="00506828"/>
    <w:rsid w:val="0052395E"/>
    <w:rsid w:val="0053056E"/>
    <w:rsid w:val="00544C2A"/>
    <w:rsid w:val="00554FDA"/>
    <w:rsid w:val="0059602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970CF"/>
    <w:rsid w:val="006A250C"/>
    <w:rsid w:val="006B21D3"/>
    <w:rsid w:val="006B57D0"/>
    <w:rsid w:val="006C2180"/>
    <w:rsid w:val="006D30FF"/>
    <w:rsid w:val="006D6940"/>
    <w:rsid w:val="006F11EC"/>
    <w:rsid w:val="0070082C"/>
    <w:rsid w:val="007369E6"/>
    <w:rsid w:val="00746E59"/>
    <w:rsid w:val="00754C9A"/>
    <w:rsid w:val="0075599A"/>
    <w:rsid w:val="00761D52"/>
    <w:rsid w:val="0077749E"/>
    <w:rsid w:val="00790ADA"/>
    <w:rsid w:val="007B6319"/>
    <w:rsid w:val="007D2288"/>
    <w:rsid w:val="007E088F"/>
    <w:rsid w:val="007F7B32"/>
    <w:rsid w:val="00804BC2"/>
    <w:rsid w:val="0081431A"/>
    <w:rsid w:val="0083216F"/>
    <w:rsid w:val="00860000"/>
    <w:rsid w:val="00863BD3"/>
    <w:rsid w:val="008641ED"/>
    <w:rsid w:val="00864D87"/>
    <w:rsid w:val="00866D66"/>
    <w:rsid w:val="008671C6"/>
    <w:rsid w:val="00875803"/>
    <w:rsid w:val="008B459E"/>
    <w:rsid w:val="008E13AE"/>
    <w:rsid w:val="008E1506"/>
    <w:rsid w:val="008E710C"/>
    <w:rsid w:val="008F69D6"/>
    <w:rsid w:val="00902823"/>
    <w:rsid w:val="009042D9"/>
    <w:rsid w:val="009141C6"/>
    <w:rsid w:val="00915CA6"/>
    <w:rsid w:val="00927834"/>
    <w:rsid w:val="00931367"/>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C10"/>
    <w:rsid w:val="00A51431"/>
    <w:rsid w:val="00A539AD"/>
    <w:rsid w:val="00A661F3"/>
    <w:rsid w:val="00A93AB4"/>
    <w:rsid w:val="00A94063"/>
    <w:rsid w:val="00AA6219"/>
    <w:rsid w:val="00AA74E0"/>
    <w:rsid w:val="00AB703F"/>
    <w:rsid w:val="00AC6BB8"/>
    <w:rsid w:val="00AE008F"/>
    <w:rsid w:val="00AF5F90"/>
    <w:rsid w:val="00B01FCD"/>
    <w:rsid w:val="00B1776C"/>
    <w:rsid w:val="00B43F74"/>
    <w:rsid w:val="00B52583"/>
    <w:rsid w:val="00B52896"/>
    <w:rsid w:val="00B54BC3"/>
    <w:rsid w:val="00B95236"/>
    <w:rsid w:val="00B96BD9"/>
    <w:rsid w:val="00BA1B01"/>
    <w:rsid w:val="00BA2641"/>
    <w:rsid w:val="00BB37AA"/>
    <w:rsid w:val="00BC53A0"/>
    <w:rsid w:val="00BC5B2B"/>
    <w:rsid w:val="00BE62AD"/>
    <w:rsid w:val="00BF121F"/>
    <w:rsid w:val="00BF1F80"/>
    <w:rsid w:val="00C166EF"/>
    <w:rsid w:val="00C17EB0"/>
    <w:rsid w:val="00C27F5F"/>
    <w:rsid w:val="00C30A0F"/>
    <w:rsid w:val="00C37E61"/>
    <w:rsid w:val="00C70F1B"/>
    <w:rsid w:val="00C71A47"/>
    <w:rsid w:val="00C731F5"/>
    <w:rsid w:val="00C7464C"/>
    <w:rsid w:val="00C85588"/>
    <w:rsid w:val="00CD6755"/>
    <w:rsid w:val="00CD6856"/>
    <w:rsid w:val="00CE0089"/>
    <w:rsid w:val="00CE793C"/>
    <w:rsid w:val="00CF193C"/>
    <w:rsid w:val="00D173F1"/>
    <w:rsid w:val="00D23104"/>
    <w:rsid w:val="00D62E74"/>
    <w:rsid w:val="00D74CB0"/>
    <w:rsid w:val="00D8295D"/>
    <w:rsid w:val="00DC2A65"/>
    <w:rsid w:val="00DE15F0"/>
    <w:rsid w:val="00DE2F77"/>
    <w:rsid w:val="00DE5663"/>
    <w:rsid w:val="00DE78AA"/>
    <w:rsid w:val="00E053D0"/>
    <w:rsid w:val="00E15994"/>
    <w:rsid w:val="00E3114E"/>
    <w:rsid w:val="00E31A70"/>
    <w:rsid w:val="00E34B85"/>
    <w:rsid w:val="00E35B02"/>
    <w:rsid w:val="00E66496"/>
    <w:rsid w:val="00E66B35"/>
    <w:rsid w:val="00E66E10"/>
    <w:rsid w:val="00E769F6"/>
    <w:rsid w:val="00E8407C"/>
    <w:rsid w:val="00E84F3C"/>
    <w:rsid w:val="00EA012C"/>
    <w:rsid w:val="00EC6A55"/>
    <w:rsid w:val="00ED0288"/>
    <w:rsid w:val="00EE52CB"/>
    <w:rsid w:val="00EF1D29"/>
    <w:rsid w:val="00EF1E6C"/>
    <w:rsid w:val="00EF581D"/>
    <w:rsid w:val="00EF7FD8"/>
    <w:rsid w:val="00F06F59"/>
    <w:rsid w:val="00F17988"/>
    <w:rsid w:val="00F21450"/>
    <w:rsid w:val="00F469F0"/>
    <w:rsid w:val="00F53273"/>
    <w:rsid w:val="00F61493"/>
    <w:rsid w:val="00F755E4"/>
    <w:rsid w:val="00F77D02"/>
    <w:rsid w:val="00FA1F21"/>
    <w:rsid w:val="00FA3732"/>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A1F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A1F2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01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ed.gov/?id=EJ1317445" TargetMode="External"/><Relationship Id="rId18" Type="http://schemas.openxmlformats.org/officeDocument/2006/relationships/hyperlink" Target="https://files.eric.ed.gov/fulltext/EJ1066356.pdf" TargetMode="External"/><Relationship Id="rId26" Type="http://schemas.openxmlformats.org/officeDocument/2006/relationships/hyperlink" Target="https://doi.org/10.29333/ejmste/7893" TargetMode="External"/><Relationship Id="rId21" Type="http://schemas.openxmlformats.org/officeDocument/2006/relationships/hyperlink" Target="https://doi.org/10.1177/160940691773384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urnalspress.com/LJRHSS_Volume22/Modular-Distance-Learning-Experiences-of-Public-School-Teachers-in-the-Philippines-A-Phenomenology.pdf" TargetMode="External"/><Relationship Id="rId17" Type="http://schemas.openxmlformats.org/officeDocument/2006/relationships/hyperlink" Target="https://doi.org/10.3389/fpsyg.2023.1278827" TargetMode="External"/><Relationship Id="rId25" Type="http://schemas.openxmlformats.org/officeDocument/2006/relationships/hyperlink" Target="https://doi.org/10.9734/ajess/2022/v33i23078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fpsyg.2023.1063200" TargetMode="External"/><Relationship Id="rId20" Type="http://schemas.openxmlformats.org/officeDocument/2006/relationships/hyperlink" Target="https://doi.org/10.2139/ssrn.3889429" TargetMode="External"/><Relationship Id="rId29" Type="http://schemas.openxmlformats.org/officeDocument/2006/relationships/hyperlink" Target="https://doi.org/10.1016/j.edurev.2015.04.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6511719" TargetMode="External"/><Relationship Id="rId24" Type="http://schemas.openxmlformats.org/officeDocument/2006/relationships/hyperlink" Target="https://doi.org/10.5281/zenodo.1494199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appler.com/voices/imho/opinion-are-self-learning-modules-effective/" TargetMode="External"/><Relationship Id="rId23" Type="http://schemas.openxmlformats.org/officeDocument/2006/relationships/hyperlink" Target="https://repository.lib.fsu.edu/islandora/object/fsu:915318/datastream/PDF/view" TargetMode="External"/><Relationship Id="rId28" Type="http://schemas.openxmlformats.org/officeDocument/2006/relationships/hyperlink" Target="https://doi.org/10.29333/pr/7947" TargetMode="External"/><Relationship Id="rId36" Type="http://schemas.openxmlformats.org/officeDocument/2006/relationships/footer" Target="footer3.xml"/><Relationship Id="rId10" Type="http://schemas.openxmlformats.org/officeDocument/2006/relationships/hyperlink" Target="https://doi.org/10.11594/ijmaber.04.05.15" TargetMode="External"/><Relationship Id="rId19" Type="http://schemas.openxmlformats.org/officeDocument/2006/relationships/hyperlink" Target="https://mb.com.ph/2020/08/04/teachers-air-problems-on-modular-learning-syste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quincycollege.edu/wp-content/uploads/Anderson-and-Krathwohl_Revised-Blooms-Taxonomy.pdf" TargetMode="External"/><Relationship Id="rId14" Type="http://schemas.openxmlformats.org/officeDocument/2006/relationships/hyperlink" Target="https://doi.org/10.14221/ajte.2016v41n2.8" TargetMode="External"/><Relationship Id="rId22" Type="http://schemas.openxmlformats.org/officeDocument/2006/relationships/hyperlink" Target="https://doi.org/10.1787/c4ecba6c-en" TargetMode="External"/><Relationship Id="rId27" Type="http://schemas.openxmlformats.org/officeDocument/2006/relationships/hyperlink" Target="https://doi.org/10.5539/elt.v8n12p1" TargetMode="External"/><Relationship Id="rId30" Type="http://schemas.openxmlformats.org/officeDocument/2006/relationships/hyperlink" Target="https://doi.org/10.46328/ijres.3404" TargetMode="External"/><Relationship Id="rId35" Type="http://schemas.openxmlformats.org/officeDocument/2006/relationships/header" Target="header3.xml"/><Relationship Id="rId8" Type="http://schemas.openxmlformats.org/officeDocument/2006/relationships/hyperlink" Target="https://doi.org/10.33423/jhetp.v22i18.5701"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FAF02-9B88-4DB1-AF6A-0C58A411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22</Pages>
  <Words>10428</Words>
  <Characters>59441</Characters>
  <Application>Microsoft Office Word</Application>
  <DocSecurity>0</DocSecurity>
  <Lines>495</Lines>
  <Paragraphs>139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Paper Template</vt:lpstr>
      <vt:lpstr>        3.1 Teachers’ Perceptions of the Objectives, Activities, and Assessments of SLMs</vt:lpstr>
      <vt:lpstr>    3.2 Students’ and Teachers’ Challenges in the Utilization of Self-Learning Modul</vt:lpstr>
      <vt:lpstr>    3.2.1 Students’ Challenges in the Utilization of Self-Learning Modules (SLMs) in</vt:lpstr>
      <vt:lpstr>    3.2.2 Teachers’ Challenges in the Utilization of Self-Learning Modules (SLMs) in</vt:lpstr>
    </vt:vector>
  </TitlesOfParts>
  <Company>aaaa</Company>
  <LinksUpToDate>false</LinksUpToDate>
  <CharactersWithSpaces>69730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2025-10-21T10:57:00Z</dcterms:modified>
</cp:coreProperties>
</file>