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F0F7" w14:textId="3DD12BEC" w:rsidR="00F4650D" w:rsidRPr="006E3EB0" w:rsidRDefault="00D0021E" w:rsidP="00D0021E">
      <w:pPr>
        <w:jc w:val="center"/>
        <w:rPr>
          <w:rFonts w:ascii="Arial" w:hAnsi="Arial" w:cs="Arial"/>
          <w:b/>
          <w:sz w:val="36"/>
          <w:szCs w:val="20"/>
        </w:rPr>
      </w:pPr>
      <w:r w:rsidRPr="006E3EB0">
        <w:rPr>
          <w:rFonts w:ascii="Arial" w:hAnsi="Arial" w:cs="Arial"/>
          <w:b/>
          <w:sz w:val="36"/>
          <w:szCs w:val="20"/>
        </w:rPr>
        <w:t xml:space="preserve">Are </w:t>
      </w:r>
      <w:r w:rsidR="00BD01C9">
        <w:rPr>
          <w:rFonts w:ascii="Arial" w:hAnsi="Arial" w:cs="Arial"/>
          <w:b/>
          <w:sz w:val="36"/>
          <w:szCs w:val="20"/>
        </w:rPr>
        <w:t>Primary</w:t>
      </w:r>
      <w:r w:rsidRPr="006E3EB0">
        <w:rPr>
          <w:rFonts w:ascii="Arial" w:hAnsi="Arial" w:cs="Arial"/>
          <w:b/>
          <w:sz w:val="36"/>
          <w:szCs w:val="20"/>
        </w:rPr>
        <w:t xml:space="preserve"> Health </w:t>
      </w:r>
      <w:proofErr w:type="spellStart"/>
      <w:r w:rsidRPr="006E3EB0">
        <w:rPr>
          <w:rFonts w:ascii="Arial" w:hAnsi="Arial" w:cs="Arial"/>
          <w:b/>
          <w:sz w:val="36"/>
          <w:szCs w:val="20"/>
        </w:rPr>
        <w:t>Centres</w:t>
      </w:r>
      <w:proofErr w:type="spellEnd"/>
      <w:r w:rsidRPr="006E3EB0">
        <w:rPr>
          <w:rFonts w:ascii="Arial" w:hAnsi="Arial" w:cs="Arial"/>
          <w:b/>
          <w:sz w:val="36"/>
          <w:szCs w:val="20"/>
        </w:rPr>
        <w:t xml:space="preserve"> Equally Distributed in Kerala? </w:t>
      </w:r>
      <w:r w:rsidR="001F46A5" w:rsidRPr="006E3EB0">
        <w:rPr>
          <w:rFonts w:ascii="Arial" w:hAnsi="Arial" w:cs="Arial"/>
          <w:b/>
          <w:sz w:val="36"/>
          <w:szCs w:val="20"/>
        </w:rPr>
        <w:t>An</w:t>
      </w:r>
      <w:r w:rsidRPr="006E3EB0">
        <w:rPr>
          <w:rFonts w:ascii="Arial" w:hAnsi="Arial" w:cs="Arial"/>
          <w:b/>
          <w:sz w:val="36"/>
          <w:szCs w:val="20"/>
        </w:rPr>
        <w:t xml:space="preserve"> Equity Analysis across Districts</w:t>
      </w:r>
    </w:p>
    <w:p w14:paraId="5862C7F0" w14:textId="77777777" w:rsidR="00307E98" w:rsidRDefault="00307E98" w:rsidP="001F46A5">
      <w:pPr>
        <w:pStyle w:val="Affiliation"/>
        <w:spacing w:after="0" w:line="240" w:lineRule="auto"/>
        <w:rPr>
          <w:rFonts w:ascii="Arial" w:hAnsi="Arial" w:cs="Arial"/>
          <w:i/>
        </w:rPr>
      </w:pPr>
    </w:p>
    <w:p w14:paraId="332F6D87" w14:textId="77777777" w:rsidR="00340940" w:rsidRDefault="00340940" w:rsidP="00514D55">
      <w:pPr>
        <w:spacing w:after="0" w:line="360" w:lineRule="auto"/>
        <w:jc w:val="both"/>
        <w:rPr>
          <w:rFonts w:ascii="Arial" w:hAnsi="Arial" w:cs="Arial"/>
          <w:b/>
          <w:szCs w:val="20"/>
        </w:rPr>
      </w:pPr>
    </w:p>
    <w:p w14:paraId="2F6164B8" w14:textId="205D37B9" w:rsidR="00514D55" w:rsidRPr="00514D55" w:rsidRDefault="00514D55" w:rsidP="00514D55">
      <w:pPr>
        <w:spacing w:after="0" w:line="360" w:lineRule="auto"/>
        <w:jc w:val="both"/>
        <w:rPr>
          <w:rFonts w:ascii="Arial" w:hAnsi="Arial" w:cs="Arial"/>
          <w:sz w:val="20"/>
          <w:szCs w:val="20"/>
        </w:rPr>
      </w:pPr>
      <w:bookmarkStart w:id="0" w:name="_GoBack"/>
      <w:bookmarkEnd w:id="0"/>
      <w:r w:rsidRPr="00514D55">
        <w:rPr>
          <w:rFonts w:ascii="Arial" w:hAnsi="Arial" w:cs="Arial"/>
          <w:b/>
          <w:szCs w:val="20"/>
        </w:rPr>
        <w:t>Abstract:</w:t>
      </w:r>
      <w:r>
        <w:rPr>
          <w:rFonts w:ascii="Arial" w:hAnsi="Arial" w:cs="Arial"/>
          <w:szCs w:val="20"/>
        </w:rPr>
        <w:t xml:space="preserve"> </w:t>
      </w:r>
      <w:r w:rsidRPr="00514D55">
        <w:rPr>
          <w:rFonts w:ascii="Arial" w:hAnsi="Arial" w:cs="Arial"/>
          <w:sz w:val="20"/>
          <w:szCs w:val="20"/>
        </w:rPr>
        <w:t>Equitable access to primary healthcare remains central to Kerala’s public health achievements. This study evaluates the distribution of Public Health Centres (PHCs) across the state using district-level data for 2024–25. A multipronged approach was adopted: descriptive statistics established baseline PHC density, correlation analysis assessed associations with socio-demographic indicators, Lorenz curves and Gini coefficients measured inequality, and a composite Vulnerability Index was constructed to identify structurally disadvantaged districts. Results indicate an average PHC density of 1.7 per 100,000 population, with Wayanad recording the highest (2.85) and Kollam the lowest (1.20). PHC density shows strong positive correlation with Scheduled Tribe share and moderate association with poverty and rurality, while literacy and Scheduled Caste shares reveal weak or negative relationships. The Lorenz curve lies close to the equality line, producing a Gini coefficient near 0.12, confirming low inequality in distribution. Yet, the vulnerability index highlights Palakkad, Kollam, Idukki, and Wayanad as priority districts due to overlapping socio-demographic disadvantages. These findings underline Kerala’s success in ensuring relatively equitable PHC allocation while identifying districts where demographic burdens limit accessibility. Strengthening targeted interventions in vulnerable regions is essential to further enhance healthcare equity and sustain Kerala’s reputation as a model for primary health in India.</w:t>
      </w:r>
    </w:p>
    <w:p w14:paraId="4661B5BE" w14:textId="77777777" w:rsidR="001F46A5" w:rsidRPr="003A24F5" w:rsidRDefault="001F46A5" w:rsidP="00052C82">
      <w:pPr>
        <w:spacing w:after="0" w:line="360" w:lineRule="auto"/>
        <w:jc w:val="center"/>
        <w:rPr>
          <w:rFonts w:ascii="Arial" w:hAnsi="Arial" w:cs="Arial"/>
          <w:i/>
          <w:sz w:val="20"/>
          <w:szCs w:val="20"/>
        </w:rPr>
      </w:pPr>
      <w:r w:rsidRPr="003A24F5">
        <w:rPr>
          <w:rFonts w:ascii="Arial" w:hAnsi="Arial" w:cs="Arial"/>
          <w:b/>
          <w:i/>
          <w:sz w:val="20"/>
          <w:szCs w:val="20"/>
        </w:rPr>
        <w:t xml:space="preserve">Key words: </w:t>
      </w:r>
      <w:r w:rsidR="006E3EB0" w:rsidRPr="003A24F5">
        <w:rPr>
          <w:rFonts w:ascii="Arial" w:hAnsi="Arial" w:cs="Arial"/>
          <w:i/>
          <w:sz w:val="20"/>
          <w:szCs w:val="20"/>
        </w:rPr>
        <w:t>Public Health,</w:t>
      </w:r>
      <w:r w:rsidR="006E3EB0">
        <w:rPr>
          <w:rFonts w:ascii="Arial" w:hAnsi="Arial" w:cs="Arial"/>
          <w:b/>
          <w:i/>
          <w:sz w:val="20"/>
          <w:szCs w:val="20"/>
        </w:rPr>
        <w:t xml:space="preserve"> </w:t>
      </w:r>
      <w:r w:rsidR="00514D55" w:rsidRPr="003A24F5">
        <w:rPr>
          <w:rFonts w:ascii="Arial" w:hAnsi="Arial" w:cs="Arial"/>
          <w:i/>
          <w:sz w:val="20"/>
          <w:szCs w:val="20"/>
        </w:rPr>
        <w:t>P</w:t>
      </w:r>
      <w:r w:rsidR="00514D55">
        <w:rPr>
          <w:rFonts w:ascii="Arial" w:hAnsi="Arial" w:cs="Arial"/>
          <w:i/>
          <w:sz w:val="20"/>
          <w:szCs w:val="20"/>
        </w:rPr>
        <w:t>rimary</w:t>
      </w:r>
      <w:r w:rsidR="00514D55" w:rsidRPr="003A24F5">
        <w:rPr>
          <w:rFonts w:ascii="Arial" w:hAnsi="Arial" w:cs="Arial"/>
          <w:i/>
          <w:sz w:val="20"/>
          <w:szCs w:val="20"/>
        </w:rPr>
        <w:t xml:space="preserve"> Health</w:t>
      </w:r>
      <w:r w:rsidR="006E3EB0" w:rsidRPr="003A24F5">
        <w:rPr>
          <w:rFonts w:ascii="Arial" w:hAnsi="Arial" w:cs="Arial"/>
          <w:i/>
          <w:sz w:val="20"/>
          <w:szCs w:val="20"/>
        </w:rPr>
        <w:t xml:space="preserve"> Center, </w:t>
      </w:r>
      <w:r w:rsidR="006E3EB0">
        <w:rPr>
          <w:rFonts w:ascii="Arial" w:hAnsi="Arial" w:cs="Arial"/>
          <w:i/>
          <w:sz w:val="20"/>
          <w:szCs w:val="20"/>
        </w:rPr>
        <w:t>Universal Health Coverage, Inequality, Vulnerability</w:t>
      </w:r>
    </w:p>
    <w:p w14:paraId="2D861E21" w14:textId="77777777" w:rsidR="0029339F" w:rsidRPr="00AD036D" w:rsidRDefault="0029339F" w:rsidP="0029339F">
      <w:pPr>
        <w:spacing w:after="0" w:line="360" w:lineRule="auto"/>
        <w:jc w:val="both"/>
        <w:rPr>
          <w:rFonts w:ascii="Arial" w:hAnsi="Arial" w:cs="Arial"/>
          <w:b/>
          <w:sz w:val="24"/>
          <w:szCs w:val="20"/>
        </w:rPr>
      </w:pPr>
      <w:r w:rsidRPr="00AD036D">
        <w:rPr>
          <w:rFonts w:ascii="Arial" w:hAnsi="Arial" w:cs="Arial"/>
          <w:b/>
          <w:sz w:val="24"/>
          <w:szCs w:val="20"/>
        </w:rPr>
        <w:t>1. Introduction</w:t>
      </w:r>
    </w:p>
    <w:p w14:paraId="0D3EA53E"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Health equity has emerged as a central concern of global health systems over the past two decades. The World Health Organization (WHO, 20</w:t>
      </w:r>
      <w:r w:rsidR="00F51E2A">
        <w:rPr>
          <w:rFonts w:ascii="Arial" w:hAnsi="Arial" w:cs="Arial"/>
          <w:sz w:val="20"/>
          <w:szCs w:val="20"/>
        </w:rPr>
        <w:t>21</w:t>
      </w:r>
      <w:r w:rsidRPr="001F46A5">
        <w:rPr>
          <w:rFonts w:ascii="Arial" w:hAnsi="Arial" w:cs="Arial"/>
          <w:sz w:val="20"/>
          <w:szCs w:val="20"/>
        </w:rPr>
        <w:t>) defines equity in health as the absence of systematic differences in health outcomes and access to healthcare services that are avoidable or unjust. The importance of equitable health infrastructure distribution is further underscored by the Sustainable Development Goals (SDG 3), which commit nations to achieving universal health coverage by 2030</w:t>
      </w:r>
      <w:r w:rsidR="00CA1426">
        <w:rPr>
          <w:rFonts w:ascii="Arial" w:hAnsi="Arial" w:cs="Arial"/>
          <w:sz w:val="20"/>
          <w:szCs w:val="20"/>
        </w:rPr>
        <w:t xml:space="preserve"> (Chiu &amp; Fong, 2023)</w:t>
      </w:r>
      <w:r w:rsidRPr="001F46A5">
        <w:rPr>
          <w:rFonts w:ascii="Arial" w:hAnsi="Arial" w:cs="Arial"/>
          <w:sz w:val="20"/>
          <w:szCs w:val="20"/>
        </w:rPr>
        <w:t>.</w:t>
      </w:r>
    </w:p>
    <w:p w14:paraId="3755F96A" w14:textId="77777777" w:rsidR="0029339F" w:rsidRPr="00CA1426" w:rsidRDefault="0029339F" w:rsidP="00CA1426">
      <w:pPr>
        <w:spacing w:after="0" w:line="360" w:lineRule="auto"/>
        <w:ind w:firstLine="360"/>
        <w:jc w:val="both"/>
        <w:rPr>
          <w:rFonts w:ascii="Arial" w:hAnsi="Arial" w:cs="Arial"/>
          <w:sz w:val="20"/>
          <w:szCs w:val="20"/>
        </w:rPr>
      </w:pPr>
      <w:r w:rsidRPr="001F46A5">
        <w:rPr>
          <w:rFonts w:ascii="Arial" w:hAnsi="Arial" w:cs="Arial"/>
          <w:sz w:val="20"/>
          <w:szCs w:val="20"/>
        </w:rPr>
        <w:t>Globally, inequities in healthcare distribution remain stark. According to the World Bank (2021), sub-Saharan Africa hosts 24 percent of the global disease burden but only 3 percent of the world’s health workforce</w:t>
      </w:r>
      <w:r w:rsidR="00CA1426">
        <w:rPr>
          <w:rFonts w:ascii="Arial" w:hAnsi="Arial" w:cs="Arial"/>
          <w:sz w:val="20"/>
          <w:szCs w:val="20"/>
        </w:rPr>
        <w:t xml:space="preserve"> (</w:t>
      </w:r>
      <w:proofErr w:type="spellStart"/>
      <w:r w:rsidR="00CA1426">
        <w:rPr>
          <w:rFonts w:ascii="Arial" w:hAnsi="Arial" w:cs="Arial"/>
          <w:sz w:val="20"/>
          <w:szCs w:val="20"/>
        </w:rPr>
        <w:t>Anyangwe</w:t>
      </w:r>
      <w:proofErr w:type="spellEnd"/>
      <w:r w:rsidR="00CA1426">
        <w:rPr>
          <w:rFonts w:ascii="Arial" w:hAnsi="Arial" w:cs="Arial"/>
          <w:sz w:val="20"/>
          <w:szCs w:val="20"/>
        </w:rPr>
        <w:t xml:space="preserve"> </w:t>
      </w:r>
      <w:r w:rsidR="00CA1426" w:rsidRPr="00CA1426">
        <w:rPr>
          <w:rFonts w:ascii="Arial" w:hAnsi="Arial" w:cs="Arial"/>
          <w:sz w:val="20"/>
          <w:szCs w:val="20"/>
        </w:rPr>
        <w:t xml:space="preserve">&amp; </w:t>
      </w:r>
      <w:proofErr w:type="spellStart"/>
      <w:r w:rsidR="00CA1426" w:rsidRPr="00CA1426">
        <w:rPr>
          <w:rFonts w:ascii="Arial" w:hAnsi="Arial" w:cs="Arial"/>
          <w:sz w:val="20"/>
          <w:szCs w:val="20"/>
        </w:rPr>
        <w:t>Mtonga</w:t>
      </w:r>
      <w:proofErr w:type="spellEnd"/>
      <w:r w:rsidR="00CA1426" w:rsidRPr="00CA1426">
        <w:rPr>
          <w:rFonts w:ascii="Arial" w:hAnsi="Arial" w:cs="Arial"/>
          <w:sz w:val="20"/>
          <w:szCs w:val="20"/>
        </w:rPr>
        <w:t xml:space="preserve"> (2007)</w:t>
      </w:r>
      <w:r w:rsidRPr="001F46A5">
        <w:rPr>
          <w:rFonts w:ascii="Arial" w:hAnsi="Arial" w:cs="Arial"/>
          <w:sz w:val="20"/>
          <w:szCs w:val="20"/>
        </w:rPr>
        <w:t>. Similarly, OECD Health Statistics (2020) report shows that physician density ranges from over 5 per 1,000 population in countries like Austria to below 0.5 in low-income nations such as Niger</w:t>
      </w:r>
      <w:r w:rsidR="00A554EF">
        <w:rPr>
          <w:rFonts w:ascii="Arial" w:hAnsi="Arial" w:cs="Arial"/>
          <w:sz w:val="20"/>
          <w:szCs w:val="20"/>
        </w:rPr>
        <w:t xml:space="preserve"> </w:t>
      </w:r>
      <w:r w:rsidR="00A554EF" w:rsidRPr="00A554EF">
        <w:rPr>
          <w:rFonts w:ascii="Arial" w:hAnsi="Arial" w:cs="Arial"/>
          <w:sz w:val="20"/>
          <w:szCs w:val="20"/>
        </w:rPr>
        <w:t>(OECD, 2020)</w:t>
      </w:r>
      <w:r w:rsidRPr="001F46A5">
        <w:rPr>
          <w:rFonts w:ascii="Arial" w:hAnsi="Arial" w:cs="Arial"/>
          <w:sz w:val="20"/>
          <w:szCs w:val="20"/>
        </w:rPr>
        <w:t>. These disparities extend to primary health facilities, where accessibility and spatial distribution remain uneven even in middle-income countries such as Brazil (Travassos et al., 2002).</w:t>
      </w:r>
    </w:p>
    <w:p w14:paraId="784E32B1"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 xml:space="preserve">In the Indian context, disparities are also well documented. India’s network of Sub-Centres, Primary Health Centres (PHCs), and Community Health Centres (CHCs) is designed to provide decentralized </w:t>
      </w:r>
      <w:r w:rsidRPr="001F46A5">
        <w:rPr>
          <w:rFonts w:ascii="Arial" w:hAnsi="Arial" w:cs="Arial"/>
          <w:sz w:val="20"/>
          <w:szCs w:val="20"/>
        </w:rPr>
        <w:lastRenderedPageBreak/>
        <w:t>care. According to the Rural Health Statistics (Government of India, 2022), there were 24,935 PHCs across the country, yet the shortfall of PHCs relative to population norms stood at 4.3 percent. State-level variations are considerable: while Tamil Nadu reported one PHC per 30,000 people in 2021, Bihar’s ratio was nearly one per 70,000. In addition, functionality gaps exist: the National Sample Survey (2018) found that 55 percent of rural households reported PHCs as their first point of care, but 25 percent complained of inadequate infrastructure and medicines.</w:t>
      </w:r>
    </w:p>
    <w:p w14:paraId="6AFBB2AC"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Kerala, located on the southwestern coast of India, has long been recognized as a model state in health. With a population of 35.3 million (Census of India, 2011; projected to 36.6 million in 2024), Kerala reports a life expectancy of 75.3 years (Sample Registration System, 2020–22), higher than the national average of 69 years. The state’s infant mortality rate (IMR) is 4 per 1,000 live births (SRS, 2020), significantly lower than the all-India IMR of 28. Literacy is almost universal, recorded at 96.2 percent in 2021 (National Statistical Office, 2022). These achievements reflect sustained investments in public health, education, and social welfare since the 1960s.</w:t>
      </w:r>
    </w:p>
    <w:p w14:paraId="550272C9"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Yet beneath these aggregate indicators lie intra-state disparities. Kerala’s Rural Health Statistics (</w:t>
      </w:r>
      <w:r w:rsidR="00577E51">
        <w:rPr>
          <w:rFonts w:ascii="Arial" w:hAnsi="Arial" w:cs="Arial"/>
          <w:sz w:val="20"/>
          <w:szCs w:val="20"/>
        </w:rPr>
        <w:t>Kerala Digital Health Mission</w:t>
      </w:r>
      <w:r w:rsidRPr="001F46A5">
        <w:rPr>
          <w:rFonts w:ascii="Arial" w:hAnsi="Arial" w:cs="Arial"/>
          <w:sz w:val="20"/>
          <w:szCs w:val="20"/>
        </w:rPr>
        <w:t>, 202</w:t>
      </w:r>
      <w:r w:rsidR="00577E51">
        <w:rPr>
          <w:rFonts w:ascii="Arial" w:hAnsi="Arial" w:cs="Arial"/>
          <w:sz w:val="20"/>
          <w:szCs w:val="20"/>
        </w:rPr>
        <w:t>5</w:t>
      </w:r>
      <w:r w:rsidRPr="001F46A5">
        <w:rPr>
          <w:rFonts w:ascii="Arial" w:hAnsi="Arial" w:cs="Arial"/>
          <w:sz w:val="20"/>
          <w:szCs w:val="20"/>
        </w:rPr>
        <w:t>) recorded over 780 PHCs as of July 2025, but their distribution across the 14 districts varies. For example, Ernakulam district, with a projected population of 3.55 million in 2024, has 62 PHCs, while Idukki, with just 1.11 million people, has 22 PHCs. Adjusting for population size, this translates into 1.74 PHCs per 100,000 in Ernakulam compared to 1.98 in Idukki, suggesting variation even after controlling for population. Moreover, tribal-dominated districts such as Wayanad and Idukki report Scheduled Tribe shares of 18.5 percent and 15.4 percent (Census of India, 2011), much higher than the state average of 1.5 percent, raising questions about whether infrastructural distribution reflects vulnerability.</w:t>
      </w:r>
    </w:p>
    <w:p w14:paraId="59FA5E10"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Economic disparities compound the issue. The Economic Review (Government of Kerala, 2022) reports that Below Poverty Line (BPL) households constitute 42–50 percent of the population in certain districts such as Kasaragod and Idukki, compared to below 33 percent in Ernakulam and Thiruvananthapuram. Rurality adds another dimension: 95.3 percent of Idukki’s population is rural, while Ernakulam has less than 32 percent rural share (</w:t>
      </w:r>
      <w:r w:rsidR="00577E51">
        <w:rPr>
          <w:rFonts w:ascii="Arial" w:hAnsi="Arial" w:cs="Arial"/>
          <w:sz w:val="20"/>
          <w:szCs w:val="20"/>
        </w:rPr>
        <w:t>Government of Kerala</w:t>
      </w:r>
      <w:r w:rsidRPr="001F46A5">
        <w:rPr>
          <w:rFonts w:ascii="Arial" w:hAnsi="Arial" w:cs="Arial"/>
          <w:sz w:val="20"/>
          <w:szCs w:val="20"/>
        </w:rPr>
        <w:t>, 2023). These differences imply that equitable distribution of PHCs cannot be assessed solely on the basis of population ratios; socio-economic and geographic factors must also be considered.</w:t>
      </w:r>
    </w:p>
    <w:p w14:paraId="74F76BDE"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t>The historical development of Kerala’s health system also shapes these inequities. Since the 1960s, Kerala invested in a dense network of primary health facilities, supported by community participation and local government accountability (Kutty, 2000). The decentralization reforms of the 1990s, particularly the People’s Plan Campaign, strengthened local bodies in managing health institutions</w:t>
      </w:r>
      <w:r w:rsidR="00B3283F">
        <w:rPr>
          <w:rFonts w:ascii="Arial" w:hAnsi="Arial" w:cs="Arial"/>
          <w:sz w:val="20"/>
          <w:szCs w:val="20"/>
        </w:rPr>
        <w:t xml:space="preserve"> </w:t>
      </w:r>
      <w:r w:rsidR="00B3283F" w:rsidRPr="00B3283F">
        <w:rPr>
          <w:rFonts w:ascii="Arial" w:hAnsi="Arial" w:cs="Arial"/>
          <w:sz w:val="20"/>
          <w:szCs w:val="20"/>
        </w:rPr>
        <w:t>(</w:t>
      </w:r>
      <w:proofErr w:type="spellStart"/>
      <w:r w:rsidR="00B3283F" w:rsidRPr="00B3283F">
        <w:rPr>
          <w:rFonts w:ascii="Arial" w:hAnsi="Arial" w:cs="Arial"/>
          <w:sz w:val="20"/>
          <w:szCs w:val="20"/>
        </w:rPr>
        <w:t>Elamon</w:t>
      </w:r>
      <w:proofErr w:type="spellEnd"/>
      <w:r w:rsidR="00B3283F" w:rsidRPr="00B3283F">
        <w:rPr>
          <w:rFonts w:ascii="Arial" w:hAnsi="Arial" w:cs="Arial"/>
          <w:sz w:val="20"/>
          <w:szCs w:val="20"/>
        </w:rPr>
        <w:t xml:space="preserve"> et al., 2004)</w:t>
      </w:r>
      <w:r w:rsidRPr="001F46A5">
        <w:rPr>
          <w:rFonts w:ascii="Arial" w:hAnsi="Arial" w:cs="Arial"/>
          <w:sz w:val="20"/>
          <w:szCs w:val="20"/>
        </w:rPr>
        <w:t xml:space="preserve">. While these reforms improved access overall, evidence shows that disparities remain in staffing, infrastructure quality, and availability of medicines </w:t>
      </w:r>
      <w:r w:rsidR="00B3283F" w:rsidRPr="00B3283F">
        <w:rPr>
          <w:rFonts w:ascii="Arial" w:hAnsi="Arial" w:cs="Arial"/>
          <w:sz w:val="20"/>
          <w:szCs w:val="20"/>
        </w:rPr>
        <w:t>(Sapkota et al., 2023)</w:t>
      </w:r>
      <w:r w:rsidRPr="001F46A5">
        <w:rPr>
          <w:rFonts w:ascii="Arial" w:hAnsi="Arial" w:cs="Arial"/>
          <w:sz w:val="20"/>
          <w:szCs w:val="20"/>
        </w:rPr>
        <w:t>. Urban districts benefit from the coexistence of private hospitals and higher-level public hospitals, while remote rural and tribal areas depend heavily on PHCs, making their equitable distribution even more crucial.</w:t>
      </w:r>
    </w:p>
    <w:p w14:paraId="52F21E9B" w14:textId="77777777" w:rsidR="0029339F" w:rsidRPr="001F46A5" w:rsidRDefault="0029339F" w:rsidP="0029339F">
      <w:pPr>
        <w:spacing w:after="0" w:line="360" w:lineRule="auto"/>
        <w:ind w:firstLine="360"/>
        <w:jc w:val="both"/>
        <w:rPr>
          <w:rFonts w:ascii="Arial" w:hAnsi="Arial" w:cs="Arial"/>
          <w:b/>
          <w:sz w:val="20"/>
          <w:szCs w:val="20"/>
        </w:rPr>
      </w:pPr>
      <w:r w:rsidRPr="001F46A5">
        <w:rPr>
          <w:rFonts w:ascii="Arial" w:hAnsi="Arial" w:cs="Arial"/>
          <w:sz w:val="20"/>
          <w:szCs w:val="20"/>
        </w:rPr>
        <w:lastRenderedPageBreak/>
        <w:t>Comparative evidence from other southern states highlights Kerala’s relative advantage but also its limitations. Tamil Nadu, for instance, has historically emphasized strong PHC functioning through innovations such as 24-hour maternity care and referral linkages</w:t>
      </w:r>
      <w:r w:rsidR="00B3283F">
        <w:rPr>
          <w:rFonts w:ascii="Arial" w:hAnsi="Arial" w:cs="Arial"/>
          <w:sz w:val="20"/>
          <w:szCs w:val="20"/>
        </w:rPr>
        <w:t xml:space="preserve"> </w:t>
      </w:r>
      <w:r w:rsidR="00B3283F" w:rsidRPr="00B3283F">
        <w:rPr>
          <w:rFonts w:ascii="Arial" w:hAnsi="Arial" w:cs="Arial"/>
          <w:sz w:val="20"/>
          <w:szCs w:val="20"/>
        </w:rPr>
        <w:t>(Pandian et al., 2013)</w:t>
      </w:r>
      <w:r w:rsidRPr="001F46A5">
        <w:rPr>
          <w:rFonts w:ascii="Arial" w:hAnsi="Arial" w:cs="Arial"/>
          <w:sz w:val="20"/>
          <w:szCs w:val="20"/>
        </w:rPr>
        <w:t>. Karnataka, by contrast, has invested more in secondary hospitals, leaving rural areas relatively underserved (NITI Aayog, 2021). Kerala’s achievement lies in its density of PHCs, but unlike Tamil Nadu, less is known about whether these facilities are equitably distributed to meet the needs of vulnerable populations</w:t>
      </w:r>
      <w:r w:rsidR="00B3283F">
        <w:rPr>
          <w:rFonts w:ascii="Arial" w:hAnsi="Arial" w:cs="Arial"/>
          <w:sz w:val="20"/>
          <w:szCs w:val="20"/>
        </w:rPr>
        <w:t xml:space="preserve"> </w:t>
      </w:r>
      <w:r w:rsidR="00B3283F" w:rsidRPr="00B3283F">
        <w:rPr>
          <w:rFonts w:ascii="Arial" w:hAnsi="Arial" w:cs="Arial"/>
          <w:sz w:val="20"/>
          <w:szCs w:val="20"/>
        </w:rPr>
        <w:t>(Sankar et al., 2023)</w:t>
      </w:r>
      <w:r w:rsidRPr="001F46A5">
        <w:rPr>
          <w:rFonts w:ascii="Arial" w:hAnsi="Arial" w:cs="Arial"/>
          <w:sz w:val="20"/>
          <w:szCs w:val="20"/>
        </w:rPr>
        <w:t>.</w:t>
      </w:r>
    </w:p>
    <w:p w14:paraId="2D8CFCFF" w14:textId="77777777" w:rsidR="0029339F" w:rsidRPr="001F46A5" w:rsidRDefault="0029339F" w:rsidP="00B113B6">
      <w:pPr>
        <w:spacing w:after="0" w:line="360" w:lineRule="auto"/>
        <w:ind w:firstLine="360"/>
        <w:jc w:val="both"/>
        <w:rPr>
          <w:rFonts w:ascii="Arial" w:hAnsi="Arial" w:cs="Arial"/>
          <w:sz w:val="20"/>
          <w:szCs w:val="20"/>
        </w:rPr>
      </w:pPr>
      <w:r w:rsidRPr="001F46A5">
        <w:rPr>
          <w:rFonts w:ascii="Arial" w:hAnsi="Arial" w:cs="Arial"/>
          <w:sz w:val="20"/>
          <w:szCs w:val="20"/>
        </w:rPr>
        <w:t>From a policy perspective, Kerala’s strong performance at the macro level has often overshadowed micro-level inequities. The National Health Mission (NHM, 2021) emphasizes equitable resource allocation, but there is limited empirical work that evaluates intra-state distribution patterns of PHCs using formal measures such as Lorenz curves and Gini coefficients</w:t>
      </w:r>
      <w:r w:rsidR="009B7220">
        <w:rPr>
          <w:rFonts w:ascii="Arial" w:hAnsi="Arial" w:cs="Arial"/>
          <w:sz w:val="20"/>
          <w:szCs w:val="20"/>
        </w:rPr>
        <w:t xml:space="preserve"> </w:t>
      </w:r>
      <w:r w:rsidR="009B7220" w:rsidRPr="009B7220">
        <w:rPr>
          <w:rFonts w:ascii="Arial" w:hAnsi="Arial" w:cs="Arial"/>
          <w:sz w:val="20"/>
          <w:szCs w:val="20"/>
        </w:rPr>
        <w:t>(Tao et al., 2014)</w:t>
      </w:r>
      <w:r w:rsidRPr="001F46A5">
        <w:rPr>
          <w:rFonts w:ascii="Arial" w:hAnsi="Arial" w:cs="Arial"/>
          <w:sz w:val="20"/>
          <w:szCs w:val="20"/>
        </w:rPr>
        <w:t>. Equity analysis in Kerala has typically focused on health outcomes such as mortality, morbidity, and immunization rates rather than on infrastructure allocation. This makes it necessary to examine how PHCs are spatially distributed and whether this distribution aligns with indicators of social vulnerability such as caste, tribe, poverty, and rurality.</w:t>
      </w:r>
    </w:p>
    <w:p w14:paraId="14D29091" w14:textId="77777777" w:rsidR="0029339F" w:rsidRPr="00052C82" w:rsidRDefault="0029339F" w:rsidP="001F46A5">
      <w:pPr>
        <w:spacing w:after="0" w:line="360" w:lineRule="auto"/>
        <w:jc w:val="both"/>
        <w:outlineLvl w:val="2"/>
        <w:rPr>
          <w:rFonts w:ascii="Arial" w:eastAsia="Times New Roman" w:hAnsi="Arial" w:cs="Arial"/>
          <w:b/>
          <w:bCs/>
          <w:szCs w:val="20"/>
        </w:rPr>
      </w:pPr>
      <w:r w:rsidRPr="00052C82">
        <w:rPr>
          <w:rFonts w:ascii="Arial" w:eastAsia="Times New Roman" w:hAnsi="Arial" w:cs="Arial"/>
          <w:b/>
          <w:bCs/>
          <w:szCs w:val="20"/>
        </w:rPr>
        <w:t>1.</w:t>
      </w:r>
      <w:r w:rsidR="00B113B6" w:rsidRPr="00052C82">
        <w:rPr>
          <w:rFonts w:ascii="Arial" w:eastAsia="Times New Roman" w:hAnsi="Arial" w:cs="Arial"/>
          <w:b/>
          <w:bCs/>
          <w:szCs w:val="20"/>
        </w:rPr>
        <w:t>1</w:t>
      </w:r>
      <w:r w:rsidRPr="00052C82">
        <w:rPr>
          <w:rFonts w:ascii="Arial" w:eastAsia="Times New Roman" w:hAnsi="Arial" w:cs="Arial"/>
          <w:b/>
          <w:bCs/>
          <w:szCs w:val="20"/>
        </w:rPr>
        <w:t xml:space="preserve"> The Indian Healthcare System and PHCs</w:t>
      </w:r>
    </w:p>
    <w:p w14:paraId="6D00BA8D" w14:textId="77777777" w:rsidR="0029339F" w:rsidRPr="0029339F" w:rsidRDefault="009B7220" w:rsidP="00DE3B88">
      <w:pPr>
        <w:spacing w:after="0" w:line="360" w:lineRule="auto"/>
        <w:ind w:firstLine="720"/>
        <w:jc w:val="both"/>
        <w:rPr>
          <w:rFonts w:ascii="Arial" w:eastAsia="Times New Roman" w:hAnsi="Arial" w:cs="Arial"/>
          <w:sz w:val="20"/>
          <w:szCs w:val="20"/>
        </w:rPr>
      </w:pPr>
      <w:r w:rsidRPr="009B7220">
        <w:rPr>
          <w:rFonts w:ascii="Arial" w:eastAsia="Times New Roman" w:hAnsi="Arial" w:cs="Arial"/>
          <w:sz w:val="20"/>
          <w:szCs w:val="20"/>
        </w:rPr>
        <w:t>India’s health system is organized in a three-tier structure: sub-centres and primary health centres (PHCs) provide first-line contact, community health centres form the secondary layer, and district and tertiary hospitals represent the referral system (National Health Mission, 2021). PHCs, in particular, are the backbone of primary care delivery, especially in rural and semi-urban regions. Each PHC is intended to cover approximately 30,000 people in plain areas and 20,000 in hilly or tribal regions (Government of India, Ministry of Health and Family Welfare, 2022). Their functions include outpatient care, preventive and promotive services, maternal and child health programs, and implementation of national health schemes. Despite these design norms, the equitable distribution of PHCs remains a persistent challenge in India. State-level variations are stark: while southern states such as Kerala and Tamil Nadu report relatively better PHC density, states such as Bihar and Uttar Pradesh lag behind in both numbers and functionality. Moreover, even within well-performing states, intra-state disparities persist due to uneven geography, economic differences, and socio-demographic diversity (NITI Aayog, 2021).</w:t>
      </w:r>
    </w:p>
    <w:p w14:paraId="5001B60C" w14:textId="77777777" w:rsidR="009B7220" w:rsidRPr="00052C82" w:rsidRDefault="0029339F" w:rsidP="009B7220">
      <w:pPr>
        <w:spacing w:after="0" w:line="360" w:lineRule="auto"/>
        <w:jc w:val="both"/>
        <w:outlineLvl w:val="2"/>
        <w:rPr>
          <w:rFonts w:ascii="Arial" w:eastAsia="Times New Roman" w:hAnsi="Arial" w:cs="Arial"/>
          <w:b/>
          <w:bCs/>
          <w:szCs w:val="20"/>
        </w:rPr>
      </w:pPr>
      <w:r w:rsidRPr="00052C82">
        <w:rPr>
          <w:rFonts w:ascii="Arial" w:eastAsia="Times New Roman" w:hAnsi="Arial" w:cs="Arial"/>
          <w:b/>
          <w:bCs/>
          <w:szCs w:val="20"/>
        </w:rPr>
        <w:t>1.</w:t>
      </w:r>
      <w:r w:rsidR="00B113B6" w:rsidRPr="00052C82">
        <w:rPr>
          <w:rFonts w:ascii="Arial" w:eastAsia="Times New Roman" w:hAnsi="Arial" w:cs="Arial"/>
          <w:b/>
          <w:bCs/>
          <w:szCs w:val="20"/>
        </w:rPr>
        <w:t>2</w:t>
      </w:r>
      <w:r w:rsidRPr="00052C82">
        <w:rPr>
          <w:rFonts w:ascii="Arial" w:eastAsia="Times New Roman" w:hAnsi="Arial" w:cs="Arial"/>
          <w:b/>
          <w:bCs/>
          <w:szCs w:val="20"/>
        </w:rPr>
        <w:t xml:space="preserve"> Kerala as a Model State</w:t>
      </w:r>
    </w:p>
    <w:p w14:paraId="6CB1C9BE" w14:textId="77777777" w:rsidR="009B7220" w:rsidRDefault="009B7220" w:rsidP="009B7220">
      <w:pPr>
        <w:spacing w:after="0" w:line="360" w:lineRule="auto"/>
        <w:ind w:firstLine="375"/>
        <w:jc w:val="both"/>
        <w:rPr>
          <w:rFonts w:ascii="Arial" w:eastAsia="Times New Roman" w:hAnsi="Arial" w:cs="Arial"/>
          <w:sz w:val="20"/>
          <w:szCs w:val="20"/>
        </w:rPr>
      </w:pPr>
      <w:r w:rsidRPr="009B7220">
        <w:rPr>
          <w:rFonts w:ascii="Arial" w:eastAsia="Times New Roman" w:hAnsi="Arial" w:cs="Arial"/>
          <w:sz w:val="20"/>
          <w:szCs w:val="20"/>
        </w:rPr>
        <w:t>Kerala has long attracted scholarly attention for what is popularly described as the “Kerala model of development.” This model highlights a paradox: despite relatively modest per capita income, the state has achieved remarkable outcomes in literacy, life expectancy, maternal and child health, and social development (Kannan, 2005; Sen, 1997). Kerala’s infant mortality rate and life expectancy rival those of middle-income countries, while literacy rates approach near-universal levels. The achievements are often attributed to sustained public investment in health and education, strong community engagement, and social reform movements that reduced inequal</w:t>
      </w:r>
      <w:r>
        <w:rPr>
          <w:rFonts w:ascii="Arial" w:eastAsia="Times New Roman" w:hAnsi="Arial" w:cs="Arial"/>
          <w:sz w:val="20"/>
          <w:szCs w:val="20"/>
        </w:rPr>
        <w:t>ities in access (Oommen, 1993).</w:t>
      </w:r>
    </w:p>
    <w:p w14:paraId="7B9560A0" w14:textId="77777777" w:rsidR="009B7220" w:rsidRPr="0029339F" w:rsidRDefault="009B7220" w:rsidP="009B7220">
      <w:pPr>
        <w:spacing w:after="0" w:line="360" w:lineRule="auto"/>
        <w:ind w:firstLine="375"/>
        <w:jc w:val="both"/>
        <w:rPr>
          <w:rFonts w:ascii="Arial" w:eastAsia="Times New Roman" w:hAnsi="Arial" w:cs="Arial"/>
          <w:sz w:val="20"/>
          <w:szCs w:val="20"/>
        </w:rPr>
      </w:pPr>
      <w:r w:rsidRPr="009B7220">
        <w:rPr>
          <w:rFonts w:ascii="Arial" w:eastAsia="Times New Roman" w:hAnsi="Arial" w:cs="Arial"/>
          <w:sz w:val="20"/>
          <w:szCs w:val="20"/>
        </w:rPr>
        <w:lastRenderedPageBreak/>
        <w:t>However, success at the state level may conceal hidden inequities at the district level. Kerala’s 14 districts vary considerably in geography, demography, and socio-economic composition. Coastal districts such as Ernakulam and Thiruvananthapuram are more urbanized, with higher access to secondary and tertiary facilities, while hill districts such as Idukki and Wayanad host large tribal populations living in remote settlements. Kasaragod, the northernmost district, has historically been identified with higher poverty levels and weaker infrastructure (Government of Kerala, State Planning Board, 2023). Thus, the question arises: are PHCs equitably distributed across Kerala’s districts, considering both population size and vulnerability?</w:t>
      </w:r>
    </w:p>
    <w:p w14:paraId="2CA8DBD4" w14:textId="77777777" w:rsidR="0029339F" w:rsidRPr="00052C82" w:rsidRDefault="0029339F" w:rsidP="001F46A5">
      <w:pPr>
        <w:pStyle w:val="ListParagraph"/>
        <w:numPr>
          <w:ilvl w:val="1"/>
          <w:numId w:val="9"/>
        </w:numPr>
        <w:spacing w:after="0" w:line="360" w:lineRule="auto"/>
        <w:jc w:val="both"/>
        <w:outlineLvl w:val="2"/>
        <w:rPr>
          <w:rFonts w:ascii="Arial" w:eastAsia="Times New Roman" w:hAnsi="Arial" w:cs="Arial"/>
          <w:b/>
          <w:bCs/>
          <w:szCs w:val="20"/>
        </w:rPr>
      </w:pPr>
      <w:r w:rsidRPr="00052C82">
        <w:rPr>
          <w:rFonts w:ascii="Arial" w:eastAsia="Times New Roman" w:hAnsi="Arial" w:cs="Arial"/>
          <w:b/>
          <w:bCs/>
          <w:szCs w:val="20"/>
        </w:rPr>
        <w:t>Social Determinants of Health in Kerala</w:t>
      </w:r>
    </w:p>
    <w:p w14:paraId="650617AD" w14:textId="77777777" w:rsidR="0029339F" w:rsidRPr="0029339F" w:rsidRDefault="009B7220" w:rsidP="005E2992">
      <w:pPr>
        <w:spacing w:after="0" w:line="360" w:lineRule="auto"/>
        <w:ind w:firstLine="360"/>
        <w:jc w:val="both"/>
        <w:rPr>
          <w:rFonts w:ascii="Arial" w:eastAsia="Times New Roman" w:hAnsi="Arial" w:cs="Arial"/>
          <w:sz w:val="20"/>
          <w:szCs w:val="20"/>
        </w:rPr>
      </w:pPr>
      <w:r w:rsidRPr="009B7220">
        <w:rPr>
          <w:rFonts w:ascii="Arial" w:eastAsia="Times New Roman" w:hAnsi="Arial" w:cs="Arial"/>
          <w:sz w:val="20"/>
          <w:szCs w:val="20"/>
        </w:rPr>
        <w:t>Kerala’s population exhibits diversity across caste, tribe, income, literacy, and rural-urban dimensions, each of which influences health vulnerability and infrastructure needs. Scheduled Castes (SCs) constitute a significant minority in districts such as Palakkad and Kollam. Despite constitutional protections, SC populations often experience socio-economic disadvantages that may translate into health inequities. Scheduled Tribes (STs) are concentrated in districts such as Wayanad, Idukki, and Kasaragod. Their geographic isolation and limited political influence often hinder access to healthcare</w:t>
      </w:r>
      <w:r w:rsidR="00761CF9">
        <w:rPr>
          <w:rFonts w:ascii="Arial" w:eastAsia="Times New Roman" w:hAnsi="Arial" w:cs="Arial"/>
          <w:sz w:val="20"/>
          <w:szCs w:val="20"/>
        </w:rPr>
        <w:t xml:space="preserve"> (Shabeer &amp; Krishnan, 2017)</w:t>
      </w:r>
      <w:r w:rsidRPr="009B7220">
        <w:rPr>
          <w:rFonts w:ascii="Arial" w:eastAsia="Times New Roman" w:hAnsi="Arial" w:cs="Arial"/>
          <w:sz w:val="20"/>
          <w:szCs w:val="20"/>
        </w:rPr>
        <w:t>. Rurality remains a critical determinant of access. Districts with high rural population shares face challenges of transportation, terrain, and connectivity, which amplify the need for a denser PHC network (Government of Kerala, State Planning Board, 2023). Literacy, while universally high in Kerala, still varies slightly between districts. Paradoxically, more literate and urbanized districts may have fewer PHCs relative to population, relying instead on private or higher-level fac</w:t>
      </w:r>
      <w:r w:rsidR="00761CF9">
        <w:rPr>
          <w:rFonts w:ascii="Arial" w:eastAsia="Times New Roman" w:hAnsi="Arial" w:cs="Arial"/>
          <w:sz w:val="20"/>
          <w:szCs w:val="20"/>
        </w:rPr>
        <w:t xml:space="preserve">ilities (Kutty, 2000). Poverty </w:t>
      </w:r>
      <w:r w:rsidRPr="009B7220">
        <w:rPr>
          <w:rFonts w:ascii="Arial" w:eastAsia="Times New Roman" w:hAnsi="Arial" w:cs="Arial"/>
          <w:sz w:val="20"/>
          <w:szCs w:val="20"/>
        </w:rPr>
        <w:t>measured by the proportion of Below Poverty Line (BPL) households, shapes health-seeking behavior and dependence on public facilities. Districts with higher BPL prevalence often rely more heavily on PHCs (Oommen, 2014). These variables provide a social determinant lens through which to evaluate PHC distribution.</w:t>
      </w:r>
    </w:p>
    <w:p w14:paraId="35C72283" w14:textId="77777777" w:rsidR="0029339F" w:rsidRPr="00052C82" w:rsidRDefault="0029339F" w:rsidP="001F46A5">
      <w:pPr>
        <w:spacing w:after="0" w:line="360" w:lineRule="auto"/>
        <w:jc w:val="both"/>
        <w:outlineLvl w:val="2"/>
        <w:rPr>
          <w:rFonts w:ascii="Arial" w:eastAsia="Times New Roman" w:hAnsi="Arial" w:cs="Arial"/>
          <w:b/>
          <w:bCs/>
          <w:szCs w:val="20"/>
        </w:rPr>
      </w:pPr>
      <w:r w:rsidRPr="00052C82">
        <w:rPr>
          <w:rFonts w:ascii="Arial" w:eastAsia="Times New Roman" w:hAnsi="Arial" w:cs="Arial"/>
          <w:b/>
          <w:bCs/>
          <w:szCs w:val="20"/>
        </w:rPr>
        <w:t>1.</w:t>
      </w:r>
      <w:r w:rsidR="00B113B6" w:rsidRPr="00052C82">
        <w:rPr>
          <w:rFonts w:ascii="Arial" w:eastAsia="Times New Roman" w:hAnsi="Arial" w:cs="Arial"/>
          <w:b/>
          <w:bCs/>
          <w:szCs w:val="20"/>
        </w:rPr>
        <w:t>4</w:t>
      </w:r>
      <w:r w:rsidRPr="00052C82">
        <w:rPr>
          <w:rFonts w:ascii="Arial" w:eastAsia="Times New Roman" w:hAnsi="Arial" w:cs="Arial"/>
          <w:b/>
          <w:bCs/>
          <w:szCs w:val="20"/>
        </w:rPr>
        <w:t xml:space="preserve"> Rationale and Research Gap</w:t>
      </w:r>
    </w:p>
    <w:p w14:paraId="3383CD30" w14:textId="77777777" w:rsidR="0029339F" w:rsidRPr="0029339F" w:rsidRDefault="0029339F" w:rsidP="00B113B6">
      <w:pPr>
        <w:spacing w:after="0" w:line="360" w:lineRule="auto"/>
        <w:ind w:firstLine="720"/>
        <w:jc w:val="both"/>
        <w:rPr>
          <w:rFonts w:ascii="Arial" w:eastAsia="Times New Roman" w:hAnsi="Arial" w:cs="Arial"/>
          <w:sz w:val="20"/>
          <w:szCs w:val="20"/>
        </w:rPr>
      </w:pPr>
      <w:r w:rsidRPr="0029339F">
        <w:rPr>
          <w:rFonts w:ascii="Arial" w:eastAsia="Times New Roman" w:hAnsi="Arial" w:cs="Arial"/>
          <w:sz w:val="20"/>
          <w:szCs w:val="20"/>
        </w:rPr>
        <w:t xml:space="preserve">Although Kerala is widely celebrated as India’s health success story, there are </w:t>
      </w:r>
      <w:r w:rsidRPr="001F46A5">
        <w:rPr>
          <w:rFonts w:ascii="Arial" w:eastAsia="Times New Roman" w:hAnsi="Arial" w:cs="Arial"/>
          <w:bCs/>
          <w:sz w:val="20"/>
          <w:szCs w:val="20"/>
        </w:rPr>
        <w:t>reasons to suspect inequities</w:t>
      </w:r>
      <w:r w:rsidRPr="0029339F">
        <w:rPr>
          <w:rFonts w:ascii="Arial" w:eastAsia="Times New Roman" w:hAnsi="Arial" w:cs="Arial"/>
          <w:sz w:val="20"/>
          <w:szCs w:val="20"/>
        </w:rPr>
        <w:t xml:space="preserve"> in healthcare infrastructure distribution. Tribal districts face geographic isolation, poverty remains unevenly spread, and urbanized regions may enjoy indirect benefits through proximity to tertiary hospitals. Without systematic district-level equity analysis, the risk is that state averages mask disparities faced by marginalized groups.</w:t>
      </w:r>
      <w:r w:rsidR="00B113B6" w:rsidRPr="001F46A5">
        <w:rPr>
          <w:rFonts w:ascii="Arial" w:eastAsia="Times New Roman" w:hAnsi="Arial" w:cs="Arial"/>
          <w:sz w:val="20"/>
          <w:szCs w:val="20"/>
        </w:rPr>
        <w:t xml:space="preserve"> </w:t>
      </w:r>
      <w:r w:rsidRPr="0029339F">
        <w:rPr>
          <w:rFonts w:ascii="Arial" w:eastAsia="Times New Roman" w:hAnsi="Arial" w:cs="Arial"/>
          <w:sz w:val="20"/>
          <w:szCs w:val="20"/>
        </w:rPr>
        <w:t xml:space="preserve">Past research on Kerala has emphasized </w:t>
      </w:r>
      <w:r w:rsidRPr="001F46A5">
        <w:rPr>
          <w:rFonts w:ascii="Arial" w:eastAsia="Times New Roman" w:hAnsi="Arial" w:cs="Arial"/>
          <w:bCs/>
          <w:sz w:val="20"/>
          <w:szCs w:val="20"/>
        </w:rPr>
        <w:t>health outcomes</w:t>
      </w:r>
      <w:r w:rsidRPr="0029339F">
        <w:rPr>
          <w:rFonts w:ascii="Arial" w:eastAsia="Times New Roman" w:hAnsi="Arial" w:cs="Arial"/>
          <w:sz w:val="20"/>
          <w:szCs w:val="20"/>
        </w:rPr>
        <w:t xml:space="preserve"> rather than </w:t>
      </w:r>
      <w:r w:rsidRPr="001F46A5">
        <w:rPr>
          <w:rFonts w:ascii="Arial" w:eastAsia="Times New Roman" w:hAnsi="Arial" w:cs="Arial"/>
          <w:bCs/>
          <w:sz w:val="20"/>
          <w:szCs w:val="20"/>
        </w:rPr>
        <w:t>infrastructure equity</w:t>
      </w:r>
      <w:r w:rsidRPr="0029339F">
        <w:rPr>
          <w:rFonts w:ascii="Arial" w:eastAsia="Times New Roman" w:hAnsi="Arial" w:cs="Arial"/>
          <w:sz w:val="20"/>
          <w:szCs w:val="20"/>
        </w:rPr>
        <w:t xml:space="preserve">. Moreover, while descriptive studies exist, few have rigorously applied </w:t>
      </w:r>
      <w:r w:rsidRPr="001F46A5">
        <w:rPr>
          <w:rFonts w:ascii="Arial" w:eastAsia="Times New Roman" w:hAnsi="Arial" w:cs="Arial"/>
          <w:bCs/>
          <w:sz w:val="20"/>
          <w:szCs w:val="20"/>
        </w:rPr>
        <w:t>inequality measures (Lorenz curves, Gini coefficients)</w:t>
      </w:r>
      <w:r w:rsidRPr="0029339F">
        <w:rPr>
          <w:rFonts w:ascii="Arial" w:eastAsia="Times New Roman" w:hAnsi="Arial" w:cs="Arial"/>
          <w:sz w:val="20"/>
          <w:szCs w:val="20"/>
        </w:rPr>
        <w:t xml:space="preserve"> or combined them with </w:t>
      </w:r>
      <w:r w:rsidRPr="001F46A5">
        <w:rPr>
          <w:rFonts w:ascii="Arial" w:eastAsia="Times New Roman" w:hAnsi="Arial" w:cs="Arial"/>
          <w:bCs/>
          <w:sz w:val="20"/>
          <w:szCs w:val="20"/>
        </w:rPr>
        <w:t>vulnerability mapping</w:t>
      </w:r>
      <w:r w:rsidRPr="0029339F">
        <w:rPr>
          <w:rFonts w:ascii="Arial" w:eastAsia="Times New Roman" w:hAnsi="Arial" w:cs="Arial"/>
          <w:sz w:val="20"/>
          <w:szCs w:val="20"/>
        </w:rPr>
        <w:t xml:space="preserve">. This creates a knowledge gap: we know Kerala performs well in aggregate, but we do not know whether </w:t>
      </w:r>
      <w:r w:rsidRPr="001F46A5">
        <w:rPr>
          <w:rFonts w:ascii="Arial" w:eastAsia="Times New Roman" w:hAnsi="Arial" w:cs="Arial"/>
          <w:bCs/>
          <w:sz w:val="20"/>
          <w:szCs w:val="20"/>
        </w:rPr>
        <w:t>every district shares the benefits equally</w:t>
      </w:r>
      <w:r w:rsidRPr="0029339F">
        <w:rPr>
          <w:rFonts w:ascii="Arial" w:eastAsia="Times New Roman" w:hAnsi="Arial" w:cs="Arial"/>
          <w:sz w:val="20"/>
          <w:szCs w:val="20"/>
        </w:rPr>
        <w:t>.</w:t>
      </w:r>
    </w:p>
    <w:p w14:paraId="62637CDB" w14:textId="77777777" w:rsidR="00B113B6" w:rsidRPr="00AD036D" w:rsidRDefault="00B113B6" w:rsidP="00052C82">
      <w:pPr>
        <w:spacing w:after="0" w:line="360" w:lineRule="auto"/>
        <w:jc w:val="both"/>
        <w:rPr>
          <w:rFonts w:ascii="Arial" w:hAnsi="Arial" w:cs="Arial"/>
          <w:b/>
          <w:sz w:val="24"/>
          <w:szCs w:val="20"/>
        </w:rPr>
      </w:pPr>
      <w:r w:rsidRPr="00AD036D">
        <w:rPr>
          <w:rFonts w:ascii="Arial" w:hAnsi="Arial" w:cs="Arial"/>
          <w:b/>
          <w:sz w:val="24"/>
          <w:szCs w:val="20"/>
        </w:rPr>
        <w:t>2. Statement of the Problem</w:t>
      </w:r>
    </w:p>
    <w:p w14:paraId="1DB9D645" w14:textId="77777777" w:rsidR="00B113B6" w:rsidRPr="001F46A5" w:rsidRDefault="00B113B6" w:rsidP="00B113B6">
      <w:pPr>
        <w:spacing w:after="0" w:line="360" w:lineRule="auto"/>
        <w:ind w:firstLine="720"/>
        <w:jc w:val="both"/>
        <w:rPr>
          <w:rFonts w:ascii="Arial" w:hAnsi="Arial" w:cs="Arial"/>
          <w:sz w:val="20"/>
          <w:szCs w:val="20"/>
        </w:rPr>
      </w:pPr>
      <w:r w:rsidRPr="001F46A5">
        <w:rPr>
          <w:rFonts w:ascii="Arial" w:hAnsi="Arial" w:cs="Arial"/>
          <w:sz w:val="20"/>
          <w:szCs w:val="20"/>
        </w:rPr>
        <w:t xml:space="preserve">Kerala is often celebrated for its achievements in health and human development, yet the assumption of equitable distribution of healthcare infrastructure across districts remains insufficiently </w:t>
      </w:r>
      <w:r w:rsidRPr="001F46A5">
        <w:rPr>
          <w:rFonts w:ascii="Arial" w:hAnsi="Arial" w:cs="Arial"/>
          <w:sz w:val="20"/>
          <w:szCs w:val="20"/>
        </w:rPr>
        <w:lastRenderedPageBreak/>
        <w:t>examined. While state averages for life expectancy, infant mortality, and literacy suggest a well-performing system, district-level disparities in population structure, tribal concentration, poverty, and rurality raise concerns about whether access to Public Health Centres (PHCs) is truly equitable. For instance, districts such as Idukki and Wayanad have large tribal populations and predominantly rural settlements, while Kasaragod faces higher poverty levels. In contrast, urbanized districts like Ernakulam benefit from better access to higher-tier hospitals and private facilities. A uniform ratio of PHCs to population may therefore conceal inequities in access for marginalized groups. Without systematic equity analysis using tools such as Lorenz curves, Gini coefficients, and vulnerability mapping, policy makers risk overlooking underserved regions, undermining Kerala’s broader commitment to inclusive health development.</w:t>
      </w:r>
    </w:p>
    <w:p w14:paraId="7D5DE071" w14:textId="77777777" w:rsidR="0029339F" w:rsidRPr="0029339F" w:rsidRDefault="00B113B6" w:rsidP="00052C82">
      <w:pPr>
        <w:spacing w:after="0" w:line="240" w:lineRule="auto"/>
        <w:outlineLvl w:val="2"/>
        <w:rPr>
          <w:rFonts w:ascii="Arial" w:eastAsia="Times New Roman" w:hAnsi="Arial" w:cs="Arial"/>
          <w:b/>
          <w:bCs/>
          <w:sz w:val="24"/>
          <w:szCs w:val="20"/>
        </w:rPr>
      </w:pPr>
      <w:r w:rsidRPr="00AD036D">
        <w:rPr>
          <w:rFonts w:ascii="Arial" w:eastAsia="Times New Roman" w:hAnsi="Arial" w:cs="Arial"/>
          <w:b/>
          <w:bCs/>
          <w:sz w:val="24"/>
          <w:szCs w:val="20"/>
        </w:rPr>
        <w:t>3.</w:t>
      </w:r>
      <w:r w:rsidR="0029339F" w:rsidRPr="0029339F">
        <w:rPr>
          <w:rFonts w:ascii="Arial" w:eastAsia="Times New Roman" w:hAnsi="Arial" w:cs="Arial"/>
          <w:b/>
          <w:bCs/>
          <w:sz w:val="24"/>
          <w:szCs w:val="20"/>
        </w:rPr>
        <w:t xml:space="preserve"> Objectives of the Study</w:t>
      </w:r>
    </w:p>
    <w:p w14:paraId="157844EA" w14:textId="77777777" w:rsidR="0029339F" w:rsidRPr="0029339F" w:rsidRDefault="0029339F"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examine the relationship between PHC density and socio-demographic indicators (SC, ST, rural %, literacy, BPL).</w:t>
      </w:r>
    </w:p>
    <w:p w14:paraId="41F89435" w14:textId="77777777" w:rsidR="0029339F" w:rsidRPr="0029339F" w:rsidRDefault="0029339F"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measure inequality in PHC allocation using Lorenz curves and Gini coefficients.</w:t>
      </w:r>
    </w:p>
    <w:p w14:paraId="785A8EDD" w14:textId="77777777" w:rsidR="0029339F" w:rsidRPr="0029339F" w:rsidRDefault="0029339F"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construct a composite vulnerability index that identifies districts with structural disadvantages in healthcare access.</w:t>
      </w:r>
    </w:p>
    <w:p w14:paraId="4527BDC7" w14:textId="77777777" w:rsidR="00B113B6" w:rsidRPr="00B113B6" w:rsidRDefault="001B24E5" w:rsidP="00DE3B88">
      <w:pPr>
        <w:spacing w:before="240" w:after="0" w:line="360" w:lineRule="auto"/>
        <w:outlineLvl w:val="0"/>
        <w:rPr>
          <w:rFonts w:ascii="Arial" w:eastAsia="Times New Roman" w:hAnsi="Arial" w:cs="Arial"/>
          <w:b/>
          <w:bCs/>
          <w:kern w:val="36"/>
          <w:sz w:val="24"/>
          <w:szCs w:val="20"/>
        </w:rPr>
      </w:pPr>
      <w:r w:rsidRPr="00AD036D">
        <w:rPr>
          <w:rFonts w:ascii="Arial" w:eastAsia="Times New Roman" w:hAnsi="Arial" w:cs="Arial"/>
          <w:b/>
          <w:bCs/>
          <w:kern w:val="36"/>
          <w:sz w:val="24"/>
          <w:szCs w:val="20"/>
        </w:rPr>
        <w:t>4</w:t>
      </w:r>
      <w:r w:rsidR="00B113B6" w:rsidRPr="00B113B6">
        <w:rPr>
          <w:rFonts w:ascii="Arial" w:eastAsia="Times New Roman" w:hAnsi="Arial" w:cs="Arial"/>
          <w:b/>
          <w:bCs/>
          <w:kern w:val="36"/>
          <w:sz w:val="24"/>
          <w:szCs w:val="20"/>
        </w:rPr>
        <w:t>. Research Methodology</w:t>
      </w:r>
    </w:p>
    <w:p w14:paraId="20A8611F" w14:textId="77777777" w:rsidR="00B113B6" w:rsidRPr="00B113B6" w:rsidRDefault="00B113B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This study adopts a cross-sectional, quantitative research design to examine the equity of Public Health Centre (PHC) distribution across Kerala’s 14 districts. The analysis is descriptive and analytical, combining measures of central tendency with inequality indices and correlation models.</w:t>
      </w:r>
    </w:p>
    <w:p w14:paraId="76A2B654" w14:textId="77777777" w:rsidR="00B113B6" w:rsidRPr="001F46A5" w:rsidRDefault="00B113B6" w:rsidP="005E2992">
      <w:pPr>
        <w:pStyle w:val="ListParagraph"/>
        <w:numPr>
          <w:ilvl w:val="1"/>
          <w:numId w:val="10"/>
        </w:num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Data Source</w:t>
      </w:r>
    </w:p>
    <w:p w14:paraId="5B39AD13" w14:textId="77777777" w:rsidR="00B113B6" w:rsidRPr="00B113B6" w:rsidRDefault="00B113B6" w:rsidP="005E2992">
      <w:pPr>
        <w:spacing w:after="0" w:line="360" w:lineRule="auto"/>
        <w:ind w:firstLine="360"/>
        <w:jc w:val="both"/>
        <w:rPr>
          <w:rFonts w:ascii="Arial" w:eastAsia="Times New Roman" w:hAnsi="Arial" w:cs="Arial"/>
          <w:sz w:val="20"/>
          <w:szCs w:val="20"/>
        </w:rPr>
      </w:pPr>
      <w:r w:rsidRPr="00B113B6">
        <w:rPr>
          <w:rFonts w:ascii="Arial" w:eastAsia="Times New Roman" w:hAnsi="Arial" w:cs="Arial"/>
          <w:sz w:val="20"/>
          <w:szCs w:val="20"/>
        </w:rPr>
        <w:t>The dataset covers:</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PHC counts as of July 2025</w:t>
      </w:r>
      <w:r w:rsidR="005E2992" w:rsidRPr="001F46A5">
        <w:rPr>
          <w:rFonts w:ascii="Arial" w:eastAsia="Times New Roman" w:hAnsi="Arial" w:cs="Arial"/>
          <w:sz w:val="20"/>
          <w:szCs w:val="20"/>
        </w:rPr>
        <w:t xml:space="preserve">, </w:t>
      </w:r>
      <w:r w:rsidR="00F51E2A" w:rsidRPr="00B113B6">
        <w:rPr>
          <w:rFonts w:ascii="Arial" w:eastAsia="Times New Roman" w:hAnsi="Arial" w:cs="Arial"/>
          <w:sz w:val="20"/>
          <w:szCs w:val="20"/>
        </w:rPr>
        <w:t>projected</w:t>
      </w:r>
      <w:r w:rsidRPr="00B113B6">
        <w:rPr>
          <w:rFonts w:ascii="Arial" w:eastAsia="Times New Roman" w:hAnsi="Arial" w:cs="Arial"/>
          <w:sz w:val="20"/>
          <w:szCs w:val="20"/>
        </w:rPr>
        <w:t xml:space="preserve"> population (2024)</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Scheduled Caste (SC) population %</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Scheduled Tribe (ST) population %</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Rural population %</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Literacy rate</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Below Poverty Line (BPL) population %</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The unit of analysis is the district</w:t>
      </w:r>
      <w:r w:rsidR="00F51E2A">
        <w:rPr>
          <w:rFonts w:ascii="Arial" w:eastAsia="Times New Roman" w:hAnsi="Arial" w:cs="Arial"/>
          <w:sz w:val="20"/>
          <w:szCs w:val="20"/>
        </w:rPr>
        <w:t>s Kerala</w:t>
      </w:r>
      <w:r w:rsidRPr="00B113B6">
        <w:rPr>
          <w:rFonts w:ascii="Arial" w:eastAsia="Times New Roman" w:hAnsi="Arial" w:cs="Arial"/>
          <w:sz w:val="20"/>
          <w:szCs w:val="20"/>
        </w:rPr>
        <w:t>.</w:t>
      </w:r>
    </w:p>
    <w:p w14:paraId="4EB195C8" w14:textId="77777777" w:rsidR="00B113B6" w:rsidRPr="00B113B6" w:rsidRDefault="001B24E5"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00B113B6" w:rsidRPr="00B113B6">
        <w:rPr>
          <w:rFonts w:ascii="Arial" w:eastAsia="Times New Roman" w:hAnsi="Arial" w:cs="Arial"/>
          <w:b/>
          <w:bCs/>
          <w:szCs w:val="20"/>
        </w:rPr>
        <w:t>.</w:t>
      </w:r>
      <w:r w:rsidRPr="001F46A5">
        <w:rPr>
          <w:rFonts w:ascii="Arial" w:eastAsia="Times New Roman" w:hAnsi="Arial" w:cs="Arial"/>
          <w:b/>
          <w:bCs/>
          <w:szCs w:val="20"/>
        </w:rPr>
        <w:t>2</w:t>
      </w:r>
      <w:r w:rsidR="00B113B6" w:rsidRPr="00B113B6">
        <w:rPr>
          <w:rFonts w:ascii="Arial" w:eastAsia="Times New Roman" w:hAnsi="Arial" w:cs="Arial"/>
          <w:b/>
          <w:bCs/>
          <w:szCs w:val="20"/>
        </w:rPr>
        <w:t xml:space="preserve"> Variables</w:t>
      </w:r>
    </w:p>
    <w:p w14:paraId="0DCBF85E" w14:textId="77777777" w:rsidR="00B113B6" w:rsidRPr="00B113B6" w:rsidRDefault="00B113B6" w:rsidP="005E2992">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Dependent variable: PHC density per 100,000 population</w:t>
      </w:r>
    </w:p>
    <w:p w14:paraId="6503F867" w14:textId="77777777" w:rsidR="00B113B6" w:rsidRPr="00B113B6" w:rsidRDefault="00B113B6" w:rsidP="005E2992">
      <w:pPr>
        <w:spacing w:after="0" w:line="360" w:lineRule="auto"/>
        <w:ind w:firstLine="720"/>
        <w:rPr>
          <w:rFonts w:ascii="Arial" w:eastAsia="Times New Roman" w:hAnsi="Arial" w:cs="Arial"/>
          <w:sz w:val="20"/>
          <w:szCs w:val="20"/>
        </w:rPr>
      </w:pPr>
      <w:r w:rsidRPr="001F46A5">
        <w:rPr>
          <w:rFonts w:ascii="Arial" w:eastAsia="Times New Roman" w:hAnsi="Arial" w:cs="Arial"/>
          <w:sz w:val="20"/>
          <w:szCs w:val="20"/>
        </w:rPr>
        <w:t xml:space="preserve">Equation: </w:t>
      </w:r>
      <w:r w:rsidRPr="00B113B6">
        <w:rPr>
          <w:rFonts w:ascii="Arial" w:eastAsia="Times New Roman" w:hAnsi="Arial" w:cs="Arial"/>
          <w:sz w:val="20"/>
          <w:szCs w:val="20"/>
        </w:rPr>
        <w:t xml:space="preserve">Dᵢ = </w:t>
      </w:r>
      <w:proofErr w:type="gramStart"/>
      <w:r w:rsidRPr="00B113B6">
        <w:rPr>
          <w:rFonts w:ascii="Arial" w:eastAsia="Times New Roman" w:hAnsi="Arial" w:cs="Arial"/>
          <w:sz w:val="20"/>
          <w:szCs w:val="20"/>
        </w:rPr>
        <w:t>( Hᵢ</w:t>
      </w:r>
      <w:proofErr w:type="gramEnd"/>
      <w:r w:rsidRPr="00B113B6">
        <w:rPr>
          <w:rFonts w:ascii="Arial" w:eastAsia="Times New Roman" w:hAnsi="Arial" w:cs="Arial"/>
          <w:sz w:val="20"/>
          <w:szCs w:val="20"/>
        </w:rPr>
        <w:t xml:space="preserve"> / Pᵢ ) × 100,000</w:t>
      </w:r>
    </w:p>
    <w:p w14:paraId="645D617B" w14:textId="77777777" w:rsidR="00B113B6" w:rsidRPr="00B113B6" w:rsidRDefault="00B113B6" w:rsidP="005E2992">
      <w:pPr>
        <w:spacing w:after="0" w:line="360" w:lineRule="auto"/>
        <w:ind w:firstLine="720"/>
        <w:rPr>
          <w:rFonts w:ascii="Arial" w:eastAsia="Times New Roman" w:hAnsi="Arial" w:cs="Arial"/>
          <w:sz w:val="20"/>
          <w:szCs w:val="20"/>
        </w:rPr>
      </w:pPr>
      <w:r w:rsidRPr="001F46A5">
        <w:rPr>
          <w:rFonts w:ascii="Arial" w:eastAsia="Times New Roman" w:hAnsi="Arial" w:cs="Arial"/>
          <w:sz w:val="20"/>
          <w:szCs w:val="20"/>
        </w:rPr>
        <w:t xml:space="preserve">Where, Hᵢ = PHC count in district </w:t>
      </w:r>
      <w:proofErr w:type="spellStart"/>
      <w:r w:rsidRPr="001F46A5">
        <w:rPr>
          <w:rFonts w:ascii="Arial" w:eastAsia="Times New Roman" w:hAnsi="Arial" w:cs="Arial"/>
          <w:sz w:val="20"/>
          <w:szCs w:val="20"/>
        </w:rPr>
        <w:t>i</w:t>
      </w:r>
      <w:proofErr w:type="spellEnd"/>
      <w:r w:rsidRPr="001F46A5">
        <w:rPr>
          <w:rFonts w:ascii="Arial" w:eastAsia="Times New Roman" w:hAnsi="Arial" w:cs="Arial"/>
          <w:sz w:val="20"/>
          <w:szCs w:val="20"/>
        </w:rPr>
        <w:t xml:space="preserve">, </w:t>
      </w:r>
      <w:r w:rsidRPr="00B113B6">
        <w:rPr>
          <w:rFonts w:ascii="Arial" w:eastAsia="Times New Roman" w:hAnsi="Arial" w:cs="Arial"/>
          <w:sz w:val="20"/>
          <w:szCs w:val="20"/>
        </w:rPr>
        <w:t xml:space="preserve">Pᵢ = population of district </w:t>
      </w:r>
      <w:proofErr w:type="spellStart"/>
      <w:r w:rsidRPr="00B113B6">
        <w:rPr>
          <w:rFonts w:ascii="Arial" w:eastAsia="Times New Roman" w:hAnsi="Arial" w:cs="Arial"/>
          <w:sz w:val="20"/>
          <w:szCs w:val="20"/>
        </w:rPr>
        <w:t>i</w:t>
      </w:r>
      <w:proofErr w:type="spellEnd"/>
    </w:p>
    <w:p w14:paraId="6D719242" w14:textId="77777777" w:rsidR="00B113B6" w:rsidRPr="00B113B6" w:rsidRDefault="00B113B6" w:rsidP="005E2992">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Independent variables: SC %, ST %, rural %, literacy, and BPL %.</w:t>
      </w:r>
    </w:p>
    <w:p w14:paraId="3904E15E" w14:textId="77777777" w:rsidR="00B113B6" w:rsidRPr="00B113B6" w:rsidRDefault="001B24E5"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00B113B6" w:rsidRPr="00B113B6">
        <w:rPr>
          <w:rFonts w:ascii="Arial" w:eastAsia="Times New Roman" w:hAnsi="Arial" w:cs="Arial"/>
          <w:b/>
          <w:bCs/>
          <w:szCs w:val="20"/>
        </w:rPr>
        <w:t>.</w:t>
      </w:r>
      <w:r w:rsidR="00F51E2A">
        <w:rPr>
          <w:rFonts w:ascii="Arial" w:eastAsia="Times New Roman" w:hAnsi="Arial" w:cs="Arial"/>
          <w:b/>
          <w:bCs/>
          <w:szCs w:val="20"/>
        </w:rPr>
        <w:t>3</w:t>
      </w:r>
      <w:r w:rsidR="00B113B6" w:rsidRPr="00B113B6">
        <w:rPr>
          <w:rFonts w:ascii="Arial" w:eastAsia="Times New Roman" w:hAnsi="Arial" w:cs="Arial"/>
          <w:b/>
          <w:bCs/>
          <w:szCs w:val="20"/>
        </w:rPr>
        <w:t xml:space="preserve"> Correlation Analysis</w:t>
      </w:r>
    </w:p>
    <w:p w14:paraId="0B46A280" w14:textId="77777777" w:rsidR="00B113B6" w:rsidRPr="00B113B6" w:rsidRDefault="00B113B6" w:rsidP="001B24E5">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To measure association between PHC density (D) and a variable (X):</w:t>
      </w:r>
      <w:r w:rsidR="001B24E5" w:rsidRPr="001F46A5">
        <w:rPr>
          <w:rFonts w:ascii="Arial" w:eastAsia="Times New Roman" w:hAnsi="Arial" w:cs="Arial"/>
          <w:sz w:val="20"/>
          <w:szCs w:val="20"/>
        </w:rPr>
        <w:t xml:space="preserve"> </w:t>
      </w:r>
      <w:r w:rsidRPr="00B113B6">
        <w:rPr>
          <w:rFonts w:ascii="Arial" w:eastAsia="Times New Roman" w:hAnsi="Arial" w:cs="Arial"/>
          <w:sz w:val="20"/>
          <w:szCs w:val="20"/>
        </w:rPr>
        <w:t>r(</w:t>
      </w:r>
      <w:proofErr w:type="gramStart"/>
      <w:r w:rsidRPr="00B113B6">
        <w:rPr>
          <w:rFonts w:ascii="Arial" w:eastAsia="Times New Roman" w:hAnsi="Arial" w:cs="Arial"/>
          <w:sz w:val="20"/>
          <w:szCs w:val="20"/>
        </w:rPr>
        <w:t>D,X</w:t>
      </w:r>
      <w:proofErr w:type="gramEnd"/>
      <w:r w:rsidRPr="00B113B6">
        <w:rPr>
          <w:rFonts w:ascii="Arial" w:eastAsia="Times New Roman" w:hAnsi="Arial" w:cs="Arial"/>
          <w:sz w:val="20"/>
          <w:szCs w:val="20"/>
        </w:rPr>
        <w:t>) = Σ (Dᵢ − D̄)(Xᵢ − X̄) ÷ √[ Σ(Dᵢ − D̄)² × Σ(Xᵢ − X̄)² ]</w:t>
      </w:r>
    </w:p>
    <w:p w14:paraId="2FD4C9B0" w14:textId="77777777" w:rsidR="00B113B6" w:rsidRPr="00B113B6" w:rsidRDefault="00B113B6" w:rsidP="001B24E5">
      <w:pPr>
        <w:spacing w:after="0" w:line="360" w:lineRule="auto"/>
        <w:rPr>
          <w:rFonts w:ascii="Arial" w:eastAsia="Times New Roman" w:hAnsi="Arial" w:cs="Arial"/>
          <w:sz w:val="20"/>
          <w:szCs w:val="20"/>
        </w:rPr>
      </w:pPr>
      <w:r w:rsidRPr="00B113B6">
        <w:rPr>
          <w:rFonts w:ascii="Arial" w:eastAsia="Times New Roman" w:hAnsi="Arial" w:cs="Arial"/>
          <w:sz w:val="20"/>
          <w:szCs w:val="20"/>
        </w:rPr>
        <w:t>where D̄ = mean PHC density, X̄ = mean of X.</w:t>
      </w:r>
    </w:p>
    <w:p w14:paraId="114A3FD4" w14:textId="77777777" w:rsidR="00B113B6" w:rsidRPr="00B113B6" w:rsidRDefault="005E2992"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00B113B6" w:rsidRPr="00B113B6">
        <w:rPr>
          <w:rFonts w:ascii="Arial" w:eastAsia="Times New Roman" w:hAnsi="Arial" w:cs="Arial"/>
          <w:b/>
          <w:bCs/>
          <w:szCs w:val="20"/>
        </w:rPr>
        <w:t>.</w:t>
      </w:r>
      <w:r w:rsidR="00F51E2A">
        <w:rPr>
          <w:rFonts w:ascii="Arial" w:eastAsia="Times New Roman" w:hAnsi="Arial" w:cs="Arial"/>
          <w:b/>
          <w:bCs/>
          <w:szCs w:val="20"/>
        </w:rPr>
        <w:t>4</w:t>
      </w:r>
      <w:r w:rsidR="00B113B6" w:rsidRPr="00B113B6">
        <w:rPr>
          <w:rFonts w:ascii="Arial" w:eastAsia="Times New Roman" w:hAnsi="Arial" w:cs="Arial"/>
          <w:b/>
          <w:bCs/>
          <w:szCs w:val="20"/>
        </w:rPr>
        <w:t xml:space="preserve"> Inequality Measurement</w:t>
      </w:r>
    </w:p>
    <w:p w14:paraId="687F6827" w14:textId="77777777" w:rsidR="00B113B6" w:rsidRPr="00B113B6" w:rsidRDefault="00B113B6" w:rsidP="001B24E5">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Lorenz curves plot cumulative % of population vs. cumulative % of PHCs.</w:t>
      </w:r>
    </w:p>
    <w:p w14:paraId="7ACB8C96" w14:textId="77777777" w:rsidR="00B113B6" w:rsidRPr="00B113B6" w:rsidRDefault="00B113B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Gini coefficient formula:</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G = (1 / 2μ</w:t>
      </w:r>
      <w:r w:rsidRPr="00B113B6">
        <w:rPr>
          <w:rFonts w:ascii="Cambria Math" w:eastAsia="Times New Roman" w:hAnsi="Cambria Math" w:cs="Cambria Math"/>
          <w:sz w:val="20"/>
          <w:szCs w:val="20"/>
        </w:rPr>
        <w:t>ₕ</w:t>
      </w:r>
      <w:r w:rsidRPr="00B113B6">
        <w:rPr>
          <w:rFonts w:ascii="Arial" w:eastAsia="Times New Roman" w:hAnsi="Arial" w:cs="Arial"/>
          <w:sz w:val="20"/>
          <w:szCs w:val="20"/>
        </w:rPr>
        <w:t xml:space="preserve">) × Σ </w:t>
      </w:r>
      <w:proofErr w:type="spellStart"/>
      <w:r w:rsidRPr="00B113B6">
        <w:rPr>
          <w:rFonts w:ascii="Arial" w:eastAsia="Times New Roman" w:hAnsi="Arial" w:cs="Arial"/>
          <w:sz w:val="20"/>
          <w:szCs w:val="20"/>
        </w:rPr>
        <w:t>Σ</w:t>
      </w:r>
      <w:proofErr w:type="spellEnd"/>
      <w:r w:rsidRPr="00B113B6">
        <w:rPr>
          <w:rFonts w:ascii="Arial" w:eastAsia="Times New Roman" w:hAnsi="Arial" w:cs="Arial"/>
          <w:sz w:val="20"/>
          <w:szCs w:val="20"/>
        </w:rPr>
        <w:t xml:space="preserve"> wᵢ wⱼ | hᵢ − hⱼ |</w:t>
      </w:r>
    </w:p>
    <w:p w14:paraId="6DDD5053" w14:textId="77777777" w:rsidR="00B113B6" w:rsidRPr="00B113B6" w:rsidRDefault="001B24E5"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lastRenderedPageBreak/>
        <w:t xml:space="preserve">Where, </w:t>
      </w:r>
      <w:r w:rsidR="00B113B6" w:rsidRPr="00B113B6">
        <w:rPr>
          <w:rFonts w:ascii="Arial" w:eastAsia="Times New Roman" w:hAnsi="Arial" w:cs="Arial"/>
          <w:sz w:val="20"/>
          <w:szCs w:val="20"/>
        </w:rPr>
        <w:t xml:space="preserve">hᵢ = Hᵢ / Pᵢ </w:t>
      </w:r>
      <w:r w:rsidRPr="001F46A5">
        <w:rPr>
          <w:rFonts w:ascii="Arial" w:eastAsia="Times New Roman" w:hAnsi="Arial" w:cs="Arial"/>
          <w:sz w:val="20"/>
          <w:szCs w:val="20"/>
        </w:rPr>
        <w:t xml:space="preserve">(PHCs per person in district </w:t>
      </w:r>
      <w:proofErr w:type="spellStart"/>
      <w:r w:rsidRPr="001F46A5">
        <w:rPr>
          <w:rFonts w:ascii="Arial" w:eastAsia="Times New Roman" w:hAnsi="Arial" w:cs="Arial"/>
          <w:sz w:val="20"/>
          <w:szCs w:val="20"/>
        </w:rPr>
        <w:t>i</w:t>
      </w:r>
      <w:proofErr w:type="spellEnd"/>
      <w:r w:rsidRPr="001F46A5">
        <w:rPr>
          <w:rFonts w:ascii="Arial" w:eastAsia="Times New Roman" w:hAnsi="Arial" w:cs="Arial"/>
          <w:sz w:val="20"/>
          <w:szCs w:val="20"/>
        </w:rPr>
        <w:t xml:space="preserve">), </w:t>
      </w:r>
      <w:r w:rsidR="00B113B6" w:rsidRPr="00B113B6">
        <w:rPr>
          <w:rFonts w:ascii="Arial" w:eastAsia="Times New Roman" w:hAnsi="Arial" w:cs="Arial"/>
          <w:sz w:val="20"/>
          <w:szCs w:val="20"/>
        </w:rPr>
        <w:t>wᵢ = Pᵢ ÷ ΣP (</w:t>
      </w:r>
      <w:r w:rsidRPr="001F46A5">
        <w:rPr>
          <w:rFonts w:ascii="Arial" w:eastAsia="Times New Roman" w:hAnsi="Arial" w:cs="Arial"/>
          <w:sz w:val="20"/>
          <w:szCs w:val="20"/>
        </w:rPr>
        <w:t xml:space="preserve">population share of district </w:t>
      </w:r>
      <w:proofErr w:type="spellStart"/>
      <w:r w:rsidRPr="001F46A5">
        <w:rPr>
          <w:rFonts w:ascii="Arial" w:eastAsia="Times New Roman" w:hAnsi="Arial" w:cs="Arial"/>
          <w:sz w:val="20"/>
          <w:szCs w:val="20"/>
        </w:rPr>
        <w:t>i</w:t>
      </w:r>
      <w:proofErr w:type="spellEnd"/>
      <w:r w:rsidRPr="001F46A5">
        <w:rPr>
          <w:rFonts w:ascii="Arial" w:eastAsia="Times New Roman" w:hAnsi="Arial" w:cs="Arial"/>
          <w:sz w:val="20"/>
          <w:szCs w:val="20"/>
        </w:rPr>
        <w:t xml:space="preserve">), </w:t>
      </w:r>
      <w:r w:rsidR="00B113B6" w:rsidRPr="00B113B6">
        <w:rPr>
          <w:rFonts w:ascii="Arial" w:eastAsia="Times New Roman" w:hAnsi="Arial" w:cs="Arial"/>
          <w:sz w:val="20"/>
          <w:szCs w:val="20"/>
        </w:rPr>
        <w:t>μ</w:t>
      </w:r>
      <w:r w:rsidR="00B113B6" w:rsidRPr="00B113B6">
        <w:rPr>
          <w:rFonts w:ascii="Cambria Math" w:eastAsia="Times New Roman" w:hAnsi="Cambria Math" w:cs="Cambria Math"/>
          <w:sz w:val="20"/>
          <w:szCs w:val="20"/>
        </w:rPr>
        <w:t>ₕ</w:t>
      </w:r>
      <w:r w:rsidR="00B113B6" w:rsidRPr="00B113B6">
        <w:rPr>
          <w:rFonts w:ascii="Arial" w:eastAsia="Times New Roman" w:hAnsi="Arial" w:cs="Arial"/>
          <w:sz w:val="20"/>
          <w:szCs w:val="20"/>
        </w:rPr>
        <w:t xml:space="preserve"> = weighted mean of hᵢ</w:t>
      </w:r>
    </w:p>
    <w:p w14:paraId="5E5F6754" w14:textId="77777777" w:rsidR="00B113B6" w:rsidRPr="00B113B6" w:rsidRDefault="001B24E5"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 xml:space="preserve">Interpretation: G = 0 → perfect equality, </w:t>
      </w:r>
      <w:r w:rsidR="00B113B6" w:rsidRPr="00B113B6">
        <w:rPr>
          <w:rFonts w:ascii="Arial" w:eastAsia="Times New Roman" w:hAnsi="Arial" w:cs="Arial"/>
          <w:sz w:val="20"/>
          <w:szCs w:val="20"/>
        </w:rPr>
        <w:t>G = 1 → maximum inequality</w:t>
      </w:r>
    </w:p>
    <w:p w14:paraId="0D0BE001" w14:textId="77777777" w:rsidR="00B113B6" w:rsidRPr="00B113B6" w:rsidRDefault="005E2992" w:rsidP="001F46A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00B113B6" w:rsidRPr="00B113B6">
        <w:rPr>
          <w:rFonts w:ascii="Arial" w:eastAsia="Times New Roman" w:hAnsi="Arial" w:cs="Arial"/>
          <w:b/>
          <w:bCs/>
          <w:szCs w:val="20"/>
        </w:rPr>
        <w:t>.</w:t>
      </w:r>
      <w:r w:rsidR="00F51E2A">
        <w:rPr>
          <w:rFonts w:ascii="Arial" w:eastAsia="Times New Roman" w:hAnsi="Arial" w:cs="Arial"/>
          <w:b/>
          <w:bCs/>
          <w:szCs w:val="20"/>
        </w:rPr>
        <w:t>5</w:t>
      </w:r>
      <w:r w:rsidR="001B24E5" w:rsidRPr="001F46A5">
        <w:rPr>
          <w:rFonts w:ascii="Arial" w:eastAsia="Times New Roman" w:hAnsi="Arial" w:cs="Arial"/>
          <w:b/>
          <w:bCs/>
          <w:szCs w:val="20"/>
        </w:rPr>
        <w:t xml:space="preserve"> </w:t>
      </w:r>
      <w:r w:rsidR="00B113B6" w:rsidRPr="00B113B6">
        <w:rPr>
          <w:rFonts w:ascii="Arial" w:eastAsia="Times New Roman" w:hAnsi="Arial" w:cs="Arial"/>
          <w:b/>
          <w:bCs/>
          <w:szCs w:val="20"/>
        </w:rPr>
        <w:t>Vulnerability Index</w:t>
      </w:r>
    </w:p>
    <w:p w14:paraId="1B9D3BB7" w14:textId="77777777" w:rsidR="009E1738" w:rsidRDefault="009E1738" w:rsidP="005E2992">
      <w:pPr>
        <w:spacing w:after="0" w:line="360" w:lineRule="auto"/>
        <w:ind w:firstLine="720"/>
        <w:jc w:val="both"/>
        <w:rPr>
          <w:rFonts w:ascii="Arial" w:eastAsia="Times New Roman" w:hAnsi="Arial" w:cs="Arial"/>
          <w:sz w:val="20"/>
          <w:szCs w:val="20"/>
        </w:rPr>
      </w:pPr>
      <w:r w:rsidRPr="009E1738">
        <w:rPr>
          <w:rFonts w:ascii="Arial" w:eastAsia="Times New Roman" w:hAnsi="Arial" w:cs="Arial"/>
          <w:sz w:val="20"/>
          <w:szCs w:val="20"/>
        </w:rPr>
        <w:t>The Vulnerability Index was constructed by combining four components: Scheduled Caste (SC) percentage, Scheduled Tribe (ST) percentage, Below Poverty Line (BPL) percentage, and low Public Health Centre (PHC) density. Each component was normalized using the min–max method so that values ranged from 0 (least vulnerable) to 1 (most vulnerable) across districts. For PHC density, the transformation was reversed (1 − normalized PHC density), so that lower availability increased vulnerability. The final index was calculated as the simple average of the four normalized scores.</w:t>
      </w:r>
    </w:p>
    <w:p w14:paraId="7A089B8A" w14:textId="77777777" w:rsidR="00B113B6" w:rsidRPr="00B113B6" w:rsidRDefault="001B24E5"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 xml:space="preserve">Normalization: </w:t>
      </w:r>
      <w:r w:rsidR="00B113B6" w:rsidRPr="00B113B6">
        <w:rPr>
          <w:rFonts w:ascii="Arial" w:eastAsia="Times New Roman" w:hAnsi="Arial" w:cs="Arial"/>
          <w:sz w:val="20"/>
          <w:szCs w:val="20"/>
        </w:rPr>
        <w:t xml:space="preserve">Z̃ᵢ = </w:t>
      </w:r>
      <w:proofErr w:type="gramStart"/>
      <w:r w:rsidR="00B113B6" w:rsidRPr="00B113B6">
        <w:rPr>
          <w:rFonts w:ascii="Arial" w:eastAsia="Times New Roman" w:hAnsi="Arial" w:cs="Arial"/>
          <w:sz w:val="20"/>
          <w:szCs w:val="20"/>
        </w:rPr>
        <w:t>( Zᵢ</w:t>
      </w:r>
      <w:proofErr w:type="gramEnd"/>
      <w:r w:rsidR="00B113B6" w:rsidRPr="00B113B6">
        <w:rPr>
          <w:rFonts w:ascii="Arial" w:eastAsia="Times New Roman" w:hAnsi="Arial" w:cs="Arial"/>
          <w:sz w:val="20"/>
          <w:szCs w:val="20"/>
        </w:rPr>
        <w:t xml:space="preserve"> − Min(Z) ) ÷ ( Max(Z) − Min(Z) )</w:t>
      </w:r>
    </w:p>
    <w:p w14:paraId="374408F3" w14:textId="77777777" w:rsidR="00B113B6" w:rsidRPr="00B113B6" w:rsidRDefault="00B113B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Composite index:</w:t>
      </w:r>
      <w:r w:rsidR="001B24E5" w:rsidRPr="001F46A5">
        <w:rPr>
          <w:rFonts w:ascii="Arial" w:eastAsia="Times New Roman" w:hAnsi="Arial" w:cs="Arial"/>
          <w:sz w:val="20"/>
          <w:szCs w:val="20"/>
        </w:rPr>
        <w:t xml:space="preserve"> </w:t>
      </w:r>
      <w:r w:rsidRPr="00B113B6">
        <w:rPr>
          <w:rFonts w:ascii="Arial" w:eastAsia="Times New Roman" w:hAnsi="Arial" w:cs="Arial"/>
          <w:sz w:val="20"/>
          <w:szCs w:val="20"/>
        </w:rPr>
        <w:t xml:space="preserve">Vᵢ = ¼ × [ </w:t>
      </w:r>
      <w:proofErr w:type="gramStart"/>
      <w:r w:rsidRPr="00B113B6">
        <w:rPr>
          <w:rFonts w:ascii="Arial" w:eastAsia="Times New Roman" w:hAnsi="Arial" w:cs="Arial"/>
          <w:sz w:val="20"/>
          <w:szCs w:val="20"/>
        </w:rPr>
        <w:t>Z̃(</w:t>
      </w:r>
      <w:proofErr w:type="gramEnd"/>
      <w:r w:rsidRPr="00B113B6">
        <w:rPr>
          <w:rFonts w:ascii="Arial" w:eastAsia="Times New Roman" w:hAnsi="Arial" w:cs="Arial"/>
          <w:sz w:val="20"/>
          <w:szCs w:val="20"/>
        </w:rPr>
        <w:t>SC)ᵢ + Z̃(ST)ᵢ + Z̃(BPL)ᵢ + (1 − Z̃(D)ᵢ) ]</w:t>
      </w:r>
    </w:p>
    <w:p w14:paraId="481829DE" w14:textId="77777777" w:rsidR="0029339F" w:rsidRDefault="001B24E5"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 xml:space="preserve">Where, </w:t>
      </w:r>
      <w:proofErr w:type="gramStart"/>
      <w:r w:rsidRPr="001F46A5">
        <w:rPr>
          <w:rFonts w:ascii="Arial" w:eastAsia="Times New Roman" w:hAnsi="Arial" w:cs="Arial"/>
          <w:sz w:val="20"/>
          <w:szCs w:val="20"/>
        </w:rPr>
        <w:t>Z̃(</w:t>
      </w:r>
      <w:proofErr w:type="gramEnd"/>
      <w:r w:rsidRPr="001F46A5">
        <w:rPr>
          <w:rFonts w:ascii="Arial" w:eastAsia="Times New Roman" w:hAnsi="Arial" w:cs="Arial"/>
          <w:sz w:val="20"/>
          <w:szCs w:val="20"/>
        </w:rPr>
        <w:t xml:space="preserve">SC)ᵢ = normalized SC %, Z̃(ST)ᵢ = normalized ST %, Z̃(BPL)ᵢ = normalized BPL %, </w:t>
      </w:r>
      <w:r w:rsidR="00B113B6" w:rsidRPr="00B113B6">
        <w:rPr>
          <w:rFonts w:ascii="Arial" w:eastAsia="Times New Roman" w:hAnsi="Arial" w:cs="Arial"/>
          <w:sz w:val="20"/>
          <w:szCs w:val="20"/>
        </w:rPr>
        <w:t>Z̃(D)ᵢ = normalized PHC density</w:t>
      </w:r>
      <w:r w:rsidRPr="001F46A5">
        <w:rPr>
          <w:rFonts w:ascii="Arial" w:eastAsia="Times New Roman" w:hAnsi="Arial" w:cs="Arial"/>
          <w:sz w:val="20"/>
          <w:szCs w:val="20"/>
        </w:rPr>
        <w:t xml:space="preserve">, </w:t>
      </w:r>
      <w:r w:rsidR="00B113B6" w:rsidRPr="00B113B6">
        <w:rPr>
          <w:rFonts w:ascii="Arial" w:eastAsia="Times New Roman" w:hAnsi="Arial" w:cs="Arial"/>
          <w:sz w:val="20"/>
          <w:szCs w:val="20"/>
        </w:rPr>
        <w:t>Range: 0 (least vulnerable) to 1 (most vulnerable).</w:t>
      </w:r>
    </w:p>
    <w:p w14:paraId="620B1073" w14:textId="77777777" w:rsidR="00DE3B88" w:rsidRDefault="00DE3B88" w:rsidP="00DE3B88">
      <w:pPr>
        <w:spacing w:before="240" w:after="0" w:line="360" w:lineRule="auto"/>
        <w:jc w:val="both"/>
        <w:rPr>
          <w:rFonts w:ascii="Arial" w:eastAsia="Times New Roman" w:hAnsi="Arial" w:cs="Arial"/>
          <w:b/>
          <w:sz w:val="24"/>
          <w:szCs w:val="20"/>
        </w:rPr>
      </w:pPr>
      <w:r w:rsidRPr="00DE3B88">
        <w:rPr>
          <w:rFonts w:ascii="Arial" w:eastAsia="Times New Roman" w:hAnsi="Arial" w:cs="Arial"/>
          <w:b/>
          <w:sz w:val="24"/>
          <w:szCs w:val="20"/>
        </w:rPr>
        <w:t>5</w:t>
      </w:r>
      <w:r w:rsidR="00751587">
        <w:rPr>
          <w:rFonts w:ascii="Arial" w:eastAsia="Times New Roman" w:hAnsi="Arial" w:cs="Arial"/>
          <w:b/>
          <w:sz w:val="24"/>
          <w:szCs w:val="20"/>
        </w:rPr>
        <w:t>.</w:t>
      </w:r>
      <w:r w:rsidRPr="00DE3B88">
        <w:rPr>
          <w:rFonts w:ascii="Arial" w:eastAsia="Times New Roman" w:hAnsi="Arial" w:cs="Arial"/>
          <w:b/>
          <w:sz w:val="24"/>
          <w:szCs w:val="20"/>
        </w:rPr>
        <w:t xml:space="preserve"> Data Analysis and Discussion</w:t>
      </w:r>
    </w:p>
    <w:p w14:paraId="5D82EDB5" w14:textId="77777777" w:rsidR="002A7BA9" w:rsidRPr="002A7BA9" w:rsidRDefault="002A7BA9" w:rsidP="00DE3B88">
      <w:pPr>
        <w:spacing w:before="240" w:after="0" w:line="360" w:lineRule="auto"/>
        <w:jc w:val="both"/>
        <w:rPr>
          <w:rFonts w:ascii="Arial" w:eastAsia="Times New Roman" w:hAnsi="Arial" w:cs="Arial"/>
          <w:b/>
          <w:szCs w:val="20"/>
        </w:rPr>
      </w:pPr>
      <w:r w:rsidRPr="002A7BA9">
        <w:rPr>
          <w:rFonts w:ascii="Arial" w:eastAsia="Times New Roman" w:hAnsi="Arial" w:cs="Arial"/>
          <w:b/>
          <w:szCs w:val="20"/>
        </w:rPr>
        <w:t>5.1. Correlation between PHC Density and Socio-Demographic Indicators</w:t>
      </w:r>
    </w:p>
    <w:p w14:paraId="02E6221B" w14:textId="77777777" w:rsidR="00711B53" w:rsidRPr="00E6229F" w:rsidRDefault="006102DF" w:rsidP="00E6229F">
      <w:pPr>
        <w:spacing w:before="240" w:after="0" w:line="240" w:lineRule="auto"/>
        <w:jc w:val="center"/>
        <w:rPr>
          <w:rFonts w:ascii="Arial" w:eastAsia="Times New Roman" w:hAnsi="Arial" w:cs="Arial"/>
          <w:b/>
          <w:sz w:val="20"/>
          <w:szCs w:val="20"/>
        </w:rPr>
      </w:pPr>
      <w:r>
        <w:rPr>
          <w:rFonts w:ascii="Arial" w:eastAsia="Times New Roman" w:hAnsi="Arial" w:cs="Arial"/>
          <w:b/>
          <w:sz w:val="20"/>
          <w:szCs w:val="20"/>
        </w:rPr>
        <w:t>Table</w:t>
      </w:r>
      <w:r w:rsidR="00711B53" w:rsidRPr="00E6229F">
        <w:rPr>
          <w:rFonts w:ascii="Arial" w:eastAsia="Times New Roman" w:hAnsi="Arial" w:cs="Arial"/>
          <w:b/>
          <w:sz w:val="20"/>
          <w:szCs w:val="20"/>
        </w:rPr>
        <w:t xml:space="preserve"> 1.  Kerala District wise Demographic &amp; PHC Data (2024–25)</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8"/>
        <w:gridCol w:w="992"/>
        <w:gridCol w:w="1276"/>
        <w:gridCol w:w="850"/>
        <w:gridCol w:w="730"/>
        <w:gridCol w:w="778"/>
        <w:gridCol w:w="850"/>
        <w:gridCol w:w="1044"/>
        <w:gridCol w:w="692"/>
      </w:tblGrid>
      <w:tr w:rsidR="00040443" w:rsidRPr="00E6229F" w14:paraId="72F3F0AB" w14:textId="77777777" w:rsidTr="00040443">
        <w:trPr>
          <w:trHeight w:val="915"/>
          <w:jc w:val="center"/>
        </w:trPr>
        <w:tc>
          <w:tcPr>
            <w:tcW w:w="568" w:type="dxa"/>
            <w:vAlign w:val="center"/>
            <w:hideMark/>
          </w:tcPr>
          <w:p w14:paraId="51B7281F"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Sl. No.</w:t>
            </w:r>
          </w:p>
        </w:tc>
        <w:tc>
          <w:tcPr>
            <w:tcW w:w="1538" w:type="dxa"/>
            <w:vAlign w:val="center"/>
            <w:hideMark/>
          </w:tcPr>
          <w:p w14:paraId="7A8AFD95"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Districts</w:t>
            </w:r>
          </w:p>
        </w:tc>
        <w:tc>
          <w:tcPr>
            <w:tcW w:w="992" w:type="dxa"/>
            <w:vAlign w:val="center"/>
            <w:hideMark/>
          </w:tcPr>
          <w:p w14:paraId="412F498B" w14:textId="77777777" w:rsidR="00DE3B88" w:rsidRPr="00E6229F" w:rsidRDefault="00E6229F"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PHC </w:t>
            </w:r>
            <w:r w:rsidR="00DE3B88" w:rsidRPr="00DE3B88">
              <w:rPr>
                <w:rFonts w:ascii="Arial" w:eastAsia="Times New Roman" w:hAnsi="Arial" w:cs="Arial"/>
                <w:b/>
                <w:bCs/>
                <w:color w:val="000000"/>
                <w:sz w:val="18"/>
                <w:szCs w:val="20"/>
              </w:rPr>
              <w:t xml:space="preserve">Count </w:t>
            </w:r>
          </w:p>
          <w:p w14:paraId="4E254278"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4"/>
                <w:szCs w:val="20"/>
              </w:rPr>
              <w:t>(As on 31.07.2025)</w:t>
            </w:r>
          </w:p>
        </w:tc>
        <w:tc>
          <w:tcPr>
            <w:tcW w:w="1276" w:type="dxa"/>
            <w:vAlign w:val="center"/>
            <w:hideMark/>
          </w:tcPr>
          <w:p w14:paraId="0673E1CB"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E6229F">
              <w:rPr>
                <w:rFonts w:ascii="Arial" w:eastAsia="Times New Roman" w:hAnsi="Arial" w:cs="Arial"/>
                <w:b/>
                <w:bCs/>
                <w:color w:val="000000"/>
                <w:sz w:val="18"/>
                <w:szCs w:val="20"/>
              </w:rPr>
              <w:t>Projected</w:t>
            </w:r>
            <w:r w:rsidRPr="00DE3B88">
              <w:rPr>
                <w:rFonts w:ascii="Arial" w:eastAsia="Times New Roman" w:hAnsi="Arial" w:cs="Arial"/>
                <w:b/>
                <w:bCs/>
                <w:color w:val="000000"/>
                <w:sz w:val="18"/>
                <w:szCs w:val="20"/>
              </w:rPr>
              <w:t xml:space="preserve"> Population (2024)</w:t>
            </w:r>
          </w:p>
        </w:tc>
        <w:tc>
          <w:tcPr>
            <w:tcW w:w="850" w:type="dxa"/>
            <w:vAlign w:val="center"/>
            <w:hideMark/>
          </w:tcPr>
          <w:p w14:paraId="26A9E750" w14:textId="77777777" w:rsidR="00DE3B88" w:rsidRPr="00DE3B88" w:rsidRDefault="00E6229F"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PHC per </w:t>
            </w:r>
            <w:r w:rsidR="00DE3B88" w:rsidRPr="00DE3B88">
              <w:rPr>
                <w:rFonts w:ascii="Arial" w:eastAsia="Times New Roman" w:hAnsi="Arial" w:cs="Arial"/>
                <w:b/>
                <w:bCs/>
                <w:color w:val="000000"/>
                <w:sz w:val="18"/>
                <w:szCs w:val="20"/>
              </w:rPr>
              <w:t>1L</w:t>
            </w:r>
          </w:p>
        </w:tc>
        <w:tc>
          <w:tcPr>
            <w:tcW w:w="730" w:type="dxa"/>
            <w:vAlign w:val="center"/>
            <w:hideMark/>
          </w:tcPr>
          <w:p w14:paraId="5F1BB53D"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SC (%)</w:t>
            </w:r>
          </w:p>
        </w:tc>
        <w:tc>
          <w:tcPr>
            <w:tcW w:w="778" w:type="dxa"/>
            <w:vAlign w:val="center"/>
            <w:hideMark/>
          </w:tcPr>
          <w:p w14:paraId="4504C272"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ST (%)</w:t>
            </w:r>
          </w:p>
        </w:tc>
        <w:tc>
          <w:tcPr>
            <w:tcW w:w="850" w:type="dxa"/>
            <w:vAlign w:val="center"/>
            <w:hideMark/>
          </w:tcPr>
          <w:p w14:paraId="62A46EB9"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E6229F">
              <w:rPr>
                <w:rFonts w:ascii="Arial" w:eastAsia="Times New Roman" w:hAnsi="Arial" w:cs="Arial"/>
                <w:b/>
                <w:bCs/>
                <w:color w:val="000000"/>
                <w:sz w:val="18"/>
                <w:szCs w:val="20"/>
              </w:rPr>
              <w:t xml:space="preserve">Rural </w:t>
            </w:r>
            <w:r w:rsidRPr="00DE3B88">
              <w:rPr>
                <w:rFonts w:ascii="Arial" w:eastAsia="Times New Roman" w:hAnsi="Arial" w:cs="Arial"/>
                <w:b/>
                <w:bCs/>
                <w:color w:val="000000"/>
                <w:sz w:val="18"/>
                <w:szCs w:val="20"/>
              </w:rPr>
              <w:t>(%)</w:t>
            </w:r>
          </w:p>
        </w:tc>
        <w:tc>
          <w:tcPr>
            <w:tcW w:w="1044" w:type="dxa"/>
            <w:vAlign w:val="center"/>
            <w:hideMark/>
          </w:tcPr>
          <w:p w14:paraId="59388AD8" w14:textId="77777777" w:rsidR="00DE3B88" w:rsidRPr="00DE3B88" w:rsidRDefault="00E6229F"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Literacy </w:t>
            </w:r>
            <w:r w:rsidR="00DE3B88" w:rsidRPr="00DE3B88">
              <w:rPr>
                <w:rFonts w:ascii="Arial" w:eastAsia="Times New Roman" w:hAnsi="Arial" w:cs="Arial"/>
                <w:b/>
                <w:bCs/>
                <w:color w:val="000000"/>
                <w:sz w:val="18"/>
                <w:szCs w:val="20"/>
              </w:rPr>
              <w:t>Rate</w:t>
            </w:r>
          </w:p>
        </w:tc>
        <w:tc>
          <w:tcPr>
            <w:tcW w:w="692" w:type="dxa"/>
            <w:vAlign w:val="center"/>
            <w:hideMark/>
          </w:tcPr>
          <w:p w14:paraId="69335FED" w14:textId="77777777" w:rsidR="00DE3B88" w:rsidRPr="00DE3B88" w:rsidRDefault="00DE3B88"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BPL (%)</w:t>
            </w:r>
          </w:p>
        </w:tc>
      </w:tr>
      <w:tr w:rsidR="00040443" w:rsidRPr="00E6229F" w14:paraId="28131AD2" w14:textId="77777777" w:rsidTr="00040443">
        <w:trPr>
          <w:trHeight w:val="20"/>
          <w:jc w:val="center"/>
        </w:trPr>
        <w:tc>
          <w:tcPr>
            <w:tcW w:w="568" w:type="dxa"/>
            <w:vAlign w:val="center"/>
            <w:hideMark/>
          </w:tcPr>
          <w:p w14:paraId="1364CDB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w:t>
            </w:r>
          </w:p>
        </w:tc>
        <w:tc>
          <w:tcPr>
            <w:tcW w:w="1538" w:type="dxa"/>
            <w:noWrap/>
            <w:vAlign w:val="center"/>
            <w:hideMark/>
          </w:tcPr>
          <w:p w14:paraId="1D34365A"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Alappuzha</w:t>
            </w:r>
          </w:p>
        </w:tc>
        <w:tc>
          <w:tcPr>
            <w:tcW w:w="992" w:type="dxa"/>
            <w:vAlign w:val="center"/>
            <w:hideMark/>
          </w:tcPr>
          <w:p w14:paraId="7715EAD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w:t>
            </w:r>
          </w:p>
        </w:tc>
        <w:tc>
          <w:tcPr>
            <w:tcW w:w="1276" w:type="dxa"/>
            <w:vAlign w:val="center"/>
            <w:hideMark/>
          </w:tcPr>
          <w:p w14:paraId="1EE02E2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2196214</w:t>
            </w:r>
          </w:p>
        </w:tc>
        <w:tc>
          <w:tcPr>
            <w:tcW w:w="850" w:type="dxa"/>
            <w:vAlign w:val="center"/>
            <w:hideMark/>
          </w:tcPr>
          <w:p w14:paraId="1956559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1.59</w:t>
            </w:r>
          </w:p>
        </w:tc>
        <w:tc>
          <w:tcPr>
            <w:tcW w:w="730" w:type="dxa"/>
            <w:vAlign w:val="center"/>
            <w:hideMark/>
          </w:tcPr>
          <w:p w14:paraId="201F7FF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9.46</w:t>
            </w:r>
          </w:p>
        </w:tc>
        <w:tc>
          <w:tcPr>
            <w:tcW w:w="778" w:type="dxa"/>
            <w:vAlign w:val="center"/>
            <w:hideMark/>
          </w:tcPr>
          <w:p w14:paraId="737DF4D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0.31</w:t>
            </w:r>
          </w:p>
        </w:tc>
        <w:tc>
          <w:tcPr>
            <w:tcW w:w="850" w:type="dxa"/>
            <w:vAlign w:val="center"/>
            <w:hideMark/>
          </w:tcPr>
          <w:p w14:paraId="42268D1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46.03</w:t>
            </w:r>
          </w:p>
        </w:tc>
        <w:tc>
          <w:tcPr>
            <w:tcW w:w="1044" w:type="dxa"/>
            <w:noWrap/>
            <w:vAlign w:val="center"/>
            <w:hideMark/>
          </w:tcPr>
          <w:p w14:paraId="5C003D1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0.96</w:t>
            </w:r>
          </w:p>
        </w:tc>
        <w:tc>
          <w:tcPr>
            <w:tcW w:w="692" w:type="dxa"/>
            <w:vAlign w:val="center"/>
            <w:hideMark/>
          </w:tcPr>
          <w:p w14:paraId="1033A379"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49.73</w:t>
            </w:r>
          </w:p>
        </w:tc>
      </w:tr>
      <w:tr w:rsidR="00040443" w:rsidRPr="00E6229F" w14:paraId="2118CF1D" w14:textId="77777777" w:rsidTr="00040443">
        <w:trPr>
          <w:trHeight w:val="20"/>
          <w:jc w:val="center"/>
        </w:trPr>
        <w:tc>
          <w:tcPr>
            <w:tcW w:w="568" w:type="dxa"/>
            <w:noWrap/>
            <w:vAlign w:val="center"/>
            <w:hideMark/>
          </w:tcPr>
          <w:p w14:paraId="7FF8B729"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w:t>
            </w:r>
          </w:p>
        </w:tc>
        <w:tc>
          <w:tcPr>
            <w:tcW w:w="1538" w:type="dxa"/>
            <w:noWrap/>
            <w:vAlign w:val="center"/>
            <w:hideMark/>
          </w:tcPr>
          <w:p w14:paraId="0397AE0A"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Ernakulam</w:t>
            </w:r>
          </w:p>
        </w:tc>
        <w:tc>
          <w:tcPr>
            <w:tcW w:w="992" w:type="dxa"/>
            <w:noWrap/>
            <w:vAlign w:val="center"/>
            <w:hideMark/>
          </w:tcPr>
          <w:p w14:paraId="6CFC58C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62</w:t>
            </w:r>
          </w:p>
        </w:tc>
        <w:tc>
          <w:tcPr>
            <w:tcW w:w="1276" w:type="dxa"/>
            <w:noWrap/>
            <w:vAlign w:val="center"/>
            <w:hideMark/>
          </w:tcPr>
          <w:p w14:paraId="27E6850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3556125</w:t>
            </w:r>
          </w:p>
        </w:tc>
        <w:tc>
          <w:tcPr>
            <w:tcW w:w="850" w:type="dxa"/>
            <w:vAlign w:val="center"/>
            <w:hideMark/>
          </w:tcPr>
          <w:p w14:paraId="518A93B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1.74</w:t>
            </w:r>
          </w:p>
        </w:tc>
        <w:tc>
          <w:tcPr>
            <w:tcW w:w="730" w:type="dxa"/>
            <w:vAlign w:val="center"/>
            <w:hideMark/>
          </w:tcPr>
          <w:p w14:paraId="4C50DCF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8.18</w:t>
            </w:r>
          </w:p>
        </w:tc>
        <w:tc>
          <w:tcPr>
            <w:tcW w:w="778" w:type="dxa"/>
            <w:vAlign w:val="center"/>
            <w:hideMark/>
          </w:tcPr>
          <w:p w14:paraId="5538FC1D"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0.50</w:t>
            </w:r>
          </w:p>
        </w:tc>
        <w:tc>
          <w:tcPr>
            <w:tcW w:w="850" w:type="dxa"/>
            <w:vAlign w:val="center"/>
            <w:hideMark/>
          </w:tcPr>
          <w:p w14:paraId="062CDA5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31.93</w:t>
            </w:r>
          </w:p>
        </w:tc>
        <w:tc>
          <w:tcPr>
            <w:tcW w:w="1044" w:type="dxa"/>
            <w:noWrap/>
            <w:vAlign w:val="center"/>
            <w:hideMark/>
          </w:tcPr>
          <w:p w14:paraId="01C06A5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0.96</w:t>
            </w:r>
          </w:p>
        </w:tc>
        <w:tc>
          <w:tcPr>
            <w:tcW w:w="692" w:type="dxa"/>
            <w:vAlign w:val="center"/>
            <w:hideMark/>
          </w:tcPr>
          <w:p w14:paraId="4DBB2F7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32.95</w:t>
            </w:r>
          </w:p>
        </w:tc>
      </w:tr>
      <w:tr w:rsidR="00040443" w:rsidRPr="00E6229F" w14:paraId="5005980B" w14:textId="77777777" w:rsidTr="00040443">
        <w:trPr>
          <w:trHeight w:val="20"/>
          <w:jc w:val="center"/>
        </w:trPr>
        <w:tc>
          <w:tcPr>
            <w:tcW w:w="568" w:type="dxa"/>
            <w:vAlign w:val="center"/>
            <w:hideMark/>
          </w:tcPr>
          <w:p w14:paraId="4FCE3EB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w:t>
            </w:r>
          </w:p>
        </w:tc>
        <w:tc>
          <w:tcPr>
            <w:tcW w:w="1538" w:type="dxa"/>
            <w:noWrap/>
            <w:vAlign w:val="center"/>
            <w:hideMark/>
          </w:tcPr>
          <w:p w14:paraId="3648A848"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Idukki</w:t>
            </w:r>
          </w:p>
        </w:tc>
        <w:tc>
          <w:tcPr>
            <w:tcW w:w="992" w:type="dxa"/>
            <w:noWrap/>
            <w:vAlign w:val="center"/>
            <w:hideMark/>
          </w:tcPr>
          <w:p w14:paraId="1C6C95A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22</w:t>
            </w:r>
          </w:p>
        </w:tc>
        <w:tc>
          <w:tcPr>
            <w:tcW w:w="1276" w:type="dxa"/>
            <w:noWrap/>
            <w:vAlign w:val="center"/>
            <w:hideMark/>
          </w:tcPr>
          <w:p w14:paraId="0CB68DD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1111540</w:t>
            </w:r>
          </w:p>
        </w:tc>
        <w:tc>
          <w:tcPr>
            <w:tcW w:w="850" w:type="dxa"/>
            <w:vAlign w:val="center"/>
            <w:hideMark/>
          </w:tcPr>
          <w:p w14:paraId="526C97A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1.98</w:t>
            </w:r>
          </w:p>
        </w:tc>
        <w:tc>
          <w:tcPr>
            <w:tcW w:w="730" w:type="dxa"/>
            <w:vAlign w:val="center"/>
            <w:hideMark/>
          </w:tcPr>
          <w:p w14:paraId="2B03732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13.12</w:t>
            </w:r>
          </w:p>
        </w:tc>
        <w:tc>
          <w:tcPr>
            <w:tcW w:w="778" w:type="dxa"/>
            <w:vAlign w:val="center"/>
            <w:hideMark/>
          </w:tcPr>
          <w:p w14:paraId="3E659EE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5.03</w:t>
            </w:r>
          </w:p>
        </w:tc>
        <w:tc>
          <w:tcPr>
            <w:tcW w:w="850" w:type="dxa"/>
            <w:vAlign w:val="center"/>
            <w:hideMark/>
          </w:tcPr>
          <w:p w14:paraId="5B8E91F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95.31</w:t>
            </w:r>
          </w:p>
        </w:tc>
        <w:tc>
          <w:tcPr>
            <w:tcW w:w="1044" w:type="dxa"/>
            <w:noWrap/>
            <w:vAlign w:val="center"/>
            <w:hideMark/>
          </w:tcPr>
          <w:p w14:paraId="0782562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0.92</w:t>
            </w:r>
          </w:p>
        </w:tc>
        <w:tc>
          <w:tcPr>
            <w:tcW w:w="692" w:type="dxa"/>
            <w:vAlign w:val="center"/>
            <w:hideMark/>
          </w:tcPr>
          <w:p w14:paraId="2E2EAF3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49.51</w:t>
            </w:r>
          </w:p>
        </w:tc>
      </w:tr>
      <w:tr w:rsidR="00040443" w:rsidRPr="00E6229F" w14:paraId="2ED9EA7D" w14:textId="77777777" w:rsidTr="00040443">
        <w:trPr>
          <w:trHeight w:val="20"/>
          <w:jc w:val="center"/>
        </w:trPr>
        <w:tc>
          <w:tcPr>
            <w:tcW w:w="568" w:type="dxa"/>
            <w:noWrap/>
            <w:vAlign w:val="center"/>
            <w:hideMark/>
          </w:tcPr>
          <w:p w14:paraId="01A6B28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w:t>
            </w:r>
          </w:p>
        </w:tc>
        <w:tc>
          <w:tcPr>
            <w:tcW w:w="1538" w:type="dxa"/>
            <w:noWrap/>
            <w:vAlign w:val="center"/>
            <w:hideMark/>
          </w:tcPr>
          <w:p w14:paraId="731B4798"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Kannur</w:t>
            </w:r>
          </w:p>
        </w:tc>
        <w:tc>
          <w:tcPr>
            <w:tcW w:w="992" w:type="dxa"/>
            <w:noWrap/>
            <w:vAlign w:val="center"/>
            <w:hideMark/>
          </w:tcPr>
          <w:p w14:paraId="789683A9"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41</w:t>
            </w:r>
          </w:p>
        </w:tc>
        <w:tc>
          <w:tcPr>
            <w:tcW w:w="1276" w:type="dxa"/>
            <w:noWrap/>
            <w:vAlign w:val="center"/>
            <w:hideMark/>
          </w:tcPr>
          <w:p w14:paraId="4145CFE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2707642</w:t>
            </w:r>
          </w:p>
        </w:tc>
        <w:tc>
          <w:tcPr>
            <w:tcW w:w="850" w:type="dxa"/>
            <w:vAlign w:val="center"/>
            <w:hideMark/>
          </w:tcPr>
          <w:p w14:paraId="2E466F5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1.51</w:t>
            </w:r>
          </w:p>
        </w:tc>
        <w:tc>
          <w:tcPr>
            <w:tcW w:w="730" w:type="dxa"/>
            <w:vAlign w:val="center"/>
            <w:hideMark/>
          </w:tcPr>
          <w:p w14:paraId="5F2B52C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3.30</w:t>
            </w:r>
          </w:p>
        </w:tc>
        <w:tc>
          <w:tcPr>
            <w:tcW w:w="778" w:type="dxa"/>
            <w:vAlign w:val="center"/>
            <w:hideMark/>
          </w:tcPr>
          <w:p w14:paraId="1C143A4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1.60</w:t>
            </w:r>
          </w:p>
        </w:tc>
        <w:tc>
          <w:tcPr>
            <w:tcW w:w="850" w:type="dxa"/>
            <w:vAlign w:val="center"/>
            <w:hideMark/>
          </w:tcPr>
          <w:p w14:paraId="4F0D3573"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34.96</w:t>
            </w:r>
          </w:p>
        </w:tc>
        <w:tc>
          <w:tcPr>
            <w:tcW w:w="1044" w:type="dxa"/>
            <w:noWrap/>
            <w:vAlign w:val="center"/>
            <w:hideMark/>
          </w:tcPr>
          <w:p w14:paraId="48C84D53"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14:paraId="474B4D1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31.39</w:t>
            </w:r>
          </w:p>
        </w:tc>
      </w:tr>
      <w:tr w:rsidR="00040443" w:rsidRPr="00E6229F" w14:paraId="2F1C8945" w14:textId="77777777" w:rsidTr="00040443">
        <w:trPr>
          <w:trHeight w:val="20"/>
          <w:jc w:val="center"/>
        </w:trPr>
        <w:tc>
          <w:tcPr>
            <w:tcW w:w="568" w:type="dxa"/>
            <w:vAlign w:val="center"/>
            <w:hideMark/>
          </w:tcPr>
          <w:p w14:paraId="7905838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w:t>
            </w:r>
          </w:p>
        </w:tc>
        <w:tc>
          <w:tcPr>
            <w:tcW w:w="1538" w:type="dxa"/>
            <w:noWrap/>
            <w:vAlign w:val="center"/>
            <w:hideMark/>
          </w:tcPr>
          <w:p w14:paraId="639445EF"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Kasaragod</w:t>
            </w:r>
          </w:p>
        </w:tc>
        <w:tc>
          <w:tcPr>
            <w:tcW w:w="992" w:type="dxa"/>
            <w:noWrap/>
            <w:vAlign w:val="center"/>
            <w:hideMark/>
          </w:tcPr>
          <w:p w14:paraId="4A4BC4F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21</w:t>
            </w:r>
          </w:p>
        </w:tc>
        <w:tc>
          <w:tcPr>
            <w:tcW w:w="1276" w:type="dxa"/>
            <w:noWrap/>
            <w:vAlign w:val="center"/>
            <w:hideMark/>
          </w:tcPr>
          <w:p w14:paraId="57CFAA6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1453294</w:t>
            </w:r>
          </w:p>
        </w:tc>
        <w:tc>
          <w:tcPr>
            <w:tcW w:w="850" w:type="dxa"/>
            <w:vAlign w:val="center"/>
            <w:hideMark/>
          </w:tcPr>
          <w:p w14:paraId="54C8B1C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1.44</w:t>
            </w:r>
          </w:p>
        </w:tc>
        <w:tc>
          <w:tcPr>
            <w:tcW w:w="730" w:type="dxa"/>
            <w:vAlign w:val="center"/>
            <w:hideMark/>
          </w:tcPr>
          <w:p w14:paraId="32598F1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4.08</w:t>
            </w:r>
          </w:p>
        </w:tc>
        <w:tc>
          <w:tcPr>
            <w:tcW w:w="778" w:type="dxa"/>
            <w:vAlign w:val="center"/>
            <w:hideMark/>
          </w:tcPr>
          <w:p w14:paraId="30D23C3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3.74</w:t>
            </w:r>
          </w:p>
        </w:tc>
        <w:tc>
          <w:tcPr>
            <w:tcW w:w="850" w:type="dxa"/>
            <w:vAlign w:val="center"/>
            <w:hideMark/>
          </w:tcPr>
          <w:p w14:paraId="0C5DF1C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61.06</w:t>
            </w:r>
          </w:p>
        </w:tc>
        <w:tc>
          <w:tcPr>
            <w:tcW w:w="1044" w:type="dxa"/>
            <w:noWrap/>
            <w:vAlign w:val="center"/>
            <w:hideMark/>
          </w:tcPr>
          <w:p w14:paraId="0B118F0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0.90</w:t>
            </w:r>
          </w:p>
        </w:tc>
        <w:tc>
          <w:tcPr>
            <w:tcW w:w="692" w:type="dxa"/>
            <w:vAlign w:val="center"/>
            <w:hideMark/>
          </w:tcPr>
          <w:p w14:paraId="3BA7CAD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42.51</w:t>
            </w:r>
          </w:p>
        </w:tc>
      </w:tr>
      <w:tr w:rsidR="00040443" w:rsidRPr="00E6229F" w14:paraId="5AC66E7B" w14:textId="77777777" w:rsidTr="00040443">
        <w:trPr>
          <w:trHeight w:val="20"/>
          <w:jc w:val="center"/>
        </w:trPr>
        <w:tc>
          <w:tcPr>
            <w:tcW w:w="568" w:type="dxa"/>
            <w:noWrap/>
            <w:vAlign w:val="center"/>
            <w:hideMark/>
          </w:tcPr>
          <w:p w14:paraId="74CAF1A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w:t>
            </w:r>
          </w:p>
        </w:tc>
        <w:tc>
          <w:tcPr>
            <w:tcW w:w="1538" w:type="dxa"/>
            <w:noWrap/>
            <w:vAlign w:val="center"/>
            <w:hideMark/>
          </w:tcPr>
          <w:p w14:paraId="28A4BE54"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Kollam</w:t>
            </w:r>
          </w:p>
        </w:tc>
        <w:tc>
          <w:tcPr>
            <w:tcW w:w="992" w:type="dxa"/>
            <w:noWrap/>
            <w:vAlign w:val="center"/>
            <w:hideMark/>
          </w:tcPr>
          <w:p w14:paraId="5326545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w:t>
            </w:r>
          </w:p>
        </w:tc>
        <w:tc>
          <w:tcPr>
            <w:tcW w:w="1276" w:type="dxa"/>
            <w:noWrap/>
            <w:vAlign w:val="center"/>
            <w:hideMark/>
          </w:tcPr>
          <w:p w14:paraId="007E4D73"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2750802</w:t>
            </w:r>
          </w:p>
        </w:tc>
        <w:tc>
          <w:tcPr>
            <w:tcW w:w="850" w:type="dxa"/>
            <w:vAlign w:val="center"/>
            <w:hideMark/>
          </w:tcPr>
          <w:p w14:paraId="086DDEF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1.20</w:t>
            </w:r>
          </w:p>
        </w:tc>
        <w:tc>
          <w:tcPr>
            <w:tcW w:w="730" w:type="dxa"/>
            <w:vAlign w:val="center"/>
            <w:hideMark/>
          </w:tcPr>
          <w:p w14:paraId="7A0F675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12.45</w:t>
            </w:r>
          </w:p>
        </w:tc>
        <w:tc>
          <w:tcPr>
            <w:tcW w:w="778" w:type="dxa"/>
            <w:vAlign w:val="center"/>
            <w:hideMark/>
          </w:tcPr>
          <w:p w14:paraId="3BFBA5F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0.41</w:t>
            </w:r>
          </w:p>
        </w:tc>
        <w:tc>
          <w:tcPr>
            <w:tcW w:w="850" w:type="dxa"/>
            <w:vAlign w:val="center"/>
            <w:hideMark/>
          </w:tcPr>
          <w:p w14:paraId="401AEFD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54.96</w:t>
            </w:r>
          </w:p>
        </w:tc>
        <w:tc>
          <w:tcPr>
            <w:tcW w:w="1044" w:type="dxa"/>
            <w:noWrap/>
            <w:vAlign w:val="center"/>
            <w:hideMark/>
          </w:tcPr>
          <w:p w14:paraId="646FCF4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0.94</w:t>
            </w:r>
          </w:p>
        </w:tc>
        <w:tc>
          <w:tcPr>
            <w:tcW w:w="692" w:type="dxa"/>
            <w:vAlign w:val="center"/>
            <w:hideMark/>
          </w:tcPr>
          <w:p w14:paraId="30702EF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46.49</w:t>
            </w:r>
          </w:p>
        </w:tc>
      </w:tr>
      <w:tr w:rsidR="00040443" w:rsidRPr="00E6229F" w14:paraId="74108E53" w14:textId="77777777" w:rsidTr="00040443">
        <w:trPr>
          <w:trHeight w:val="20"/>
          <w:jc w:val="center"/>
        </w:trPr>
        <w:tc>
          <w:tcPr>
            <w:tcW w:w="568" w:type="dxa"/>
            <w:vAlign w:val="center"/>
            <w:hideMark/>
          </w:tcPr>
          <w:p w14:paraId="098939B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w:t>
            </w:r>
          </w:p>
        </w:tc>
        <w:tc>
          <w:tcPr>
            <w:tcW w:w="1538" w:type="dxa"/>
            <w:noWrap/>
            <w:vAlign w:val="center"/>
            <w:hideMark/>
          </w:tcPr>
          <w:p w14:paraId="707874A0"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Kottayam</w:t>
            </w:r>
          </w:p>
        </w:tc>
        <w:tc>
          <w:tcPr>
            <w:tcW w:w="992" w:type="dxa"/>
            <w:noWrap/>
            <w:vAlign w:val="center"/>
            <w:hideMark/>
          </w:tcPr>
          <w:p w14:paraId="581F191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w:t>
            </w:r>
          </w:p>
        </w:tc>
        <w:tc>
          <w:tcPr>
            <w:tcW w:w="1276" w:type="dxa"/>
            <w:noWrap/>
            <w:vAlign w:val="center"/>
            <w:hideMark/>
          </w:tcPr>
          <w:p w14:paraId="3C12175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2042888</w:t>
            </w:r>
          </w:p>
        </w:tc>
        <w:tc>
          <w:tcPr>
            <w:tcW w:w="850" w:type="dxa"/>
            <w:vAlign w:val="center"/>
            <w:hideMark/>
          </w:tcPr>
          <w:p w14:paraId="1D154C5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1.62</w:t>
            </w:r>
          </w:p>
        </w:tc>
        <w:tc>
          <w:tcPr>
            <w:tcW w:w="730" w:type="dxa"/>
            <w:vAlign w:val="center"/>
            <w:hideMark/>
          </w:tcPr>
          <w:p w14:paraId="551EEEF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7.80</w:t>
            </w:r>
          </w:p>
        </w:tc>
        <w:tc>
          <w:tcPr>
            <w:tcW w:w="778" w:type="dxa"/>
            <w:vAlign w:val="center"/>
            <w:hideMark/>
          </w:tcPr>
          <w:p w14:paraId="1EC149A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1.11</w:t>
            </w:r>
          </w:p>
        </w:tc>
        <w:tc>
          <w:tcPr>
            <w:tcW w:w="850" w:type="dxa"/>
            <w:vAlign w:val="center"/>
            <w:hideMark/>
          </w:tcPr>
          <w:p w14:paraId="783344A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71.36</w:t>
            </w:r>
          </w:p>
        </w:tc>
        <w:tc>
          <w:tcPr>
            <w:tcW w:w="1044" w:type="dxa"/>
            <w:noWrap/>
            <w:vAlign w:val="center"/>
            <w:hideMark/>
          </w:tcPr>
          <w:p w14:paraId="61DEF68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0.97</w:t>
            </w:r>
          </w:p>
        </w:tc>
        <w:tc>
          <w:tcPr>
            <w:tcW w:w="692" w:type="dxa"/>
            <w:vAlign w:val="center"/>
            <w:hideMark/>
          </w:tcPr>
          <w:p w14:paraId="41A50DD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37.46</w:t>
            </w:r>
          </w:p>
        </w:tc>
      </w:tr>
      <w:tr w:rsidR="00040443" w:rsidRPr="00E6229F" w14:paraId="6107FC23" w14:textId="77777777" w:rsidTr="00040443">
        <w:trPr>
          <w:trHeight w:val="20"/>
          <w:jc w:val="center"/>
        </w:trPr>
        <w:tc>
          <w:tcPr>
            <w:tcW w:w="568" w:type="dxa"/>
            <w:noWrap/>
            <w:vAlign w:val="center"/>
            <w:hideMark/>
          </w:tcPr>
          <w:p w14:paraId="3A31003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w:t>
            </w:r>
          </w:p>
        </w:tc>
        <w:tc>
          <w:tcPr>
            <w:tcW w:w="1538" w:type="dxa"/>
            <w:noWrap/>
            <w:vAlign w:val="center"/>
            <w:hideMark/>
          </w:tcPr>
          <w:p w14:paraId="04E1ED6A"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Kozhikode</w:t>
            </w:r>
          </w:p>
        </w:tc>
        <w:tc>
          <w:tcPr>
            <w:tcW w:w="992" w:type="dxa"/>
            <w:noWrap/>
            <w:vAlign w:val="center"/>
            <w:hideMark/>
          </w:tcPr>
          <w:p w14:paraId="6A5DAE2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48</w:t>
            </w:r>
          </w:p>
        </w:tc>
        <w:tc>
          <w:tcPr>
            <w:tcW w:w="1276" w:type="dxa"/>
            <w:noWrap/>
            <w:vAlign w:val="center"/>
            <w:hideMark/>
          </w:tcPr>
          <w:p w14:paraId="26EF2CA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3389141</w:t>
            </w:r>
          </w:p>
        </w:tc>
        <w:tc>
          <w:tcPr>
            <w:tcW w:w="850" w:type="dxa"/>
            <w:vAlign w:val="center"/>
            <w:hideMark/>
          </w:tcPr>
          <w:p w14:paraId="40906FF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1.42</w:t>
            </w:r>
          </w:p>
        </w:tc>
        <w:tc>
          <w:tcPr>
            <w:tcW w:w="730" w:type="dxa"/>
            <w:vAlign w:val="center"/>
            <w:hideMark/>
          </w:tcPr>
          <w:p w14:paraId="0023144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6.45</w:t>
            </w:r>
          </w:p>
        </w:tc>
        <w:tc>
          <w:tcPr>
            <w:tcW w:w="778" w:type="dxa"/>
            <w:vAlign w:val="center"/>
            <w:hideMark/>
          </w:tcPr>
          <w:p w14:paraId="5CCE4D5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0.49</w:t>
            </w:r>
          </w:p>
        </w:tc>
        <w:tc>
          <w:tcPr>
            <w:tcW w:w="850" w:type="dxa"/>
            <w:vAlign w:val="center"/>
            <w:hideMark/>
          </w:tcPr>
          <w:p w14:paraId="717B245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32.84</w:t>
            </w:r>
          </w:p>
        </w:tc>
        <w:tc>
          <w:tcPr>
            <w:tcW w:w="1044" w:type="dxa"/>
            <w:noWrap/>
            <w:vAlign w:val="center"/>
            <w:hideMark/>
          </w:tcPr>
          <w:p w14:paraId="1C2DAB8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14:paraId="1F1AC51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41.22</w:t>
            </w:r>
          </w:p>
        </w:tc>
      </w:tr>
      <w:tr w:rsidR="00040443" w:rsidRPr="00E6229F" w14:paraId="276CD19C" w14:textId="77777777" w:rsidTr="00040443">
        <w:trPr>
          <w:trHeight w:val="20"/>
          <w:jc w:val="center"/>
        </w:trPr>
        <w:tc>
          <w:tcPr>
            <w:tcW w:w="568" w:type="dxa"/>
            <w:vAlign w:val="center"/>
            <w:hideMark/>
          </w:tcPr>
          <w:p w14:paraId="0A60C36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w:t>
            </w:r>
          </w:p>
        </w:tc>
        <w:tc>
          <w:tcPr>
            <w:tcW w:w="1538" w:type="dxa"/>
            <w:noWrap/>
            <w:vAlign w:val="center"/>
            <w:hideMark/>
          </w:tcPr>
          <w:p w14:paraId="3D35F7FA"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Malappuram</w:t>
            </w:r>
          </w:p>
        </w:tc>
        <w:tc>
          <w:tcPr>
            <w:tcW w:w="992" w:type="dxa"/>
            <w:noWrap/>
            <w:vAlign w:val="center"/>
            <w:hideMark/>
          </w:tcPr>
          <w:p w14:paraId="5A77015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65</w:t>
            </w:r>
          </w:p>
        </w:tc>
        <w:tc>
          <w:tcPr>
            <w:tcW w:w="1276" w:type="dxa"/>
            <w:noWrap/>
            <w:vAlign w:val="center"/>
            <w:hideMark/>
          </w:tcPr>
          <w:p w14:paraId="227A75E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4754774</w:t>
            </w:r>
          </w:p>
        </w:tc>
        <w:tc>
          <w:tcPr>
            <w:tcW w:w="850" w:type="dxa"/>
            <w:vAlign w:val="center"/>
            <w:hideMark/>
          </w:tcPr>
          <w:p w14:paraId="4F0A64A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1.37</w:t>
            </w:r>
          </w:p>
        </w:tc>
        <w:tc>
          <w:tcPr>
            <w:tcW w:w="730" w:type="dxa"/>
            <w:vAlign w:val="center"/>
            <w:hideMark/>
          </w:tcPr>
          <w:p w14:paraId="5CC441E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7.50</w:t>
            </w:r>
          </w:p>
        </w:tc>
        <w:tc>
          <w:tcPr>
            <w:tcW w:w="778" w:type="dxa"/>
            <w:vAlign w:val="center"/>
            <w:hideMark/>
          </w:tcPr>
          <w:p w14:paraId="7021B9B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0.56</w:t>
            </w:r>
          </w:p>
        </w:tc>
        <w:tc>
          <w:tcPr>
            <w:tcW w:w="850" w:type="dxa"/>
            <w:vAlign w:val="center"/>
            <w:hideMark/>
          </w:tcPr>
          <w:p w14:paraId="58DFCB5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55.83</w:t>
            </w:r>
          </w:p>
        </w:tc>
        <w:tc>
          <w:tcPr>
            <w:tcW w:w="1044" w:type="dxa"/>
            <w:vAlign w:val="center"/>
            <w:hideMark/>
          </w:tcPr>
          <w:p w14:paraId="1C89E67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0.94</w:t>
            </w:r>
          </w:p>
        </w:tc>
        <w:tc>
          <w:tcPr>
            <w:tcW w:w="692" w:type="dxa"/>
            <w:vAlign w:val="center"/>
            <w:hideMark/>
          </w:tcPr>
          <w:p w14:paraId="715A11E1"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43.15</w:t>
            </w:r>
          </w:p>
        </w:tc>
      </w:tr>
      <w:tr w:rsidR="00040443" w:rsidRPr="00E6229F" w14:paraId="3E5FA256" w14:textId="77777777" w:rsidTr="00040443">
        <w:trPr>
          <w:trHeight w:val="20"/>
          <w:jc w:val="center"/>
        </w:trPr>
        <w:tc>
          <w:tcPr>
            <w:tcW w:w="568" w:type="dxa"/>
            <w:noWrap/>
            <w:vAlign w:val="center"/>
            <w:hideMark/>
          </w:tcPr>
          <w:p w14:paraId="14B224A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10</w:t>
            </w:r>
          </w:p>
        </w:tc>
        <w:tc>
          <w:tcPr>
            <w:tcW w:w="1538" w:type="dxa"/>
            <w:noWrap/>
            <w:vAlign w:val="center"/>
            <w:hideMark/>
          </w:tcPr>
          <w:p w14:paraId="1135632E"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Palakkad</w:t>
            </w:r>
          </w:p>
        </w:tc>
        <w:tc>
          <w:tcPr>
            <w:tcW w:w="992" w:type="dxa"/>
            <w:noWrap/>
            <w:vAlign w:val="center"/>
            <w:hideMark/>
          </w:tcPr>
          <w:p w14:paraId="482A91E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45</w:t>
            </w:r>
          </w:p>
        </w:tc>
        <w:tc>
          <w:tcPr>
            <w:tcW w:w="1276" w:type="dxa"/>
            <w:noWrap/>
            <w:vAlign w:val="center"/>
            <w:hideMark/>
          </w:tcPr>
          <w:p w14:paraId="242B717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3089967</w:t>
            </w:r>
          </w:p>
        </w:tc>
        <w:tc>
          <w:tcPr>
            <w:tcW w:w="850" w:type="dxa"/>
            <w:vAlign w:val="center"/>
            <w:hideMark/>
          </w:tcPr>
          <w:p w14:paraId="31AC4DA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1.46</w:t>
            </w:r>
          </w:p>
        </w:tc>
        <w:tc>
          <w:tcPr>
            <w:tcW w:w="730" w:type="dxa"/>
            <w:vAlign w:val="center"/>
            <w:hideMark/>
          </w:tcPr>
          <w:p w14:paraId="3A2ACED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14.37</w:t>
            </w:r>
          </w:p>
        </w:tc>
        <w:tc>
          <w:tcPr>
            <w:tcW w:w="778" w:type="dxa"/>
            <w:vAlign w:val="center"/>
            <w:hideMark/>
          </w:tcPr>
          <w:p w14:paraId="174DCE2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1.74</w:t>
            </w:r>
          </w:p>
        </w:tc>
        <w:tc>
          <w:tcPr>
            <w:tcW w:w="850" w:type="dxa"/>
            <w:vAlign w:val="center"/>
            <w:hideMark/>
          </w:tcPr>
          <w:p w14:paraId="1EEB2D1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75.90</w:t>
            </w:r>
          </w:p>
        </w:tc>
        <w:tc>
          <w:tcPr>
            <w:tcW w:w="1044" w:type="dxa"/>
            <w:noWrap/>
            <w:vAlign w:val="center"/>
            <w:hideMark/>
          </w:tcPr>
          <w:p w14:paraId="3F2D097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0.89</w:t>
            </w:r>
          </w:p>
        </w:tc>
        <w:tc>
          <w:tcPr>
            <w:tcW w:w="692" w:type="dxa"/>
            <w:vAlign w:val="center"/>
            <w:hideMark/>
          </w:tcPr>
          <w:p w14:paraId="3DD20D93"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49.99</w:t>
            </w:r>
          </w:p>
        </w:tc>
      </w:tr>
      <w:tr w:rsidR="00040443" w:rsidRPr="00E6229F" w14:paraId="5B0D0C60" w14:textId="77777777" w:rsidTr="00040443">
        <w:trPr>
          <w:trHeight w:val="20"/>
          <w:jc w:val="center"/>
        </w:trPr>
        <w:tc>
          <w:tcPr>
            <w:tcW w:w="568" w:type="dxa"/>
            <w:vAlign w:val="center"/>
            <w:hideMark/>
          </w:tcPr>
          <w:p w14:paraId="75E3803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w:t>
            </w:r>
          </w:p>
        </w:tc>
        <w:tc>
          <w:tcPr>
            <w:tcW w:w="1538" w:type="dxa"/>
            <w:noWrap/>
            <w:vAlign w:val="center"/>
            <w:hideMark/>
          </w:tcPr>
          <w:p w14:paraId="33BB19BF"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Pathanamthitta</w:t>
            </w:r>
          </w:p>
        </w:tc>
        <w:tc>
          <w:tcPr>
            <w:tcW w:w="992" w:type="dxa"/>
            <w:noWrap/>
            <w:vAlign w:val="center"/>
            <w:hideMark/>
          </w:tcPr>
          <w:p w14:paraId="2BD784C9"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w:t>
            </w:r>
          </w:p>
        </w:tc>
        <w:tc>
          <w:tcPr>
            <w:tcW w:w="1276" w:type="dxa"/>
            <w:noWrap/>
            <w:vAlign w:val="center"/>
            <w:hideMark/>
          </w:tcPr>
          <w:p w14:paraId="060DE90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1182649</w:t>
            </w:r>
          </w:p>
        </w:tc>
        <w:tc>
          <w:tcPr>
            <w:tcW w:w="850" w:type="dxa"/>
            <w:vAlign w:val="center"/>
            <w:hideMark/>
          </w:tcPr>
          <w:p w14:paraId="5EB1EC3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1.61</w:t>
            </w:r>
          </w:p>
        </w:tc>
        <w:tc>
          <w:tcPr>
            <w:tcW w:w="730" w:type="dxa"/>
            <w:vAlign w:val="center"/>
            <w:hideMark/>
          </w:tcPr>
          <w:p w14:paraId="6ABED92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13.73</w:t>
            </w:r>
          </w:p>
        </w:tc>
        <w:tc>
          <w:tcPr>
            <w:tcW w:w="778" w:type="dxa"/>
            <w:vAlign w:val="center"/>
            <w:hideMark/>
          </w:tcPr>
          <w:p w14:paraId="369EC18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0.68</w:t>
            </w:r>
          </w:p>
        </w:tc>
        <w:tc>
          <w:tcPr>
            <w:tcW w:w="850" w:type="dxa"/>
            <w:vAlign w:val="center"/>
            <w:hideMark/>
          </w:tcPr>
          <w:p w14:paraId="03744A7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89.00</w:t>
            </w:r>
          </w:p>
        </w:tc>
        <w:tc>
          <w:tcPr>
            <w:tcW w:w="1044" w:type="dxa"/>
            <w:noWrap/>
            <w:vAlign w:val="center"/>
            <w:hideMark/>
          </w:tcPr>
          <w:p w14:paraId="1F5A7873"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0.97</w:t>
            </w:r>
          </w:p>
        </w:tc>
        <w:tc>
          <w:tcPr>
            <w:tcW w:w="692" w:type="dxa"/>
            <w:vAlign w:val="center"/>
            <w:hideMark/>
          </w:tcPr>
          <w:p w14:paraId="6CCBA1DA"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35.23</w:t>
            </w:r>
          </w:p>
        </w:tc>
      </w:tr>
      <w:tr w:rsidR="00040443" w:rsidRPr="00E6229F" w14:paraId="099438A6" w14:textId="77777777" w:rsidTr="00040443">
        <w:trPr>
          <w:trHeight w:val="20"/>
          <w:jc w:val="center"/>
        </w:trPr>
        <w:tc>
          <w:tcPr>
            <w:tcW w:w="568" w:type="dxa"/>
            <w:noWrap/>
            <w:vAlign w:val="center"/>
            <w:hideMark/>
          </w:tcPr>
          <w:p w14:paraId="1EA0932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w:t>
            </w:r>
          </w:p>
        </w:tc>
        <w:tc>
          <w:tcPr>
            <w:tcW w:w="1538" w:type="dxa"/>
            <w:noWrap/>
            <w:vAlign w:val="center"/>
            <w:hideMark/>
          </w:tcPr>
          <w:p w14:paraId="113ABFBA" w14:textId="77777777" w:rsidR="00DE3B88" w:rsidRPr="00DE3B88" w:rsidRDefault="00E6229F" w:rsidP="00DE3B88">
            <w:pPr>
              <w:spacing w:after="0" w:line="240" w:lineRule="auto"/>
              <w:rPr>
                <w:rFonts w:ascii="Arial" w:eastAsia="Times New Roman" w:hAnsi="Arial" w:cs="Arial"/>
                <w:color w:val="000000"/>
                <w:sz w:val="18"/>
              </w:rPr>
            </w:pPr>
            <w:r>
              <w:rPr>
                <w:rFonts w:ascii="Arial" w:eastAsia="Times New Roman" w:hAnsi="Arial" w:cs="Arial"/>
                <w:color w:val="000000"/>
                <w:sz w:val="18"/>
              </w:rPr>
              <w:t>Trivandrum</w:t>
            </w:r>
          </w:p>
        </w:tc>
        <w:tc>
          <w:tcPr>
            <w:tcW w:w="992" w:type="dxa"/>
            <w:noWrap/>
            <w:vAlign w:val="center"/>
            <w:hideMark/>
          </w:tcPr>
          <w:p w14:paraId="15D9F3A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79</w:t>
            </w:r>
          </w:p>
        </w:tc>
        <w:tc>
          <w:tcPr>
            <w:tcW w:w="1276" w:type="dxa"/>
            <w:noWrap/>
            <w:vAlign w:val="center"/>
            <w:hideMark/>
          </w:tcPr>
          <w:p w14:paraId="6565002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3451050</w:t>
            </w:r>
          </w:p>
        </w:tc>
        <w:tc>
          <w:tcPr>
            <w:tcW w:w="850" w:type="dxa"/>
            <w:vAlign w:val="center"/>
            <w:hideMark/>
          </w:tcPr>
          <w:p w14:paraId="6EC45BC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2.29</w:t>
            </w:r>
          </w:p>
        </w:tc>
        <w:tc>
          <w:tcPr>
            <w:tcW w:w="730" w:type="dxa"/>
            <w:vAlign w:val="center"/>
            <w:hideMark/>
          </w:tcPr>
          <w:p w14:paraId="7E02635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11.30</w:t>
            </w:r>
          </w:p>
        </w:tc>
        <w:tc>
          <w:tcPr>
            <w:tcW w:w="778" w:type="dxa"/>
            <w:vAlign w:val="center"/>
            <w:hideMark/>
          </w:tcPr>
          <w:p w14:paraId="3CAA16B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0.81</w:t>
            </w:r>
          </w:p>
        </w:tc>
        <w:tc>
          <w:tcPr>
            <w:tcW w:w="850" w:type="dxa"/>
            <w:vAlign w:val="center"/>
            <w:hideMark/>
          </w:tcPr>
          <w:p w14:paraId="6435312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46.33</w:t>
            </w:r>
          </w:p>
        </w:tc>
        <w:tc>
          <w:tcPr>
            <w:tcW w:w="1044" w:type="dxa"/>
            <w:vAlign w:val="center"/>
            <w:hideMark/>
          </w:tcPr>
          <w:p w14:paraId="67ACAA5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0.93</w:t>
            </w:r>
          </w:p>
        </w:tc>
        <w:tc>
          <w:tcPr>
            <w:tcW w:w="692" w:type="dxa"/>
            <w:vAlign w:val="center"/>
            <w:hideMark/>
          </w:tcPr>
          <w:p w14:paraId="660FDCBD"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50.01</w:t>
            </w:r>
          </w:p>
        </w:tc>
      </w:tr>
      <w:tr w:rsidR="00040443" w:rsidRPr="00E6229F" w14:paraId="18CBCD71" w14:textId="77777777" w:rsidTr="00040443">
        <w:trPr>
          <w:trHeight w:val="20"/>
          <w:jc w:val="center"/>
        </w:trPr>
        <w:tc>
          <w:tcPr>
            <w:tcW w:w="568" w:type="dxa"/>
            <w:vAlign w:val="center"/>
            <w:hideMark/>
          </w:tcPr>
          <w:p w14:paraId="164DE0B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w:t>
            </w:r>
          </w:p>
        </w:tc>
        <w:tc>
          <w:tcPr>
            <w:tcW w:w="1538" w:type="dxa"/>
            <w:noWrap/>
            <w:vAlign w:val="center"/>
            <w:hideMark/>
          </w:tcPr>
          <w:p w14:paraId="44B1BC78" w14:textId="77777777" w:rsidR="00DE3B88" w:rsidRPr="00DE3B88" w:rsidRDefault="00DE3B88"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Thrissur</w:t>
            </w:r>
          </w:p>
        </w:tc>
        <w:tc>
          <w:tcPr>
            <w:tcW w:w="992" w:type="dxa"/>
            <w:noWrap/>
            <w:vAlign w:val="center"/>
            <w:hideMark/>
          </w:tcPr>
          <w:p w14:paraId="71981D16"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64</w:t>
            </w:r>
          </w:p>
        </w:tc>
        <w:tc>
          <w:tcPr>
            <w:tcW w:w="1276" w:type="dxa"/>
            <w:noWrap/>
            <w:vAlign w:val="center"/>
            <w:hideMark/>
          </w:tcPr>
          <w:p w14:paraId="73A0B87E"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3356313</w:t>
            </w:r>
          </w:p>
        </w:tc>
        <w:tc>
          <w:tcPr>
            <w:tcW w:w="850" w:type="dxa"/>
            <w:vAlign w:val="center"/>
            <w:hideMark/>
          </w:tcPr>
          <w:p w14:paraId="77D2C25D"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1.91</w:t>
            </w:r>
          </w:p>
        </w:tc>
        <w:tc>
          <w:tcPr>
            <w:tcW w:w="730" w:type="dxa"/>
            <w:vAlign w:val="center"/>
            <w:hideMark/>
          </w:tcPr>
          <w:p w14:paraId="6B776F15"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10.39</w:t>
            </w:r>
          </w:p>
        </w:tc>
        <w:tc>
          <w:tcPr>
            <w:tcW w:w="778" w:type="dxa"/>
            <w:vAlign w:val="center"/>
            <w:hideMark/>
          </w:tcPr>
          <w:p w14:paraId="5FED57DC"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0.30</w:t>
            </w:r>
          </w:p>
        </w:tc>
        <w:tc>
          <w:tcPr>
            <w:tcW w:w="850" w:type="dxa"/>
            <w:vAlign w:val="center"/>
            <w:hideMark/>
          </w:tcPr>
          <w:p w14:paraId="2F508E0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32.83</w:t>
            </w:r>
          </w:p>
        </w:tc>
        <w:tc>
          <w:tcPr>
            <w:tcW w:w="1044" w:type="dxa"/>
            <w:noWrap/>
            <w:vAlign w:val="center"/>
            <w:hideMark/>
          </w:tcPr>
          <w:p w14:paraId="40658D1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14:paraId="12E29070"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39.64</w:t>
            </w:r>
          </w:p>
        </w:tc>
      </w:tr>
      <w:tr w:rsidR="00040443" w:rsidRPr="00E6229F" w14:paraId="20F0A7DA" w14:textId="77777777" w:rsidTr="00040443">
        <w:trPr>
          <w:trHeight w:val="20"/>
          <w:jc w:val="center"/>
        </w:trPr>
        <w:tc>
          <w:tcPr>
            <w:tcW w:w="568" w:type="dxa"/>
            <w:noWrap/>
            <w:vAlign w:val="center"/>
            <w:hideMark/>
          </w:tcPr>
          <w:p w14:paraId="5D9516B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w:t>
            </w:r>
          </w:p>
        </w:tc>
        <w:tc>
          <w:tcPr>
            <w:tcW w:w="1538" w:type="dxa"/>
            <w:noWrap/>
            <w:vAlign w:val="center"/>
            <w:hideMark/>
          </w:tcPr>
          <w:p w14:paraId="3B95E3FE" w14:textId="77777777" w:rsidR="00DE3B88" w:rsidRPr="00DE3B88" w:rsidRDefault="00DE3B88" w:rsidP="003C3F4B">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Wayanad</w:t>
            </w:r>
          </w:p>
        </w:tc>
        <w:tc>
          <w:tcPr>
            <w:tcW w:w="992" w:type="dxa"/>
            <w:noWrap/>
            <w:vAlign w:val="center"/>
            <w:hideMark/>
          </w:tcPr>
          <w:p w14:paraId="00585BDF"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25</w:t>
            </w:r>
          </w:p>
        </w:tc>
        <w:tc>
          <w:tcPr>
            <w:tcW w:w="1276" w:type="dxa"/>
            <w:noWrap/>
            <w:vAlign w:val="center"/>
            <w:hideMark/>
          </w:tcPr>
          <w:p w14:paraId="58C9304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877602</w:t>
            </w:r>
          </w:p>
        </w:tc>
        <w:tc>
          <w:tcPr>
            <w:tcW w:w="850" w:type="dxa"/>
            <w:vAlign w:val="center"/>
            <w:hideMark/>
          </w:tcPr>
          <w:p w14:paraId="394D414D"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2.85</w:t>
            </w:r>
          </w:p>
        </w:tc>
        <w:tc>
          <w:tcPr>
            <w:tcW w:w="730" w:type="dxa"/>
            <w:vAlign w:val="center"/>
            <w:hideMark/>
          </w:tcPr>
          <w:p w14:paraId="63CEE95B"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3.99</w:t>
            </w:r>
          </w:p>
        </w:tc>
        <w:tc>
          <w:tcPr>
            <w:tcW w:w="778" w:type="dxa"/>
            <w:vAlign w:val="center"/>
            <w:hideMark/>
          </w:tcPr>
          <w:p w14:paraId="13DB45B7"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18.52</w:t>
            </w:r>
          </w:p>
        </w:tc>
        <w:tc>
          <w:tcPr>
            <w:tcW w:w="850" w:type="dxa"/>
            <w:vAlign w:val="center"/>
            <w:hideMark/>
          </w:tcPr>
          <w:p w14:paraId="5E0E4868"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96.15</w:t>
            </w:r>
          </w:p>
        </w:tc>
        <w:tc>
          <w:tcPr>
            <w:tcW w:w="1044" w:type="dxa"/>
            <w:noWrap/>
            <w:vAlign w:val="center"/>
            <w:hideMark/>
          </w:tcPr>
          <w:p w14:paraId="64FCB032"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0.89</w:t>
            </w:r>
          </w:p>
        </w:tc>
        <w:tc>
          <w:tcPr>
            <w:tcW w:w="692" w:type="dxa"/>
            <w:vAlign w:val="center"/>
            <w:hideMark/>
          </w:tcPr>
          <w:p w14:paraId="4D005604" w14:textId="77777777" w:rsidR="00DE3B88" w:rsidRPr="00DE3B88" w:rsidRDefault="00DE3B88"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51.68</w:t>
            </w:r>
          </w:p>
        </w:tc>
      </w:tr>
    </w:tbl>
    <w:p w14:paraId="4B642C36" w14:textId="77777777" w:rsidR="00E6229F" w:rsidRPr="00E6229F" w:rsidRDefault="00711B53" w:rsidP="00E6229F">
      <w:pPr>
        <w:spacing w:after="0" w:line="240" w:lineRule="auto"/>
        <w:jc w:val="both"/>
        <w:rPr>
          <w:rFonts w:ascii="Arial" w:eastAsia="Times New Roman" w:hAnsi="Arial" w:cs="Arial"/>
          <w:b/>
          <w:i/>
          <w:sz w:val="16"/>
          <w:szCs w:val="20"/>
        </w:rPr>
      </w:pPr>
      <w:r w:rsidRPr="00E6229F">
        <w:rPr>
          <w:rFonts w:ascii="Arial" w:eastAsia="Times New Roman" w:hAnsi="Arial" w:cs="Arial"/>
          <w:b/>
          <w:i/>
          <w:sz w:val="16"/>
          <w:szCs w:val="20"/>
        </w:rPr>
        <w:t xml:space="preserve">Source: </w:t>
      </w:r>
      <w:r w:rsidR="00E6229F">
        <w:rPr>
          <w:rFonts w:ascii="Arial" w:eastAsia="Times New Roman" w:hAnsi="Arial" w:cs="Arial"/>
          <w:b/>
          <w:i/>
          <w:sz w:val="16"/>
          <w:szCs w:val="20"/>
        </w:rPr>
        <w:tab/>
      </w:r>
      <w:r w:rsidRPr="00E6229F">
        <w:rPr>
          <w:rFonts w:ascii="Arial" w:eastAsia="Times New Roman" w:hAnsi="Arial" w:cs="Arial"/>
          <w:b/>
          <w:i/>
          <w:sz w:val="16"/>
          <w:szCs w:val="20"/>
          <w:vertAlign w:val="superscript"/>
        </w:rPr>
        <w:t>1</w:t>
      </w:r>
      <w:r w:rsidRPr="00E6229F">
        <w:rPr>
          <w:rFonts w:ascii="Arial" w:eastAsia="Times New Roman" w:hAnsi="Arial" w:cs="Arial"/>
          <w:b/>
          <w:i/>
          <w:sz w:val="16"/>
          <w:szCs w:val="20"/>
        </w:rPr>
        <w:t>Kerala Digital Health Mission, 2025</w:t>
      </w:r>
      <w:r w:rsidR="00E6229F" w:rsidRPr="00E6229F">
        <w:rPr>
          <w:rFonts w:ascii="Arial" w:eastAsia="Times New Roman" w:hAnsi="Arial" w:cs="Arial"/>
          <w:b/>
          <w:i/>
          <w:sz w:val="16"/>
          <w:szCs w:val="20"/>
        </w:rPr>
        <w:t xml:space="preserve">, </w:t>
      </w:r>
    </w:p>
    <w:p w14:paraId="5D010189" w14:textId="77777777" w:rsidR="00711B53" w:rsidRDefault="00E6229F" w:rsidP="00E6229F">
      <w:pPr>
        <w:spacing w:after="0" w:line="240" w:lineRule="auto"/>
        <w:ind w:right="-846" w:firstLine="720"/>
        <w:jc w:val="both"/>
        <w:rPr>
          <w:rFonts w:ascii="Arial" w:eastAsia="Times New Roman" w:hAnsi="Arial" w:cs="Arial"/>
          <w:b/>
          <w:i/>
          <w:sz w:val="16"/>
          <w:szCs w:val="20"/>
        </w:rPr>
      </w:pPr>
      <w:r w:rsidRPr="00E6229F">
        <w:rPr>
          <w:rFonts w:ascii="Arial" w:eastAsia="Times New Roman" w:hAnsi="Arial" w:cs="Arial"/>
          <w:b/>
          <w:i/>
          <w:sz w:val="16"/>
          <w:szCs w:val="20"/>
          <w:vertAlign w:val="superscript"/>
        </w:rPr>
        <w:t>2</w:t>
      </w:r>
      <w:r w:rsidR="00711B53" w:rsidRPr="00E6229F">
        <w:rPr>
          <w:rFonts w:ascii="Arial" w:eastAsia="Times New Roman" w:hAnsi="Arial" w:cs="Arial"/>
          <w:b/>
          <w:i/>
          <w:sz w:val="16"/>
          <w:szCs w:val="20"/>
        </w:rPr>
        <w:t>Projection of dist</w:t>
      </w:r>
      <w:r>
        <w:rPr>
          <w:rFonts w:ascii="Arial" w:eastAsia="Times New Roman" w:hAnsi="Arial" w:cs="Arial"/>
          <w:b/>
          <w:i/>
          <w:sz w:val="16"/>
          <w:szCs w:val="20"/>
        </w:rPr>
        <w:t>rict-level annual population</w:t>
      </w:r>
      <w:r w:rsidR="00711B53" w:rsidRPr="00E6229F">
        <w:rPr>
          <w:rFonts w:ascii="Arial" w:eastAsia="Times New Roman" w:hAnsi="Arial" w:cs="Arial"/>
          <w:b/>
          <w:i/>
          <w:sz w:val="16"/>
          <w:szCs w:val="20"/>
        </w:rPr>
        <w:t>, IIPS, Mumbai, India.</w:t>
      </w:r>
    </w:p>
    <w:p w14:paraId="0AA4D085" w14:textId="77777777" w:rsidR="003C3F4B" w:rsidRDefault="00040443" w:rsidP="00486007">
      <w:pPr>
        <w:spacing w:after="0" w:line="240" w:lineRule="auto"/>
        <w:ind w:right="-846" w:firstLine="720"/>
        <w:jc w:val="both"/>
        <w:rPr>
          <w:rFonts w:ascii="Arial" w:eastAsia="Times New Roman" w:hAnsi="Arial" w:cs="Arial"/>
          <w:b/>
          <w:i/>
          <w:sz w:val="16"/>
          <w:szCs w:val="20"/>
        </w:rPr>
      </w:pPr>
      <w:r w:rsidRPr="00040443">
        <w:rPr>
          <w:rFonts w:ascii="Arial" w:eastAsia="Times New Roman" w:hAnsi="Arial" w:cs="Arial"/>
          <w:b/>
          <w:i/>
          <w:sz w:val="16"/>
          <w:szCs w:val="20"/>
          <w:vertAlign w:val="superscript"/>
        </w:rPr>
        <w:t>3</w:t>
      </w:r>
      <w:r>
        <w:rPr>
          <w:rFonts w:ascii="Arial" w:eastAsia="Times New Roman" w:hAnsi="Arial" w:cs="Arial"/>
          <w:b/>
          <w:i/>
          <w:sz w:val="16"/>
          <w:szCs w:val="20"/>
        </w:rPr>
        <w:t>Census of India, 2011</w:t>
      </w:r>
    </w:p>
    <w:p w14:paraId="6FE0396F" w14:textId="77777777" w:rsidR="003C3F4B" w:rsidRPr="003C3F4B" w:rsidRDefault="003C3F4B" w:rsidP="003C3F4B">
      <w:pPr>
        <w:spacing w:before="240" w:after="0" w:line="240" w:lineRule="auto"/>
        <w:jc w:val="center"/>
        <w:rPr>
          <w:rFonts w:ascii="Arial" w:eastAsia="Times New Roman" w:hAnsi="Arial" w:cs="Arial"/>
          <w:b/>
          <w:sz w:val="20"/>
          <w:szCs w:val="20"/>
        </w:rPr>
      </w:pPr>
      <w:r w:rsidRPr="00E6229F">
        <w:rPr>
          <w:rFonts w:ascii="Arial" w:eastAsia="Times New Roman" w:hAnsi="Arial" w:cs="Arial"/>
          <w:b/>
          <w:sz w:val="20"/>
          <w:szCs w:val="20"/>
        </w:rPr>
        <w:t xml:space="preserve">Table </w:t>
      </w:r>
      <w:r>
        <w:rPr>
          <w:rFonts w:ascii="Arial" w:eastAsia="Times New Roman" w:hAnsi="Arial" w:cs="Arial"/>
          <w:b/>
          <w:sz w:val="20"/>
          <w:szCs w:val="20"/>
        </w:rPr>
        <w:t>2</w:t>
      </w:r>
      <w:r w:rsidRPr="00E6229F">
        <w:rPr>
          <w:rFonts w:ascii="Arial" w:eastAsia="Times New Roman" w:hAnsi="Arial" w:cs="Arial"/>
          <w:b/>
          <w:sz w:val="20"/>
          <w:szCs w:val="20"/>
        </w:rPr>
        <w:t xml:space="preserve">. </w:t>
      </w:r>
      <w:r w:rsidRPr="003C3F4B">
        <w:rPr>
          <w:rFonts w:ascii="Arial" w:eastAsia="Times New Roman" w:hAnsi="Arial" w:cs="Arial"/>
          <w:b/>
          <w:sz w:val="20"/>
          <w:szCs w:val="20"/>
        </w:rPr>
        <w:t>Correlation between PHC Density and Socio-Demographic Indicators</w:t>
      </w:r>
    </w:p>
    <w:tbl>
      <w:tblPr>
        <w:tblStyle w:val="TableGrid"/>
        <w:tblW w:w="9498" w:type="dxa"/>
        <w:tblInd w:w="108" w:type="dxa"/>
        <w:tblLook w:val="04A0" w:firstRow="1" w:lastRow="0" w:firstColumn="1" w:lastColumn="0" w:noHBand="0" w:noVBand="1"/>
      </w:tblPr>
      <w:tblGrid>
        <w:gridCol w:w="1985"/>
        <w:gridCol w:w="1276"/>
        <w:gridCol w:w="1275"/>
        <w:gridCol w:w="1560"/>
        <w:gridCol w:w="3402"/>
      </w:tblGrid>
      <w:tr w:rsidR="003C3F4B" w:rsidRPr="003C3F4B" w14:paraId="6DE864D2" w14:textId="77777777" w:rsidTr="00A06D87">
        <w:trPr>
          <w:trHeight w:val="385"/>
        </w:trPr>
        <w:tc>
          <w:tcPr>
            <w:tcW w:w="1985" w:type="dxa"/>
            <w:vAlign w:val="center"/>
          </w:tcPr>
          <w:p w14:paraId="08083D3B" w14:textId="77777777" w:rsidR="003C3F4B" w:rsidRPr="003C3F4B" w:rsidRDefault="003C3F4B" w:rsidP="00052C82">
            <w:pPr>
              <w:jc w:val="center"/>
              <w:rPr>
                <w:rFonts w:ascii="Arial" w:eastAsia="Times New Roman" w:hAnsi="Arial" w:cs="Arial"/>
                <w:b/>
                <w:bCs/>
                <w:sz w:val="20"/>
                <w:szCs w:val="24"/>
              </w:rPr>
            </w:pPr>
            <w:r w:rsidRPr="003C3F4B">
              <w:rPr>
                <w:rFonts w:ascii="Arial" w:eastAsia="Times New Roman" w:hAnsi="Arial" w:cs="Arial"/>
                <w:b/>
                <w:bCs/>
                <w:sz w:val="20"/>
                <w:szCs w:val="24"/>
              </w:rPr>
              <w:t>Indicator</w:t>
            </w:r>
          </w:p>
        </w:tc>
        <w:tc>
          <w:tcPr>
            <w:tcW w:w="1276" w:type="dxa"/>
            <w:vAlign w:val="center"/>
          </w:tcPr>
          <w:p w14:paraId="3F21B51C" w14:textId="77777777" w:rsidR="003C3F4B" w:rsidRPr="003C3F4B" w:rsidRDefault="003C3F4B" w:rsidP="00052C82">
            <w:pPr>
              <w:jc w:val="center"/>
              <w:rPr>
                <w:rFonts w:ascii="Arial" w:eastAsia="Times New Roman" w:hAnsi="Arial" w:cs="Arial"/>
                <w:b/>
                <w:bCs/>
                <w:sz w:val="20"/>
                <w:szCs w:val="24"/>
              </w:rPr>
            </w:pPr>
            <w:r w:rsidRPr="003C3F4B">
              <w:rPr>
                <w:rFonts w:ascii="Arial" w:eastAsia="Times New Roman" w:hAnsi="Arial" w:cs="Arial"/>
                <w:b/>
                <w:bCs/>
                <w:sz w:val="20"/>
                <w:szCs w:val="24"/>
              </w:rPr>
              <w:t>Pearson r</w:t>
            </w:r>
          </w:p>
        </w:tc>
        <w:tc>
          <w:tcPr>
            <w:tcW w:w="1275" w:type="dxa"/>
            <w:vAlign w:val="center"/>
          </w:tcPr>
          <w:p w14:paraId="0B2DC140" w14:textId="77777777" w:rsidR="003C3F4B" w:rsidRPr="003C3F4B" w:rsidRDefault="003C3F4B" w:rsidP="00052C82">
            <w:pPr>
              <w:jc w:val="center"/>
              <w:rPr>
                <w:rFonts w:ascii="Arial" w:eastAsia="Times New Roman" w:hAnsi="Arial" w:cs="Arial"/>
                <w:b/>
                <w:bCs/>
                <w:sz w:val="20"/>
                <w:szCs w:val="24"/>
              </w:rPr>
            </w:pPr>
            <w:r w:rsidRPr="003C3F4B">
              <w:rPr>
                <w:rFonts w:ascii="Arial" w:eastAsia="Times New Roman" w:hAnsi="Arial" w:cs="Arial"/>
                <w:b/>
                <w:bCs/>
                <w:sz w:val="20"/>
                <w:szCs w:val="24"/>
              </w:rPr>
              <w:t>Direction</w:t>
            </w:r>
          </w:p>
        </w:tc>
        <w:tc>
          <w:tcPr>
            <w:tcW w:w="1560" w:type="dxa"/>
            <w:vAlign w:val="center"/>
          </w:tcPr>
          <w:p w14:paraId="755B7210" w14:textId="77777777" w:rsidR="003C3F4B" w:rsidRPr="003C3F4B" w:rsidRDefault="003C3F4B" w:rsidP="00052C82">
            <w:pPr>
              <w:jc w:val="center"/>
              <w:rPr>
                <w:rFonts w:ascii="Arial" w:eastAsia="Times New Roman" w:hAnsi="Arial" w:cs="Arial"/>
                <w:b/>
                <w:bCs/>
                <w:sz w:val="20"/>
                <w:szCs w:val="24"/>
              </w:rPr>
            </w:pPr>
            <w:r w:rsidRPr="003C3F4B">
              <w:rPr>
                <w:rFonts w:ascii="Arial" w:eastAsia="Times New Roman" w:hAnsi="Arial" w:cs="Arial"/>
                <w:b/>
                <w:bCs/>
                <w:sz w:val="20"/>
                <w:szCs w:val="24"/>
              </w:rPr>
              <w:t>Strength</w:t>
            </w:r>
          </w:p>
        </w:tc>
        <w:tc>
          <w:tcPr>
            <w:tcW w:w="3402" w:type="dxa"/>
            <w:vAlign w:val="center"/>
          </w:tcPr>
          <w:p w14:paraId="5033CA65" w14:textId="77777777" w:rsidR="003C3F4B" w:rsidRPr="003C3F4B" w:rsidRDefault="003C3F4B" w:rsidP="00052C82">
            <w:pPr>
              <w:jc w:val="center"/>
              <w:rPr>
                <w:rFonts w:ascii="Arial" w:eastAsia="Times New Roman" w:hAnsi="Arial" w:cs="Arial"/>
                <w:b/>
                <w:bCs/>
                <w:sz w:val="20"/>
                <w:szCs w:val="24"/>
              </w:rPr>
            </w:pPr>
            <w:r w:rsidRPr="003C3F4B">
              <w:rPr>
                <w:rFonts w:ascii="Arial" w:eastAsia="Times New Roman" w:hAnsi="Arial" w:cs="Arial"/>
                <w:b/>
                <w:bCs/>
                <w:sz w:val="20"/>
                <w:szCs w:val="24"/>
              </w:rPr>
              <w:t>Interpretation</w:t>
            </w:r>
          </w:p>
        </w:tc>
      </w:tr>
      <w:tr w:rsidR="003C3F4B" w:rsidRPr="003C3F4B" w14:paraId="13C9D081" w14:textId="77777777" w:rsidTr="00A06D87">
        <w:trPr>
          <w:trHeight w:val="20"/>
        </w:trPr>
        <w:tc>
          <w:tcPr>
            <w:tcW w:w="1985" w:type="dxa"/>
            <w:vAlign w:val="center"/>
          </w:tcPr>
          <w:p w14:paraId="0770CE38" w14:textId="77777777" w:rsidR="003C3F4B" w:rsidRPr="003C3F4B" w:rsidRDefault="003C3F4B" w:rsidP="003C3F4B">
            <w:pPr>
              <w:jc w:val="center"/>
              <w:rPr>
                <w:rFonts w:ascii="Arial" w:eastAsia="Times New Roman" w:hAnsi="Arial" w:cs="Arial"/>
                <w:b/>
                <w:sz w:val="18"/>
                <w:szCs w:val="24"/>
              </w:rPr>
            </w:pPr>
            <w:r w:rsidRPr="003C3F4B">
              <w:rPr>
                <w:rFonts w:ascii="Arial" w:eastAsia="Times New Roman" w:hAnsi="Arial" w:cs="Arial"/>
                <w:b/>
                <w:sz w:val="18"/>
                <w:szCs w:val="24"/>
              </w:rPr>
              <w:t>Scheduled Caste (SC) %</w:t>
            </w:r>
          </w:p>
        </w:tc>
        <w:tc>
          <w:tcPr>
            <w:tcW w:w="1276" w:type="dxa"/>
            <w:vAlign w:val="center"/>
          </w:tcPr>
          <w:p w14:paraId="0DA3EC79"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–0.14</w:t>
            </w:r>
          </w:p>
        </w:tc>
        <w:tc>
          <w:tcPr>
            <w:tcW w:w="1275" w:type="dxa"/>
            <w:vAlign w:val="center"/>
          </w:tcPr>
          <w:p w14:paraId="64B3A549"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Negative</w:t>
            </w:r>
          </w:p>
        </w:tc>
        <w:tc>
          <w:tcPr>
            <w:tcW w:w="1560" w:type="dxa"/>
            <w:vAlign w:val="center"/>
          </w:tcPr>
          <w:p w14:paraId="5AD8DEB9"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Very Weak</w:t>
            </w:r>
          </w:p>
        </w:tc>
        <w:tc>
          <w:tcPr>
            <w:tcW w:w="3402" w:type="dxa"/>
            <w:vAlign w:val="center"/>
          </w:tcPr>
          <w:p w14:paraId="4CE54D0D" w14:textId="77777777" w:rsidR="003C3F4B" w:rsidRPr="003C3F4B" w:rsidRDefault="003C3F4B" w:rsidP="003C3F4B">
            <w:pPr>
              <w:jc w:val="both"/>
              <w:rPr>
                <w:rFonts w:ascii="Arial" w:eastAsia="Times New Roman" w:hAnsi="Arial" w:cs="Arial"/>
                <w:sz w:val="20"/>
                <w:szCs w:val="24"/>
              </w:rPr>
            </w:pPr>
            <w:r w:rsidRPr="003C3F4B">
              <w:rPr>
                <w:rFonts w:ascii="Arial" w:eastAsia="Times New Roman" w:hAnsi="Arial" w:cs="Arial"/>
                <w:sz w:val="20"/>
                <w:szCs w:val="24"/>
              </w:rPr>
              <w:t>SC % has no meaningful association with PHC density</w:t>
            </w:r>
          </w:p>
        </w:tc>
      </w:tr>
      <w:tr w:rsidR="003C3F4B" w:rsidRPr="003C3F4B" w14:paraId="20B1E9DC" w14:textId="77777777" w:rsidTr="00A06D87">
        <w:trPr>
          <w:trHeight w:val="20"/>
        </w:trPr>
        <w:tc>
          <w:tcPr>
            <w:tcW w:w="1985" w:type="dxa"/>
            <w:vAlign w:val="center"/>
          </w:tcPr>
          <w:p w14:paraId="4050A41A" w14:textId="77777777" w:rsidR="003C3F4B" w:rsidRPr="003C3F4B" w:rsidRDefault="003C3F4B" w:rsidP="003C3F4B">
            <w:pPr>
              <w:jc w:val="center"/>
              <w:rPr>
                <w:rFonts w:ascii="Arial" w:eastAsia="Times New Roman" w:hAnsi="Arial" w:cs="Arial"/>
                <w:b/>
                <w:sz w:val="18"/>
                <w:szCs w:val="24"/>
              </w:rPr>
            </w:pPr>
            <w:r w:rsidRPr="003C3F4B">
              <w:rPr>
                <w:rFonts w:ascii="Arial" w:eastAsia="Times New Roman" w:hAnsi="Arial" w:cs="Arial"/>
                <w:b/>
                <w:sz w:val="18"/>
                <w:szCs w:val="24"/>
              </w:rPr>
              <w:t>Scheduled Tribe (ST) %</w:t>
            </w:r>
          </w:p>
        </w:tc>
        <w:tc>
          <w:tcPr>
            <w:tcW w:w="1276" w:type="dxa"/>
            <w:vAlign w:val="center"/>
          </w:tcPr>
          <w:p w14:paraId="70B45EF8"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+0.76</w:t>
            </w:r>
          </w:p>
        </w:tc>
        <w:tc>
          <w:tcPr>
            <w:tcW w:w="1275" w:type="dxa"/>
            <w:vAlign w:val="center"/>
          </w:tcPr>
          <w:p w14:paraId="52AC5504"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560" w:type="dxa"/>
            <w:vAlign w:val="center"/>
          </w:tcPr>
          <w:p w14:paraId="38465D22"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Strong</w:t>
            </w:r>
          </w:p>
        </w:tc>
        <w:tc>
          <w:tcPr>
            <w:tcW w:w="3402" w:type="dxa"/>
            <w:vAlign w:val="center"/>
          </w:tcPr>
          <w:p w14:paraId="7E6FC3A7" w14:textId="77777777" w:rsidR="003C3F4B" w:rsidRPr="003C3F4B" w:rsidRDefault="003C3F4B" w:rsidP="003C3F4B">
            <w:pPr>
              <w:jc w:val="both"/>
              <w:rPr>
                <w:rFonts w:ascii="Arial" w:eastAsia="Times New Roman" w:hAnsi="Arial" w:cs="Arial"/>
                <w:sz w:val="20"/>
                <w:szCs w:val="24"/>
              </w:rPr>
            </w:pPr>
            <w:r w:rsidRPr="003C3F4B">
              <w:rPr>
                <w:rFonts w:ascii="Arial" w:eastAsia="Times New Roman" w:hAnsi="Arial" w:cs="Arial"/>
                <w:sz w:val="20"/>
                <w:szCs w:val="24"/>
              </w:rPr>
              <w:t>PHC density increases in tribal-dominated districts</w:t>
            </w:r>
          </w:p>
        </w:tc>
      </w:tr>
      <w:tr w:rsidR="003C3F4B" w:rsidRPr="003C3F4B" w14:paraId="0FB03EA5" w14:textId="77777777" w:rsidTr="00A06D87">
        <w:trPr>
          <w:trHeight w:val="20"/>
        </w:trPr>
        <w:tc>
          <w:tcPr>
            <w:tcW w:w="1985" w:type="dxa"/>
            <w:vAlign w:val="center"/>
          </w:tcPr>
          <w:p w14:paraId="64657110" w14:textId="77777777" w:rsidR="003C3F4B" w:rsidRPr="003C3F4B" w:rsidRDefault="003C3F4B" w:rsidP="003C3F4B">
            <w:pPr>
              <w:jc w:val="center"/>
              <w:rPr>
                <w:rFonts w:ascii="Arial" w:eastAsia="Times New Roman" w:hAnsi="Arial" w:cs="Arial"/>
                <w:b/>
                <w:sz w:val="18"/>
                <w:szCs w:val="24"/>
              </w:rPr>
            </w:pPr>
            <w:r w:rsidRPr="003C3F4B">
              <w:rPr>
                <w:rFonts w:ascii="Arial" w:eastAsia="Times New Roman" w:hAnsi="Arial" w:cs="Arial"/>
                <w:b/>
                <w:sz w:val="18"/>
                <w:szCs w:val="24"/>
              </w:rPr>
              <w:lastRenderedPageBreak/>
              <w:t>Rural Population %</w:t>
            </w:r>
          </w:p>
        </w:tc>
        <w:tc>
          <w:tcPr>
            <w:tcW w:w="1276" w:type="dxa"/>
            <w:vAlign w:val="center"/>
          </w:tcPr>
          <w:p w14:paraId="22AF7258"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+0.36</w:t>
            </w:r>
          </w:p>
        </w:tc>
        <w:tc>
          <w:tcPr>
            <w:tcW w:w="1275" w:type="dxa"/>
            <w:vAlign w:val="center"/>
          </w:tcPr>
          <w:p w14:paraId="3FC2534A"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560" w:type="dxa"/>
            <w:vAlign w:val="center"/>
          </w:tcPr>
          <w:p w14:paraId="1D021600"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3402" w:type="dxa"/>
            <w:vAlign w:val="center"/>
          </w:tcPr>
          <w:p w14:paraId="7412C8DA" w14:textId="77777777" w:rsidR="003C3F4B" w:rsidRPr="003C3F4B" w:rsidRDefault="003C3F4B" w:rsidP="003C3F4B">
            <w:pPr>
              <w:jc w:val="both"/>
              <w:rPr>
                <w:rFonts w:ascii="Arial" w:eastAsia="Times New Roman" w:hAnsi="Arial" w:cs="Arial"/>
                <w:sz w:val="20"/>
                <w:szCs w:val="24"/>
              </w:rPr>
            </w:pPr>
            <w:r w:rsidRPr="003C3F4B">
              <w:rPr>
                <w:rFonts w:ascii="Arial" w:eastAsia="Times New Roman" w:hAnsi="Arial" w:cs="Arial"/>
                <w:sz w:val="20"/>
                <w:szCs w:val="24"/>
              </w:rPr>
              <w:t>Districts with larger rural shares have somewhat more PHCs</w:t>
            </w:r>
          </w:p>
        </w:tc>
      </w:tr>
      <w:tr w:rsidR="003C3F4B" w:rsidRPr="003C3F4B" w14:paraId="6658226B" w14:textId="77777777" w:rsidTr="00A06D87">
        <w:trPr>
          <w:trHeight w:val="20"/>
        </w:trPr>
        <w:tc>
          <w:tcPr>
            <w:tcW w:w="1985" w:type="dxa"/>
            <w:vAlign w:val="center"/>
          </w:tcPr>
          <w:p w14:paraId="7760058C" w14:textId="77777777" w:rsidR="003C3F4B" w:rsidRPr="003C3F4B" w:rsidRDefault="003C3F4B" w:rsidP="003C3F4B">
            <w:pPr>
              <w:jc w:val="center"/>
              <w:rPr>
                <w:rFonts w:ascii="Arial" w:eastAsia="Times New Roman" w:hAnsi="Arial" w:cs="Arial"/>
                <w:b/>
                <w:sz w:val="18"/>
                <w:szCs w:val="24"/>
              </w:rPr>
            </w:pPr>
            <w:r w:rsidRPr="003C3F4B">
              <w:rPr>
                <w:rFonts w:ascii="Arial" w:eastAsia="Times New Roman" w:hAnsi="Arial" w:cs="Arial"/>
                <w:b/>
                <w:sz w:val="18"/>
                <w:szCs w:val="24"/>
              </w:rPr>
              <w:t>Literacy Rate</w:t>
            </w:r>
          </w:p>
        </w:tc>
        <w:tc>
          <w:tcPr>
            <w:tcW w:w="1276" w:type="dxa"/>
            <w:vAlign w:val="center"/>
          </w:tcPr>
          <w:p w14:paraId="39C1C23F"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–0.36</w:t>
            </w:r>
          </w:p>
        </w:tc>
        <w:tc>
          <w:tcPr>
            <w:tcW w:w="1275" w:type="dxa"/>
            <w:vAlign w:val="center"/>
          </w:tcPr>
          <w:p w14:paraId="5945C46D"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Negative</w:t>
            </w:r>
          </w:p>
        </w:tc>
        <w:tc>
          <w:tcPr>
            <w:tcW w:w="1560" w:type="dxa"/>
            <w:vAlign w:val="center"/>
          </w:tcPr>
          <w:p w14:paraId="648D65C2"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3402" w:type="dxa"/>
            <w:vAlign w:val="center"/>
          </w:tcPr>
          <w:p w14:paraId="1F85AD5A" w14:textId="77777777" w:rsidR="003C3F4B" w:rsidRPr="003C3F4B" w:rsidRDefault="003C3F4B" w:rsidP="003C3F4B">
            <w:pPr>
              <w:jc w:val="both"/>
              <w:rPr>
                <w:rFonts w:ascii="Arial" w:eastAsia="Times New Roman" w:hAnsi="Arial" w:cs="Arial"/>
                <w:sz w:val="20"/>
                <w:szCs w:val="24"/>
              </w:rPr>
            </w:pPr>
            <w:r w:rsidRPr="003C3F4B">
              <w:rPr>
                <w:rFonts w:ascii="Arial" w:eastAsia="Times New Roman" w:hAnsi="Arial" w:cs="Arial"/>
                <w:sz w:val="20"/>
                <w:szCs w:val="24"/>
              </w:rPr>
              <w:t>More literate/urbanized districts tend to have fewer PHCs per capita</w:t>
            </w:r>
          </w:p>
        </w:tc>
      </w:tr>
      <w:tr w:rsidR="003C3F4B" w:rsidRPr="003C3F4B" w14:paraId="0C0CA199" w14:textId="77777777" w:rsidTr="00A06D87">
        <w:trPr>
          <w:trHeight w:val="20"/>
        </w:trPr>
        <w:tc>
          <w:tcPr>
            <w:tcW w:w="1985" w:type="dxa"/>
            <w:vAlign w:val="center"/>
          </w:tcPr>
          <w:p w14:paraId="5E2D6312" w14:textId="77777777" w:rsidR="003C3F4B" w:rsidRPr="003C3F4B" w:rsidRDefault="003C3F4B" w:rsidP="003C3F4B">
            <w:pPr>
              <w:jc w:val="center"/>
              <w:rPr>
                <w:rFonts w:ascii="Arial" w:eastAsia="Times New Roman" w:hAnsi="Arial" w:cs="Arial"/>
                <w:b/>
                <w:sz w:val="18"/>
                <w:szCs w:val="24"/>
              </w:rPr>
            </w:pPr>
            <w:r w:rsidRPr="003C3F4B">
              <w:rPr>
                <w:rFonts w:ascii="Arial" w:eastAsia="Times New Roman" w:hAnsi="Arial" w:cs="Arial"/>
                <w:b/>
                <w:sz w:val="18"/>
                <w:szCs w:val="24"/>
              </w:rPr>
              <w:t>Below Poverty Line (BPL) %</w:t>
            </w:r>
          </w:p>
        </w:tc>
        <w:tc>
          <w:tcPr>
            <w:tcW w:w="1276" w:type="dxa"/>
            <w:vAlign w:val="center"/>
          </w:tcPr>
          <w:p w14:paraId="0E3EA194"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+0.38</w:t>
            </w:r>
          </w:p>
        </w:tc>
        <w:tc>
          <w:tcPr>
            <w:tcW w:w="1275" w:type="dxa"/>
            <w:vAlign w:val="center"/>
          </w:tcPr>
          <w:p w14:paraId="13C95DCB"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560" w:type="dxa"/>
            <w:vAlign w:val="center"/>
          </w:tcPr>
          <w:p w14:paraId="2F2002F9" w14:textId="77777777" w:rsidR="003C3F4B" w:rsidRPr="003C3F4B" w:rsidRDefault="003C3F4B"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3402" w:type="dxa"/>
            <w:vAlign w:val="center"/>
          </w:tcPr>
          <w:p w14:paraId="7A1ED635" w14:textId="77777777" w:rsidR="003C3F4B" w:rsidRPr="003C3F4B" w:rsidRDefault="003C3F4B" w:rsidP="003C3F4B">
            <w:pPr>
              <w:jc w:val="both"/>
              <w:rPr>
                <w:rFonts w:ascii="Arial" w:eastAsia="Times New Roman" w:hAnsi="Arial" w:cs="Arial"/>
                <w:sz w:val="20"/>
                <w:szCs w:val="24"/>
              </w:rPr>
            </w:pPr>
            <w:r w:rsidRPr="003C3F4B">
              <w:rPr>
                <w:rFonts w:ascii="Arial" w:eastAsia="Times New Roman" w:hAnsi="Arial" w:cs="Arial"/>
                <w:sz w:val="20"/>
                <w:szCs w:val="24"/>
              </w:rPr>
              <w:t>Poorer districts tend to receive more PHCs per capita</w:t>
            </w:r>
          </w:p>
        </w:tc>
      </w:tr>
    </w:tbl>
    <w:p w14:paraId="5BA0251A" w14:textId="77777777" w:rsidR="00A06D87" w:rsidRPr="00A06D87" w:rsidRDefault="003C3F4B" w:rsidP="00A06D87">
      <w:pPr>
        <w:spacing w:after="0" w:line="240" w:lineRule="auto"/>
        <w:ind w:right="-846"/>
        <w:jc w:val="both"/>
        <w:rPr>
          <w:rFonts w:ascii="Arial" w:eastAsia="Times New Roman" w:hAnsi="Arial" w:cs="Arial"/>
          <w:b/>
          <w:i/>
          <w:sz w:val="16"/>
          <w:szCs w:val="20"/>
        </w:rPr>
      </w:pPr>
      <w:r>
        <w:rPr>
          <w:rFonts w:ascii="Arial" w:eastAsia="Times New Roman" w:hAnsi="Arial" w:cs="Arial"/>
          <w:b/>
          <w:i/>
          <w:sz w:val="16"/>
          <w:szCs w:val="20"/>
        </w:rPr>
        <w:t xml:space="preserve">Source: </w:t>
      </w:r>
      <w:r w:rsidR="00486007">
        <w:rPr>
          <w:rFonts w:ascii="Arial" w:eastAsia="Times New Roman" w:hAnsi="Arial" w:cs="Arial"/>
          <w:b/>
          <w:i/>
          <w:sz w:val="16"/>
          <w:szCs w:val="20"/>
        </w:rPr>
        <w:t>Computed</w:t>
      </w:r>
      <w:r>
        <w:rPr>
          <w:rFonts w:ascii="Arial" w:eastAsia="Times New Roman" w:hAnsi="Arial" w:cs="Arial"/>
          <w:b/>
          <w:i/>
          <w:sz w:val="16"/>
          <w:szCs w:val="20"/>
        </w:rPr>
        <w:t xml:space="preserve"> data</w:t>
      </w:r>
    </w:p>
    <w:p w14:paraId="29BC2AF7" w14:textId="77777777" w:rsidR="00A06D87" w:rsidRDefault="00A06D87" w:rsidP="00A06D87">
      <w:pPr>
        <w:spacing w:after="0" w:line="360" w:lineRule="auto"/>
        <w:ind w:right="4"/>
        <w:jc w:val="center"/>
        <w:rPr>
          <w:rFonts w:ascii="Arial" w:eastAsia="Times New Roman" w:hAnsi="Arial" w:cs="Arial"/>
          <w:b/>
          <w:noProof/>
          <w:sz w:val="20"/>
          <w:szCs w:val="20"/>
        </w:rPr>
      </w:pPr>
      <w:r>
        <w:rPr>
          <w:rFonts w:ascii="Arial" w:eastAsia="Times New Roman" w:hAnsi="Arial" w:cs="Arial"/>
          <w:noProof/>
          <w:sz w:val="20"/>
          <w:szCs w:val="20"/>
        </w:rPr>
        <w:drawing>
          <wp:inline distT="0" distB="0" distL="0" distR="0" wp14:anchorId="2A14AC97" wp14:editId="762DD99F">
            <wp:extent cx="4858247" cy="3147370"/>
            <wp:effectExtent l="19050" t="19050" r="1905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png"/>
                    <pic:cNvPicPr/>
                  </pic:nvPicPr>
                  <pic:blipFill rotWithShape="1">
                    <a:blip r:embed="rId7" cstate="print">
                      <a:extLst>
                        <a:ext uri="{28A0092B-C50C-407E-A947-70E740481C1C}">
                          <a14:useLocalDpi xmlns:a14="http://schemas.microsoft.com/office/drawing/2010/main" val="0"/>
                        </a:ext>
                      </a:extLst>
                    </a:blip>
                    <a:srcRect l="6172" t="4788" r="13426"/>
                    <a:stretch/>
                  </pic:blipFill>
                  <pic:spPr bwMode="auto">
                    <a:xfrm>
                      <a:off x="0" y="0"/>
                      <a:ext cx="4858248" cy="314737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2C91B60" w14:textId="77777777" w:rsidR="00486007" w:rsidRPr="00014756" w:rsidRDefault="00A06D87" w:rsidP="00014756">
      <w:pPr>
        <w:spacing w:after="0" w:line="360" w:lineRule="auto"/>
        <w:ind w:right="4"/>
        <w:jc w:val="center"/>
        <w:rPr>
          <w:rFonts w:ascii="Arial" w:eastAsia="Times New Roman" w:hAnsi="Arial" w:cs="Arial"/>
          <w:b/>
          <w:noProof/>
          <w:sz w:val="20"/>
          <w:szCs w:val="20"/>
        </w:rPr>
      </w:pPr>
      <w:r>
        <w:rPr>
          <w:rFonts w:ascii="Arial" w:eastAsia="Times New Roman" w:hAnsi="Arial" w:cs="Arial"/>
          <w:b/>
          <w:noProof/>
          <w:sz w:val="20"/>
          <w:szCs w:val="20"/>
        </w:rPr>
        <w:t xml:space="preserve">Fig.No.1. </w:t>
      </w:r>
      <w:r w:rsidRPr="00A06D87">
        <w:rPr>
          <w:rFonts w:ascii="Arial" w:eastAsia="Times New Roman" w:hAnsi="Arial" w:cs="Arial"/>
          <w:b/>
          <w:noProof/>
          <w:sz w:val="20"/>
          <w:szCs w:val="20"/>
        </w:rPr>
        <w:t>Correlation Matrix: PHC Density And Socio-Demographic Indicators (Kerala, 2024-25)</w:t>
      </w:r>
    </w:p>
    <w:p w14:paraId="682BFCF3" w14:textId="77777777" w:rsidR="00486007" w:rsidRDefault="00486007" w:rsidP="00486007">
      <w:pPr>
        <w:spacing w:after="0" w:line="360" w:lineRule="auto"/>
        <w:ind w:right="4" w:firstLine="720"/>
        <w:jc w:val="both"/>
        <w:rPr>
          <w:rFonts w:ascii="Arial" w:eastAsia="Times New Roman" w:hAnsi="Arial" w:cs="Arial"/>
          <w:sz w:val="20"/>
          <w:szCs w:val="20"/>
        </w:rPr>
      </w:pPr>
      <w:r w:rsidRPr="00486007">
        <w:rPr>
          <w:rFonts w:ascii="Arial" w:eastAsia="Times New Roman" w:hAnsi="Arial" w:cs="Arial"/>
          <w:sz w:val="20"/>
          <w:szCs w:val="20"/>
        </w:rPr>
        <w:t>The correlation analysis between PHC density and socio-demographic indicators provides useful insights into the extent to which Kerala’s health infrastructure aligns with population vulnerabilities. The most notable finding is the strong positive correlation with Scheduled Tribe population share (r = +0.76), showing that tribal-dominated districts such as Wayanad and Idukki benefit from higher PHC density, reflecting deliberate policy attention to tribal health needs. Similarly, the moderate positive correlations with Below Poverty Line households (r = +0.38) and rural population share (r = +0.36) suggest that poorer and more rural districts are relatively better served by PHCs, consistent with Kerala’s pro-poor and welfare-oriented health policies. However, the analysis also highlights areas of concern. The moderate negative correlation with literacy rate (r = –0.36) implies that more literate and urbanized districts, including Ernakulam and Thiruvananthapuram, have fewer PHCs per capita, possibly because these regions rely more heavily on private providers and secondary or tertiary public hospitals. Finally, the very weak negative correlation with Scheduled Caste share (r = –0.14) indicates that SC-related vulnerabilities are not explicitly addressed in PHC allocation, unlike those of tribal populations.</w:t>
      </w:r>
      <w:r>
        <w:rPr>
          <w:rFonts w:ascii="Arial" w:eastAsia="Times New Roman" w:hAnsi="Arial" w:cs="Arial"/>
          <w:sz w:val="20"/>
          <w:szCs w:val="20"/>
        </w:rPr>
        <w:t xml:space="preserve"> </w:t>
      </w:r>
      <w:proofErr w:type="gramStart"/>
      <w:r>
        <w:rPr>
          <w:rFonts w:ascii="Arial" w:eastAsia="Times New Roman" w:hAnsi="Arial" w:cs="Arial"/>
          <w:sz w:val="20"/>
          <w:szCs w:val="20"/>
        </w:rPr>
        <w:t>Hence</w:t>
      </w:r>
      <w:proofErr w:type="gramEnd"/>
      <w:r>
        <w:rPr>
          <w:rFonts w:ascii="Arial" w:eastAsia="Times New Roman" w:hAnsi="Arial" w:cs="Arial"/>
          <w:sz w:val="20"/>
          <w:szCs w:val="20"/>
        </w:rPr>
        <w:t xml:space="preserve"> it’s clear from the table that</w:t>
      </w:r>
      <w:r w:rsidRPr="00486007">
        <w:rPr>
          <w:rFonts w:ascii="Arial" w:eastAsia="Times New Roman" w:hAnsi="Arial" w:cs="Arial"/>
          <w:sz w:val="20"/>
          <w:szCs w:val="20"/>
        </w:rPr>
        <w:t>, PHC distribution shows sensitivity to certain vulnerabilities, but important equity gaps remain.</w:t>
      </w:r>
    </w:p>
    <w:p w14:paraId="7A93F6A0" w14:textId="77777777" w:rsidR="002A7BA9" w:rsidRPr="002A7BA9" w:rsidRDefault="002A7BA9" w:rsidP="002A7BA9">
      <w:pPr>
        <w:spacing w:after="0" w:line="360" w:lineRule="auto"/>
        <w:ind w:right="4"/>
        <w:rPr>
          <w:rFonts w:ascii="Arial" w:eastAsia="Times New Roman" w:hAnsi="Arial" w:cs="Arial"/>
          <w:b/>
          <w:szCs w:val="20"/>
        </w:rPr>
      </w:pPr>
      <w:r w:rsidRPr="002A7BA9">
        <w:rPr>
          <w:rFonts w:ascii="Arial" w:eastAsia="Times New Roman" w:hAnsi="Arial" w:cs="Arial"/>
          <w:b/>
          <w:szCs w:val="20"/>
        </w:rPr>
        <w:t xml:space="preserve">5.2. Lorenz Curve </w:t>
      </w:r>
      <w:r>
        <w:rPr>
          <w:rFonts w:ascii="Arial" w:eastAsia="Times New Roman" w:hAnsi="Arial" w:cs="Arial"/>
          <w:b/>
          <w:szCs w:val="20"/>
        </w:rPr>
        <w:t>Analysis</w:t>
      </w:r>
      <w:r w:rsidRPr="002A7BA9">
        <w:rPr>
          <w:rFonts w:ascii="Arial" w:eastAsia="Times New Roman" w:hAnsi="Arial" w:cs="Arial"/>
          <w:b/>
          <w:szCs w:val="20"/>
        </w:rPr>
        <w:t xml:space="preserve"> (Kerala, PHC Allocation per one Lakh)</w:t>
      </w:r>
    </w:p>
    <w:p w14:paraId="19695E19" w14:textId="77777777" w:rsidR="006102DF" w:rsidRPr="006102DF" w:rsidRDefault="006102DF" w:rsidP="006102DF">
      <w:pPr>
        <w:spacing w:after="0" w:line="360" w:lineRule="auto"/>
        <w:ind w:right="4"/>
        <w:jc w:val="center"/>
        <w:rPr>
          <w:rFonts w:ascii="Arial" w:eastAsia="Times New Roman" w:hAnsi="Arial" w:cs="Arial"/>
          <w:b/>
          <w:sz w:val="20"/>
          <w:szCs w:val="20"/>
        </w:rPr>
      </w:pPr>
      <w:r w:rsidRPr="006102DF">
        <w:rPr>
          <w:rFonts w:ascii="Arial" w:eastAsia="Times New Roman" w:hAnsi="Arial" w:cs="Arial"/>
          <w:b/>
          <w:sz w:val="20"/>
          <w:szCs w:val="20"/>
        </w:rPr>
        <w:t xml:space="preserve">Table 3. Lorenz Curve Table (Kerala, PHC Allocation per </w:t>
      </w:r>
      <w:r>
        <w:rPr>
          <w:rFonts w:ascii="Arial" w:eastAsia="Times New Roman" w:hAnsi="Arial" w:cs="Arial"/>
          <w:b/>
          <w:sz w:val="20"/>
          <w:szCs w:val="20"/>
        </w:rPr>
        <w:t>one Lakh</w:t>
      </w:r>
      <w:r w:rsidRPr="006102DF">
        <w:rPr>
          <w:rFonts w:ascii="Arial" w:eastAsia="Times New Roman" w:hAnsi="Arial" w:cs="Arial"/>
          <w:b/>
          <w:sz w:val="20"/>
          <w:szCs w:val="20"/>
        </w:rPr>
        <w:t>)</w:t>
      </w:r>
    </w:p>
    <w:tbl>
      <w:tblPr>
        <w:tblStyle w:val="TableGrid"/>
        <w:tblW w:w="6859" w:type="dxa"/>
        <w:jc w:val="center"/>
        <w:tblLook w:val="04A0" w:firstRow="1" w:lastRow="0" w:firstColumn="1" w:lastColumn="0" w:noHBand="0" w:noVBand="1"/>
      </w:tblPr>
      <w:tblGrid>
        <w:gridCol w:w="761"/>
        <w:gridCol w:w="2100"/>
        <w:gridCol w:w="1872"/>
        <w:gridCol w:w="2126"/>
      </w:tblGrid>
      <w:tr w:rsidR="006102DF" w:rsidRPr="006102DF" w14:paraId="649A8A90" w14:textId="77777777" w:rsidTr="006102DF">
        <w:trPr>
          <w:jc w:val="center"/>
        </w:trPr>
        <w:tc>
          <w:tcPr>
            <w:tcW w:w="761" w:type="dxa"/>
            <w:vAlign w:val="center"/>
          </w:tcPr>
          <w:p w14:paraId="7A4BB63A" w14:textId="77777777" w:rsidR="006102DF" w:rsidRPr="006102DF" w:rsidRDefault="006102DF" w:rsidP="00052C82">
            <w:pPr>
              <w:jc w:val="center"/>
              <w:rPr>
                <w:rFonts w:ascii="Arial" w:eastAsia="Times New Roman" w:hAnsi="Arial" w:cs="Arial"/>
                <w:b/>
                <w:bCs/>
                <w:sz w:val="20"/>
                <w:szCs w:val="20"/>
              </w:rPr>
            </w:pPr>
            <w:r w:rsidRPr="006102DF">
              <w:rPr>
                <w:rFonts w:ascii="Arial" w:eastAsia="Times New Roman" w:hAnsi="Arial" w:cs="Arial"/>
                <w:b/>
                <w:bCs/>
                <w:sz w:val="20"/>
                <w:szCs w:val="20"/>
              </w:rPr>
              <w:t>Order</w:t>
            </w:r>
          </w:p>
        </w:tc>
        <w:tc>
          <w:tcPr>
            <w:tcW w:w="2100" w:type="dxa"/>
            <w:vAlign w:val="center"/>
          </w:tcPr>
          <w:p w14:paraId="459AC468" w14:textId="77777777" w:rsidR="006102DF" w:rsidRPr="006102DF" w:rsidRDefault="006102DF" w:rsidP="006102DF">
            <w:pPr>
              <w:jc w:val="center"/>
              <w:rPr>
                <w:rFonts w:ascii="Arial" w:eastAsia="Times New Roman" w:hAnsi="Arial" w:cs="Arial"/>
                <w:b/>
                <w:bCs/>
                <w:sz w:val="20"/>
                <w:szCs w:val="20"/>
              </w:rPr>
            </w:pPr>
            <w:r w:rsidRPr="006102DF">
              <w:rPr>
                <w:rFonts w:ascii="Arial" w:eastAsia="Times New Roman" w:hAnsi="Arial" w:cs="Arial"/>
                <w:b/>
                <w:bCs/>
                <w:sz w:val="20"/>
                <w:szCs w:val="20"/>
              </w:rPr>
              <w:t xml:space="preserve">District (sorted by </w:t>
            </w:r>
            <w:r w:rsidRPr="006102DF">
              <w:rPr>
                <w:rFonts w:ascii="Arial" w:eastAsia="Times New Roman" w:hAnsi="Arial" w:cs="Arial"/>
                <w:b/>
                <w:bCs/>
                <w:sz w:val="20"/>
                <w:szCs w:val="20"/>
              </w:rPr>
              <w:lastRenderedPageBreak/>
              <w:t xml:space="preserve">PHC per </w:t>
            </w:r>
            <w:r>
              <w:rPr>
                <w:rFonts w:ascii="Arial" w:eastAsia="Times New Roman" w:hAnsi="Arial" w:cs="Arial"/>
                <w:b/>
                <w:bCs/>
                <w:sz w:val="20"/>
                <w:szCs w:val="20"/>
              </w:rPr>
              <w:t>One Lakh</w:t>
            </w:r>
            <w:r w:rsidRPr="006102DF">
              <w:rPr>
                <w:rFonts w:ascii="Arial" w:eastAsia="Times New Roman" w:hAnsi="Arial" w:cs="Arial"/>
                <w:b/>
                <w:bCs/>
                <w:sz w:val="20"/>
                <w:szCs w:val="20"/>
              </w:rPr>
              <w:t>)</w:t>
            </w:r>
          </w:p>
        </w:tc>
        <w:tc>
          <w:tcPr>
            <w:tcW w:w="1872" w:type="dxa"/>
            <w:vAlign w:val="center"/>
          </w:tcPr>
          <w:p w14:paraId="5D6DB4DA" w14:textId="77777777" w:rsidR="006102DF" w:rsidRPr="006102DF" w:rsidRDefault="006102DF" w:rsidP="00052C82">
            <w:pPr>
              <w:jc w:val="center"/>
              <w:rPr>
                <w:rFonts w:ascii="Arial" w:eastAsia="Times New Roman" w:hAnsi="Arial" w:cs="Arial"/>
                <w:b/>
                <w:bCs/>
                <w:sz w:val="20"/>
                <w:szCs w:val="20"/>
              </w:rPr>
            </w:pPr>
            <w:r w:rsidRPr="006102DF">
              <w:rPr>
                <w:rFonts w:ascii="Arial" w:eastAsia="Times New Roman" w:hAnsi="Arial" w:cs="Arial"/>
                <w:b/>
                <w:bCs/>
                <w:sz w:val="20"/>
                <w:szCs w:val="20"/>
              </w:rPr>
              <w:lastRenderedPageBreak/>
              <w:t xml:space="preserve">Cumulative </w:t>
            </w:r>
            <w:r w:rsidRPr="006102DF">
              <w:rPr>
                <w:rFonts w:ascii="Arial" w:eastAsia="Times New Roman" w:hAnsi="Arial" w:cs="Arial"/>
                <w:b/>
                <w:bCs/>
                <w:sz w:val="20"/>
                <w:szCs w:val="20"/>
              </w:rPr>
              <w:lastRenderedPageBreak/>
              <w:t>Population Share</w:t>
            </w:r>
          </w:p>
        </w:tc>
        <w:tc>
          <w:tcPr>
            <w:tcW w:w="2126" w:type="dxa"/>
            <w:vAlign w:val="center"/>
          </w:tcPr>
          <w:p w14:paraId="54BFFEB0" w14:textId="77777777" w:rsidR="006102DF" w:rsidRPr="006102DF" w:rsidRDefault="006102DF" w:rsidP="00052C82">
            <w:pPr>
              <w:jc w:val="center"/>
              <w:rPr>
                <w:rFonts w:ascii="Arial" w:eastAsia="Times New Roman" w:hAnsi="Arial" w:cs="Arial"/>
                <w:b/>
                <w:bCs/>
                <w:sz w:val="20"/>
                <w:szCs w:val="20"/>
              </w:rPr>
            </w:pPr>
            <w:r w:rsidRPr="006102DF">
              <w:rPr>
                <w:rFonts w:ascii="Arial" w:eastAsia="Times New Roman" w:hAnsi="Arial" w:cs="Arial"/>
                <w:b/>
                <w:bCs/>
                <w:sz w:val="20"/>
                <w:szCs w:val="20"/>
              </w:rPr>
              <w:lastRenderedPageBreak/>
              <w:t xml:space="preserve">Cumulative PHC </w:t>
            </w:r>
            <w:r w:rsidRPr="006102DF">
              <w:rPr>
                <w:rFonts w:ascii="Arial" w:eastAsia="Times New Roman" w:hAnsi="Arial" w:cs="Arial"/>
                <w:b/>
                <w:bCs/>
                <w:sz w:val="20"/>
                <w:szCs w:val="20"/>
              </w:rPr>
              <w:lastRenderedPageBreak/>
              <w:t>Share</w:t>
            </w:r>
          </w:p>
        </w:tc>
      </w:tr>
      <w:tr w:rsidR="006102DF" w:rsidRPr="006102DF" w14:paraId="100206C4" w14:textId="77777777" w:rsidTr="006102DF">
        <w:trPr>
          <w:jc w:val="center"/>
        </w:trPr>
        <w:tc>
          <w:tcPr>
            <w:tcW w:w="761" w:type="dxa"/>
            <w:vAlign w:val="center"/>
          </w:tcPr>
          <w:p w14:paraId="17C2B458"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lastRenderedPageBreak/>
              <w:t>1</w:t>
            </w:r>
          </w:p>
        </w:tc>
        <w:tc>
          <w:tcPr>
            <w:tcW w:w="2100" w:type="dxa"/>
            <w:vAlign w:val="center"/>
          </w:tcPr>
          <w:p w14:paraId="238D5B61"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Kollam</w:t>
            </w:r>
          </w:p>
        </w:tc>
        <w:tc>
          <w:tcPr>
            <w:tcW w:w="1872" w:type="dxa"/>
            <w:vAlign w:val="center"/>
          </w:tcPr>
          <w:p w14:paraId="00F74FB0"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0.08</w:t>
            </w:r>
          </w:p>
        </w:tc>
        <w:tc>
          <w:tcPr>
            <w:tcW w:w="2126" w:type="dxa"/>
            <w:vAlign w:val="center"/>
          </w:tcPr>
          <w:p w14:paraId="2AB8D64D"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0.07</w:t>
            </w:r>
          </w:p>
        </w:tc>
      </w:tr>
      <w:tr w:rsidR="006102DF" w:rsidRPr="006102DF" w14:paraId="23EA016E" w14:textId="77777777" w:rsidTr="006102DF">
        <w:trPr>
          <w:jc w:val="center"/>
        </w:trPr>
        <w:tc>
          <w:tcPr>
            <w:tcW w:w="761" w:type="dxa"/>
            <w:vAlign w:val="center"/>
          </w:tcPr>
          <w:p w14:paraId="38CA546C"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2</w:t>
            </w:r>
          </w:p>
        </w:tc>
        <w:tc>
          <w:tcPr>
            <w:tcW w:w="2100" w:type="dxa"/>
            <w:vAlign w:val="center"/>
          </w:tcPr>
          <w:p w14:paraId="451592CE"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Malappuram</w:t>
            </w:r>
          </w:p>
        </w:tc>
        <w:tc>
          <w:tcPr>
            <w:tcW w:w="1872" w:type="dxa"/>
            <w:vAlign w:val="center"/>
          </w:tcPr>
          <w:p w14:paraId="67ADC9B7"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0.21</w:t>
            </w:r>
          </w:p>
        </w:tc>
        <w:tc>
          <w:tcPr>
            <w:tcW w:w="2126" w:type="dxa"/>
            <w:vAlign w:val="center"/>
          </w:tcPr>
          <w:p w14:paraId="11206C5E"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0.17</w:t>
            </w:r>
          </w:p>
        </w:tc>
      </w:tr>
      <w:tr w:rsidR="006102DF" w:rsidRPr="006102DF" w14:paraId="15861E60" w14:textId="77777777" w:rsidTr="006102DF">
        <w:trPr>
          <w:jc w:val="center"/>
        </w:trPr>
        <w:tc>
          <w:tcPr>
            <w:tcW w:w="761" w:type="dxa"/>
            <w:vAlign w:val="center"/>
          </w:tcPr>
          <w:p w14:paraId="6345A40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3</w:t>
            </w:r>
          </w:p>
        </w:tc>
        <w:tc>
          <w:tcPr>
            <w:tcW w:w="2100" w:type="dxa"/>
            <w:vAlign w:val="center"/>
          </w:tcPr>
          <w:p w14:paraId="01B2EDA0"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Kozhikode</w:t>
            </w:r>
          </w:p>
        </w:tc>
        <w:tc>
          <w:tcPr>
            <w:tcW w:w="1872" w:type="dxa"/>
            <w:vAlign w:val="center"/>
          </w:tcPr>
          <w:p w14:paraId="4852CC5F"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0.30</w:t>
            </w:r>
          </w:p>
        </w:tc>
        <w:tc>
          <w:tcPr>
            <w:tcW w:w="2126" w:type="dxa"/>
            <w:vAlign w:val="center"/>
          </w:tcPr>
          <w:p w14:paraId="2B7729A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0.23</w:t>
            </w:r>
          </w:p>
        </w:tc>
      </w:tr>
      <w:tr w:rsidR="006102DF" w:rsidRPr="006102DF" w14:paraId="315D3D79" w14:textId="77777777" w:rsidTr="006102DF">
        <w:trPr>
          <w:jc w:val="center"/>
        </w:trPr>
        <w:tc>
          <w:tcPr>
            <w:tcW w:w="761" w:type="dxa"/>
            <w:vAlign w:val="center"/>
          </w:tcPr>
          <w:p w14:paraId="55480484"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4</w:t>
            </w:r>
          </w:p>
        </w:tc>
        <w:tc>
          <w:tcPr>
            <w:tcW w:w="2100" w:type="dxa"/>
            <w:vAlign w:val="center"/>
          </w:tcPr>
          <w:p w14:paraId="46E22C45"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Kasaragod</w:t>
            </w:r>
          </w:p>
        </w:tc>
        <w:tc>
          <w:tcPr>
            <w:tcW w:w="1872" w:type="dxa"/>
            <w:vAlign w:val="center"/>
          </w:tcPr>
          <w:p w14:paraId="6DC9379E"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0.34</w:t>
            </w:r>
          </w:p>
        </w:tc>
        <w:tc>
          <w:tcPr>
            <w:tcW w:w="2126" w:type="dxa"/>
            <w:vAlign w:val="center"/>
          </w:tcPr>
          <w:p w14:paraId="5B679F75"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0.27</w:t>
            </w:r>
          </w:p>
        </w:tc>
      </w:tr>
      <w:tr w:rsidR="006102DF" w:rsidRPr="006102DF" w14:paraId="42744F59" w14:textId="77777777" w:rsidTr="006102DF">
        <w:trPr>
          <w:jc w:val="center"/>
        </w:trPr>
        <w:tc>
          <w:tcPr>
            <w:tcW w:w="761" w:type="dxa"/>
            <w:vAlign w:val="center"/>
          </w:tcPr>
          <w:p w14:paraId="610C08FF"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5</w:t>
            </w:r>
          </w:p>
        </w:tc>
        <w:tc>
          <w:tcPr>
            <w:tcW w:w="2100" w:type="dxa"/>
            <w:vAlign w:val="center"/>
          </w:tcPr>
          <w:p w14:paraId="25C207C3"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Palakkad</w:t>
            </w:r>
          </w:p>
        </w:tc>
        <w:tc>
          <w:tcPr>
            <w:tcW w:w="1872" w:type="dxa"/>
            <w:vAlign w:val="center"/>
          </w:tcPr>
          <w:p w14:paraId="1FB0979D"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0.42</w:t>
            </w:r>
          </w:p>
        </w:tc>
        <w:tc>
          <w:tcPr>
            <w:tcW w:w="2126" w:type="dxa"/>
            <w:vAlign w:val="center"/>
          </w:tcPr>
          <w:p w14:paraId="54B5185B"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0.35</w:t>
            </w:r>
          </w:p>
        </w:tc>
      </w:tr>
      <w:tr w:rsidR="006102DF" w:rsidRPr="006102DF" w14:paraId="6C929034" w14:textId="77777777" w:rsidTr="006102DF">
        <w:trPr>
          <w:jc w:val="center"/>
        </w:trPr>
        <w:tc>
          <w:tcPr>
            <w:tcW w:w="761" w:type="dxa"/>
            <w:vAlign w:val="center"/>
          </w:tcPr>
          <w:p w14:paraId="0314DF94"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6</w:t>
            </w:r>
          </w:p>
        </w:tc>
        <w:tc>
          <w:tcPr>
            <w:tcW w:w="2100" w:type="dxa"/>
            <w:vAlign w:val="center"/>
          </w:tcPr>
          <w:p w14:paraId="52D1E6DD"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Kannur</w:t>
            </w:r>
          </w:p>
        </w:tc>
        <w:tc>
          <w:tcPr>
            <w:tcW w:w="1872" w:type="dxa"/>
            <w:vAlign w:val="center"/>
          </w:tcPr>
          <w:p w14:paraId="59928BAC"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0.49</w:t>
            </w:r>
          </w:p>
        </w:tc>
        <w:tc>
          <w:tcPr>
            <w:tcW w:w="2126" w:type="dxa"/>
            <w:vAlign w:val="center"/>
          </w:tcPr>
          <w:p w14:paraId="660518B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0.41</w:t>
            </w:r>
          </w:p>
        </w:tc>
      </w:tr>
      <w:tr w:rsidR="006102DF" w:rsidRPr="006102DF" w14:paraId="6A0FC9F6" w14:textId="77777777" w:rsidTr="006102DF">
        <w:trPr>
          <w:jc w:val="center"/>
        </w:trPr>
        <w:tc>
          <w:tcPr>
            <w:tcW w:w="761" w:type="dxa"/>
            <w:vAlign w:val="center"/>
          </w:tcPr>
          <w:p w14:paraId="4DB305A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7</w:t>
            </w:r>
          </w:p>
        </w:tc>
        <w:tc>
          <w:tcPr>
            <w:tcW w:w="2100" w:type="dxa"/>
            <w:vAlign w:val="center"/>
          </w:tcPr>
          <w:p w14:paraId="67ED1E73"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Alappuzha</w:t>
            </w:r>
          </w:p>
        </w:tc>
        <w:tc>
          <w:tcPr>
            <w:tcW w:w="1872" w:type="dxa"/>
            <w:vAlign w:val="center"/>
          </w:tcPr>
          <w:p w14:paraId="0EB61DDD"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0.55</w:t>
            </w:r>
          </w:p>
        </w:tc>
        <w:tc>
          <w:tcPr>
            <w:tcW w:w="2126" w:type="dxa"/>
            <w:vAlign w:val="center"/>
          </w:tcPr>
          <w:p w14:paraId="7BA452F7"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0.47</w:t>
            </w:r>
          </w:p>
        </w:tc>
      </w:tr>
      <w:tr w:rsidR="006102DF" w:rsidRPr="006102DF" w14:paraId="537F453A" w14:textId="77777777" w:rsidTr="006102DF">
        <w:trPr>
          <w:jc w:val="center"/>
        </w:trPr>
        <w:tc>
          <w:tcPr>
            <w:tcW w:w="761" w:type="dxa"/>
            <w:vAlign w:val="center"/>
          </w:tcPr>
          <w:p w14:paraId="7AC3C259"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8</w:t>
            </w:r>
          </w:p>
        </w:tc>
        <w:tc>
          <w:tcPr>
            <w:tcW w:w="2100" w:type="dxa"/>
            <w:vAlign w:val="center"/>
          </w:tcPr>
          <w:p w14:paraId="4303C452"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Pathanamthitta</w:t>
            </w:r>
          </w:p>
        </w:tc>
        <w:tc>
          <w:tcPr>
            <w:tcW w:w="1872" w:type="dxa"/>
            <w:vAlign w:val="center"/>
          </w:tcPr>
          <w:p w14:paraId="028F5E87"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0.58</w:t>
            </w:r>
          </w:p>
        </w:tc>
        <w:tc>
          <w:tcPr>
            <w:tcW w:w="2126" w:type="dxa"/>
            <w:vAlign w:val="center"/>
          </w:tcPr>
          <w:p w14:paraId="512A0143"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0.51</w:t>
            </w:r>
          </w:p>
        </w:tc>
      </w:tr>
      <w:tr w:rsidR="006102DF" w:rsidRPr="006102DF" w14:paraId="51C177D2" w14:textId="77777777" w:rsidTr="006102DF">
        <w:trPr>
          <w:jc w:val="center"/>
        </w:trPr>
        <w:tc>
          <w:tcPr>
            <w:tcW w:w="761" w:type="dxa"/>
            <w:vAlign w:val="center"/>
          </w:tcPr>
          <w:p w14:paraId="548FA367"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9</w:t>
            </w:r>
          </w:p>
        </w:tc>
        <w:tc>
          <w:tcPr>
            <w:tcW w:w="2100" w:type="dxa"/>
            <w:vAlign w:val="center"/>
          </w:tcPr>
          <w:p w14:paraId="257C7E63"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Kottayam</w:t>
            </w:r>
          </w:p>
        </w:tc>
        <w:tc>
          <w:tcPr>
            <w:tcW w:w="1872" w:type="dxa"/>
            <w:vAlign w:val="center"/>
          </w:tcPr>
          <w:p w14:paraId="340958E2"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0.64</w:t>
            </w:r>
          </w:p>
        </w:tc>
        <w:tc>
          <w:tcPr>
            <w:tcW w:w="2126" w:type="dxa"/>
            <w:vAlign w:val="center"/>
          </w:tcPr>
          <w:p w14:paraId="65A3A36D"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0.57</w:t>
            </w:r>
          </w:p>
        </w:tc>
      </w:tr>
      <w:tr w:rsidR="006102DF" w:rsidRPr="006102DF" w14:paraId="416EACFD" w14:textId="77777777" w:rsidTr="006102DF">
        <w:trPr>
          <w:jc w:val="center"/>
        </w:trPr>
        <w:tc>
          <w:tcPr>
            <w:tcW w:w="761" w:type="dxa"/>
            <w:vAlign w:val="center"/>
          </w:tcPr>
          <w:p w14:paraId="061E8A5C"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10</w:t>
            </w:r>
          </w:p>
        </w:tc>
        <w:tc>
          <w:tcPr>
            <w:tcW w:w="2100" w:type="dxa"/>
            <w:vAlign w:val="center"/>
          </w:tcPr>
          <w:p w14:paraId="5CAEA172"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Ernakulam</w:t>
            </w:r>
          </w:p>
        </w:tc>
        <w:tc>
          <w:tcPr>
            <w:tcW w:w="1872" w:type="dxa"/>
            <w:vAlign w:val="center"/>
          </w:tcPr>
          <w:p w14:paraId="32746AD5"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0.73</w:t>
            </w:r>
          </w:p>
        </w:tc>
        <w:tc>
          <w:tcPr>
            <w:tcW w:w="2126" w:type="dxa"/>
            <w:vAlign w:val="center"/>
          </w:tcPr>
          <w:p w14:paraId="37332DBE"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0.66</w:t>
            </w:r>
          </w:p>
        </w:tc>
      </w:tr>
      <w:tr w:rsidR="006102DF" w:rsidRPr="006102DF" w14:paraId="623E2811" w14:textId="77777777" w:rsidTr="006102DF">
        <w:trPr>
          <w:jc w:val="center"/>
        </w:trPr>
        <w:tc>
          <w:tcPr>
            <w:tcW w:w="761" w:type="dxa"/>
            <w:vAlign w:val="center"/>
          </w:tcPr>
          <w:p w14:paraId="4DEF2D04"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11</w:t>
            </w:r>
          </w:p>
        </w:tc>
        <w:tc>
          <w:tcPr>
            <w:tcW w:w="2100" w:type="dxa"/>
            <w:vAlign w:val="center"/>
          </w:tcPr>
          <w:p w14:paraId="6B9EDAC0"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Thrissur</w:t>
            </w:r>
          </w:p>
        </w:tc>
        <w:tc>
          <w:tcPr>
            <w:tcW w:w="1872" w:type="dxa"/>
            <w:vAlign w:val="center"/>
          </w:tcPr>
          <w:p w14:paraId="483AF1F5"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0.82</w:t>
            </w:r>
          </w:p>
        </w:tc>
        <w:tc>
          <w:tcPr>
            <w:tcW w:w="2126" w:type="dxa"/>
            <w:vAlign w:val="center"/>
          </w:tcPr>
          <w:p w14:paraId="186127BC"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0.77</w:t>
            </w:r>
          </w:p>
        </w:tc>
      </w:tr>
      <w:tr w:rsidR="006102DF" w:rsidRPr="006102DF" w14:paraId="0D7986BB" w14:textId="77777777" w:rsidTr="006102DF">
        <w:trPr>
          <w:jc w:val="center"/>
        </w:trPr>
        <w:tc>
          <w:tcPr>
            <w:tcW w:w="761" w:type="dxa"/>
            <w:vAlign w:val="center"/>
          </w:tcPr>
          <w:p w14:paraId="05940D0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12</w:t>
            </w:r>
          </w:p>
        </w:tc>
        <w:tc>
          <w:tcPr>
            <w:tcW w:w="2100" w:type="dxa"/>
            <w:vAlign w:val="center"/>
          </w:tcPr>
          <w:p w14:paraId="1BC4EB96"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Idukki</w:t>
            </w:r>
          </w:p>
        </w:tc>
        <w:tc>
          <w:tcPr>
            <w:tcW w:w="1872" w:type="dxa"/>
            <w:vAlign w:val="center"/>
          </w:tcPr>
          <w:p w14:paraId="6C8EA0BF"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0.85</w:t>
            </w:r>
          </w:p>
        </w:tc>
        <w:tc>
          <w:tcPr>
            <w:tcW w:w="2126" w:type="dxa"/>
            <w:vAlign w:val="center"/>
          </w:tcPr>
          <w:p w14:paraId="36B9B5A0"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0.81</w:t>
            </w:r>
          </w:p>
        </w:tc>
      </w:tr>
      <w:tr w:rsidR="006102DF" w:rsidRPr="006102DF" w14:paraId="5B4C9986" w14:textId="77777777" w:rsidTr="006102DF">
        <w:trPr>
          <w:jc w:val="center"/>
        </w:trPr>
        <w:tc>
          <w:tcPr>
            <w:tcW w:w="761" w:type="dxa"/>
            <w:vAlign w:val="center"/>
          </w:tcPr>
          <w:p w14:paraId="0A3271FA"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13</w:t>
            </w:r>
          </w:p>
        </w:tc>
        <w:tc>
          <w:tcPr>
            <w:tcW w:w="2100" w:type="dxa"/>
            <w:vAlign w:val="center"/>
          </w:tcPr>
          <w:p w14:paraId="4C4B4695" w14:textId="77777777" w:rsidR="006102DF" w:rsidRPr="006102DF" w:rsidRDefault="006102DF" w:rsidP="006102DF">
            <w:pPr>
              <w:rPr>
                <w:rFonts w:ascii="Arial" w:eastAsia="Times New Roman" w:hAnsi="Arial" w:cs="Arial"/>
                <w:sz w:val="20"/>
                <w:szCs w:val="20"/>
              </w:rPr>
            </w:pPr>
            <w:r>
              <w:rPr>
                <w:rFonts w:ascii="Arial" w:eastAsia="Times New Roman" w:hAnsi="Arial" w:cs="Arial"/>
                <w:sz w:val="20"/>
                <w:szCs w:val="20"/>
              </w:rPr>
              <w:t>Trivandrum</w:t>
            </w:r>
          </w:p>
        </w:tc>
        <w:tc>
          <w:tcPr>
            <w:tcW w:w="1872" w:type="dxa"/>
            <w:vAlign w:val="center"/>
          </w:tcPr>
          <w:p w14:paraId="7EDF95E5"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0.95</w:t>
            </w:r>
          </w:p>
        </w:tc>
        <w:tc>
          <w:tcPr>
            <w:tcW w:w="2126" w:type="dxa"/>
            <w:vAlign w:val="center"/>
          </w:tcPr>
          <w:p w14:paraId="6286753D"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0.93</w:t>
            </w:r>
          </w:p>
        </w:tc>
      </w:tr>
      <w:tr w:rsidR="006102DF" w:rsidRPr="006102DF" w14:paraId="7FDA0CE2" w14:textId="77777777" w:rsidTr="006102DF">
        <w:trPr>
          <w:jc w:val="center"/>
        </w:trPr>
        <w:tc>
          <w:tcPr>
            <w:tcW w:w="761" w:type="dxa"/>
            <w:vAlign w:val="center"/>
          </w:tcPr>
          <w:p w14:paraId="24AA86E4"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14</w:t>
            </w:r>
          </w:p>
        </w:tc>
        <w:tc>
          <w:tcPr>
            <w:tcW w:w="2100" w:type="dxa"/>
            <w:vAlign w:val="center"/>
          </w:tcPr>
          <w:p w14:paraId="3D05B12B" w14:textId="77777777" w:rsidR="006102DF" w:rsidRPr="006102DF" w:rsidRDefault="006102DF" w:rsidP="006102DF">
            <w:pPr>
              <w:rPr>
                <w:rFonts w:ascii="Arial" w:eastAsia="Times New Roman" w:hAnsi="Arial" w:cs="Arial"/>
                <w:sz w:val="20"/>
                <w:szCs w:val="20"/>
              </w:rPr>
            </w:pPr>
            <w:r w:rsidRPr="006102DF">
              <w:rPr>
                <w:rFonts w:ascii="Arial" w:eastAsia="Times New Roman" w:hAnsi="Arial" w:cs="Arial"/>
                <w:sz w:val="20"/>
                <w:szCs w:val="20"/>
              </w:rPr>
              <w:t>Wayanad</w:t>
            </w:r>
          </w:p>
        </w:tc>
        <w:tc>
          <w:tcPr>
            <w:tcW w:w="1872" w:type="dxa"/>
            <w:vAlign w:val="center"/>
          </w:tcPr>
          <w:p w14:paraId="1E6A9E62"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1.00</w:t>
            </w:r>
          </w:p>
        </w:tc>
        <w:tc>
          <w:tcPr>
            <w:tcW w:w="2126" w:type="dxa"/>
            <w:vAlign w:val="center"/>
          </w:tcPr>
          <w:p w14:paraId="7B4ACE52" w14:textId="77777777" w:rsidR="006102DF" w:rsidRPr="006102DF" w:rsidRDefault="006102DF" w:rsidP="00052C82">
            <w:pPr>
              <w:jc w:val="center"/>
              <w:rPr>
                <w:rFonts w:ascii="Arial" w:eastAsia="Times New Roman" w:hAnsi="Arial" w:cs="Arial"/>
                <w:sz w:val="20"/>
                <w:szCs w:val="20"/>
              </w:rPr>
            </w:pPr>
            <w:r w:rsidRPr="006102DF">
              <w:rPr>
                <w:rFonts w:ascii="Arial" w:eastAsia="Times New Roman" w:hAnsi="Arial" w:cs="Arial"/>
                <w:sz w:val="20"/>
                <w:szCs w:val="20"/>
              </w:rPr>
              <w:t>1.00</w:t>
            </w:r>
          </w:p>
        </w:tc>
      </w:tr>
    </w:tbl>
    <w:p w14:paraId="6B2D25EC" w14:textId="77777777" w:rsidR="00F42B9A" w:rsidRPr="00F42B9A" w:rsidRDefault="00F42B9A" w:rsidP="00F42B9A">
      <w:pPr>
        <w:spacing w:after="0" w:line="360" w:lineRule="auto"/>
        <w:ind w:right="4"/>
        <w:jc w:val="both"/>
        <w:rPr>
          <w:rFonts w:ascii="Arial" w:eastAsia="Times New Roman" w:hAnsi="Arial" w:cs="Arial"/>
          <w:b/>
          <w:i/>
          <w:sz w:val="18"/>
          <w:szCs w:val="20"/>
        </w:rPr>
      </w:pPr>
      <w:r w:rsidRPr="00F42B9A">
        <w:rPr>
          <w:rFonts w:ascii="Arial" w:eastAsia="Times New Roman" w:hAnsi="Arial" w:cs="Arial"/>
          <w:b/>
          <w:i/>
          <w:sz w:val="18"/>
          <w:szCs w:val="20"/>
        </w:rPr>
        <w:tab/>
      </w:r>
      <w:r w:rsidRPr="00F42B9A">
        <w:rPr>
          <w:rFonts w:ascii="Arial" w:eastAsia="Times New Roman" w:hAnsi="Arial" w:cs="Arial"/>
          <w:b/>
          <w:i/>
          <w:sz w:val="18"/>
          <w:szCs w:val="20"/>
        </w:rPr>
        <w:tab/>
        <w:t>Source: Computed Data</w:t>
      </w:r>
    </w:p>
    <w:p w14:paraId="3E14B743" w14:textId="77777777" w:rsidR="006102DF" w:rsidRDefault="006102DF" w:rsidP="00DC0656">
      <w:pPr>
        <w:spacing w:after="0" w:line="360" w:lineRule="auto"/>
        <w:ind w:right="4"/>
        <w:jc w:val="center"/>
        <w:rPr>
          <w:rFonts w:ascii="Arial" w:eastAsia="Times New Roman" w:hAnsi="Arial" w:cs="Arial"/>
          <w:b/>
          <w:sz w:val="20"/>
          <w:szCs w:val="20"/>
        </w:rPr>
      </w:pPr>
      <w:r>
        <w:rPr>
          <w:rFonts w:ascii="Arial" w:eastAsia="Times New Roman" w:hAnsi="Arial" w:cs="Arial"/>
          <w:b/>
          <w:noProof/>
          <w:sz w:val="20"/>
          <w:szCs w:val="20"/>
        </w:rPr>
        <w:drawing>
          <wp:inline distT="0" distB="0" distL="0" distR="0" wp14:anchorId="58028E83" wp14:editId="75222B0D">
            <wp:extent cx="4389119" cy="3244132"/>
            <wp:effectExtent l="19050" t="19050" r="1206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0904" cy="3245451"/>
                    </a:xfrm>
                    <a:prstGeom prst="rect">
                      <a:avLst/>
                    </a:prstGeom>
                    <a:ln w="3175">
                      <a:solidFill>
                        <a:schemeClr val="tx1"/>
                      </a:solidFill>
                    </a:ln>
                  </pic:spPr>
                </pic:pic>
              </a:graphicData>
            </a:graphic>
          </wp:inline>
        </w:drawing>
      </w:r>
    </w:p>
    <w:p w14:paraId="3BC747CD" w14:textId="77777777" w:rsidR="006102DF" w:rsidRPr="006102DF" w:rsidRDefault="006102DF" w:rsidP="006102DF">
      <w:pPr>
        <w:spacing w:after="0" w:line="360" w:lineRule="auto"/>
        <w:ind w:right="4"/>
        <w:jc w:val="center"/>
        <w:rPr>
          <w:rFonts w:ascii="Arial" w:eastAsia="Times New Roman" w:hAnsi="Arial" w:cs="Arial"/>
          <w:b/>
          <w:sz w:val="20"/>
          <w:szCs w:val="20"/>
        </w:rPr>
      </w:pPr>
      <w:r w:rsidRPr="006102DF">
        <w:rPr>
          <w:rFonts w:ascii="Arial" w:eastAsia="Times New Roman" w:hAnsi="Arial" w:cs="Arial"/>
          <w:b/>
          <w:sz w:val="20"/>
          <w:szCs w:val="20"/>
        </w:rPr>
        <w:t>Fig.</w:t>
      </w:r>
      <w:r>
        <w:rPr>
          <w:rFonts w:ascii="Arial" w:eastAsia="Times New Roman" w:hAnsi="Arial" w:cs="Arial"/>
          <w:b/>
          <w:sz w:val="20"/>
          <w:szCs w:val="20"/>
        </w:rPr>
        <w:t xml:space="preserve"> </w:t>
      </w:r>
      <w:r w:rsidRPr="006102DF">
        <w:rPr>
          <w:rFonts w:ascii="Arial" w:eastAsia="Times New Roman" w:hAnsi="Arial" w:cs="Arial"/>
          <w:b/>
          <w:sz w:val="20"/>
          <w:szCs w:val="20"/>
        </w:rPr>
        <w:t xml:space="preserve">No. 2. </w:t>
      </w:r>
      <w:r w:rsidRPr="006102DF">
        <w:rPr>
          <w:rFonts w:ascii="Arial" w:hAnsi="Arial" w:cs="Arial"/>
          <w:b/>
          <w:sz w:val="20"/>
          <w:szCs w:val="20"/>
        </w:rPr>
        <w:t>Lorenz Curve of PHC Allocation across Kerala Districts</w:t>
      </w:r>
    </w:p>
    <w:p w14:paraId="671A61BB" w14:textId="77777777" w:rsidR="00F42B9A" w:rsidRDefault="00DC0656" w:rsidP="009E1738">
      <w:pPr>
        <w:spacing w:after="0" w:line="360" w:lineRule="auto"/>
        <w:ind w:right="4" w:firstLine="720"/>
        <w:jc w:val="both"/>
        <w:rPr>
          <w:rFonts w:ascii="Arial" w:eastAsia="Times New Roman" w:hAnsi="Arial" w:cs="Arial"/>
          <w:sz w:val="20"/>
          <w:szCs w:val="20"/>
        </w:rPr>
      </w:pPr>
      <w:r w:rsidRPr="00DC0656">
        <w:rPr>
          <w:rFonts w:ascii="Arial" w:eastAsia="Times New Roman" w:hAnsi="Arial" w:cs="Arial"/>
          <w:sz w:val="20"/>
          <w:szCs w:val="20"/>
        </w:rPr>
        <w:t xml:space="preserve">The Lorenz curve and cumulative distribution table provide valuable insights into the extent of inequality in the allocation of Public Health Centres (PHCs) across Kerala’s districts. Districts are ranked by PHC density, with Kollam having the lowest (1.20 per 100,000) and Wayanad the highest (2.85 per 100,000). The cumulative distribution shows that the first half of the population, concentrated in districts with lower PHC density, accounts for slightly less than half of the PHCs. For example, by the time we reach Alappuzha, covering around 55 percent of the population, only 47 percent of PHCs are included. Conversely, districts with higher PHC density, such as Idukki, Thiruvananthapuram, and Wayanad, contribute disproportionately more PHCs relative to their population shares. The Lorenz curve itself lies close to the line of equality, and the small gap between them corresponds to a Gini coefficient of around 0.12, confirming that inequality is very low. This indicates that Kerala has succeeded in ensuring an </w:t>
      </w:r>
      <w:r w:rsidRPr="00DC0656">
        <w:rPr>
          <w:rFonts w:ascii="Arial" w:eastAsia="Times New Roman" w:hAnsi="Arial" w:cs="Arial"/>
          <w:sz w:val="20"/>
          <w:szCs w:val="20"/>
        </w:rPr>
        <w:lastRenderedPageBreak/>
        <w:t>almost uniform distribution of PHCs relative to population across its districts. Nonetheless, slight disparities exist, particularly between districts at the bottom (Kollam, Malappuram) and those at the top (Wayanad, Idukki), warranting attention to regional needs despite the overall equity achievement.</w:t>
      </w:r>
    </w:p>
    <w:p w14:paraId="7A24301A" w14:textId="77777777" w:rsidR="00F42B9A" w:rsidRDefault="002A7BA9" w:rsidP="00F42B9A">
      <w:pPr>
        <w:spacing w:after="0" w:line="240" w:lineRule="auto"/>
        <w:ind w:right="4"/>
        <w:jc w:val="both"/>
        <w:rPr>
          <w:rFonts w:ascii="Arial" w:eastAsia="Times New Roman" w:hAnsi="Arial" w:cs="Arial"/>
          <w:b/>
          <w:szCs w:val="20"/>
        </w:rPr>
      </w:pPr>
      <w:r w:rsidRPr="002A7BA9">
        <w:rPr>
          <w:rFonts w:ascii="Arial" w:eastAsia="Times New Roman" w:hAnsi="Arial" w:cs="Arial"/>
          <w:b/>
          <w:szCs w:val="20"/>
        </w:rPr>
        <w:t xml:space="preserve">5.3. </w:t>
      </w:r>
      <w:r w:rsidR="00F42B9A" w:rsidRPr="00F42B9A">
        <w:rPr>
          <w:rFonts w:ascii="Arial" w:eastAsia="Times New Roman" w:hAnsi="Arial" w:cs="Arial"/>
          <w:b/>
          <w:szCs w:val="20"/>
        </w:rPr>
        <w:t>Composite Vulnerability Index of Districts in Kerala Based on Socio-Demographic Indicators and PHC Density</w:t>
      </w:r>
    </w:p>
    <w:p w14:paraId="5956483C" w14:textId="77777777" w:rsidR="00F42B9A" w:rsidRPr="00F42B9A" w:rsidRDefault="00F42B9A" w:rsidP="00F42B9A">
      <w:pPr>
        <w:spacing w:after="0" w:line="360" w:lineRule="auto"/>
        <w:ind w:right="4"/>
        <w:jc w:val="center"/>
        <w:rPr>
          <w:rFonts w:ascii="Arial" w:eastAsia="Times New Roman" w:hAnsi="Arial" w:cs="Arial"/>
          <w:b/>
          <w:sz w:val="20"/>
          <w:szCs w:val="20"/>
        </w:rPr>
      </w:pPr>
      <w:r w:rsidRPr="00F42B9A">
        <w:rPr>
          <w:rFonts w:ascii="Arial" w:eastAsia="Times New Roman" w:hAnsi="Arial" w:cs="Arial"/>
          <w:b/>
          <w:sz w:val="20"/>
          <w:szCs w:val="20"/>
        </w:rPr>
        <w:t xml:space="preserve">Table 4. </w:t>
      </w:r>
      <w:r w:rsidRPr="00F42B9A">
        <w:rPr>
          <w:rFonts w:ascii="Arial" w:hAnsi="Arial" w:cs="Arial"/>
          <w:b/>
          <w:sz w:val="20"/>
          <w:szCs w:val="20"/>
        </w:rPr>
        <w:t>Composite Vulnerability Index and Ranks</w:t>
      </w:r>
    </w:p>
    <w:tbl>
      <w:tblPr>
        <w:tblStyle w:val="TableGrid"/>
        <w:tblW w:w="7293" w:type="dxa"/>
        <w:jc w:val="center"/>
        <w:tblLook w:val="04A0" w:firstRow="1" w:lastRow="0" w:firstColumn="1" w:lastColumn="0" w:noHBand="0" w:noVBand="1"/>
      </w:tblPr>
      <w:tblGrid>
        <w:gridCol w:w="3192"/>
        <w:gridCol w:w="1967"/>
        <w:gridCol w:w="2134"/>
      </w:tblGrid>
      <w:tr w:rsidR="00F42B9A" w:rsidRPr="00F42B9A" w14:paraId="418F6E2C" w14:textId="77777777" w:rsidTr="00052C82">
        <w:trPr>
          <w:trHeight w:val="20"/>
          <w:jc w:val="center"/>
        </w:trPr>
        <w:tc>
          <w:tcPr>
            <w:tcW w:w="3192" w:type="dxa"/>
            <w:vAlign w:val="center"/>
          </w:tcPr>
          <w:p w14:paraId="5E1E0A20" w14:textId="77777777" w:rsidR="00F42B9A" w:rsidRPr="002A7BA9" w:rsidRDefault="00F42B9A" w:rsidP="00F42B9A">
            <w:pPr>
              <w:jc w:val="center"/>
              <w:rPr>
                <w:rFonts w:ascii="Arial" w:eastAsia="Times New Roman" w:hAnsi="Arial" w:cs="Arial"/>
                <w:b/>
                <w:bCs/>
                <w:sz w:val="20"/>
                <w:szCs w:val="20"/>
              </w:rPr>
            </w:pPr>
            <w:r w:rsidRPr="002A7BA9">
              <w:rPr>
                <w:rFonts w:ascii="Arial" w:eastAsia="Times New Roman" w:hAnsi="Arial" w:cs="Arial"/>
                <w:b/>
                <w:bCs/>
                <w:sz w:val="20"/>
                <w:szCs w:val="20"/>
              </w:rPr>
              <w:t>District</w:t>
            </w:r>
          </w:p>
        </w:tc>
        <w:tc>
          <w:tcPr>
            <w:tcW w:w="1967" w:type="dxa"/>
            <w:vAlign w:val="center"/>
          </w:tcPr>
          <w:p w14:paraId="41774FC8" w14:textId="77777777" w:rsidR="00F42B9A" w:rsidRPr="002A7BA9" w:rsidRDefault="00F42B9A" w:rsidP="00F42B9A">
            <w:pPr>
              <w:jc w:val="center"/>
              <w:rPr>
                <w:rFonts w:ascii="Arial" w:eastAsia="Times New Roman" w:hAnsi="Arial" w:cs="Arial"/>
                <w:b/>
                <w:bCs/>
                <w:sz w:val="20"/>
                <w:szCs w:val="20"/>
              </w:rPr>
            </w:pPr>
            <w:r w:rsidRPr="002A7BA9">
              <w:rPr>
                <w:rFonts w:ascii="Arial" w:eastAsia="Times New Roman" w:hAnsi="Arial" w:cs="Arial"/>
                <w:b/>
                <w:bCs/>
                <w:sz w:val="20"/>
                <w:szCs w:val="20"/>
              </w:rPr>
              <w:t>Vulnerability Index</w:t>
            </w:r>
          </w:p>
        </w:tc>
        <w:tc>
          <w:tcPr>
            <w:tcW w:w="2134" w:type="dxa"/>
            <w:vAlign w:val="center"/>
          </w:tcPr>
          <w:p w14:paraId="193C838D" w14:textId="77777777" w:rsidR="00F42B9A" w:rsidRPr="002A7BA9" w:rsidRDefault="00F42B9A" w:rsidP="00F42B9A">
            <w:pPr>
              <w:jc w:val="center"/>
              <w:rPr>
                <w:rFonts w:ascii="Arial" w:eastAsia="Times New Roman" w:hAnsi="Arial" w:cs="Arial"/>
                <w:b/>
                <w:bCs/>
                <w:sz w:val="20"/>
                <w:szCs w:val="20"/>
              </w:rPr>
            </w:pPr>
            <w:r w:rsidRPr="002A7BA9">
              <w:rPr>
                <w:rFonts w:ascii="Arial" w:eastAsia="Times New Roman" w:hAnsi="Arial" w:cs="Arial"/>
                <w:b/>
                <w:bCs/>
                <w:sz w:val="20"/>
                <w:szCs w:val="20"/>
              </w:rPr>
              <w:t>Rank (1 = Highest Vulnerability)</w:t>
            </w:r>
          </w:p>
        </w:tc>
      </w:tr>
      <w:tr w:rsidR="00F42B9A" w:rsidRPr="00F42B9A" w14:paraId="4D5C0403" w14:textId="77777777" w:rsidTr="00052C82">
        <w:trPr>
          <w:trHeight w:val="20"/>
          <w:jc w:val="center"/>
        </w:trPr>
        <w:tc>
          <w:tcPr>
            <w:tcW w:w="3192" w:type="dxa"/>
            <w:vAlign w:val="center"/>
          </w:tcPr>
          <w:p w14:paraId="36825F6F"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Palakkad</w:t>
            </w:r>
          </w:p>
        </w:tc>
        <w:tc>
          <w:tcPr>
            <w:tcW w:w="1967" w:type="dxa"/>
            <w:vAlign w:val="center"/>
          </w:tcPr>
          <w:p w14:paraId="4293E9CF"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0.710</w:t>
            </w:r>
          </w:p>
        </w:tc>
        <w:tc>
          <w:tcPr>
            <w:tcW w:w="2134" w:type="dxa"/>
            <w:vAlign w:val="center"/>
          </w:tcPr>
          <w:p w14:paraId="3F7D84CA"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w:t>
            </w:r>
          </w:p>
        </w:tc>
      </w:tr>
      <w:tr w:rsidR="00F42B9A" w:rsidRPr="00F42B9A" w14:paraId="6E512753" w14:textId="77777777" w:rsidTr="00052C82">
        <w:trPr>
          <w:trHeight w:val="20"/>
          <w:jc w:val="center"/>
        </w:trPr>
        <w:tc>
          <w:tcPr>
            <w:tcW w:w="3192" w:type="dxa"/>
            <w:vAlign w:val="center"/>
          </w:tcPr>
          <w:p w14:paraId="5E12BDA1"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Kollam</w:t>
            </w:r>
          </w:p>
        </w:tc>
        <w:tc>
          <w:tcPr>
            <w:tcW w:w="1967" w:type="dxa"/>
            <w:vAlign w:val="center"/>
          </w:tcPr>
          <w:p w14:paraId="1001C1D4"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0.644</w:t>
            </w:r>
          </w:p>
        </w:tc>
        <w:tc>
          <w:tcPr>
            <w:tcW w:w="2134" w:type="dxa"/>
            <w:vAlign w:val="center"/>
          </w:tcPr>
          <w:p w14:paraId="2E758A8E"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2</w:t>
            </w:r>
          </w:p>
        </w:tc>
      </w:tr>
      <w:tr w:rsidR="00F42B9A" w:rsidRPr="00F42B9A" w14:paraId="77982433" w14:textId="77777777" w:rsidTr="00052C82">
        <w:trPr>
          <w:trHeight w:val="20"/>
          <w:jc w:val="center"/>
        </w:trPr>
        <w:tc>
          <w:tcPr>
            <w:tcW w:w="3192" w:type="dxa"/>
            <w:vAlign w:val="center"/>
          </w:tcPr>
          <w:p w14:paraId="3A5E8EC4"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Idukki</w:t>
            </w:r>
          </w:p>
        </w:tc>
        <w:tc>
          <w:tcPr>
            <w:tcW w:w="1967" w:type="dxa"/>
            <w:vAlign w:val="center"/>
          </w:tcPr>
          <w:p w14:paraId="5897D988"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0.642</w:t>
            </w:r>
          </w:p>
        </w:tc>
        <w:tc>
          <w:tcPr>
            <w:tcW w:w="2134" w:type="dxa"/>
            <w:vAlign w:val="center"/>
          </w:tcPr>
          <w:p w14:paraId="54811890"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3</w:t>
            </w:r>
          </w:p>
        </w:tc>
      </w:tr>
      <w:tr w:rsidR="00F42B9A" w:rsidRPr="00F42B9A" w14:paraId="4EEF45F1" w14:textId="77777777" w:rsidTr="00052C82">
        <w:trPr>
          <w:trHeight w:val="20"/>
          <w:jc w:val="center"/>
        </w:trPr>
        <w:tc>
          <w:tcPr>
            <w:tcW w:w="3192" w:type="dxa"/>
            <w:vAlign w:val="center"/>
          </w:tcPr>
          <w:p w14:paraId="22B1BB34"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Alappuzha</w:t>
            </w:r>
          </w:p>
        </w:tc>
        <w:tc>
          <w:tcPr>
            <w:tcW w:w="1967" w:type="dxa"/>
            <w:vAlign w:val="center"/>
          </w:tcPr>
          <w:p w14:paraId="17678B57"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0.555</w:t>
            </w:r>
          </w:p>
        </w:tc>
        <w:tc>
          <w:tcPr>
            <w:tcW w:w="2134" w:type="dxa"/>
            <w:vAlign w:val="center"/>
          </w:tcPr>
          <w:p w14:paraId="7A594D16"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4</w:t>
            </w:r>
          </w:p>
        </w:tc>
      </w:tr>
      <w:tr w:rsidR="00F42B9A" w:rsidRPr="00F42B9A" w14:paraId="0B57A46A" w14:textId="77777777" w:rsidTr="00052C82">
        <w:trPr>
          <w:trHeight w:val="20"/>
          <w:jc w:val="center"/>
        </w:trPr>
        <w:tc>
          <w:tcPr>
            <w:tcW w:w="3192" w:type="dxa"/>
            <w:vAlign w:val="center"/>
          </w:tcPr>
          <w:p w14:paraId="4C5B1F9E"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Wayanad</w:t>
            </w:r>
          </w:p>
        </w:tc>
        <w:tc>
          <w:tcPr>
            <w:tcW w:w="1967" w:type="dxa"/>
            <w:vAlign w:val="center"/>
          </w:tcPr>
          <w:p w14:paraId="5ED8CDE8"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0.516</w:t>
            </w:r>
          </w:p>
        </w:tc>
        <w:tc>
          <w:tcPr>
            <w:tcW w:w="2134" w:type="dxa"/>
            <w:vAlign w:val="center"/>
          </w:tcPr>
          <w:p w14:paraId="3E60317F"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5</w:t>
            </w:r>
          </w:p>
        </w:tc>
      </w:tr>
      <w:tr w:rsidR="00F42B9A" w:rsidRPr="00F42B9A" w14:paraId="4FFA1FC5" w14:textId="77777777" w:rsidTr="00052C82">
        <w:trPr>
          <w:trHeight w:val="20"/>
          <w:jc w:val="center"/>
        </w:trPr>
        <w:tc>
          <w:tcPr>
            <w:tcW w:w="3192" w:type="dxa"/>
            <w:vAlign w:val="center"/>
          </w:tcPr>
          <w:p w14:paraId="3C4B30BA"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Thiruvananthapuram</w:t>
            </w:r>
          </w:p>
        </w:tc>
        <w:tc>
          <w:tcPr>
            <w:tcW w:w="1967" w:type="dxa"/>
            <w:vAlign w:val="center"/>
          </w:tcPr>
          <w:p w14:paraId="2B992E95"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0.502</w:t>
            </w:r>
          </w:p>
        </w:tc>
        <w:tc>
          <w:tcPr>
            <w:tcW w:w="2134" w:type="dxa"/>
            <w:vAlign w:val="center"/>
          </w:tcPr>
          <w:p w14:paraId="2E9CC9E5"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6</w:t>
            </w:r>
          </w:p>
        </w:tc>
      </w:tr>
      <w:tr w:rsidR="00F42B9A" w:rsidRPr="00F42B9A" w14:paraId="3B922E28" w14:textId="77777777" w:rsidTr="00052C82">
        <w:trPr>
          <w:trHeight w:val="20"/>
          <w:jc w:val="center"/>
        </w:trPr>
        <w:tc>
          <w:tcPr>
            <w:tcW w:w="3192" w:type="dxa"/>
            <w:vAlign w:val="center"/>
          </w:tcPr>
          <w:p w14:paraId="49A1B0A4"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Pathanamthitta</w:t>
            </w:r>
          </w:p>
        </w:tc>
        <w:tc>
          <w:tcPr>
            <w:tcW w:w="1967" w:type="dxa"/>
            <w:vAlign w:val="center"/>
          </w:tcPr>
          <w:p w14:paraId="5B0268E1"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0.476</w:t>
            </w:r>
          </w:p>
        </w:tc>
        <w:tc>
          <w:tcPr>
            <w:tcW w:w="2134" w:type="dxa"/>
            <w:vAlign w:val="center"/>
          </w:tcPr>
          <w:p w14:paraId="067E6FC3"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7</w:t>
            </w:r>
          </w:p>
        </w:tc>
      </w:tr>
      <w:tr w:rsidR="00F42B9A" w:rsidRPr="00F42B9A" w14:paraId="56F2EF53" w14:textId="77777777" w:rsidTr="00052C82">
        <w:trPr>
          <w:trHeight w:val="20"/>
          <w:jc w:val="center"/>
        </w:trPr>
        <w:tc>
          <w:tcPr>
            <w:tcW w:w="3192" w:type="dxa"/>
            <w:vAlign w:val="center"/>
          </w:tcPr>
          <w:p w14:paraId="720195B6"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Malappuram</w:t>
            </w:r>
          </w:p>
        </w:tc>
        <w:tc>
          <w:tcPr>
            <w:tcW w:w="1967" w:type="dxa"/>
            <w:vAlign w:val="center"/>
          </w:tcPr>
          <w:p w14:paraId="41D95783"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0.468</w:t>
            </w:r>
          </w:p>
        </w:tc>
        <w:tc>
          <w:tcPr>
            <w:tcW w:w="2134" w:type="dxa"/>
            <w:vAlign w:val="center"/>
          </w:tcPr>
          <w:p w14:paraId="49FF01C0"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8</w:t>
            </w:r>
          </w:p>
        </w:tc>
      </w:tr>
      <w:tr w:rsidR="00F42B9A" w:rsidRPr="00F42B9A" w14:paraId="51805EAA" w14:textId="77777777" w:rsidTr="00052C82">
        <w:trPr>
          <w:trHeight w:val="20"/>
          <w:jc w:val="center"/>
        </w:trPr>
        <w:tc>
          <w:tcPr>
            <w:tcW w:w="3192" w:type="dxa"/>
            <w:vAlign w:val="center"/>
          </w:tcPr>
          <w:p w14:paraId="40D4356B"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Kasaragod</w:t>
            </w:r>
          </w:p>
        </w:tc>
        <w:tc>
          <w:tcPr>
            <w:tcW w:w="1967" w:type="dxa"/>
            <w:vAlign w:val="center"/>
          </w:tcPr>
          <w:p w14:paraId="281223C9"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0.415</w:t>
            </w:r>
          </w:p>
        </w:tc>
        <w:tc>
          <w:tcPr>
            <w:tcW w:w="2134" w:type="dxa"/>
            <w:vAlign w:val="center"/>
          </w:tcPr>
          <w:p w14:paraId="5AF3AEA9"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9</w:t>
            </w:r>
          </w:p>
        </w:tc>
      </w:tr>
      <w:tr w:rsidR="00F42B9A" w:rsidRPr="00F42B9A" w14:paraId="633F252C" w14:textId="77777777" w:rsidTr="00052C82">
        <w:trPr>
          <w:trHeight w:val="20"/>
          <w:jc w:val="center"/>
        </w:trPr>
        <w:tc>
          <w:tcPr>
            <w:tcW w:w="3192" w:type="dxa"/>
            <w:vAlign w:val="center"/>
          </w:tcPr>
          <w:p w14:paraId="44BC6E5C"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Kozhikode</w:t>
            </w:r>
          </w:p>
        </w:tc>
        <w:tc>
          <w:tcPr>
            <w:tcW w:w="1967" w:type="dxa"/>
            <w:vAlign w:val="center"/>
          </w:tcPr>
          <w:p w14:paraId="0BE287A8"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0.412</w:t>
            </w:r>
          </w:p>
        </w:tc>
        <w:tc>
          <w:tcPr>
            <w:tcW w:w="2134" w:type="dxa"/>
            <w:vAlign w:val="center"/>
          </w:tcPr>
          <w:p w14:paraId="0C7AEF68"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10</w:t>
            </w:r>
          </w:p>
        </w:tc>
      </w:tr>
      <w:tr w:rsidR="00F42B9A" w:rsidRPr="00F42B9A" w14:paraId="793D0B90" w14:textId="77777777" w:rsidTr="00052C82">
        <w:trPr>
          <w:trHeight w:val="20"/>
          <w:jc w:val="center"/>
        </w:trPr>
        <w:tc>
          <w:tcPr>
            <w:tcW w:w="3192" w:type="dxa"/>
            <w:vAlign w:val="center"/>
          </w:tcPr>
          <w:p w14:paraId="0881F243"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Thrissur</w:t>
            </w:r>
          </w:p>
        </w:tc>
        <w:tc>
          <w:tcPr>
            <w:tcW w:w="1967" w:type="dxa"/>
            <w:vAlign w:val="center"/>
          </w:tcPr>
          <w:p w14:paraId="7C37AFAE"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0.405</w:t>
            </w:r>
          </w:p>
        </w:tc>
        <w:tc>
          <w:tcPr>
            <w:tcW w:w="2134" w:type="dxa"/>
            <w:vAlign w:val="center"/>
          </w:tcPr>
          <w:p w14:paraId="7F5BA104"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11</w:t>
            </w:r>
          </w:p>
        </w:tc>
      </w:tr>
      <w:tr w:rsidR="00F42B9A" w:rsidRPr="00F42B9A" w14:paraId="34E79D56" w14:textId="77777777" w:rsidTr="00052C82">
        <w:trPr>
          <w:trHeight w:val="20"/>
          <w:jc w:val="center"/>
        </w:trPr>
        <w:tc>
          <w:tcPr>
            <w:tcW w:w="3192" w:type="dxa"/>
            <w:vAlign w:val="center"/>
          </w:tcPr>
          <w:p w14:paraId="35F18FEB"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Kottayam</w:t>
            </w:r>
          </w:p>
        </w:tc>
        <w:tc>
          <w:tcPr>
            <w:tcW w:w="1967" w:type="dxa"/>
            <w:vAlign w:val="center"/>
          </w:tcPr>
          <w:p w14:paraId="0F2B06E9"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0.375</w:t>
            </w:r>
          </w:p>
        </w:tc>
        <w:tc>
          <w:tcPr>
            <w:tcW w:w="2134" w:type="dxa"/>
            <w:vAlign w:val="center"/>
          </w:tcPr>
          <w:p w14:paraId="00B4D8A3"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12</w:t>
            </w:r>
          </w:p>
        </w:tc>
      </w:tr>
      <w:tr w:rsidR="00F42B9A" w:rsidRPr="00F42B9A" w14:paraId="40A3D556" w14:textId="77777777" w:rsidTr="00052C82">
        <w:trPr>
          <w:trHeight w:val="20"/>
          <w:jc w:val="center"/>
        </w:trPr>
        <w:tc>
          <w:tcPr>
            <w:tcW w:w="3192" w:type="dxa"/>
            <w:vAlign w:val="center"/>
          </w:tcPr>
          <w:p w14:paraId="348BC7F5"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Ernakulam</w:t>
            </w:r>
          </w:p>
        </w:tc>
        <w:tc>
          <w:tcPr>
            <w:tcW w:w="1967" w:type="dxa"/>
            <w:vAlign w:val="center"/>
          </w:tcPr>
          <w:p w14:paraId="7182CD91"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0.300</w:t>
            </w:r>
          </w:p>
        </w:tc>
        <w:tc>
          <w:tcPr>
            <w:tcW w:w="2134" w:type="dxa"/>
            <w:vAlign w:val="center"/>
          </w:tcPr>
          <w:p w14:paraId="421527C7"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13</w:t>
            </w:r>
          </w:p>
        </w:tc>
      </w:tr>
      <w:tr w:rsidR="00F42B9A" w:rsidRPr="00F42B9A" w14:paraId="57D16E99" w14:textId="77777777" w:rsidTr="00052C82">
        <w:trPr>
          <w:trHeight w:val="20"/>
          <w:jc w:val="center"/>
        </w:trPr>
        <w:tc>
          <w:tcPr>
            <w:tcW w:w="3192" w:type="dxa"/>
            <w:vAlign w:val="center"/>
          </w:tcPr>
          <w:p w14:paraId="683C0820" w14:textId="77777777" w:rsidR="00F42B9A" w:rsidRPr="002A7BA9" w:rsidRDefault="00F42B9A" w:rsidP="00F42B9A">
            <w:pPr>
              <w:rPr>
                <w:rFonts w:ascii="Arial" w:eastAsia="Times New Roman" w:hAnsi="Arial" w:cs="Arial"/>
                <w:sz w:val="20"/>
                <w:szCs w:val="20"/>
              </w:rPr>
            </w:pPr>
            <w:r w:rsidRPr="002A7BA9">
              <w:rPr>
                <w:rFonts w:ascii="Arial" w:eastAsia="Times New Roman" w:hAnsi="Arial" w:cs="Arial"/>
                <w:sz w:val="20"/>
                <w:szCs w:val="20"/>
              </w:rPr>
              <w:t>Kannur</w:t>
            </w:r>
          </w:p>
        </w:tc>
        <w:tc>
          <w:tcPr>
            <w:tcW w:w="1967" w:type="dxa"/>
            <w:vAlign w:val="center"/>
          </w:tcPr>
          <w:p w14:paraId="6210A331"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0.220</w:t>
            </w:r>
          </w:p>
        </w:tc>
        <w:tc>
          <w:tcPr>
            <w:tcW w:w="2134" w:type="dxa"/>
            <w:vAlign w:val="center"/>
          </w:tcPr>
          <w:p w14:paraId="33517A66" w14:textId="77777777" w:rsidR="00F42B9A" w:rsidRPr="002A7BA9" w:rsidRDefault="00F42B9A" w:rsidP="00F42B9A">
            <w:pPr>
              <w:jc w:val="center"/>
              <w:rPr>
                <w:rFonts w:ascii="Arial" w:eastAsia="Times New Roman" w:hAnsi="Arial" w:cs="Arial"/>
                <w:sz w:val="20"/>
                <w:szCs w:val="20"/>
              </w:rPr>
            </w:pPr>
            <w:r w:rsidRPr="002A7BA9">
              <w:rPr>
                <w:rFonts w:ascii="Arial" w:eastAsia="Times New Roman" w:hAnsi="Arial" w:cs="Arial"/>
                <w:sz w:val="20"/>
                <w:szCs w:val="20"/>
              </w:rPr>
              <w:t>14</w:t>
            </w:r>
          </w:p>
        </w:tc>
      </w:tr>
    </w:tbl>
    <w:p w14:paraId="188CD1BB" w14:textId="77777777" w:rsidR="002A7BA9" w:rsidRPr="00F42B9A" w:rsidRDefault="00F42B9A" w:rsidP="002A7BA9">
      <w:pPr>
        <w:spacing w:after="0" w:line="360" w:lineRule="auto"/>
        <w:ind w:right="4"/>
        <w:jc w:val="both"/>
        <w:rPr>
          <w:rFonts w:ascii="Arial" w:eastAsia="Times New Roman" w:hAnsi="Arial" w:cs="Arial"/>
          <w:b/>
          <w:i/>
          <w:sz w:val="18"/>
          <w:szCs w:val="20"/>
        </w:rPr>
      </w:pPr>
      <w:r w:rsidRPr="00F42B9A">
        <w:rPr>
          <w:rFonts w:ascii="Arial" w:eastAsia="Times New Roman" w:hAnsi="Arial" w:cs="Arial"/>
          <w:b/>
          <w:i/>
          <w:sz w:val="18"/>
          <w:szCs w:val="20"/>
        </w:rPr>
        <w:tab/>
      </w:r>
      <w:r w:rsidRPr="00F42B9A">
        <w:rPr>
          <w:rFonts w:ascii="Arial" w:eastAsia="Times New Roman" w:hAnsi="Arial" w:cs="Arial"/>
          <w:b/>
          <w:i/>
          <w:sz w:val="18"/>
          <w:szCs w:val="20"/>
        </w:rPr>
        <w:tab/>
        <w:t>Source: Computed Data</w:t>
      </w:r>
    </w:p>
    <w:p w14:paraId="6D56A6DB" w14:textId="77777777" w:rsidR="00052C82" w:rsidRDefault="009E1738" w:rsidP="009E1738">
      <w:pPr>
        <w:spacing w:after="0" w:line="360" w:lineRule="auto"/>
        <w:ind w:right="4"/>
        <w:jc w:val="center"/>
        <w:rPr>
          <w:rFonts w:ascii="Arial" w:eastAsia="Times New Roman" w:hAnsi="Arial" w:cs="Arial"/>
          <w:b/>
          <w:sz w:val="20"/>
          <w:szCs w:val="20"/>
        </w:rPr>
      </w:pPr>
      <w:r>
        <w:rPr>
          <w:rFonts w:ascii="Arial" w:eastAsia="Times New Roman" w:hAnsi="Arial" w:cs="Arial"/>
          <w:noProof/>
          <w:sz w:val="20"/>
          <w:szCs w:val="20"/>
        </w:rPr>
        <w:drawing>
          <wp:inline distT="0" distB="0" distL="0" distR="0" wp14:anchorId="3ADA8E67" wp14:editId="59D9B9FD">
            <wp:extent cx="4581525" cy="2819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9088" cy="2824054"/>
                    </a:xfrm>
                    <a:prstGeom prst="rect">
                      <a:avLst/>
                    </a:prstGeom>
                  </pic:spPr>
                </pic:pic>
              </a:graphicData>
            </a:graphic>
          </wp:inline>
        </w:drawing>
      </w:r>
      <w:r w:rsidRPr="009E1738">
        <w:rPr>
          <w:rFonts w:ascii="Arial" w:eastAsia="Times New Roman" w:hAnsi="Arial" w:cs="Arial"/>
          <w:b/>
          <w:sz w:val="20"/>
          <w:szCs w:val="20"/>
        </w:rPr>
        <w:t xml:space="preserve"> </w:t>
      </w:r>
    </w:p>
    <w:p w14:paraId="304C1B0B" w14:textId="77777777" w:rsidR="009E1738" w:rsidRDefault="009E1738" w:rsidP="009E1738">
      <w:pPr>
        <w:spacing w:after="0" w:line="360" w:lineRule="auto"/>
        <w:ind w:right="4"/>
        <w:jc w:val="center"/>
        <w:rPr>
          <w:rFonts w:ascii="Arial" w:eastAsia="Times New Roman" w:hAnsi="Arial" w:cs="Arial"/>
          <w:b/>
          <w:sz w:val="20"/>
          <w:szCs w:val="20"/>
        </w:rPr>
      </w:pPr>
      <w:r>
        <w:rPr>
          <w:rFonts w:ascii="Arial" w:eastAsia="Times New Roman" w:hAnsi="Arial" w:cs="Arial"/>
          <w:b/>
          <w:sz w:val="20"/>
          <w:szCs w:val="20"/>
        </w:rPr>
        <w:t>Fig.No.3</w:t>
      </w:r>
      <w:r w:rsidRPr="00F42B9A">
        <w:rPr>
          <w:rFonts w:ascii="Arial" w:eastAsia="Times New Roman" w:hAnsi="Arial" w:cs="Arial"/>
          <w:b/>
          <w:sz w:val="20"/>
          <w:szCs w:val="20"/>
        </w:rPr>
        <w:t xml:space="preserve">. </w:t>
      </w:r>
      <w:r>
        <w:rPr>
          <w:rFonts w:ascii="Arial" w:hAnsi="Arial" w:cs="Arial"/>
          <w:b/>
          <w:sz w:val="20"/>
          <w:szCs w:val="20"/>
        </w:rPr>
        <w:t>District wise Vulnerability Index (Kerala, 2024-25)</w:t>
      </w:r>
    </w:p>
    <w:p w14:paraId="72B635A8" w14:textId="77777777" w:rsidR="00F42B9A" w:rsidRPr="009E1738" w:rsidRDefault="00F42B9A" w:rsidP="009E1738">
      <w:pPr>
        <w:spacing w:after="0" w:line="360" w:lineRule="auto"/>
        <w:ind w:right="4" w:firstLine="720"/>
        <w:jc w:val="both"/>
        <w:rPr>
          <w:rFonts w:ascii="Arial" w:eastAsia="Times New Roman" w:hAnsi="Arial" w:cs="Arial"/>
          <w:b/>
          <w:sz w:val="20"/>
          <w:szCs w:val="20"/>
        </w:rPr>
      </w:pPr>
      <w:r w:rsidRPr="00F42B9A">
        <w:rPr>
          <w:rFonts w:ascii="Arial" w:eastAsia="Times New Roman" w:hAnsi="Arial" w:cs="Arial"/>
          <w:sz w:val="20"/>
          <w:szCs w:val="20"/>
        </w:rPr>
        <w:t>The composite Vulnerability Index, constructed from SC %, ST %, BPL %, and PHC density, shows distinct patterns across Kerala’s districts. Palakkad (0.71), Kollam (0.64), and Idukki (0.64) rank as the most vulnerable</w:t>
      </w:r>
      <w:r w:rsidR="009E1738" w:rsidRPr="00F42B9A">
        <w:rPr>
          <w:rFonts w:ascii="Arial" w:eastAsia="Times New Roman" w:hAnsi="Arial" w:cs="Arial"/>
          <w:sz w:val="20"/>
          <w:szCs w:val="20"/>
        </w:rPr>
        <w:t>, reflect</w:t>
      </w:r>
      <w:r w:rsidRPr="00F42B9A">
        <w:rPr>
          <w:rFonts w:ascii="Arial" w:eastAsia="Times New Roman" w:hAnsi="Arial" w:cs="Arial"/>
          <w:sz w:val="20"/>
          <w:szCs w:val="20"/>
        </w:rPr>
        <w:t xml:space="preserve"> the combined effect of high Scheduled Caste and Below Poverty Line populations with comparatively lower PHC density. These districts illustrate how socio-demographic disadvantage amplifies health access challenges, even when facility numbers are not critically low. Wayanad, despite recording the highest PHC density in the state, registers a vulnerability score of 0.52 </w:t>
      </w:r>
      <w:r w:rsidRPr="00F42B9A">
        <w:rPr>
          <w:rFonts w:ascii="Arial" w:eastAsia="Times New Roman" w:hAnsi="Arial" w:cs="Arial"/>
          <w:sz w:val="20"/>
          <w:szCs w:val="20"/>
        </w:rPr>
        <w:lastRenderedPageBreak/>
        <w:t>and occupies the fifth rank because of its very high Scheduled Tribe proportion and elevated poverty levels. This demonstrates that demographic and economic burdens can outweigh gains in infrastructure availability.</w:t>
      </w:r>
    </w:p>
    <w:p w14:paraId="533564DE" w14:textId="77777777" w:rsidR="002A7BA9" w:rsidRDefault="00F42B9A" w:rsidP="00F42B9A">
      <w:pPr>
        <w:spacing w:after="0" w:line="360" w:lineRule="auto"/>
        <w:ind w:right="4" w:firstLine="720"/>
        <w:jc w:val="both"/>
        <w:rPr>
          <w:rFonts w:ascii="Arial" w:eastAsia="Times New Roman" w:hAnsi="Arial" w:cs="Arial"/>
          <w:sz w:val="20"/>
          <w:szCs w:val="20"/>
        </w:rPr>
      </w:pPr>
      <w:r w:rsidRPr="00F42B9A">
        <w:rPr>
          <w:rFonts w:ascii="Arial" w:eastAsia="Times New Roman" w:hAnsi="Arial" w:cs="Arial"/>
          <w:sz w:val="20"/>
          <w:szCs w:val="20"/>
        </w:rPr>
        <w:t>Districts such as Kannur (0.22), Ernakulam (0.30), and Kottayam (0.38) lie at the lower end of the vulnerability scale. These areas combine lower SC/ST proportions, moderate poverty levels, and sufficient PHC access, reducing their exposure to structural disadvantage. Middle-ranked districts including Thrissur, Kozhikode, and Kasaragod present mixed characteristics: relatively better PHC provision but persistent poverty or caste-linked vulnerabilities. The table thus underlines where policy interventions should be prioritized, with Palakkad, Kollam, Idukki, and Wayanad emerging as critical zones requiring targeted support to ensure equitable healthcare access.</w:t>
      </w:r>
    </w:p>
    <w:p w14:paraId="4388196D" w14:textId="77777777" w:rsidR="00514D55" w:rsidRPr="00514D55" w:rsidRDefault="00514D55" w:rsidP="00514D55">
      <w:pPr>
        <w:spacing w:before="240" w:after="0" w:line="360" w:lineRule="auto"/>
        <w:ind w:right="4"/>
        <w:jc w:val="both"/>
        <w:rPr>
          <w:rFonts w:ascii="Arial" w:eastAsia="Times New Roman" w:hAnsi="Arial" w:cs="Arial"/>
          <w:b/>
          <w:sz w:val="24"/>
          <w:szCs w:val="20"/>
        </w:rPr>
      </w:pPr>
      <w:r w:rsidRPr="00514D55">
        <w:rPr>
          <w:rFonts w:ascii="Arial" w:eastAsia="Times New Roman" w:hAnsi="Arial" w:cs="Arial"/>
          <w:b/>
          <w:sz w:val="24"/>
          <w:szCs w:val="20"/>
        </w:rPr>
        <w:t>7. Conclusion</w:t>
      </w:r>
    </w:p>
    <w:p w14:paraId="5744488E" w14:textId="77777777" w:rsidR="0023607C" w:rsidRDefault="00514D55" w:rsidP="0023607C">
      <w:pPr>
        <w:spacing w:after="0" w:line="360" w:lineRule="auto"/>
        <w:ind w:right="4" w:firstLine="720"/>
        <w:jc w:val="both"/>
        <w:rPr>
          <w:rFonts w:ascii="Arial" w:eastAsia="Times New Roman" w:hAnsi="Arial" w:cs="Arial"/>
          <w:sz w:val="20"/>
          <w:szCs w:val="20"/>
        </w:rPr>
      </w:pPr>
      <w:r w:rsidRPr="00514D55">
        <w:rPr>
          <w:rFonts w:ascii="Arial" w:eastAsia="Times New Roman" w:hAnsi="Arial" w:cs="Arial"/>
          <w:sz w:val="20"/>
          <w:szCs w:val="20"/>
        </w:rPr>
        <w:t>This study examined the equity of Public Health Centre allocation across Kerala using PHC density, socio-demographic correlations, Lorenz curves, and a composite vulnerability index. The findings indicate that while Kerala demonstrates a largely equitable distribution, significant structural vulnerabilities persist in districts like Palakkad, Kollam, Idukki, and Wayanad. These areas combine higher proportions of marginalized populations and poverty with lower PHC density, highlighting the need for equity-focused planning. Conversely, districts such as Kannur and Ernakulam reflect stronger socio-demographic advantages and better access. Addressing these disparities is crucial to sustaining Kerala’s health equity achievements and ensuring inclusive healthcare accessibility.</w:t>
      </w:r>
    </w:p>
    <w:p w14:paraId="31B938E1" w14:textId="77777777" w:rsidR="00643BDE" w:rsidRDefault="00643BDE" w:rsidP="0023607C">
      <w:pPr>
        <w:spacing w:after="0" w:line="360" w:lineRule="auto"/>
        <w:ind w:right="4" w:firstLine="720"/>
        <w:jc w:val="both"/>
        <w:rPr>
          <w:rFonts w:ascii="Arial" w:eastAsia="Times New Roman" w:hAnsi="Arial" w:cs="Arial"/>
          <w:sz w:val="20"/>
          <w:szCs w:val="20"/>
        </w:rPr>
      </w:pPr>
    </w:p>
    <w:p w14:paraId="74F9C8B4" w14:textId="77777777" w:rsidR="00643BDE" w:rsidRDefault="00643BDE" w:rsidP="0023607C">
      <w:pPr>
        <w:spacing w:after="0" w:line="360" w:lineRule="auto"/>
        <w:ind w:right="4" w:firstLine="720"/>
        <w:jc w:val="both"/>
        <w:rPr>
          <w:rFonts w:ascii="Arial" w:eastAsia="Times New Roman" w:hAnsi="Arial" w:cs="Arial"/>
          <w:sz w:val="20"/>
          <w:szCs w:val="20"/>
        </w:rPr>
      </w:pPr>
    </w:p>
    <w:p w14:paraId="0F65B193" w14:textId="77777777" w:rsidR="00643BDE" w:rsidRPr="00514D55" w:rsidRDefault="00643BDE" w:rsidP="00643BDE">
      <w:pPr>
        <w:spacing w:before="240" w:after="0" w:line="360" w:lineRule="auto"/>
        <w:ind w:right="4"/>
        <w:jc w:val="both"/>
        <w:rPr>
          <w:rFonts w:ascii="Arial" w:eastAsia="Times New Roman" w:hAnsi="Arial" w:cs="Arial"/>
          <w:b/>
          <w:sz w:val="24"/>
          <w:szCs w:val="20"/>
        </w:rPr>
      </w:pPr>
      <w:r w:rsidRPr="00514D55">
        <w:rPr>
          <w:rFonts w:ascii="Arial" w:eastAsia="Times New Roman" w:hAnsi="Arial" w:cs="Arial"/>
          <w:b/>
          <w:sz w:val="24"/>
          <w:szCs w:val="20"/>
        </w:rPr>
        <w:t>6. Scope for Further Research</w:t>
      </w:r>
    </w:p>
    <w:p w14:paraId="4B5A1E0E" w14:textId="77777777" w:rsidR="00643BDE" w:rsidRDefault="00643BDE" w:rsidP="00643BDE">
      <w:pPr>
        <w:spacing w:after="0" w:line="360" w:lineRule="auto"/>
        <w:ind w:right="4" w:firstLine="720"/>
        <w:jc w:val="both"/>
        <w:rPr>
          <w:rFonts w:ascii="Arial" w:eastAsia="Times New Roman" w:hAnsi="Arial" w:cs="Arial"/>
          <w:sz w:val="20"/>
          <w:szCs w:val="20"/>
        </w:rPr>
      </w:pPr>
      <w:r w:rsidRPr="009E1738">
        <w:rPr>
          <w:rFonts w:ascii="Arial" w:eastAsia="Times New Roman" w:hAnsi="Arial" w:cs="Arial"/>
          <w:sz w:val="20"/>
          <w:szCs w:val="20"/>
        </w:rPr>
        <w:t>Future research may extend this analysis by incorporating secondary health facilities, spatial accessibility measures such as travel time, and block-level disaggregation within districts. Comparative studies across Indian states could further contextualize Kerala’s achievements and challenges, providing a broader framework for understanding equity in primary healthcare distribution.</w:t>
      </w:r>
    </w:p>
    <w:p w14:paraId="45AD8604" w14:textId="77777777" w:rsidR="00643BDE" w:rsidRDefault="00643BDE" w:rsidP="00643BDE">
      <w:pPr>
        <w:spacing w:after="0" w:line="360" w:lineRule="auto"/>
        <w:ind w:right="4" w:firstLine="720"/>
        <w:jc w:val="both"/>
        <w:rPr>
          <w:rFonts w:ascii="Arial" w:eastAsia="Times New Roman" w:hAnsi="Arial" w:cs="Arial"/>
          <w:sz w:val="20"/>
          <w:szCs w:val="20"/>
        </w:rPr>
      </w:pPr>
    </w:p>
    <w:p w14:paraId="709844A7" w14:textId="77777777" w:rsidR="00643BDE" w:rsidRPr="00643BDE" w:rsidRDefault="00643BDE" w:rsidP="00643BDE">
      <w:pPr>
        <w:jc w:val="both"/>
        <w:outlineLvl w:val="0"/>
        <w:rPr>
          <w:rFonts w:ascii="Arial" w:eastAsia="Times New Roman" w:hAnsi="Arial" w:cs="Arial"/>
          <w:lang w:val="en-GB" w:eastAsia="en-GB"/>
        </w:rPr>
      </w:pPr>
      <w:r w:rsidRPr="00643BDE">
        <w:rPr>
          <w:rFonts w:ascii="Arial" w:eastAsia="Times New Roman" w:hAnsi="Arial" w:cs="Arial"/>
          <w:b/>
          <w:bCs/>
          <w:lang w:val="en-GB" w:eastAsia="en-GB"/>
        </w:rPr>
        <w:t>COMPETING INTERESTS DISCLAIMER:</w:t>
      </w:r>
    </w:p>
    <w:p w14:paraId="1C8EB6AD" w14:textId="77777777" w:rsidR="00643BDE" w:rsidRPr="00643BDE" w:rsidRDefault="00643BDE" w:rsidP="00643BDE">
      <w:pPr>
        <w:rPr>
          <w:rFonts w:ascii="Calibri" w:eastAsia="Times New Roman" w:hAnsi="Calibri" w:cs="Times New Roman"/>
          <w:lang w:val="en-GB" w:eastAsia="en-GB"/>
        </w:rPr>
      </w:pPr>
      <w:r w:rsidRPr="00643BD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82DB7F2" w14:textId="77777777" w:rsidR="00643BDE" w:rsidRDefault="00643BDE" w:rsidP="00643BDE">
      <w:pPr>
        <w:spacing w:after="0" w:line="360" w:lineRule="auto"/>
        <w:ind w:right="4" w:firstLine="720"/>
        <w:jc w:val="both"/>
        <w:rPr>
          <w:rFonts w:ascii="Arial" w:eastAsia="Times New Roman" w:hAnsi="Arial" w:cs="Arial"/>
          <w:sz w:val="20"/>
          <w:szCs w:val="20"/>
        </w:rPr>
      </w:pPr>
    </w:p>
    <w:p w14:paraId="5DB614CC" w14:textId="77777777" w:rsidR="00643BDE" w:rsidRDefault="00643BDE" w:rsidP="0023607C">
      <w:pPr>
        <w:spacing w:after="0" w:line="360" w:lineRule="auto"/>
        <w:ind w:right="4" w:firstLine="720"/>
        <w:jc w:val="both"/>
        <w:rPr>
          <w:rFonts w:ascii="Arial" w:eastAsia="Times New Roman" w:hAnsi="Arial" w:cs="Arial"/>
          <w:sz w:val="20"/>
          <w:szCs w:val="20"/>
        </w:rPr>
      </w:pPr>
    </w:p>
    <w:p w14:paraId="71A0673E" w14:textId="77777777" w:rsidR="007276C2" w:rsidRDefault="007276C2" w:rsidP="0023607C">
      <w:pPr>
        <w:spacing w:after="0" w:line="360" w:lineRule="auto"/>
        <w:ind w:right="4"/>
        <w:jc w:val="both"/>
        <w:rPr>
          <w:rFonts w:ascii="Arial" w:eastAsia="Times New Roman" w:hAnsi="Arial" w:cs="Arial"/>
          <w:b/>
          <w:szCs w:val="20"/>
        </w:rPr>
      </w:pPr>
      <w:r w:rsidRPr="007276C2">
        <w:rPr>
          <w:rFonts w:ascii="Arial" w:eastAsia="Times New Roman" w:hAnsi="Arial" w:cs="Arial"/>
          <w:b/>
          <w:szCs w:val="20"/>
        </w:rPr>
        <w:t>8. References</w:t>
      </w:r>
    </w:p>
    <w:p w14:paraId="31A5B8CD"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proofErr w:type="spellStart"/>
      <w:r w:rsidRPr="00C202F1">
        <w:rPr>
          <w:rFonts w:ascii="Arial" w:hAnsi="Arial" w:cs="Arial"/>
          <w:sz w:val="20"/>
          <w:szCs w:val="20"/>
          <w:shd w:val="clear" w:color="auto" w:fill="FFFFFF"/>
        </w:rPr>
        <w:lastRenderedPageBreak/>
        <w:t>Anyangwe</w:t>
      </w:r>
      <w:proofErr w:type="spellEnd"/>
      <w:r w:rsidRPr="00C202F1">
        <w:rPr>
          <w:rFonts w:ascii="Arial" w:hAnsi="Arial" w:cs="Arial"/>
          <w:sz w:val="20"/>
          <w:szCs w:val="20"/>
          <w:shd w:val="clear" w:color="auto" w:fill="FFFFFF"/>
        </w:rPr>
        <w:t>, S. C., &amp; Mtonga, C. (2007). Inequities in the global health workforce: the greatest impediment to health in sub-Saharan Africa. </w:t>
      </w:r>
      <w:r w:rsidRPr="00C202F1">
        <w:rPr>
          <w:rFonts w:ascii="Arial" w:hAnsi="Arial" w:cs="Arial"/>
          <w:i/>
          <w:iCs/>
          <w:sz w:val="20"/>
          <w:szCs w:val="20"/>
          <w:shd w:val="clear" w:color="auto" w:fill="FFFFFF"/>
        </w:rPr>
        <w:t>International journal of environmental research and public health</w:t>
      </w:r>
      <w:r w:rsidRPr="00C202F1">
        <w:rPr>
          <w:rFonts w:ascii="Arial" w:hAnsi="Arial" w:cs="Arial"/>
          <w:sz w:val="20"/>
          <w:szCs w:val="20"/>
          <w:shd w:val="clear" w:color="auto" w:fill="FFFFFF"/>
        </w:rPr>
        <w:t>, </w:t>
      </w:r>
      <w:r w:rsidRPr="00C202F1">
        <w:rPr>
          <w:rFonts w:ascii="Arial" w:hAnsi="Arial" w:cs="Arial"/>
          <w:i/>
          <w:iCs/>
          <w:sz w:val="20"/>
          <w:szCs w:val="20"/>
          <w:shd w:val="clear" w:color="auto" w:fill="FFFFFF"/>
        </w:rPr>
        <w:t>4</w:t>
      </w:r>
      <w:r w:rsidRPr="00C202F1">
        <w:rPr>
          <w:rFonts w:ascii="Arial" w:hAnsi="Arial" w:cs="Arial"/>
          <w:sz w:val="20"/>
          <w:szCs w:val="20"/>
          <w:shd w:val="clear" w:color="auto" w:fill="FFFFFF"/>
        </w:rPr>
        <w:t>(2), 93-100.</w:t>
      </w:r>
    </w:p>
    <w:p w14:paraId="3DAF4CF1"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shd w:val="clear" w:color="auto" w:fill="FFFFFF"/>
        </w:rPr>
        <w:t>Chiu, W. K., &amp; Fong, B. Y. F. (2023). Sustainable development goal 3 in healthcare. In </w:t>
      </w:r>
      <w:r w:rsidRPr="00C202F1">
        <w:rPr>
          <w:rFonts w:ascii="Arial" w:hAnsi="Arial" w:cs="Arial"/>
          <w:i/>
          <w:iCs/>
          <w:sz w:val="20"/>
          <w:szCs w:val="20"/>
          <w:shd w:val="clear" w:color="auto" w:fill="FFFFFF"/>
        </w:rPr>
        <w:t>Environmental, social and governance and sustainable development in healthcare</w:t>
      </w:r>
      <w:r w:rsidRPr="00C202F1">
        <w:rPr>
          <w:rFonts w:ascii="Arial" w:hAnsi="Arial" w:cs="Arial"/>
          <w:sz w:val="20"/>
          <w:szCs w:val="20"/>
          <w:shd w:val="clear" w:color="auto" w:fill="FFFFFF"/>
        </w:rPr>
        <w:t> (pp. 33-45). Singapore: Springer Nature Singapore.</w:t>
      </w:r>
    </w:p>
    <w:p w14:paraId="0927836F"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proofErr w:type="spellStart"/>
      <w:r w:rsidRPr="00C202F1">
        <w:rPr>
          <w:rFonts w:ascii="Arial" w:hAnsi="Arial" w:cs="Arial"/>
          <w:sz w:val="20"/>
          <w:szCs w:val="20"/>
        </w:rPr>
        <w:t>Elamon</w:t>
      </w:r>
      <w:proofErr w:type="spellEnd"/>
      <w:r w:rsidRPr="00C202F1">
        <w:rPr>
          <w:rFonts w:ascii="Arial" w:hAnsi="Arial" w:cs="Arial"/>
          <w:sz w:val="20"/>
          <w:szCs w:val="20"/>
        </w:rPr>
        <w:t xml:space="preserve">, J., Franke, R. W., &amp; Ekbal, B. (2004). Decentralization of Health Services: The Kerala People’s Campaign. </w:t>
      </w:r>
      <w:r w:rsidRPr="00C202F1">
        <w:rPr>
          <w:rFonts w:ascii="Arial" w:hAnsi="Arial" w:cs="Arial"/>
          <w:i/>
          <w:iCs/>
          <w:sz w:val="20"/>
          <w:szCs w:val="20"/>
        </w:rPr>
        <w:t>International Journal of Health Services</w:t>
      </w:r>
      <w:r w:rsidRPr="00C202F1">
        <w:rPr>
          <w:rFonts w:ascii="Arial" w:hAnsi="Arial" w:cs="Arial"/>
          <w:sz w:val="20"/>
          <w:szCs w:val="20"/>
        </w:rPr>
        <w:t xml:space="preserve">, </w:t>
      </w:r>
      <w:r w:rsidRPr="00C202F1">
        <w:rPr>
          <w:rFonts w:ascii="Arial" w:hAnsi="Arial" w:cs="Arial"/>
          <w:i/>
          <w:iCs/>
          <w:sz w:val="20"/>
          <w:szCs w:val="20"/>
        </w:rPr>
        <w:t>34</w:t>
      </w:r>
      <w:r w:rsidRPr="00C202F1">
        <w:rPr>
          <w:rFonts w:ascii="Arial" w:hAnsi="Arial" w:cs="Arial"/>
          <w:sz w:val="20"/>
          <w:szCs w:val="20"/>
        </w:rPr>
        <w:t xml:space="preserve">(4), 681–708. </w:t>
      </w:r>
      <w:hyperlink r:id="rId10" w:history="1">
        <w:r w:rsidRPr="00846037">
          <w:rPr>
            <w:rStyle w:val="Hyperlink"/>
            <w:rFonts w:ascii="Arial" w:hAnsi="Arial" w:cs="Arial"/>
            <w:sz w:val="20"/>
            <w:szCs w:val="20"/>
          </w:rPr>
          <w:t>https://doi.org/10.2190/4l9m-8k7n-g6ac-wehn</w:t>
        </w:r>
      </w:hyperlink>
      <w:r>
        <w:rPr>
          <w:rFonts w:ascii="Arial" w:hAnsi="Arial" w:cs="Arial"/>
          <w:sz w:val="20"/>
          <w:szCs w:val="20"/>
        </w:rPr>
        <w:t xml:space="preserve"> </w:t>
      </w:r>
    </w:p>
    <w:p w14:paraId="4BE9F08C"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Government of India, Ministry of Health and Family Welfare. (2022). </w:t>
      </w:r>
      <w:r w:rsidRPr="00C202F1">
        <w:rPr>
          <w:rStyle w:val="Emphasis"/>
          <w:rFonts w:ascii="Arial" w:hAnsi="Arial" w:cs="Arial"/>
          <w:sz w:val="20"/>
          <w:szCs w:val="20"/>
        </w:rPr>
        <w:t>Rural health statistics 2022</w:t>
      </w:r>
      <w:r w:rsidRPr="00C202F1">
        <w:rPr>
          <w:rFonts w:ascii="Arial" w:hAnsi="Arial" w:cs="Arial"/>
          <w:sz w:val="20"/>
          <w:szCs w:val="20"/>
        </w:rPr>
        <w:t xml:space="preserve">. Government of India. </w:t>
      </w:r>
      <w:hyperlink r:id="rId11" w:history="1">
        <w:r w:rsidRPr="00846037">
          <w:rPr>
            <w:rStyle w:val="Hyperlink"/>
            <w:rFonts w:ascii="Arial" w:hAnsi="Arial" w:cs="Arial"/>
            <w:sz w:val="20"/>
            <w:szCs w:val="20"/>
          </w:rPr>
          <w:t>https://main.mohfw.gov.in</w:t>
        </w:r>
      </w:hyperlink>
      <w:r>
        <w:rPr>
          <w:rFonts w:ascii="Arial" w:hAnsi="Arial" w:cs="Arial"/>
          <w:sz w:val="20"/>
          <w:szCs w:val="20"/>
        </w:rPr>
        <w:t xml:space="preserve"> </w:t>
      </w:r>
    </w:p>
    <w:p w14:paraId="68BDFFAD"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Government of India, Ministry of Statistics and Programme Implementation. (2018). </w:t>
      </w:r>
      <w:r w:rsidRPr="00C202F1">
        <w:rPr>
          <w:rStyle w:val="Emphasis"/>
          <w:rFonts w:ascii="Arial" w:hAnsi="Arial" w:cs="Arial"/>
          <w:sz w:val="20"/>
          <w:szCs w:val="20"/>
        </w:rPr>
        <w:t>National Sample Survey, 75th round (2017–18)</w:t>
      </w:r>
      <w:r w:rsidRPr="00C202F1">
        <w:rPr>
          <w:rFonts w:ascii="Arial" w:hAnsi="Arial" w:cs="Arial"/>
          <w:sz w:val="20"/>
          <w:szCs w:val="20"/>
        </w:rPr>
        <w:t xml:space="preserve">. National Statistical Office. </w:t>
      </w:r>
      <w:hyperlink r:id="rId12" w:history="1">
        <w:r w:rsidRPr="00846037">
          <w:rPr>
            <w:rStyle w:val="Hyperlink"/>
            <w:rFonts w:ascii="Arial" w:hAnsi="Arial" w:cs="Arial"/>
            <w:sz w:val="20"/>
            <w:szCs w:val="20"/>
          </w:rPr>
          <w:t>https://mospi.gov.in</w:t>
        </w:r>
      </w:hyperlink>
      <w:r>
        <w:rPr>
          <w:rFonts w:ascii="Arial" w:hAnsi="Arial" w:cs="Arial"/>
          <w:sz w:val="20"/>
          <w:szCs w:val="20"/>
        </w:rPr>
        <w:t xml:space="preserve"> </w:t>
      </w:r>
    </w:p>
    <w:p w14:paraId="5C06815D"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Government of Kerala, Department of Health &amp; Family Welfare. (2023). </w:t>
      </w:r>
      <w:r w:rsidRPr="00C202F1">
        <w:rPr>
          <w:rStyle w:val="Emphasis"/>
          <w:rFonts w:ascii="Arial" w:hAnsi="Arial" w:cs="Arial"/>
          <w:sz w:val="20"/>
          <w:szCs w:val="20"/>
        </w:rPr>
        <w:t>Rural health statistics, Kerala 2023</w:t>
      </w:r>
      <w:r w:rsidRPr="00C202F1">
        <w:rPr>
          <w:rFonts w:ascii="Arial" w:hAnsi="Arial" w:cs="Arial"/>
          <w:sz w:val="20"/>
          <w:szCs w:val="20"/>
        </w:rPr>
        <w:t>. Government of Kerala.</w:t>
      </w:r>
    </w:p>
    <w:p w14:paraId="009DADBF"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Government of Kerala, State Planning Board. (2022). </w:t>
      </w:r>
      <w:r w:rsidRPr="00C202F1">
        <w:rPr>
          <w:rStyle w:val="Emphasis"/>
          <w:rFonts w:ascii="Arial" w:hAnsi="Arial" w:cs="Arial"/>
          <w:sz w:val="20"/>
          <w:szCs w:val="20"/>
        </w:rPr>
        <w:t>Economic review 2022</w:t>
      </w:r>
      <w:r w:rsidRPr="00C202F1">
        <w:rPr>
          <w:rFonts w:ascii="Arial" w:hAnsi="Arial" w:cs="Arial"/>
          <w:sz w:val="20"/>
          <w:szCs w:val="20"/>
        </w:rPr>
        <w:t xml:space="preserve">. Government of Kerala. </w:t>
      </w:r>
      <w:hyperlink r:id="rId13" w:history="1">
        <w:r w:rsidRPr="00846037">
          <w:rPr>
            <w:rStyle w:val="Hyperlink"/>
            <w:rFonts w:ascii="Arial" w:hAnsi="Arial" w:cs="Arial"/>
            <w:sz w:val="20"/>
            <w:szCs w:val="20"/>
          </w:rPr>
          <w:t>https://spb.kerala.gov.in</w:t>
        </w:r>
      </w:hyperlink>
      <w:r>
        <w:rPr>
          <w:rFonts w:ascii="Arial" w:hAnsi="Arial" w:cs="Arial"/>
          <w:i/>
          <w:iCs/>
          <w:sz w:val="20"/>
          <w:szCs w:val="20"/>
        </w:rPr>
        <w:t xml:space="preserve"> </w:t>
      </w:r>
    </w:p>
    <w:p w14:paraId="3C1F2D83"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International Institute for Population Sciences (IIPS). (2022). </w:t>
      </w:r>
      <w:r w:rsidRPr="00C202F1">
        <w:rPr>
          <w:rStyle w:val="Emphasis"/>
          <w:rFonts w:ascii="Arial" w:hAnsi="Arial" w:cs="Arial"/>
          <w:sz w:val="20"/>
          <w:szCs w:val="20"/>
        </w:rPr>
        <w:t xml:space="preserve">Projection of District-Level Annual Population by Quinquennial Age-Group </w:t>
      </w:r>
      <w:proofErr w:type="gramStart"/>
      <w:r w:rsidRPr="00C202F1">
        <w:rPr>
          <w:rStyle w:val="Emphasis"/>
          <w:rFonts w:ascii="Arial" w:hAnsi="Arial" w:cs="Arial"/>
          <w:sz w:val="20"/>
          <w:szCs w:val="20"/>
        </w:rPr>
        <w:t>And</w:t>
      </w:r>
      <w:proofErr w:type="gramEnd"/>
      <w:r w:rsidRPr="00C202F1">
        <w:rPr>
          <w:rStyle w:val="Emphasis"/>
          <w:rFonts w:ascii="Arial" w:hAnsi="Arial" w:cs="Arial"/>
          <w:sz w:val="20"/>
          <w:szCs w:val="20"/>
        </w:rPr>
        <w:t xml:space="preserve"> Sex From 2012 To 2031 In India</w:t>
      </w:r>
      <w:r w:rsidRPr="00C202F1">
        <w:rPr>
          <w:rFonts w:ascii="Arial" w:hAnsi="Arial" w:cs="Arial"/>
          <w:sz w:val="20"/>
          <w:szCs w:val="20"/>
        </w:rPr>
        <w:t xml:space="preserve">. IIPS. </w:t>
      </w:r>
      <w:hyperlink r:id="rId14" w:history="1">
        <w:r w:rsidRPr="00846037">
          <w:rPr>
            <w:rStyle w:val="Hyperlink"/>
            <w:rFonts w:ascii="Arial" w:hAnsi="Arial" w:cs="Arial"/>
            <w:sz w:val="20"/>
            <w:szCs w:val="20"/>
          </w:rPr>
          <w:t>https://iipsindia.ac.in</w:t>
        </w:r>
      </w:hyperlink>
      <w:r>
        <w:rPr>
          <w:rFonts w:ascii="Arial" w:hAnsi="Arial" w:cs="Arial"/>
          <w:i/>
          <w:iCs/>
          <w:sz w:val="20"/>
          <w:szCs w:val="20"/>
        </w:rPr>
        <w:t xml:space="preserve"> </w:t>
      </w:r>
    </w:p>
    <w:p w14:paraId="1321CC1E"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shd w:val="clear" w:color="auto" w:fill="FFFFFF"/>
        </w:rPr>
        <w:t>Kannan, K. P. (2005). Kerala's turnaround in growth: Role of social development, remittances and reform. </w:t>
      </w:r>
      <w:r w:rsidRPr="00C202F1">
        <w:rPr>
          <w:rFonts w:ascii="Arial" w:hAnsi="Arial" w:cs="Arial"/>
          <w:i/>
          <w:iCs/>
          <w:sz w:val="20"/>
          <w:szCs w:val="20"/>
          <w:shd w:val="clear" w:color="auto" w:fill="FFFFFF"/>
        </w:rPr>
        <w:t>Economic and Political Weekly</w:t>
      </w:r>
      <w:r w:rsidRPr="00C202F1">
        <w:rPr>
          <w:rFonts w:ascii="Arial" w:hAnsi="Arial" w:cs="Arial"/>
          <w:sz w:val="20"/>
          <w:szCs w:val="20"/>
          <w:shd w:val="clear" w:color="auto" w:fill="FFFFFF"/>
        </w:rPr>
        <w:t>, 548-554.</w:t>
      </w:r>
    </w:p>
    <w:p w14:paraId="12A04B74"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Kerala Digital Health Mission. (2025). </w:t>
      </w:r>
      <w:r w:rsidRPr="00C202F1">
        <w:rPr>
          <w:rStyle w:val="Emphasis"/>
          <w:rFonts w:ascii="Arial" w:hAnsi="Arial" w:cs="Arial"/>
          <w:sz w:val="20"/>
          <w:szCs w:val="20"/>
        </w:rPr>
        <w:t>eHealth Kerala dashboard</w:t>
      </w:r>
      <w:r w:rsidRPr="00C202F1">
        <w:rPr>
          <w:rFonts w:ascii="Arial" w:hAnsi="Arial" w:cs="Arial"/>
          <w:sz w:val="20"/>
          <w:szCs w:val="20"/>
        </w:rPr>
        <w:t xml:space="preserve">. Government of Kerala. </w:t>
      </w:r>
      <w:hyperlink r:id="rId15" w:history="1">
        <w:r w:rsidRPr="00846037">
          <w:rPr>
            <w:rStyle w:val="Hyperlink"/>
            <w:rFonts w:ascii="Arial" w:hAnsi="Arial" w:cs="Arial"/>
            <w:sz w:val="20"/>
            <w:szCs w:val="20"/>
          </w:rPr>
          <w:t>https://dashboard.ehealth.kerala.gov.in</w:t>
        </w:r>
      </w:hyperlink>
      <w:r>
        <w:rPr>
          <w:rFonts w:ascii="Arial" w:hAnsi="Arial" w:cs="Arial"/>
          <w:sz w:val="20"/>
          <w:szCs w:val="20"/>
        </w:rPr>
        <w:t xml:space="preserve"> </w:t>
      </w:r>
    </w:p>
    <w:p w14:paraId="2A7B6F98"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Kerala State Planning Board. (2023). </w:t>
      </w:r>
      <w:r w:rsidRPr="00C202F1">
        <w:rPr>
          <w:rStyle w:val="Emphasis"/>
          <w:rFonts w:ascii="Arial" w:hAnsi="Arial" w:cs="Arial"/>
          <w:sz w:val="20"/>
          <w:szCs w:val="20"/>
        </w:rPr>
        <w:t>Economic review 2023</w:t>
      </w:r>
      <w:r w:rsidRPr="00C202F1">
        <w:rPr>
          <w:rFonts w:ascii="Arial" w:hAnsi="Arial" w:cs="Arial"/>
          <w:sz w:val="20"/>
          <w:szCs w:val="20"/>
        </w:rPr>
        <w:t xml:space="preserve">. Government of Kerala. </w:t>
      </w:r>
      <w:hyperlink r:id="rId16" w:history="1">
        <w:r w:rsidRPr="00846037">
          <w:rPr>
            <w:rStyle w:val="Hyperlink"/>
            <w:rFonts w:ascii="Arial" w:hAnsi="Arial" w:cs="Arial"/>
            <w:sz w:val="20"/>
            <w:szCs w:val="20"/>
          </w:rPr>
          <w:t>https://spb.kerala.gov.in</w:t>
        </w:r>
      </w:hyperlink>
      <w:r>
        <w:rPr>
          <w:rFonts w:ascii="Arial" w:hAnsi="Arial" w:cs="Arial"/>
          <w:i/>
          <w:iCs/>
          <w:sz w:val="20"/>
          <w:szCs w:val="20"/>
        </w:rPr>
        <w:t xml:space="preserve"> </w:t>
      </w:r>
    </w:p>
    <w:p w14:paraId="5C74D483"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Kutty, V. R. (2000). Historical analysis of the development of health care facilities in Kerala State, India. </w:t>
      </w:r>
      <w:r w:rsidRPr="00C202F1">
        <w:rPr>
          <w:rFonts w:ascii="Arial" w:hAnsi="Arial" w:cs="Arial"/>
          <w:i/>
          <w:iCs/>
          <w:sz w:val="20"/>
          <w:szCs w:val="20"/>
        </w:rPr>
        <w:t>Health Policy and Planning</w:t>
      </w:r>
      <w:r w:rsidRPr="00C202F1">
        <w:rPr>
          <w:rFonts w:ascii="Arial" w:hAnsi="Arial" w:cs="Arial"/>
          <w:sz w:val="20"/>
          <w:szCs w:val="20"/>
        </w:rPr>
        <w:t xml:space="preserve">, </w:t>
      </w:r>
      <w:r w:rsidRPr="00C202F1">
        <w:rPr>
          <w:rFonts w:ascii="Arial" w:hAnsi="Arial" w:cs="Arial"/>
          <w:i/>
          <w:iCs/>
          <w:sz w:val="20"/>
          <w:szCs w:val="20"/>
        </w:rPr>
        <w:t>15</w:t>
      </w:r>
      <w:r w:rsidRPr="00C202F1">
        <w:rPr>
          <w:rFonts w:ascii="Arial" w:hAnsi="Arial" w:cs="Arial"/>
          <w:sz w:val="20"/>
          <w:szCs w:val="20"/>
        </w:rPr>
        <w:t xml:space="preserve">(1), 103–109. </w:t>
      </w:r>
      <w:hyperlink r:id="rId17" w:history="1">
        <w:r w:rsidRPr="00846037">
          <w:rPr>
            <w:rStyle w:val="Hyperlink"/>
            <w:rFonts w:ascii="Arial" w:hAnsi="Arial" w:cs="Arial"/>
            <w:sz w:val="20"/>
            <w:szCs w:val="20"/>
          </w:rPr>
          <w:t>https://doi.org/10.1093/heapol/15.1.103</w:t>
        </w:r>
      </w:hyperlink>
      <w:r>
        <w:rPr>
          <w:rFonts w:ascii="Arial" w:hAnsi="Arial" w:cs="Arial"/>
          <w:sz w:val="20"/>
          <w:szCs w:val="20"/>
        </w:rPr>
        <w:t xml:space="preserve"> </w:t>
      </w:r>
    </w:p>
    <w:p w14:paraId="09098B92"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i/>
          <w:iCs/>
          <w:sz w:val="20"/>
          <w:szCs w:val="20"/>
        </w:rPr>
        <w:t xml:space="preserve"> </w:t>
      </w:r>
      <w:r w:rsidRPr="00C202F1">
        <w:rPr>
          <w:rFonts w:ascii="Arial" w:hAnsi="Arial" w:cs="Arial"/>
          <w:sz w:val="20"/>
          <w:szCs w:val="20"/>
        </w:rPr>
        <w:t xml:space="preserve">National Health Mission. (2021). </w:t>
      </w:r>
      <w:r w:rsidRPr="00C202F1">
        <w:rPr>
          <w:rStyle w:val="Emphasis"/>
          <w:rFonts w:ascii="Arial" w:hAnsi="Arial" w:cs="Arial"/>
          <w:sz w:val="20"/>
          <w:szCs w:val="20"/>
        </w:rPr>
        <w:t>National Health Mission annual report 2020–21</w:t>
      </w:r>
      <w:r w:rsidRPr="00C202F1">
        <w:rPr>
          <w:rFonts w:ascii="Arial" w:hAnsi="Arial" w:cs="Arial"/>
          <w:sz w:val="20"/>
          <w:szCs w:val="20"/>
        </w:rPr>
        <w:t xml:space="preserve">. Ministry of Health and Family Welfare, Government of India. </w:t>
      </w:r>
      <w:hyperlink r:id="rId18" w:history="1">
        <w:r w:rsidRPr="00846037">
          <w:rPr>
            <w:rStyle w:val="Hyperlink"/>
            <w:rFonts w:ascii="Arial" w:hAnsi="Arial" w:cs="Arial"/>
            <w:sz w:val="20"/>
            <w:szCs w:val="20"/>
          </w:rPr>
          <w:t>https://nhm.gov.in</w:t>
        </w:r>
      </w:hyperlink>
      <w:r>
        <w:rPr>
          <w:rFonts w:ascii="Arial" w:hAnsi="Arial" w:cs="Arial"/>
          <w:sz w:val="20"/>
          <w:szCs w:val="20"/>
        </w:rPr>
        <w:t xml:space="preserve"> </w:t>
      </w:r>
      <w:r w:rsidRPr="00C202F1">
        <w:rPr>
          <w:rFonts w:ascii="Arial" w:hAnsi="Arial" w:cs="Arial"/>
          <w:sz w:val="20"/>
          <w:szCs w:val="20"/>
        </w:rPr>
        <w:t xml:space="preserve"> </w:t>
      </w:r>
    </w:p>
    <w:p w14:paraId="4E3C1BAE"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rPr>
        <w:t xml:space="preserve">NITI Aayog. (2021). </w:t>
      </w:r>
      <w:r w:rsidRPr="00C202F1">
        <w:rPr>
          <w:rStyle w:val="Emphasis"/>
          <w:rFonts w:ascii="Arial" w:hAnsi="Arial" w:cs="Arial"/>
          <w:sz w:val="20"/>
          <w:szCs w:val="20"/>
        </w:rPr>
        <w:t>Health systems for a new India: Building blocks—Potential pathways to reform</w:t>
      </w:r>
      <w:r w:rsidRPr="00C202F1">
        <w:rPr>
          <w:rFonts w:ascii="Arial" w:hAnsi="Arial" w:cs="Arial"/>
          <w:sz w:val="20"/>
          <w:szCs w:val="20"/>
        </w:rPr>
        <w:t xml:space="preserve">. Government of India. </w:t>
      </w:r>
      <w:hyperlink r:id="rId19" w:history="1">
        <w:r w:rsidRPr="00846037">
          <w:rPr>
            <w:rStyle w:val="Hyperlink"/>
            <w:rFonts w:ascii="Arial" w:hAnsi="Arial" w:cs="Arial"/>
            <w:sz w:val="20"/>
            <w:szCs w:val="20"/>
          </w:rPr>
          <w:t>https://www.niti.gov.in</w:t>
        </w:r>
      </w:hyperlink>
      <w:r>
        <w:rPr>
          <w:rFonts w:ascii="Arial" w:hAnsi="Arial" w:cs="Arial"/>
          <w:sz w:val="20"/>
          <w:szCs w:val="20"/>
        </w:rPr>
        <w:t xml:space="preserve"> </w:t>
      </w:r>
      <w:r w:rsidRPr="00C202F1">
        <w:rPr>
          <w:rFonts w:ascii="Arial" w:hAnsi="Arial" w:cs="Arial"/>
          <w:sz w:val="20"/>
          <w:szCs w:val="20"/>
        </w:rPr>
        <w:t xml:space="preserve"> </w:t>
      </w:r>
    </w:p>
    <w:p w14:paraId="72FED287"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OECD. (2020). </w:t>
      </w:r>
      <w:r w:rsidRPr="00C202F1">
        <w:rPr>
          <w:rStyle w:val="Emphasis"/>
          <w:rFonts w:ascii="Arial" w:hAnsi="Arial" w:cs="Arial"/>
          <w:sz w:val="20"/>
          <w:szCs w:val="20"/>
        </w:rPr>
        <w:t>OECD Health Statistics 2020</w:t>
      </w:r>
      <w:r w:rsidRPr="00C202F1">
        <w:rPr>
          <w:rFonts w:ascii="Arial" w:hAnsi="Arial" w:cs="Arial"/>
          <w:sz w:val="20"/>
          <w:szCs w:val="20"/>
        </w:rPr>
        <w:t xml:space="preserve">. OECD. </w:t>
      </w:r>
      <w:hyperlink r:id="rId20" w:history="1">
        <w:r w:rsidRPr="00846037">
          <w:rPr>
            <w:rStyle w:val="Hyperlink"/>
            <w:rFonts w:ascii="Arial" w:hAnsi="Arial" w:cs="Arial"/>
            <w:sz w:val="20"/>
            <w:szCs w:val="20"/>
          </w:rPr>
          <w:t>https://www.oecd.org/health/health-data.htm</w:t>
        </w:r>
      </w:hyperlink>
      <w:r>
        <w:rPr>
          <w:rFonts w:ascii="Arial" w:hAnsi="Arial" w:cs="Arial"/>
          <w:sz w:val="20"/>
          <w:szCs w:val="20"/>
        </w:rPr>
        <w:t xml:space="preserve"> </w:t>
      </w:r>
    </w:p>
    <w:p w14:paraId="34DF6999"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Office of the Registrar General &amp; Census Commissioner, India. (2011). </w:t>
      </w:r>
      <w:r w:rsidRPr="00C202F1">
        <w:rPr>
          <w:rStyle w:val="Emphasis"/>
          <w:rFonts w:ascii="Arial" w:hAnsi="Arial" w:cs="Arial"/>
          <w:sz w:val="20"/>
          <w:szCs w:val="20"/>
        </w:rPr>
        <w:t>Census of India 2011: Provisional population totals</w:t>
      </w:r>
      <w:r w:rsidRPr="00C202F1">
        <w:rPr>
          <w:rFonts w:ascii="Arial" w:hAnsi="Arial" w:cs="Arial"/>
          <w:sz w:val="20"/>
          <w:szCs w:val="20"/>
        </w:rPr>
        <w:t xml:space="preserve">. Government of India. </w:t>
      </w:r>
      <w:hyperlink r:id="rId21" w:history="1">
        <w:r w:rsidRPr="00846037">
          <w:rPr>
            <w:rStyle w:val="Hyperlink"/>
            <w:rFonts w:ascii="Arial" w:hAnsi="Arial" w:cs="Arial"/>
            <w:sz w:val="20"/>
            <w:szCs w:val="20"/>
          </w:rPr>
          <w:t>https://censusindia.gov.in</w:t>
        </w:r>
      </w:hyperlink>
      <w:r>
        <w:rPr>
          <w:rFonts w:ascii="Arial" w:hAnsi="Arial" w:cs="Arial"/>
          <w:sz w:val="20"/>
          <w:szCs w:val="20"/>
        </w:rPr>
        <w:t xml:space="preserve"> </w:t>
      </w:r>
    </w:p>
    <w:p w14:paraId="79E2E347"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shd w:val="clear" w:color="auto" w:fill="FFFFFF"/>
        </w:rPr>
        <w:t>Oommen, M. A. (1993). </w:t>
      </w:r>
      <w:r w:rsidRPr="00C202F1">
        <w:rPr>
          <w:rFonts w:ascii="Arial" w:hAnsi="Arial" w:cs="Arial"/>
          <w:i/>
          <w:iCs/>
          <w:sz w:val="20"/>
          <w:szCs w:val="20"/>
          <w:shd w:val="clear" w:color="auto" w:fill="FFFFFF"/>
        </w:rPr>
        <w:t>Essays on Kerala economy</w:t>
      </w:r>
      <w:r w:rsidRPr="00C202F1">
        <w:rPr>
          <w:rFonts w:ascii="Arial" w:hAnsi="Arial" w:cs="Arial"/>
          <w:sz w:val="20"/>
          <w:szCs w:val="20"/>
          <w:shd w:val="clear" w:color="auto" w:fill="FFFFFF"/>
        </w:rPr>
        <w:t>. Oxford &amp; IBH Publishing Company.</w:t>
      </w:r>
    </w:p>
    <w:p w14:paraId="10360CB0"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shd w:val="clear" w:color="auto" w:fill="FFFFFF"/>
        </w:rPr>
        <w:t>Oommen, M. A. (2014). Growth, inequality and well-being: revisiting fifty years of Kerala’s development trajectory. </w:t>
      </w:r>
      <w:r w:rsidRPr="00C202F1">
        <w:rPr>
          <w:rFonts w:ascii="Arial" w:hAnsi="Arial" w:cs="Arial"/>
          <w:i/>
          <w:iCs/>
          <w:sz w:val="20"/>
          <w:szCs w:val="20"/>
          <w:shd w:val="clear" w:color="auto" w:fill="FFFFFF"/>
        </w:rPr>
        <w:t>Journal of South Asian Development</w:t>
      </w:r>
      <w:r w:rsidRPr="00C202F1">
        <w:rPr>
          <w:rFonts w:ascii="Arial" w:hAnsi="Arial" w:cs="Arial"/>
          <w:sz w:val="20"/>
          <w:szCs w:val="20"/>
          <w:shd w:val="clear" w:color="auto" w:fill="FFFFFF"/>
        </w:rPr>
        <w:t>, </w:t>
      </w:r>
      <w:r w:rsidRPr="00C202F1">
        <w:rPr>
          <w:rFonts w:ascii="Arial" w:hAnsi="Arial" w:cs="Arial"/>
          <w:i/>
          <w:iCs/>
          <w:sz w:val="20"/>
          <w:szCs w:val="20"/>
          <w:shd w:val="clear" w:color="auto" w:fill="FFFFFF"/>
        </w:rPr>
        <w:t>9</w:t>
      </w:r>
      <w:r w:rsidRPr="00C202F1">
        <w:rPr>
          <w:rFonts w:ascii="Arial" w:hAnsi="Arial" w:cs="Arial"/>
          <w:sz w:val="20"/>
          <w:szCs w:val="20"/>
          <w:shd w:val="clear" w:color="auto" w:fill="FFFFFF"/>
        </w:rPr>
        <w:t>(2), 173-205.</w:t>
      </w:r>
    </w:p>
    <w:p w14:paraId="04917304"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Pandian, J., Suresh, S., </w:t>
      </w:r>
      <w:proofErr w:type="spellStart"/>
      <w:r w:rsidRPr="00C202F1">
        <w:rPr>
          <w:rFonts w:ascii="Arial" w:hAnsi="Arial" w:cs="Arial"/>
          <w:sz w:val="20"/>
          <w:szCs w:val="20"/>
        </w:rPr>
        <w:t>Desikachari</w:t>
      </w:r>
      <w:proofErr w:type="spellEnd"/>
      <w:r w:rsidRPr="00C202F1">
        <w:rPr>
          <w:rFonts w:ascii="Arial" w:hAnsi="Arial" w:cs="Arial"/>
          <w:sz w:val="20"/>
          <w:szCs w:val="20"/>
        </w:rPr>
        <w:t xml:space="preserve">, B., &amp; Padmanaban, P. (2013). Increased utilization of primary health care centers for birthing care in Tamil Nadu, India: A visible impact of policies, initiatives, and innovations. </w:t>
      </w:r>
      <w:r w:rsidRPr="00C202F1">
        <w:rPr>
          <w:rFonts w:ascii="Arial" w:hAnsi="Arial" w:cs="Arial"/>
          <w:i/>
          <w:iCs/>
          <w:sz w:val="20"/>
          <w:szCs w:val="20"/>
        </w:rPr>
        <w:t>Journal of Family Medicine and Primary Care</w:t>
      </w:r>
      <w:r w:rsidRPr="00C202F1">
        <w:rPr>
          <w:rFonts w:ascii="Arial" w:hAnsi="Arial" w:cs="Arial"/>
          <w:sz w:val="20"/>
          <w:szCs w:val="20"/>
        </w:rPr>
        <w:t xml:space="preserve">, </w:t>
      </w:r>
      <w:r w:rsidRPr="00C202F1">
        <w:rPr>
          <w:rFonts w:ascii="Arial" w:hAnsi="Arial" w:cs="Arial"/>
          <w:i/>
          <w:iCs/>
          <w:sz w:val="20"/>
          <w:szCs w:val="20"/>
        </w:rPr>
        <w:t>2</w:t>
      </w:r>
      <w:r w:rsidRPr="00C202F1">
        <w:rPr>
          <w:rFonts w:ascii="Arial" w:hAnsi="Arial" w:cs="Arial"/>
          <w:sz w:val="20"/>
          <w:szCs w:val="20"/>
        </w:rPr>
        <w:t xml:space="preserve">(4), 329. </w:t>
      </w:r>
      <w:hyperlink r:id="rId22" w:history="1">
        <w:r w:rsidRPr="00846037">
          <w:rPr>
            <w:rStyle w:val="Hyperlink"/>
            <w:rFonts w:ascii="Arial" w:hAnsi="Arial" w:cs="Arial"/>
            <w:sz w:val="20"/>
            <w:szCs w:val="20"/>
          </w:rPr>
          <w:t>https://doi.org/10.4103/2249-4863.123781</w:t>
        </w:r>
      </w:hyperlink>
      <w:r>
        <w:rPr>
          <w:rStyle w:val="url"/>
          <w:rFonts w:ascii="Arial" w:hAnsi="Arial" w:cs="Arial"/>
          <w:sz w:val="20"/>
          <w:szCs w:val="20"/>
        </w:rPr>
        <w:t xml:space="preserve"> </w:t>
      </w:r>
      <w:r w:rsidRPr="00C202F1">
        <w:rPr>
          <w:rStyle w:val="url"/>
          <w:rFonts w:ascii="Arial" w:hAnsi="Arial" w:cs="Arial"/>
          <w:sz w:val="20"/>
          <w:szCs w:val="20"/>
        </w:rPr>
        <w:t xml:space="preserve"> </w:t>
      </w:r>
    </w:p>
    <w:p w14:paraId="5AF600F8"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Sankar, H., Joseph, J., Negi, J., Nair, A. B., &amp; Nambiar, D. (2023). Monitoring the Family Health Centres in Kerala, India: Findings from a facility survey. </w:t>
      </w:r>
      <w:r w:rsidRPr="00C202F1">
        <w:rPr>
          <w:rFonts w:ascii="Arial" w:hAnsi="Arial" w:cs="Arial"/>
          <w:i/>
          <w:iCs/>
          <w:sz w:val="20"/>
          <w:szCs w:val="20"/>
        </w:rPr>
        <w:t>Journal of Family Medicine and Primary Care</w:t>
      </w:r>
      <w:r w:rsidRPr="00C202F1">
        <w:rPr>
          <w:rFonts w:ascii="Arial" w:hAnsi="Arial" w:cs="Arial"/>
          <w:sz w:val="20"/>
          <w:szCs w:val="20"/>
        </w:rPr>
        <w:t xml:space="preserve">, </w:t>
      </w:r>
      <w:r w:rsidRPr="00C202F1">
        <w:rPr>
          <w:rFonts w:ascii="Arial" w:hAnsi="Arial" w:cs="Arial"/>
          <w:i/>
          <w:iCs/>
          <w:sz w:val="20"/>
          <w:szCs w:val="20"/>
        </w:rPr>
        <w:t>12</w:t>
      </w:r>
      <w:r w:rsidRPr="00C202F1">
        <w:rPr>
          <w:rFonts w:ascii="Arial" w:hAnsi="Arial" w:cs="Arial"/>
          <w:sz w:val="20"/>
          <w:szCs w:val="20"/>
        </w:rPr>
        <w:t xml:space="preserve">(12), 3098–3107. </w:t>
      </w:r>
      <w:hyperlink r:id="rId23" w:history="1">
        <w:r w:rsidRPr="00846037">
          <w:rPr>
            <w:rStyle w:val="Hyperlink"/>
            <w:rFonts w:ascii="Arial" w:hAnsi="Arial" w:cs="Arial"/>
            <w:sz w:val="20"/>
            <w:szCs w:val="20"/>
          </w:rPr>
          <w:t>https://doi.org/10.4103/jfmpc.jfmpc_81_23</w:t>
        </w:r>
      </w:hyperlink>
      <w:r>
        <w:rPr>
          <w:rStyle w:val="url"/>
          <w:rFonts w:ascii="Arial" w:hAnsi="Arial" w:cs="Arial"/>
          <w:sz w:val="20"/>
          <w:szCs w:val="20"/>
        </w:rPr>
        <w:t xml:space="preserve"> </w:t>
      </w:r>
      <w:r w:rsidRPr="00C202F1">
        <w:rPr>
          <w:rStyle w:val="url"/>
          <w:rFonts w:ascii="Arial" w:hAnsi="Arial" w:cs="Arial"/>
          <w:sz w:val="20"/>
          <w:szCs w:val="20"/>
        </w:rPr>
        <w:t xml:space="preserve"> </w:t>
      </w:r>
    </w:p>
    <w:p w14:paraId="2A9023DB"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Sapkota, S., Dhakal, A., Rushton, S., Van Teijlingen, E., </w:t>
      </w:r>
      <w:proofErr w:type="spellStart"/>
      <w:r w:rsidRPr="00C202F1">
        <w:rPr>
          <w:rFonts w:ascii="Arial" w:hAnsi="Arial" w:cs="Arial"/>
          <w:sz w:val="20"/>
          <w:szCs w:val="20"/>
        </w:rPr>
        <w:t>Marahatta</w:t>
      </w:r>
      <w:proofErr w:type="spellEnd"/>
      <w:r w:rsidRPr="00C202F1">
        <w:rPr>
          <w:rFonts w:ascii="Arial" w:hAnsi="Arial" w:cs="Arial"/>
          <w:sz w:val="20"/>
          <w:szCs w:val="20"/>
        </w:rPr>
        <w:t xml:space="preserve">, S. B., Balen, J., &amp; Lee, A. C. (2023). The impact of </w:t>
      </w:r>
      <w:proofErr w:type="spellStart"/>
      <w:r w:rsidRPr="00C202F1">
        <w:rPr>
          <w:rFonts w:ascii="Arial" w:hAnsi="Arial" w:cs="Arial"/>
          <w:sz w:val="20"/>
          <w:szCs w:val="20"/>
        </w:rPr>
        <w:t>decentralisation</w:t>
      </w:r>
      <w:proofErr w:type="spellEnd"/>
      <w:r w:rsidRPr="00C202F1">
        <w:rPr>
          <w:rFonts w:ascii="Arial" w:hAnsi="Arial" w:cs="Arial"/>
          <w:sz w:val="20"/>
          <w:szCs w:val="20"/>
        </w:rPr>
        <w:t xml:space="preserve"> on health systems: a systematic review of reviews. </w:t>
      </w:r>
      <w:r w:rsidRPr="00C202F1">
        <w:rPr>
          <w:rFonts w:ascii="Arial" w:hAnsi="Arial" w:cs="Arial"/>
          <w:i/>
          <w:iCs/>
          <w:sz w:val="20"/>
          <w:szCs w:val="20"/>
        </w:rPr>
        <w:t>BMJ Global Health</w:t>
      </w:r>
      <w:r w:rsidRPr="00C202F1">
        <w:rPr>
          <w:rFonts w:ascii="Arial" w:hAnsi="Arial" w:cs="Arial"/>
          <w:sz w:val="20"/>
          <w:szCs w:val="20"/>
        </w:rPr>
        <w:t xml:space="preserve">, </w:t>
      </w:r>
      <w:r w:rsidRPr="00C202F1">
        <w:rPr>
          <w:rFonts w:ascii="Arial" w:hAnsi="Arial" w:cs="Arial"/>
          <w:i/>
          <w:iCs/>
          <w:sz w:val="20"/>
          <w:szCs w:val="20"/>
        </w:rPr>
        <w:t>8</w:t>
      </w:r>
      <w:r w:rsidRPr="00C202F1">
        <w:rPr>
          <w:rFonts w:ascii="Arial" w:hAnsi="Arial" w:cs="Arial"/>
          <w:sz w:val="20"/>
          <w:szCs w:val="20"/>
        </w:rPr>
        <w:t xml:space="preserve">(12), e013317. </w:t>
      </w:r>
      <w:hyperlink r:id="rId24" w:history="1">
        <w:r w:rsidRPr="00846037">
          <w:rPr>
            <w:rStyle w:val="Hyperlink"/>
            <w:rFonts w:ascii="Arial" w:hAnsi="Arial" w:cs="Arial"/>
            <w:sz w:val="20"/>
            <w:szCs w:val="20"/>
          </w:rPr>
          <w:t>https://doi.org/10.1136/bmjgh-2023-013317</w:t>
        </w:r>
      </w:hyperlink>
      <w:r>
        <w:rPr>
          <w:rStyle w:val="url"/>
          <w:rFonts w:ascii="Arial" w:hAnsi="Arial" w:cs="Arial"/>
          <w:sz w:val="20"/>
          <w:szCs w:val="20"/>
        </w:rPr>
        <w:t xml:space="preserve"> </w:t>
      </w:r>
      <w:r w:rsidRPr="00C202F1">
        <w:rPr>
          <w:rStyle w:val="url"/>
          <w:rFonts w:ascii="Arial" w:hAnsi="Arial" w:cs="Arial"/>
          <w:sz w:val="20"/>
          <w:szCs w:val="20"/>
        </w:rPr>
        <w:t xml:space="preserve"> </w:t>
      </w:r>
    </w:p>
    <w:p w14:paraId="76BC4266" w14:textId="77777777" w:rsidR="002D22EB" w:rsidRPr="00C202F1"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shd w:val="clear" w:color="auto" w:fill="FFFFFF"/>
        </w:rPr>
        <w:t>Sen, A. K. (1997). Human capital and human capability. </w:t>
      </w:r>
      <w:r w:rsidRPr="00C202F1">
        <w:rPr>
          <w:rFonts w:ascii="Arial" w:hAnsi="Arial" w:cs="Arial"/>
          <w:i/>
          <w:iCs/>
          <w:sz w:val="20"/>
          <w:szCs w:val="20"/>
          <w:shd w:val="clear" w:color="auto" w:fill="FFFFFF"/>
        </w:rPr>
        <w:t>World development</w:t>
      </w:r>
      <w:r w:rsidRPr="00C202F1">
        <w:rPr>
          <w:rFonts w:ascii="Arial" w:hAnsi="Arial" w:cs="Arial"/>
          <w:sz w:val="20"/>
          <w:szCs w:val="20"/>
          <w:shd w:val="clear" w:color="auto" w:fill="FFFFFF"/>
        </w:rPr>
        <w:t>, </w:t>
      </w:r>
      <w:r w:rsidRPr="00C202F1">
        <w:rPr>
          <w:rFonts w:ascii="Arial" w:hAnsi="Arial" w:cs="Arial"/>
          <w:i/>
          <w:iCs/>
          <w:sz w:val="20"/>
          <w:szCs w:val="20"/>
          <w:shd w:val="clear" w:color="auto" w:fill="FFFFFF"/>
        </w:rPr>
        <w:t>25</w:t>
      </w:r>
      <w:r w:rsidRPr="00C202F1">
        <w:rPr>
          <w:rFonts w:ascii="Arial" w:hAnsi="Arial" w:cs="Arial"/>
          <w:sz w:val="20"/>
          <w:szCs w:val="20"/>
          <w:shd w:val="clear" w:color="auto" w:fill="FFFFFF"/>
        </w:rPr>
        <w:t>(12), 1959-1961.</w:t>
      </w:r>
    </w:p>
    <w:p w14:paraId="2F4C4BF3" w14:textId="77777777" w:rsidR="002D22EB" w:rsidRPr="002D22EB" w:rsidRDefault="002D22EB" w:rsidP="002D22EB">
      <w:pPr>
        <w:pStyle w:val="NormalWeb"/>
        <w:spacing w:before="0" w:beforeAutospacing="0" w:after="0" w:afterAutospacing="0"/>
        <w:ind w:left="426" w:hanging="425"/>
        <w:jc w:val="both"/>
        <w:rPr>
          <w:rFonts w:ascii="Arial" w:hAnsi="Arial" w:cs="Arial"/>
          <w:i/>
          <w:iCs/>
          <w:sz w:val="20"/>
          <w:szCs w:val="20"/>
        </w:rPr>
      </w:pPr>
      <w:r w:rsidRPr="00C202F1">
        <w:rPr>
          <w:rFonts w:ascii="Arial" w:hAnsi="Arial" w:cs="Arial"/>
          <w:sz w:val="20"/>
          <w:szCs w:val="20"/>
          <w:shd w:val="clear" w:color="auto" w:fill="FFFFFF"/>
        </w:rPr>
        <w:t>Shabeer, K. P., &amp; Krishnan, C. (2017). Health Status of Tribal communities in Kerala. </w:t>
      </w:r>
      <w:r w:rsidRPr="00C202F1">
        <w:rPr>
          <w:rFonts w:ascii="Arial" w:hAnsi="Arial" w:cs="Arial"/>
          <w:i/>
          <w:iCs/>
          <w:sz w:val="20"/>
          <w:szCs w:val="20"/>
          <w:shd w:val="clear" w:color="auto" w:fill="FFFFFF"/>
        </w:rPr>
        <w:t>International Journal of Research in Economics and Social Science, 7 (6), 6</w:t>
      </w:r>
      <w:r w:rsidRPr="00C202F1">
        <w:rPr>
          <w:rFonts w:ascii="Arial" w:hAnsi="Arial" w:cs="Arial"/>
          <w:sz w:val="20"/>
          <w:szCs w:val="20"/>
          <w:shd w:val="clear" w:color="auto" w:fill="FFFFFF"/>
        </w:rPr>
        <w:t>, </w:t>
      </w:r>
      <w:r w:rsidRPr="00C202F1">
        <w:rPr>
          <w:rFonts w:ascii="Arial" w:hAnsi="Arial" w:cs="Arial"/>
          <w:i/>
          <w:iCs/>
          <w:sz w:val="20"/>
          <w:szCs w:val="20"/>
          <w:shd w:val="clear" w:color="auto" w:fill="FFFFFF"/>
        </w:rPr>
        <w:t>17</w:t>
      </w:r>
      <w:r w:rsidRPr="00C202F1">
        <w:rPr>
          <w:rFonts w:ascii="Arial" w:hAnsi="Arial" w:cs="Arial"/>
          <w:sz w:val="20"/>
          <w:szCs w:val="20"/>
          <w:shd w:val="clear" w:color="auto" w:fill="FFFFFF"/>
        </w:rPr>
        <w:t>.</w:t>
      </w:r>
    </w:p>
    <w:p w14:paraId="1D0A7DB9"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rPr>
        <w:t xml:space="preserve">Tao, Y., Henry, K., Zou, Q., &amp; Zhong, X. (2014). Methods for measuring horizontal equity in health resource allocation: a comparative study. </w:t>
      </w:r>
      <w:r w:rsidRPr="00C202F1">
        <w:rPr>
          <w:rFonts w:ascii="Arial" w:hAnsi="Arial" w:cs="Arial"/>
          <w:i/>
          <w:iCs/>
          <w:sz w:val="20"/>
          <w:szCs w:val="20"/>
        </w:rPr>
        <w:t>Health Economics Review</w:t>
      </w:r>
      <w:r w:rsidRPr="00C202F1">
        <w:rPr>
          <w:rFonts w:ascii="Arial" w:hAnsi="Arial" w:cs="Arial"/>
          <w:sz w:val="20"/>
          <w:szCs w:val="20"/>
        </w:rPr>
        <w:t xml:space="preserve">, </w:t>
      </w:r>
      <w:r w:rsidRPr="00C202F1">
        <w:rPr>
          <w:rFonts w:ascii="Arial" w:hAnsi="Arial" w:cs="Arial"/>
          <w:i/>
          <w:iCs/>
          <w:sz w:val="20"/>
          <w:szCs w:val="20"/>
        </w:rPr>
        <w:t>4</w:t>
      </w:r>
      <w:r w:rsidRPr="00C202F1">
        <w:rPr>
          <w:rFonts w:ascii="Arial" w:hAnsi="Arial" w:cs="Arial"/>
          <w:sz w:val="20"/>
          <w:szCs w:val="20"/>
        </w:rPr>
        <w:t xml:space="preserve">(1). </w:t>
      </w:r>
      <w:hyperlink r:id="rId25" w:history="1">
        <w:r w:rsidRPr="00846037">
          <w:rPr>
            <w:rStyle w:val="Hyperlink"/>
            <w:rFonts w:ascii="Arial" w:hAnsi="Arial" w:cs="Arial"/>
            <w:sz w:val="20"/>
            <w:szCs w:val="20"/>
          </w:rPr>
          <w:t>https://doi.org/10.1186/s13561-014-0010-x</w:t>
        </w:r>
      </w:hyperlink>
      <w:r>
        <w:rPr>
          <w:rStyle w:val="url"/>
          <w:rFonts w:ascii="Arial" w:hAnsi="Arial" w:cs="Arial"/>
          <w:sz w:val="20"/>
          <w:szCs w:val="20"/>
        </w:rPr>
        <w:t xml:space="preserve"> </w:t>
      </w:r>
      <w:r w:rsidRPr="00C202F1">
        <w:rPr>
          <w:rStyle w:val="url"/>
          <w:rFonts w:ascii="Arial" w:hAnsi="Arial" w:cs="Arial"/>
          <w:sz w:val="20"/>
          <w:szCs w:val="20"/>
        </w:rPr>
        <w:t xml:space="preserve"> </w:t>
      </w:r>
    </w:p>
    <w:p w14:paraId="3685F0E2" w14:textId="77777777" w:rsidR="002D22EB" w:rsidRPr="00C202F1" w:rsidRDefault="002D22EB" w:rsidP="002D22EB">
      <w:pPr>
        <w:pStyle w:val="NormalWeb"/>
        <w:spacing w:before="0" w:beforeAutospacing="0" w:after="0" w:afterAutospacing="0"/>
        <w:ind w:left="426" w:hanging="425"/>
        <w:jc w:val="both"/>
        <w:rPr>
          <w:rFonts w:ascii="Arial" w:hAnsi="Arial" w:cs="Arial"/>
          <w:sz w:val="20"/>
          <w:szCs w:val="20"/>
        </w:rPr>
      </w:pPr>
      <w:r w:rsidRPr="00C202F1">
        <w:rPr>
          <w:rFonts w:ascii="Arial" w:hAnsi="Arial" w:cs="Arial"/>
          <w:sz w:val="20"/>
          <w:szCs w:val="20"/>
          <w:shd w:val="clear" w:color="auto" w:fill="FFFFFF"/>
        </w:rPr>
        <w:lastRenderedPageBreak/>
        <w:t xml:space="preserve">Travassos, C., </w:t>
      </w:r>
      <w:proofErr w:type="spellStart"/>
      <w:r w:rsidRPr="00C202F1">
        <w:rPr>
          <w:rFonts w:ascii="Arial" w:hAnsi="Arial" w:cs="Arial"/>
          <w:sz w:val="20"/>
          <w:szCs w:val="20"/>
          <w:shd w:val="clear" w:color="auto" w:fill="FFFFFF"/>
        </w:rPr>
        <w:t>Viacava</w:t>
      </w:r>
      <w:proofErr w:type="spellEnd"/>
      <w:r w:rsidRPr="00C202F1">
        <w:rPr>
          <w:rFonts w:ascii="Arial" w:hAnsi="Arial" w:cs="Arial"/>
          <w:sz w:val="20"/>
          <w:szCs w:val="20"/>
          <w:shd w:val="clear" w:color="auto" w:fill="FFFFFF"/>
        </w:rPr>
        <w:t>, F., Pinheiro, R., &amp; Brito, A. (2002). Utilization of health care services in Brazil: gender, family characteristics, and social status. </w:t>
      </w:r>
      <w:proofErr w:type="spellStart"/>
      <w:r w:rsidRPr="00C202F1">
        <w:rPr>
          <w:rFonts w:ascii="Arial" w:hAnsi="Arial" w:cs="Arial"/>
          <w:i/>
          <w:iCs/>
          <w:sz w:val="20"/>
          <w:szCs w:val="20"/>
          <w:shd w:val="clear" w:color="auto" w:fill="FFFFFF"/>
        </w:rPr>
        <w:t>Revista</w:t>
      </w:r>
      <w:proofErr w:type="spellEnd"/>
      <w:r w:rsidRPr="00C202F1">
        <w:rPr>
          <w:rFonts w:ascii="Arial" w:hAnsi="Arial" w:cs="Arial"/>
          <w:i/>
          <w:iCs/>
          <w:sz w:val="20"/>
          <w:szCs w:val="20"/>
          <w:shd w:val="clear" w:color="auto" w:fill="FFFFFF"/>
        </w:rPr>
        <w:t xml:space="preserve"> </w:t>
      </w:r>
      <w:proofErr w:type="spellStart"/>
      <w:r w:rsidRPr="00C202F1">
        <w:rPr>
          <w:rFonts w:ascii="Arial" w:hAnsi="Arial" w:cs="Arial"/>
          <w:i/>
          <w:iCs/>
          <w:sz w:val="20"/>
          <w:szCs w:val="20"/>
          <w:shd w:val="clear" w:color="auto" w:fill="FFFFFF"/>
        </w:rPr>
        <w:t>panamericana</w:t>
      </w:r>
      <w:proofErr w:type="spellEnd"/>
      <w:r w:rsidRPr="00C202F1">
        <w:rPr>
          <w:rFonts w:ascii="Arial" w:hAnsi="Arial" w:cs="Arial"/>
          <w:i/>
          <w:iCs/>
          <w:sz w:val="20"/>
          <w:szCs w:val="20"/>
          <w:shd w:val="clear" w:color="auto" w:fill="FFFFFF"/>
        </w:rPr>
        <w:t xml:space="preserve"> de </w:t>
      </w:r>
      <w:proofErr w:type="spellStart"/>
      <w:r w:rsidRPr="00C202F1">
        <w:rPr>
          <w:rFonts w:ascii="Arial" w:hAnsi="Arial" w:cs="Arial"/>
          <w:i/>
          <w:iCs/>
          <w:sz w:val="20"/>
          <w:szCs w:val="20"/>
          <w:shd w:val="clear" w:color="auto" w:fill="FFFFFF"/>
        </w:rPr>
        <w:t>salud</w:t>
      </w:r>
      <w:proofErr w:type="spellEnd"/>
      <w:r w:rsidRPr="00C202F1">
        <w:rPr>
          <w:rFonts w:ascii="Arial" w:hAnsi="Arial" w:cs="Arial"/>
          <w:i/>
          <w:iCs/>
          <w:sz w:val="20"/>
          <w:szCs w:val="20"/>
          <w:shd w:val="clear" w:color="auto" w:fill="FFFFFF"/>
        </w:rPr>
        <w:t xml:space="preserve"> publica= Pan American journal of public health</w:t>
      </w:r>
      <w:r w:rsidRPr="00C202F1">
        <w:rPr>
          <w:rFonts w:ascii="Arial" w:hAnsi="Arial" w:cs="Arial"/>
          <w:sz w:val="20"/>
          <w:szCs w:val="20"/>
          <w:shd w:val="clear" w:color="auto" w:fill="FFFFFF"/>
        </w:rPr>
        <w:t>, </w:t>
      </w:r>
      <w:r w:rsidRPr="00C202F1">
        <w:rPr>
          <w:rFonts w:ascii="Arial" w:hAnsi="Arial" w:cs="Arial"/>
          <w:i/>
          <w:iCs/>
          <w:sz w:val="20"/>
          <w:szCs w:val="20"/>
          <w:shd w:val="clear" w:color="auto" w:fill="FFFFFF"/>
        </w:rPr>
        <w:t>11</w:t>
      </w:r>
      <w:r w:rsidRPr="00C202F1">
        <w:rPr>
          <w:rFonts w:ascii="Arial" w:hAnsi="Arial" w:cs="Arial"/>
          <w:sz w:val="20"/>
          <w:szCs w:val="20"/>
          <w:shd w:val="clear" w:color="auto" w:fill="FFFFFF"/>
        </w:rPr>
        <w:t>(5-6), 365-373.</w:t>
      </w:r>
    </w:p>
    <w:p w14:paraId="4B76DD4D" w14:textId="77777777" w:rsidR="002D22EB" w:rsidRPr="00C202F1" w:rsidRDefault="002D22EB" w:rsidP="002D22EB">
      <w:pPr>
        <w:pStyle w:val="NormalWeb"/>
        <w:spacing w:before="0" w:beforeAutospacing="0" w:after="0" w:afterAutospacing="0"/>
        <w:ind w:left="426" w:hanging="425"/>
        <w:jc w:val="both"/>
        <w:rPr>
          <w:rStyle w:val="url"/>
          <w:rFonts w:ascii="Arial" w:hAnsi="Arial" w:cs="Arial"/>
          <w:sz w:val="20"/>
          <w:szCs w:val="20"/>
        </w:rPr>
      </w:pPr>
      <w:r w:rsidRPr="00C202F1">
        <w:rPr>
          <w:rFonts w:ascii="Arial" w:hAnsi="Arial" w:cs="Arial"/>
          <w:sz w:val="20"/>
          <w:szCs w:val="20"/>
        </w:rPr>
        <w:t xml:space="preserve">World Health Organization: WHO. (2021, July 7). </w:t>
      </w:r>
      <w:r w:rsidRPr="00C202F1">
        <w:rPr>
          <w:rFonts w:ascii="Arial" w:hAnsi="Arial" w:cs="Arial"/>
          <w:i/>
          <w:iCs/>
          <w:sz w:val="20"/>
          <w:szCs w:val="20"/>
        </w:rPr>
        <w:t>Health equity</w:t>
      </w:r>
      <w:r w:rsidRPr="00C202F1">
        <w:rPr>
          <w:rFonts w:ascii="Arial" w:hAnsi="Arial" w:cs="Arial"/>
          <w:sz w:val="20"/>
          <w:szCs w:val="20"/>
        </w:rPr>
        <w:t xml:space="preserve">. </w:t>
      </w:r>
      <w:hyperlink r:id="rId26" w:anchor="tab=tab_1" w:history="1">
        <w:r w:rsidRPr="00846037">
          <w:rPr>
            <w:rStyle w:val="Hyperlink"/>
            <w:rFonts w:ascii="Arial" w:hAnsi="Arial" w:cs="Arial"/>
            <w:sz w:val="20"/>
            <w:szCs w:val="20"/>
          </w:rPr>
          <w:t>https://www.who.int/health-topics/health-equity#tab=tab_1</w:t>
        </w:r>
      </w:hyperlink>
      <w:r>
        <w:rPr>
          <w:rStyle w:val="url"/>
          <w:rFonts w:ascii="Arial" w:hAnsi="Arial" w:cs="Arial"/>
          <w:sz w:val="20"/>
          <w:szCs w:val="20"/>
        </w:rPr>
        <w:t xml:space="preserve"> </w:t>
      </w:r>
    </w:p>
    <w:sectPr w:rsidR="002D22EB" w:rsidRPr="00C202F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A0172" w14:textId="77777777" w:rsidR="009D642A" w:rsidRDefault="009D642A" w:rsidP="00340940">
      <w:pPr>
        <w:spacing w:after="0" w:line="240" w:lineRule="auto"/>
      </w:pPr>
      <w:r>
        <w:separator/>
      </w:r>
    </w:p>
  </w:endnote>
  <w:endnote w:type="continuationSeparator" w:id="0">
    <w:p w14:paraId="201D74CD" w14:textId="77777777" w:rsidR="009D642A" w:rsidRDefault="009D642A" w:rsidP="0034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5079" w14:textId="77777777" w:rsidR="00340940" w:rsidRDefault="0034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A922" w14:textId="77777777" w:rsidR="00340940" w:rsidRDefault="00340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83C2" w14:textId="77777777" w:rsidR="00340940" w:rsidRDefault="0034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DC3FD" w14:textId="77777777" w:rsidR="009D642A" w:rsidRDefault="009D642A" w:rsidP="00340940">
      <w:pPr>
        <w:spacing w:after="0" w:line="240" w:lineRule="auto"/>
      </w:pPr>
      <w:r>
        <w:separator/>
      </w:r>
    </w:p>
  </w:footnote>
  <w:footnote w:type="continuationSeparator" w:id="0">
    <w:p w14:paraId="33B0F657" w14:textId="77777777" w:rsidR="009D642A" w:rsidRDefault="009D642A" w:rsidP="0034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98B1" w14:textId="6621D55C" w:rsidR="00340940" w:rsidRDefault="00340940">
    <w:pPr>
      <w:pStyle w:val="Header"/>
    </w:pPr>
    <w:r>
      <w:rPr>
        <w:noProof/>
      </w:rPr>
      <w:pict w14:anchorId="4F6B6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6FBB" w14:textId="221CA2DA" w:rsidR="00340940" w:rsidRDefault="00340940">
    <w:pPr>
      <w:pStyle w:val="Header"/>
    </w:pPr>
    <w:r>
      <w:rPr>
        <w:noProof/>
      </w:rPr>
      <w:pict w14:anchorId="24BDD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6847" w14:textId="499F4BF7" w:rsidR="00340940" w:rsidRDefault="00340940">
    <w:pPr>
      <w:pStyle w:val="Header"/>
    </w:pPr>
    <w:r>
      <w:rPr>
        <w:noProof/>
      </w:rPr>
      <w:pict w14:anchorId="1900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866"/>
    <w:multiLevelType w:val="multilevel"/>
    <w:tmpl w:val="B2FAA54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13371"/>
    <w:multiLevelType w:val="multilevel"/>
    <w:tmpl w:val="540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D5466"/>
    <w:multiLevelType w:val="multilevel"/>
    <w:tmpl w:val="4664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7713A"/>
    <w:multiLevelType w:val="hybridMultilevel"/>
    <w:tmpl w:val="4CA4923C"/>
    <w:lvl w:ilvl="0" w:tplc="A770E444">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672E4"/>
    <w:multiLevelType w:val="multilevel"/>
    <w:tmpl w:val="B1C8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21FEB"/>
    <w:multiLevelType w:val="multilevel"/>
    <w:tmpl w:val="6A9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13984"/>
    <w:multiLevelType w:val="multilevel"/>
    <w:tmpl w:val="91F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F32A7"/>
    <w:multiLevelType w:val="multilevel"/>
    <w:tmpl w:val="F39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62BBF"/>
    <w:multiLevelType w:val="hybridMultilevel"/>
    <w:tmpl w:val="532C5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14D8A"/>
    <w:multiLevelType w:val="multilevel"/>
    <w:tmpl w:val="D35A9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F44C4C"/>
    <w:multiLevelType w:val="multilevel"/>
    <w:tmpl w:val="66D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4"/>
  </w:num>
  <w:num w:numId="5">
    <w:abstractNumId w:val="7"/>
  </w:num>
  <w:num w:numId="6">
    <w:abstractNumId w:val="2"/>
  </w:num>
  <w:num w:numId="7">
    <w:abstractNumId w:val="1"/>
  </w:num>
  <w:num w:numId="8">
    <w:abstractNumId w:val="6"/>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21E"/>
    <w:rsid w:val="00014756"/>
    <w:rsid w:val="00040443"/>
    <w:rsid w:val="00052C82"/>
    <w:rsid w:val="00065315"/>
    <w:rsid w:val="00170C98"/>
    <w:rsid w:val="001B24E5"/>
    <w:rsid w:val="001F46A5"/>
    <w:rsid w:val="0023607C"/>
    <w:rsid w:val="002623E6"/>
    <w:rsid w:val="0029339F"/>
    <w:rsid w:val="002A7BA9"/>
    <w:rsid w:val="002D22EB"/>
    <w:rsid w:val="00307E98"/>
    <w:rsid w:val="00340940"/>
    <w:rsid w:val="003A24F5"/>
    <w:rsid w:val="003C3F4B"/>
    <w:rsid w:val="00417578"/>
    <w:rsid w:val="00486007"/>
    <w:rsid w:val="00514D55"/>
    <w:rsid w:val="00577E51"/>
    <w:rsid w:val="005E2992"/>
    <w:rsid w:val="006102DF"/>
    <w:rsid w:val="00643BDE"/>
    <w:rsid w:val="00685CC2"/>
    <w:rsid w:val="006C78DB"/>
    <w:rsid w:val="006E3EB0"/>
    <w:rsid w:val="00711B53"/>
    <w:rsid w:val="007276C2"/>
    <w:rsid w:val="0074140D"/>
    <w:rsid w:val="00751587"/>
    <w:rsid w:val="00751F0E"/>
    <w:rsid w:val="00761CF9"/>
    <w:rsid w:val="007E1E88"/>
    <w:rsid w:val="00983E7F"/>
    <w:rsid w:val="009B7220"/>
    <w:rsid w:val="009D642A"/>
    <w:rsid w:val="009E1738"/>
    <w:rsid w:val="00A06D87"/>
    <w:rsid w:val="00A554EF"/>
    <w:rsid w:val="00AD036D"/>
    <w:rsid w:val="00AE4AB6"/>
    <w:rsid w:val="00B113B6"/>
    <w:rsid w:val="00B3283F"/>
    <w:rsid w:val="00B479AD"/>
    <w:rsid w:val="00BD01C9"/>
    <w:rsid w:val="00CA1426"/>
    <w:rsid w:val="00CB025E"/>
    <w:rsid w:val="00D0021E"/>
    <w:rsid w:val="00D1018E"/>
    <w:rsid w:val="00DC0656"/>
    <w:rsid w:val="00DE3B88"/>
    <w:rsid w:val="00E6229F"/>
    <w:rsid w:val="00F42B9A"/>
    <w:rsid w:val="00F4650D"/>
    <w:rsid w:val="00F51E2A"/>
    <w:rsid w:val="00F61BF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ED0CF"/>
  <w15:docId w15:val="{A407A9C7-1C04-5048-8D66-4D85FE7F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3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3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39F"/>
    <w:pPr>
      <w:ind w:left="720"/>
      <w:contextualSpacing/>
    </w:pPr>
  </w:style>
  <w:style w:type="character" w:customStyle="1" w:styleId="Heading1Char">
    <w:name w:val="Heading 1 Char"/>
    <w:basedOn w:val="DefaultParagraphFont"/>
    <w:link w:val="Heading1"/>
    <w:uiPriority w:val="9"/>
    <w:rsid w:val="002933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3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39F"/>
    <w:rPr>
      <w:rFonts w:ascii="Times New Roman" w:eastAsia="Times New Roman" w:hAnsi="Times New Roman" w:cs="Times New Roman"/>
      <w:b/>
      <w:bCs/>
      <w:sz w:val="27"/>
      <w:szCs w:val="27"/>
    </w:rPr>
  </w:style>
  <w:style w:type="paragraph" w:styleId="NormalWeb">
    <w:name w:val="Normal (Web)"/>
    <w:basedOn w:val="Normal"/>
    <w:uiPriority w:val="99"/>
    <w:unhideWhenUsed/>
    <w:rsid w:val="00293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39F"/>
    <w:rPr>
      <w:b/>
      <w:bCs/>
    </w:rPr>
  </w:style>
  <w:style w:type="character" w:styleId="Emphasis">
    <w:name w:val="Emphasis"/>
    <w:basedOn w:val="DefaultParagraphFont"/>
    <w:uiPriority w:val="20"/>
    <w:qFormat/>
    <w:rsid w:val="0029339F"/>
    <w:rPr>
      <w:i/>
      <w:iCs/>
    </w:rPr>
  </w:style>
  <w:style w:type="character" w:styleId="HTMLCode">
    <w:name w:val="HTML Code"/>
    <w:basedOn w:val="DefaultParagraphFont"/>
    <w:uiPriority w:val="99"/>
    <w:semiHidden/>
    <w:unhideWhenUsed/>
    <w:rsid w:val="00B113B6"/>
    <w:rPr>
      <w:rFonts w:ascii="Courier New" w:eastAsia="Times New Roman" w:hAnsi="Courier New" w:cs="Courier New"/>
      <w:sz w:val="20"/>
      <w:szCs w:val="20"/>
    </w:rPr>
  </w:style>
  <w:style w:type="character" w:styleId="Hyperlink">
    <w:name w:val="Hyperlink"/>
    <w:basedOn w:val="DefaultParagraphFont"/>
    <w:uiPriority w:val="99"/>
    <w:unhideWhenUsed/>
    <w:rsid w:val="001F46A5"/>
    <w:rPr>
      <w:color w:val="0000FF" w:themeColor="hyperlink"/>
      <w:u w:val="single"/>
    </w:rPr>
  </w:style>
  <w:style w:type="paragraph" w:customStyle="1" w:styleId="Author">
    <w:name w:val="Author"/>
    <w:basedOn w:val="Normal"/>
    <w:rsid w:val="001F46A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F46A5"/>
    <w:pPr>
      <w:spacing w:after="240" w:line="240" w:lineRule="exact"/>
      <w:jc w:val="right"/>
    </w:pPr>
    <w:rPr>
      <w:rFonts w:ascii="Helvetica" w:eastAsia="Times New Roman" w:hAnsi="Helvetica" w:cs="Times New Roman"/>
      <w:sz w:val="20"/>
      <w:szCs w:val="20"/>
    </w:rPr>
  </w:style>
  <w:style w:type="table" w:styleId="TableGrid">
    <w:name w:val="Table Grid"/>
    <w:basedOn w:val="TableNormal"/>
    <w:uiPriority w:val="59"/>
    <w:rsid w:val="003C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007"/>
    <w:rPr>
      <w:rFonts w:ascii="Tahoma" w:hAnsi="Tahoma" w:cs="Tahoma"/>
      <w:sz w:val="16"/>
      <w:szCs w:val="16"/>
    </w:rPr>
  </w:style>
  <w:style w:type="character" w:customStyle="1" w:styleId="url">
    <w:name w:val="url"/>
    <w:basedOn w:val="DefaultParagraphFont"/>
    <w:rsid w:val="002D22EB"/>
  </w:style>
  <w:style w:type="character" w:styleId="UnresolvedMention">
    <w:name w:val="Unresolved Mention"/>
    <w:basedOn w:val="DefaultParagraphFont"/>
    <w:uiPriority w:val="99"/>
    <w:semiHidden/>
    <w:unhideWhenUsed/>
    <w:rsid w:val="00307E98"/>
    <w:rPr>
      <w:color w:val="605E5C"/>
      <w:shd w:val="clear" w:color="auto" w:fill="E1DFDD"/>
    </w:rPr>
  </w:style>
  <w:style w:type="paragraph" w:styleId="Header">
    <w:name w:val="header"/>
    <w:basedOn w:val="Normal"/>
    <w:link w:val="HeaderChar"/>
    <w:uiPriority w:val="99"/>
    <w:unhideWhenUsed/>
    <w:rsid w:val="00340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40"/>
  </w:style>
  <w:style w:type="paragraph" w:styleId="Footer">
    <w:name w:val="footer"/>
    <w:basedOn w:val="Normal"/>
    <w:link w:val="FooterChar"/>
    <w:uiPriority w:val="99"/>
    <w:unhideWhenUsed/>
    <w:rsid w:val="00340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97637">
      <w:bodyDiv w:val="1"/>
      <w:marLeft w:val="0"/>
      <w:marRight w:val="0"/>
      <w:marTop w:val="0"/>
      <w:marBottom w:val="0"/>
      <w:divBdr>
        <w:top w:val="none" w:sz="0" w:space="0" w:color="auto"/>
        <w:left w:val="none" w:sz="0" w:space="0" w:color="auto"/>
        <w:bottom w:val="none" w:sz="0" w:space="0" w:color="auto"/>
        <w:right w:val="none" w:sz="0" w:space="0" w:color="auto"/>
      </w:divBdr>
    </w:div>
    <w:div w:id="312636943">
      <w:bodyDiv w:val="1"/>
      <w:marLeft w:val="0"/>
      <w:marRight w:val="0"/>
      <w:marTop w:val="0"/>
      <w:marBottom w:val="0"/>
      <w:divBdr>
        <w:top w:val="none" w:sz="0" w:space="0" w:color="auto"/>
        <w:left w:val="none" w:sz="0" w:space="0" w:color="auto"/>
        <w:bottom w:val="none" w:sz="0" w:space="0" w:color="auto"/>
        <w:right w:val="none" w:sz="0" w:space="0" w:color="auto"/>
      </w:divBdr>
    </w:div>
    <w:div w:id="602231123">
      <w:bodyDiv w:val="1"/>
      <w:marLeft w:val="0"/>
      <w:marRight w:val="0"/>
      <w:marTop w:val="0"/>
      <w:marBottom w:val="0"/>
      <w:divBdr>
        <w:top w:val="none" w:sz="0" w:space="0" w:color="auto"/>
        <w:left w:val="none" w:sz="0" w:space="0" w:color="auto"/>
        <w:bottom w:val="none" w:sz="0" w:space="0" w:color="auto"/>
        <w:right w:val="none" w:sz="0" w:space="0" w:color="auto"/>
      </w:divBdr>
    </w:div>
    <w:div w:id="1337462083">
      <w:bodyDiv w:val="1"/>
      <w:marLeft w:val="0"/>
      <w:marRight w:val="0"/>
      <w:marTop w:val="0"/>
      <w:marBottom w:val="0"/>
      <w:divBdr>
        <w:top w:val="none" w:sz="0" w:space="0" w:color="auto"/>
        <w:left w:val="none" w:sz="0" w:space="0" w:color="auto"/>
        <w:bottom w:val="none" w:sz="0" w:space="0" w:color="auto"/>
        <w:right w:val="none" w:sz="0" w:space="0" w:color="auto"/>
      </w:divBdr>
    </w:div>
    <w:div w:id="1508985934">
      <w:bodyDiv w:val="1"/>
      <w:marLeft w:val="0"/>
      <w:marRight w:val="0"/>
      <w:marTop w:val="0"/>
      <w:marBottom w:val="0"/>
      <w:divBdr>
        <w:top w:val="none" w:sz="0" w:space="0" w:color="auto"/>
        <w:left w:val="none" w:sz="0" w:space="0" w:color="auto"/>
        <w:bottom w:val="none" w:sz="0" w:space="0" w:color="auto"/>
        <w:right w:val="none" w:sz="0" w:space="0" w:color="auto"/>
      </w:divBdr>
    </w:div>
    <w:div w:id="1612513655">
      <w:bodyDiv w:val="1"/>
      <w:marLeft w:val="0"/>
      <w:marRight w:val="0"/>
      <w:marTop w:val="0"/>
      <w:marBottom w:val="0"/>
      <w:divBdr>
        <w:top w:val="none" w:sz="0" w:space="0" w:color="auto"/>
        <w:left w:val="none" w:sz="0" w:space="0" w:color="auto"/>
        <w:bottom w:val="none" w:sz="0" w:space="0" w:color="auto"/>
        <w:right w:val="none" w:sz="0" w:space="0" w:color="auto"/>
      </w:divBdr>
    </w:div>
    <w:div w:id="1759593163">
      <w:bodyDiv w:val="1"/>
      <w:marLeft w:val="0"/>
      <w:marRight w:val="0"/>
      <w:marTop w:val="0"/>
      <w:marBottom w:val="0"/>
      <w:divBdr>
        <w:top w:val="none" w:sz="0" w:space="0" w:color="auto"/>
        <w:left w:val="none" w:sz="0" w:space="0" w:color="auto"/>
        <w:bottom w:val="none" w:sz="0" w:space="0" w:color="auto"/>
        <w:right w:val="none" w:sz="0" w:space="0" w:color="auto"/>
      </w:divBdr>
    </w:div>
    <w:div w:id="19436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b.kerala.gov.in" TargetMode="External"/><Relationship Id="rId18" Type="http://schemas.openxmlformats.org/officeDocument/2006/relationships/hyperlink" Target="https://nhm.gov.in" TargetMode="External"/><Relationship Id="rId26" Type="http://schemas.openxmlformats.org/officeDocument/2006/relationships/hyperlink" Target="https://www.who.int/health-topics/health-equity" TargetMode="External"/><Relationship Id="rId3" Type="http://schemas.openxmlformats.org/officeDocument/2006/relationships/settings" Target="settings.xml"/><Relationship Id="rId21" Type="http://schemas.openxmlformats.org/officeDocument/2006/relationships/hyperlink" Target="https://censusindia.gov.in"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ospi.gov.in" TargetMode="External"/><Relationship Id="rId17" Type="http://schemas.openxmlformats.org/officeDocument/2006/relationships/hyperlink" Target="https://doi.org/10.1093/heapol/15.1.103" TargetMode="External"/><Relationship Id="rId25" Type="http://schemas.openxmlformats.org/officeDocument/2006/relationships/hyperlink" Target="https://doi.org/10.1186/s13561-014-0010-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pb.kerala.gov.in" TargetMode="External"/><Relationship Id="rId20" Type="http://schemas.openxmlformats.org/officeDocument/2006/relationships/hyperlink" Target="https://www.oecd.org/health/health-data.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mohfw.gov.in" TargetMode="External"/><Relationship Id="rId24" Type="http://schemas.openxmlformats.org/officeDocument/2006/relationships/hyperlink" Target="https://doi.org/10.1136/bmjgh-2023-01331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ashboard.ehealth.kerala.gov.in" TargetMode="External"/><Relationship Id="rId23" Type="http://schemas.openxmlformats.org/officeDocument/2006/relationships/hyperlink" Target="https://doi.org/10.4103/jfmpc.jfmpc_81_23" TargetMode="External"/><Relationship Id="rId28" Type="http://schemas.openxmlformats.org/officeDocument/2006/relationships/header" Target="header2.xml"/><Relationship Id="rId10" Type="http://schemas.openxmlformats.org/officeDocument/2006/relationships/hyperlink" Target="https://doi.org/10.2190/4l9m-8k7n-g6ac-wehn" TargetMode="External"/><Relationship Id="rId19" Type="http://schemas.openxmlformats.org/officeDocument/2006/relationships/hyperlink" Target="https://www.niti.gov.in"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ipsindia.ac.in" TargetMode="External"/><Relationship Id="rId22" Type="http://schemas.openxmlformats.org/officeDocument/2006/relationships/hyperlink" Target="https://doi.org/10.4103/2249-4863.12378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12</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27</cp:revision>
  <dcterms:created xsi:type="dcterms:W3CDTF">2025-07-30T11:29:00Z</dcterms:created>
  <dcterms:modified xsi:type="dcterms:W3CDTF">2025-10-11T14:35:00Z</dcterms:modified>
</cp:coreProperties>
</file>