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D1C2A" w14:textId="49061562" w:rsidR="00754C9A" w:rsidRPr="00FD437B" w:rsidRDefault="00FD437B" w:rsidP="00441B6F">
      <w:pPr>
        <w:pStyle w:val="Title"/>
        <w:spacing w:after="0"/>
        <w:jc w:val="both"/>
        <w:rPr>
          <w:rFonts w:ascii="Arial" w:hAnsi="Arial" w:cs="Arial"/>
          <w:u w:val="single"/>
        </w:rPr>
      </w:pPr>
      <w:r w:rsidRPr="00FD437B">
        <w:rPr>
          <w:rFonts w:ascii="Arial" w:hAnsi="Arial" w:cs="Arial"/>
          <w:u w:val="single"/>
        </w:rPr>
        <w:t>Original Research Article</w:t>
      </w:r>
    </w:p>
    <w:p w14:paraId="1D5E5286" w14:textId="01F3B8ED" w:rsidR="00513176" w:rsidRPr="00513176" w:rsidRDefault="00513176" w:rsidP="00513176">
      <w:pPr>
        <w:pStyle w:val="Heading1"/>
        <w:jc w:val="right"/>
        <w:rPr>
          <w:sz w:val="36"/>
          <w:szCs w:val="36"/>
        </w:rPr>
      </w:pPr>
      <w:r w:rsidRPr="00513176">
        <w:rPr>
          <w:sz w:val="36"/>
          <w:szCs w:val="36"/>
        </w:rPr>
        <w:t>Distribution of ocular perfusion pressure and its effect on primary open angle glaucoma among adult’s patients at KCMC referral hospital 2024-2025</w:t>
      </w:r>
    </w:p>
    <w:p w14:paraId="46909B4C" w14:textId="77777777" w:rsidR="00A258C3" w:rsidRPr="00790ADA" w:rsidRDefault="00A258C3" w:rsidP="00441B6F">
      <w:pPr>
        <w:pStyle w:val="Author"/>
        <w:spacing w:line="240" w:lineRule="auto"/>
        <w:jc w:val="both"/>
        <w:rPr>
          <w:rFonts w:ascii="Arial" w:hAnsi="Arial" w:cs="Arial"/>
          <w:sz w:val="36"/>
        </w:rPr>
      </w:pPr>
    </w:p>
    <w:p w14:paraId="5DFAA3F3" w14:textId="77777777" w:rsidR="00790ADA" w:rsidRDefault="00790ADA" w:rsidP="00441B6F">
      <w:pPr>
        <w:pStyle w:val="Affiliation"/>
        <w:spacing w:after="0" w:line="240" w:lineRule="auto"/>
        <w:jc w:val="both"/>
        <w:rPr>
          <w:rFonts w:ascii="Arial" w:hAnsi="Arial" w:cs="Arial"/>
        </w:rPr>
      </w:pPr>
    </w:p>
    <w:p w14:paraId="73708AC6" w14:textId="77777777" w:rsidR="002C57D2" w:rsidRPr="00FB3A86" w:rsidRDefault="002C57D2" w:rsidP="00441B6F">
      <w:pPr>
        <w:pStyle w:val="Affiliation"/>
        <w:spacing w:after="0" w:line="240" w:lineRule="auto"/>
        <w:jc w:val="both"/>
        <w:rPr>
          <w:rFonts w:ascii="Arial" w:hAnsi="Arial" w:cs="Arial"/>
        </w:rPr>
      </w:pPr>
    </w:p>
    <w:p w14:paraId="3F88C48B" w14:textId="77777777" w:rsidR="00B01FCD" w:rsidRPr="00FB3A86" w:rsidRDefault="004C7640" w:rsidP="00441B6F">
      <w:pPr>
        <w:pStyle w:val="Copyright"/>
        <w:spacing w:after="0" w:line="240" w:lineRule="auto"/>
        <w:jc w:val="both"/>
        <w:rPr>
          <w:rFonts w:ascii="Arial" w:hAnsi="Arial" w:cs="Arial"/>
        </w:rPr>
        <w:sectPr w:rsidR="00B01FCD" w:rsidRPr="00FB3A86" w:rsidSect="00CE601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6927D4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CE8D0A6"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0A996D7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5E83468" w14:textId="77777777" w:rsidTr="001E44FE">
        <w:tc>
          <w:tcPr>
            <w:tcW w:w="9576" w:type="dxa"/>
            <w:shd w:val="clear" w:color="auto" w:fill="F2F2F2"/>
          </w:tcPr>
          <w:p w14:paraId="3B08225A" w14:textId="77777777" w:rsidR="00883828" w:rsidRDefault="00BA1B01" w:rsidP="00883828">
            <w:pPr>
              <w:pStyle w:val="Body"/>
              <w:spacing w:after="0"/>
              <w:rPr>
                <w:rFonts w:ascii="Arial" w:eastAsia="Calibri" w:hAnsi="Arial" w:cs="Arial"/>
              </w:rPr>
            </w:pPr>
            <w:r w:rsidRPr="00883828">
              <w:rPr>
                <w:rFonts w:ascii="Arial" w:eastAsia="Calibri" w:hAnsi="Arial" w:cs="Arial"/>
                <w:b/>
              </w:rPr>
              <w:t xml:space="preserve">Aims: </w:t>
            </w:r>
            <w:r w:rsidR="006C3430" w:rsidRPr="00883828">
              <w:rPr>
                <w:rFonts w:ascii="Arial" w:eastAsia="Calibri" w:hAnsi="Arial" w:cs="Arial"/>
              </w:rPr>
              <w:t>To evaluate the distribution of ocular perfusion pressure and its effect on primary open-angle glaucoma among adult patients at K</w:t>
            </w:r>
            <w:r w:rsidR="00822B2B">
              <w:rPr>
                <w:rFonts w:ascii="Arial" w:eastAsia="Calibri" w:hAnsi="Arial" w:cs="Arial"/>
              </w:rPr>
              <w:t>CMC eye department</w:t>
            </w:r>
            <w:r w:rsidR="006C3430" w:rsidRPr="00883828">
              <w:rPr>
                <w:rFonts w:ascii="Arial" w:eastAsia="Calibri" w:hAnsi="Arial" w:cs="Arial"/>
              </w:rPr>
              <w:t>.</w:t>
            </w:r>
          </w:p>
          <w:p w14:paraId="421AA72B" w14:textId="77777777" w:rsidR="00883828" w:rsidRPr="00883828" w:rsidRDefault="00BA1B01" w:rsidP="00883828">
            <w:pPr>
              <w:pStyle w:val="Body"/>
              <w:spacing w:after="0"/>
              <w:rPr>
                <w:rFonts w:ascii="Arial" w:eastAsia="Calibri" w:hAnsi="Arial" w:cs="Arial"/>
                <w:b/>
              </w:rPr>
            </w:pPr>
            <w:r w:rsidRPr="00883828">
              <w:rPr>
                <w:rFonts w:ascii="Arial" w:eastAsia="Calibri" w:hAnsi="Arial" w:cs="Arial"/>
                <w:b/>
              </w:rPr>
              <w:t>Study design:</w:t>
            </w:r>
            <w:r w:rsidRPr="00883828">
              <w:rPr>
                <w:rFonts w:ascii="Arial" w:eastAsia="Calibri" w:hAnsi="Arial" w:cs="Arial"/>
              </w:rPr>
              <w:t xml:space="preserve">  </w:t>
            </w:r>
            <w:r w:rsidR="00822B2B">
              <w:rPr>
                <w:rFonts w:ascii="Arial" w:eastAsiaTheme="majorEastAsia" w:hAnsi="Arial" w:cs="Arial"/>
              </w:rPr>
              <w:t>C</w:t>
            </w:r>
            <w:r w:rsidR="00AD2CEA" w:rsidRPr="00883828">
              <w:rPr>
                <w:rFonts w:ascii="Arial" w:eastAsiaTheme="majorEastAsia" w:hAnsi="Arial" w:cs="Arial"/>
              </w:rPr>
              <w:t>ase-control and cross-sectional designs</w:t>
            </w:r>
            <w:r w:rsidRPr="00883828">
              <w:rPr>
                <w:rFonts w:ascii="Arial" w:eastAsia="Calibri" w:hAnsi="Arial" w:cs="Arial"/>
              </w:rPr>
              <w:t>.</w:t>
            </w:r>
          </w:p>
          <w:p w14:paraId="138BF99C" w14:textId="77777777" w:rsidR="00AD2CEA" w:rsidRPr="00883828" w:rsidRDefault="00BA1B01" w:rsidP="00883828">
            <w:pPr>
              <w:pStyle w:val="Body"/>
              <w:spacing w:after="0"/>
              <w:rPr>
                <w:rFonts w:ascii="Arial" w:eastAsia="Calibri" w:hAnsi="Arial" w:cs="Arial"/>
              </w:rPr>
            </w:pPr>
            <w:r w:rsidRPr="00883828">
              <w:rPr>
                <w:rFonts w:ascii="Arial" w:eastAsia="Calibri" w:hAnsi="Arial" w:cs="Arial"/>
                <w:b/>
              </w:rPr>
              <w:t>Place and Duration of Study:</w:t>
            </w:r>
            <w:r w:rsidRPr="00883828">
              <w:rPr>
                <w:rFonts w:ascii="Arial" w:eastAsia="Calibri" w:hAnsi="Arial" w:cs="Arial"/>
              </w:rPr>
              <w:t xml:space="preserve"> </w:t>
            </w:r>
            <w:r w:rsidR="00AD2CEA" w:rsidRPr="00883828">
              <w:rPr>
                <w:rFonts w:ascii="Arial" w:hAnsi="Arial" w:cs="Arial"/>
              </w:rPr>
              <w:t>The study was conducted at a KCMC zonal referral hospi</w:t>
            </w:r>
            <w:r w:rsidR="00822B2B">
              <w:rPr>
                <w:rFonts w:ascii="Arial" w:hAnsi="Arial" w:cs="Arial"/>
              </w:rPr>
              <w:t xml:space="preserve">tal in </w:t>
            </w:r>
            <w:r w:rsidR="00AD2CEA" w:rsidRPr="00883828">
              <w:rPr>
                <w:rFonts w:ascii="Arial" w:hAnsi="Arial" w:cs="Arial"/>
              </w:rPr>
              <w:t>Tanzania</w:t>
            </w:r>
            <w:r w:rsidRPr="00883828">
              <w:rPr>
                <w:rFonts w:ascii="Arial" w:eastAsia="Calibri" w:hAnsi="Arial" w:cs="Arial"/>
              </w:rPr>
              <w:t xml:space="preserve">, </w:t>
            </w:r>
            <w:r w:rsidR="00F16FE4">
              <w:rPr>
                <w:rFonts w:ascii="Arial" w:eastAsiaTheme="majorEastAsia" w:hAnsi="Arial" w:cs="Arial"/>
              </w:rPr>
              <w:t>from July 2024 to July</w:t>
            </w:r>
            <w:r w:rsidR="00AD2CEA" w:rsidRPr="00883828">
              <w:rPr>
                <w:rFonts w:ascii="Arial" w:eastAsiaTheme="majorEastAsia" w:hAnsi="Arial" w:cs="Arial"/>
              </w:rPr>
              <w:t xml:space="preserve"> 2025</w:t>
            </w:r>
            <w:r w:rsidR="00AD2CEA" w:rsidRPr="00883828">
              <w:rPr>
                <w:rFonts w:ascii="Arial" w:hAnsi="Arial" w:cs="Arial"/>
              </w:rPr>
              <w:t>.</w:t>
            </w:r>
          </w:p>
          <w:p w14:paraId="7BF3991B" w14:textId="77777777" w:rsidR="009904F4" w:rsidRPr="00883828" w:rsidRDefault="00BA1B01" w:rsidP="00883828">
            <w:pPr>
              <w:pStyle w:val="Body"/>
              <w:spacing w:after="0"/>
              <w:rPr>
                <w:rFonts w:ascii="Arial" w:eastAsia="Calibri" w:hAnsi="Arial" w:cs="Arial"/>
              </w:rPr>
            </w:pPr>
            <w:r w:rsidRPr="00883828">
              <w:rPr>
                <w:rFonts w:ascii="Arial" w:eastAsia="Calibri" w:hAnsi="Arial" w:cs="Arial"/>
                <w:b/>
                <w:bCs/>
              </w:rPr>
              <w:t>Methodology:</w:t>
            </w:r>
            <w:r w:rsidRPr="00883828">
              <w:rPr>
                <w:rFonts w:ascii="Arial" w:eastAsia="Calibri" w:hAnsi="Arial" w:cs="Arial"/>
              </w:rPr>
              <w:t xml:space="preserve"> </w:t>
            </w:r>
            <w:r w:rsidR="009904F4" w:rsidRPr="00883828">
              <w:rPr>
                <w:rFonts w:ascii="Arial" w:hAnsi="Arial" w:cs="Arial"/>
              </w:rPr>
              <w:t xml:space="preserve">A total of 179 participants aged </w:t>
            </w:r>
            <w:r w:rsidR="00883828">
              <w:rPr>
                <w:rFonts w:ascii="Arial" w:hAnsi="Arial" w:cs="Arial"/>
              </w:rPr>
              <w:t>≥40 years</w:t>
            </w:r>
            <w:r w:rsidR="009904F4" w:rsidRPr="00883828">
              <w:rPr>
                <w:rFonts w:ascii="Arial" w:hAnsi="Arial" w:cs="Arial"/>
              </w:rPr>
              <w:t xml:space="preserve"> were included, a r</w:t>
            </w:r>
            <w:r w:rsidR="00822B2B">
              <w:rPr>
                <w:rFonts w:ascii="Arial" w:hAnsi="Arial" w:cs="Arial"/>
              </w:rPr>
              <w:t>ebound tonometer (I</w:t>
            </w:r>
            <w:r w:rsidR="009904F4" w:rsidRPr="00883828">
              <w:rPr>
                <w:rFonts w:ascii="Arial" w:hAnsi="Arial" w:cs="Arial"/>
              </w:rPr>
              <w:t>care-100) was used to measure intraocular pressure (IOP). Systolic and diastolic blood pressure (SBP and DBP) was measured with a digital automatic blood pressure monitor. The flowing formulas were used: Mean arterial pressure</w:t>
            </w:r>
            <w:r w:rsidR="00822B2B">
              <w:rPr>
                <w:rFonts w:ascii="Arial" w:hAnsi="Arial" w:cs="Arial"/>
              </w:rPr>
              <w:t xml:space="preserve"> (MAP) = DBP</w:t>
            </w:r>
            <w:r w:rsidR="009904F4" w:rsidRPr="00883828">
              <w:rPr>
                <w:rFonts w:ascii="Arial" w:hAnsi="Arial" w:cs="Arial"/>
              </w:rPr>
              <w:t xml:space="preserve"> + 1⁄3 (SBP − DBP) and mean ocular perfusion pressure (MOPP) = 2⁄3 (MAP - IOP), diastolic perfusion pressure (DPP) = (DBP - IOP), systolic perfusion pressure (SPP) = (SBP - IOP). The POAG diagnosis followed the internal society for Geographical and Epidemiology (ISGEO) criteria.</w:t>
            </w:r>
          </w:p>
          <w:p w14:paraId="4B458CEE" w14:textId="77777777" w:rsidR="009904F4" w:rsidRPr="00883828" w:rsidRDefault="00BA1B01" w:rsidP="00883828">
            <w:pPr>
              <w:pStyle w:val="Body"/>
              <w:spacing w:after="0"/>
              <w:rPr>
                <w:rFonts w:ascii="Arial" w:eastAsia="Calibri" w:hAnsi="Arial" w:cs="Arial"/>
              </w:rPr>
            </w:pPr>
            <w:r w:rsidRPr="00883828">
              <w:rPr>
                <w:rFonts w:ascii="Arial" w:eastAsia="Calibri" w:hAnsi="Arial" w:cs="Arial"/>
                <w:b/>
                <w:bCs/>
              </w:rPr>
              <w:t>Results:</w:t>
            </w:r>
            <w:r w:rsidRPr="00883828">
              <w:rPr>
                <w:rFonts w:ascii="Arial" w:eastAsia="Calibri" w:hAnsi="Arial" w:cs="Arial"/>
              </w:rPr>
              <w:t xml:space="preserve"> </w:t>
            </w:r>
            <w:r w:rsidR="009904F4" w:rsidRPr="00883828">
              <w:rPr>
                <w:rFonts w:ascii="Arial" w:hAnsi="Arial" w:cs="Arial"/>
              </w:rPr>
              <w:t>Out of 179 participants, 89 POAG patients (30 NTG, 59 HTG) and 90 controls. HTG patients were more likely to be older than 65 years, while NTG cases had a median age of 61 years (</w:t>
            </w:r>
            <w:r w:rsidR="009904F4" w:rsidRPr="00883828">
              <w:rPr>
                <w:rFonts w:ascii="Arial" w:hAnsi="Arial" w:cs="Arial"/>
                <w:b/>
                <w:bCs/>
                <w:i/>
                <w:iCs/>
              </w:rPr>
              <w:t>x</w:t>
            </w:r>
            <w:r w:rsidR="009904F4" w:rsidRPr="00883828">
              <w:rPr>
                <w:rFonts w:ascii="Arial" w:hAnsi="Arial" w:cs="Arial"/>
                <w:b/>
                <w:bCs/>
                <w:i/>
                <w:iCs/>
                <w:vertAlign w:val="superscript"/>
              </w:rPr>
              <w:t>2</w:t>
            </w:r>
            <w:r w:rsidR="009904F4" w:rsidRPr="00883828">
              <w:rPr>
                <w:rFonts w:ascii="Arial" w:hAnsi="Arial" w:cs="Arial"/>
                <w:color w:val="000000" w:themeColor="text1"/>
                <w:vertAlign w:val="superscript"/>
              </w:rPr>
              <w:t xml:space="preserve"> </w:t>
            </w:r>
            <w:r w:rsidR="009904F4" w:rsidRPr="00883828">
              <w:rPr>
                <w:rFonts w:ascii="Arial" w:hAnsi="Arial" w:cs="Arial"/>
                <w:color w:val="000000" w:themeColor="text1"/>
              </w:rPr>
              <w:t xml:space="preserve">= 8.92, </w:t>
            </w:r>
            <w:r w:rsidR="009904F4" w:rsidRPr="00883828">
              <w:rPr>
                <w:rFonts w:ascii="Arial" w:hAnsi="Arial" w:cs="Arial"/>
              </w:rPr>
              <w:t>p = 0.003). NTG patients had higher rates of smoking and diabetes (</w:t>
            </w:r>
            <w:r w:rsidR="009904F4" w:rsidRPr="00883828">
              <w:rPr>
                <w:rFonts w:ascii="Arial" w:hAnsi="Arial" w:cs="Arial"/>
                <w:b/>
                <w:bCs/>
                <w:i/>
                <w:iCs/>
              </w:rPr>
              <w:t>x</w:t>
            </w:r>
            <w:r w:rsidR="009904F4" w:rsidRPr="00883828">
              <w:rPr>
                <w:rFonts w:ascii="Arial" w:hAnsi="Arial" w:cs="Arial"/>
                <w:b/>
                <w:bCs/>
                <w:i/>
                <w:iCs/>
                <w:vertAlign w:val="superscript"/>
              </w:rPr>
              <w:t>2</w:t>
            </w:r>
            <w:r w:rsidR="009904F4" w:rsidRPr="00883828">
              <w:rPr>
                <w:rStyle w:val="fadeinm1hgl8"/>
                <w:rFonts w:ascii="Arial" w:hAnsi="Arial" w:cs="Arial"/>
                <w:color w:val="000000" w:themeColor="text1"/>
                <w:vertAlign w:val="superscript"/>
              </w:rPr>
              <w:t xml:space="preserve"> </w:t>
            </w:r>
            <w:r w:rsidR="009904F4" w:rsidRPr="00883828">
              <w:rPr>
                <w:rStyle w:val="fadeinm1hgl8"/>
                <w:rFonts w:ascii="Arial" w:hAnsi="Arial" w:cs="Arial"/>
                <w:color w:val="000000" w:themeColor="text1"/>
              </w:rPr>
              <w:t xml:space="preserve">= </w:t>
            </w:r>
            <w:r w:rsidR="009904F4" w:rsidRPr="00883828">
              <w:rPr>
                <w:rFonts w:ascii="Arial" w:hAnsi="Arial" w:cs="Arial"/>
                <w:color w:val="000000" w:themeColor="text1"/>
              </w:rPr>
              <w:t xml:space="preserve">3.85, </w:t>
            </w:r>
            <w:r w:rsidR="009904F4" w:rsidRPr="00883828">
              <w:rPr>
                <w:rFonts w:ascii="Arial" w:hAnsi="Arial" w:cs="Arial"/>
              </w:rPr>
              <w:t xml:space="preserve">p = 0.047 and </w:t>
            </w:r>
            <w:r w:rsidR="009904F4" w:rsidRPr="00883828">
              <w:rPr>
                <w:rFonts w:ascii="Arial" w:hAnsi="Arial" w:cs="Arial"/>
                <w:b/>
                <w:bCs/>
                <w:i/>
                <w:iCs/>
              </w:rPr>
              <w:t>x</w:t>
            </w:r>
            <w:r w:rsidR="009904F4" w:rsidRPr="00883828">
              <w:rPr>
                <w:rFonts w:ascii="Arial" w:hAnsi="Arial" w:cs="Arial"/>
                <w:b/>
                <w:bCs/>
                <w:i/>
                <w:iCs/>
                <w:vertAlign w:val="superscript"/>
              </w:rPr>
              <w:t>2</w:t>
            </w:r>
            <w:r w:rsidR="009904F4" w:rsidRPr="00883828">
              <w:rPr>
                <w:rStyle w:val="fadeinm1hgl8"/>
                <w:rFonts w:ascii="Arial" w:hAnsi="Arial" w:cs="Arial"/>
                <w:color w:val="000000" w:themeColor="text1"/>
              </w:rPr>
              <w:t xml:space="preserve">= </w:t>
            </w:r>
            <w:r w:rsidR="009904F4" w:rsidRPr="00883828">
              <w:rPr>
                <w:rFonts w:ascii="Arial" w:hAnsi="Arial" w:cs="Arial"/>
                <w:color w:val="000000" w:themeColor="text1"/>
              </w:rPr>
              <w:t xml:space="preserve">3.23, </w:t>
            </w:r>
            <w:r w:rsidR="009904F4" w:rsidRPr="00883828">
              <w:rPr>
                <w:rFonts w:ascii="Arial" w:hAnsi="Arial" w:cs="Arial"/>
              </w:rPr>
              <w:t>p = 0.042, respectively), while hypertension was more common among HTG patients (p = 0.038). NTG patients showed lower mean DPP (50.9 mmHg) compared to HTG (61.0 mmHg) and controls (65.5 mmHg). Mean IOP was 20 mmHg in NTG, 14.1 mmHg in controls and 26mmHg in HTG. DPP ≤ 56 mmHg (AOR: 1.58; 95%CI: 1.08, 2.32), p= 0.019 and MOPP ≤53 (AOR: 1.23; 95%CI: 1.01, 1.51), p= 0.041 mmHg, were independently associated with NTG.</w:t>
            </w:r>
          </w:p>
          <w:p w14:paraId="463C647F" w14:textId="77777777" w:rsidR="00505F06" w:rsidRPr="00BA1B01" w:rsidRDefault="00BA1B01" w:rsidP="00883828">
            <w:pPr>
              <w:pStyle w:val="Body"/>
              <w:spacing w:after="0"/>
              <w:rPr>
                <w:rFonts w:ascii="Arial" w:eastAsia="Calibri" w:hAnsi="Arial" w:cs="Arial"/>
                <w:szCs w:val="22"/>
              </w:rPr>
            </w:pPr>
            <w:r w:rsidRPr="00883828">
              <w:rPr>
                <w:rFonts w:ascii="Arial" w:eastAsia="Calibri" w:hAnsi="Arial" w:cs="Arial"/>
                <w:b/>
                <w:bCs/>
              </w:rPr>
              <w:t>Conclusion:</w:t>
            </w:r>
            <w:r w:rsidRPr="00883828">
              <w:rPr>
                <w:rFonts w:ascii="Arial" w:eastAsia="Calibri" w:hAnsi="Arial" w:cs="Arial"/>
              </w:rPr>
              <w:t xml:space="preserve"> </w:t>
            </w:r>
            <w:r w:rsidR="009904F4" w:rsidRPr="00883828">
              <w:rPr>
                <w:rFonts w:ascii="Arial" w:hAnsi="Arial" w:cs="Arial"/>
              </w:rPr>
              <w:t>Low DPP was significantly associated with NTG, highlighting the role of impaired ocular blood flow in its pathogenesis.</w:t>
            </w:r>
          </w:p>
        </w:tc>
      </w:tr>
    </w:tbl>
    <w:p w14:paraId="082F2C36" w14:textId="77777777" w:rsidR="00636EB2" w:rsidRDefault="00636EB2" w:rsidP="00441B6F">
      <w:pPr>
        <w:pStyle w:val="Body"/>
        <w:spacing w:after="0"/>
        <w:rPr>
          <w:rFonts w:ascii="Arial" w:hAnsi="Arial" w:cs="Arial"/>
          <w:i/>
        </w:rPr>
      </w:pPr>
    </w:p>
    <w:p w14:paraId="14BFD076" w14:textId="77777777" w:rsidR="00790ADA" w:rsidRDefault="00A24E7E" w:rsidP="00441B6F">
      <w:pPr>
        <w:pStyle w:val="Body"/>
        <w:spacing w:after="0"/>
        <w:rPr>
          <w:rFonts w:ascii="Arial" w:hAnsi="Arial" w:cs="Arial"/>
          <w:i/>
        </w:rPr>
      </w:pPr>
      <w:r>
        <w:rPr>
          <w:rFonts w:ascii="Arial" w:hAnsi="Arial" w:cs="Arial"/>
          <w:i/>
        </w:rPr>
        <w:t>Keywords</w:t>
      </w:r>
      <w:r w:rsidR="00883828">
        <w:rPr>
          <w:rFonts w:ascii="Arial" w:hAnsi="Arial" w:cs="Arial"/>
          <w:i/>
        </w:rPr>
        <w:t>:</w:t>
      </w:r>
      <w:r w:rsidR="00883828" w:rsidRPr="00883828">
        <w:rPr>
          <w:rFonts w:ascii="Times New Roman" w:hAnsi="Times New Roman"/>
          <w:i/>
          <w:sz w:val="24"/>
          <w:szCs w:val="24"/>
        </w:rPr>
        <w:t xml:space="preserve"> </w:t>
      </w:r>
      <w:r w:rsidR="00883828" w:rsidRPr="00883828">
        <w:rPr>
          <w:rFonts w:ascii="Arial" w:hAnsi="Arial" w:cs="Arial"/>
          <w:i/>
        </w:rPr>
        <w:t>Ocular perfusion pressure, Primary open angle</w:t>
      </w:r>
      <w:r w:rsidR="00883828" w:rsidRPr="00C70B56">
        <w:rPr>
          <w:rFonts w:ascii="Times New Roman" w:hAnsi="Times New Roman"/>
          <w:i/>
          <w:sz w:val="24"/>
          <w:szCs w:val="24"/>
        </w:rPr>
        <w:t xml:space="preserve"> glaucoma</w:t>
      </w:r>
      <w:r w:rsidR="00883828">
        <w:rPr>
          <w:rFonts w:ascii="Arial" w:hAnsi="Arial" w:cs="Arial"/>
          <w:i/>
        </w:rPr>
        <w:t>.</w:t>
      </w:r>
    </w:p>
    <w:p w14:paraId="1DAD053A" w14:textId="77777777" w:rsidR="00883828" w:rsidRDefault="00883828" w:rsidP="00441B6F">
      <w:pPr>
        <w:pStyle w:val="Body"/>
        <w:spacing w:after="0"/>
        <w:rPr>
          <w:rFonts w:ascii="Arial" w:hAnsi="Arial" w:cs="Arial"/>
          <w:i/>
        </w:rPr>
      </w:pPr>
    </w:p>
    <w:p w14:paraId="6682086A" w14:textId="77777777" w:rsidR="0024282C" w:rsidRDefault="0024282C" w:rsidP="00441B6F">
      <w:pPr>
        <w:pStyle w:val="Body"/>
        <w:spacing w:after="0"/>
        <w:rPr>
          <w:rFonts w:ascii="Arial" w:hAnsi="Arial" w:cs="Arial"/>
          <w:i/>
          <w:sz w:val="18"/>
        </w:rPr>
      </w:pPr>
    </w:p>
    <w:p w14:paraId="2589AA6B" w14:textId="77777777" w:rsidR="00505F06" w:rsidRPr="00A24E7E" w:rsidRDefault="00505F06" w:rsidP="00441B6F">
      <w:pPr>
        <w:pStyle w:val="Body"/>
        <w:spacing w:after="0"/>
        <w:rPr>
          <w:rFonts w:ascii="Arial" w:hAnsi="Arial" w:cs="Arial"/>
          <w:i/>
        </w:rPr>
      </w:pPr>
    </w:p>
    <w:p w14:paraId="2D5B9188"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CEACCE6" w14:textId="77777777" w:rsidR="00790ADA" w:rsidRPr="00FB3A86" w:rsidRDefault="00790ADA" w:rsidP="00441B6F">
      <w:pPr>
        <w:pStyle w:val="AbstHead"/>
        <w:spacing w:after="0"/>
        <w:jc w:val="both"/>
        <w:rPr>
          <w:rFonts w:ascii="Arial" w:hAnsi="Arial" w:cs="Arial"/>
        </w:rPr>
      </w:pPr>
    </w:p>
    <w:p w14:paraId="46C359C3" w14:textId="77777777" w:rsidR="0047396A" w:rsidRPr="0047396A" w:rsidRDefault="0047396A" w:rsidP="0047396A">
      <w:pPr>
        <w:pStyle w:val="Body"/>
        <w:spacing w:after="0"/>
        <w:rPr>
          <w:rFonts w:ascii="Arial" w:hAnsi="Arial" w:cs="Arial"/>
        </w:rPr>
      </w:pPr>
      <w:r w:rsidRPr="0047396A">
        <w:rPr>
          <w:rFonts w:ascii="Arial" w:hAnsi="Arial" w:cs="Arial"/>
        </w:rPr>
        <w:t xml:space="preserve">Glaucoma is the multifactorial optic degenerative neuropathy disease characterized by the death of retinal ganglion cells. Vascular, genetic, anatomical, and immunological are among the contributors to its development </w:t>
      </w:r>
      <w:r w:rsidRPr="0047396A">
        <w:rPr>
          <w:rFonts w:ascii="Arial" w:hAnsi="Arial" w:cs="Arial"/>
        </w:rPr>
        <w:fldChar w:fldCharType="begin" w:fldLock="1"/>
      </w:r>
      <w:r w:rsidRPr="0047396A">
        <w:rPr>
          <w:rFonts w:ascii="Arial" w:hAnsi="Arial" w:cs="Arial"/>
        </w:rPr>
        <w:instrText>ADDIN CSL_CITATION {"citationItems":[{"id":"ITEM-1","itemData":{"DOI":"10.3390/genes12081135","ISSN":"20734425","PMID":"34440309","abstract":"Glaucoma is one of the world’s leading causes of irreversible blindness. A complex, multifactorial disease, the underlying pathogenesis and reasons for disease progression are not fully understood. The most common form of glaucoma, primary open-angle glaucoma (POAG), was traditionally understood to be the result of elevated intraocular pressure (IOP), leading to optic nerve damage and functional vision loss. Recently, researchers have suggested that POAG may have an underlying genetic component. In fact, studies of genetic association and heritability have yielded encouraging results showing that glaucoma may be influenced by genetic factors, and estimates for the heritability of POAG and disease-related endophenotypes show encouraging results. However, the vast majority of the underlying genetic variants and their molecular mechanisms have not been elucidated. Several genes have been suggested to have molecular mechanisms contributing to alterations in key endophenotypes such as IOP (LMX1B, MADD, NR1H3, and SEPT9), and VCDR (ABCA1, ELN, ASAP1, and ATOH7). Still, genetic studies about glaucoma and its molecular mechanisms are limited by the multifactorial nature of the disease and the large number of genes that have been identified to have an association with glaucoma. Therefore, further study into the molecular mechanisms of the disease itself are required for the future development of therapies targeted at genes leading to POAG endophenotypes and, therefore, increased risk of disease.","author":[{"dropping-particle":"","family":"Zukerman","given":"Ryan","non-dropping-particle":"","parse-names":false,"suffix":""},{"dropping-particle":"","family":"Harris","given":"Alon","non-dropping-particle":"","parse-names":false,"suffix":""},{"dropping-particle":"","family":"Oddone","given":"Francesco","non-dropping-particle":"","parse-names":false,"suffix":""},{"dropping-particle":"","family":"Siesky","given":"Brent","non-dropping-particle":"","parse-names":false,"suffix":""},{"dropping-particle":"","family":"Verticchio Vercellin","given":"Alice","non-dropping-particle":"","parse-names":false,"suffix":""},{"dropping-particle":"","family":"Ciulla","given":"Thomas A.","non-dropping-particle":"","parse-names":false,"suffix":""}],"container-title":"Genes","id":"ITEM-1","issue":"8","issued":{"date-parts":[["2021"]]},"title":"Glaucoma heritability: Molecular mechanisms of disease","type":"article-journal","volume":"12"},"uris":["http://www.mendeley.com/documents/?uuid=11d2f589-349a-48c5-9729-64ad676d72ff"]}],"mendeley":{"formattedCitation":"(Zukerman &lt;i&gt;et al.&lt;/i&gt;, 2021)","plainTextFormattedCitation":"(Zukerman et al., 2021)","previouslyFormattedCitation":"(1)"},"properties":{"noteIndex":0},"schema":"https://github.com/citation-style-language/schema/raw/master/csl-citation.json"}</w:instrText>
      </w:r>
      <w:r w:rsidRPr="0047396A">
        <w:rPr>
          <w:rFonts w:ascii="Arial" w:hAnsi="Arial" w:cs="Arial"/>
        </w:rPr>
        <w:fldChar w:fldCharType="separate"/>
      </w:r>
      <w:r w:rsidRPr="0047396A">
        <w:rPr>
          <w:rFonts w:ascii="Arial" w:hAnsi="Arial" w:cs="Arial"/>
        </w:rPr>
        <w:t xml:space="preserve">(Zukerman </w:t>
      </w:r>
      <w:r w:rsidRPr="0047396A">
        <w:rPr>
          <w:rFonts w:ascii="Arial" w:hAnsi="Arial" w:cs="Arial"/>
          <w:i/>
        </w:rPr>
        <w:t>et al.</w:t>
      </w:r>
      <w:r w:rsidRPr="0047396A">
        <w:rPr>
          <w:rFonts w:ascii="Arial" w:hAnsi="Arial" w:cs="Arial"/>
        </w:rPr>
        <w:t>, 2021)</w:t>
      </w:r>
      <w:r w:rsidRPr="0047396A">
        <w:rPr>
          <w:rFonts w:ascii="Arial" w:hAnsi="Arial" w:cs="Arial"/>
        </w:rPr>
        <w:fldChar w:fldCharType="end"/>
      </w:r>
      <w:r w:rsidRPr="0047396A">
        <w:rPr>
          <w:rFonts w:ascii="Arial" w:hAnsi="Arial" w:cs="Arial"/>
        </w:rPr>
        <w:t>.</w:t>
      </w:r>
    </w:p>
    <w:p w14:paraId="4F576F3F" w14:textId="77777777" w:rsidR="0047396A" w:rsidRPr="0047396A" w:rsidRDefault="0047396A" w:rsidP="0047396A">
      <w:pPr>
        <w:pStyle w:val="Body"/>
        <w:spacing w:after="0"/>
        <w:rPr>
          <w:rFonts w:ascii="Arial" w:hAnsi="Arial" w:cs="Arial"/>
        </w:rPr>
      </w:pPr>
      <w:r w:rsidRPr="0047396A">
        <w:rPr>
          <w:rFonts w:ascii="Arial" w:hAnsi="Arial" w:cs="Arial"/>
        </w:rPr>
        <w:t xml:space="preserve">Glaucoma is the second leading cause of blindness worldwide, after cataracts, and has been a public health concern due to its potential to cause irreversible blindness </w:t>
      </w:r>
      <w:r w:rsidRPr="0047396A">
        <w:rPr>
          <w:rFonts w:ascii="Arial" w:hAnsi="Arial" w:cs="Arial"/>
        </w:rPr>
        <w:fldChar w:fldCharType="begin" w:fldLock="1"/>
      </w:r>
      <w:r w:rsidRPr="0047396A">
        <w:rPr>
          <w:rFonts w:ascii="Arial" w:hAnsi="Arial" w:cs="Arial"/>
        </w:rPr>
        <w:instrText>ADDIN CSL_CITATION {"citationItems":[{"id":"ITEM-1","itemData":{"DOI":"10.4103/ojo.OJO_112_2018","ISSN":"09747842","abstract":"AIM: To investigate the relationship between blood pressure (BP), ocular perfusion pressure (OPP), intraocular pressure (IOP) and open angle glaucoma (OAG) in Primary Open Angle Glaucoma (POAG) patients and normal population. DESIGN: Cross-sectional observation study. MATERIALS AND METHODS: Hospital-based, case control cross-sectional study conducted on 150 patients, of which 75 people were included in the control group and 75 people in the glaucoma group. The diagnosis of cases was based on disc evaluation, gonioscopy, perimetry and applanation tonometry. Systolic and diastolic blood pressure (SBP and DBP) was measured with a Mercury Sphygmomanometer. Mean ocular perfusion pressure (MOPP) = (mean arterial pressure − IOP), where mean arterial pressure (MAP) = DBP + (SBP − DBP), systolic perfusion pressure (SPP) = SBP – IOP and diastolic perfusion pressure (DPP) = DBP − IOP was calculated. RESULTS: DBP, OPP, SPP and DPP showed positive association with POAG. There is positive correlation between IOP and SBP, DBP and there is a negative correlation between IOP, OPP, SPP and DPP. Lower OPP was strongly associated with an increased risk for POAG, with a relative risk of 6.27 and the odds ratio of 0.075 for those with OPP less than 50 mmHg. Similarly, a low DPP less than 55 mmHg were also associated with increased risk for POAG with relative risk of 5.3 and the odds ratio of 0.020. CONCLUSION: Low MOPP and low DPP show strong association with increased prevalence of POAG and are independent risk factors for OAG.","author":[{"dropping-particle":"","family":"Gore","given":"Varshav","non-dropping-particle":"","parse-names":false,"suffix":""},{"dropping-particle":"","family":"Shah","given":"Parthav","non-dropping-particle":"","parse-names":false,"suffix":""},{"dropping-particle":"","family":"Kanhere","given":"Minal","non-dropping-particle":"","parse-names":false,"suffix":""},{"dropping-particle":"","family":"Gore","given":"Shalini","non-dropping-particle":"","parse-names":false,"suffix":""}],"container-title":"Oman Journal of Ophthalmology","id":"ITEM-1","issue":"3","issued":{"date-parts":[["2019"]]},"page":"150-155","title":"Relationship between optical perfusion pressure and systemic blood pressure on glaucoma: Case–control study","type":"article-journal","volume":"12"},"uris":["http://www.mendeley.com/documents/?uuid=ab5306b2-dd65-4ca6-93e1-621763612469"]}],"mendeley":{"formattedCitation":"(Gore &lt;i&gt;et al.&lt;/i&gt;, 2019)","plainTextFormattedCitation":"(Gore et al., 2019)","previouslyFormattedCitation":"(2)"},"properties":{"noteIndex":0},"schema":"https://github.com/citation-style-language/schema/raw/master/csl-citation.json"}</w:instrText>
      </w:r>
      <w:r w:rsidRPr="0047396A">
        <w:rPr>
          <w:rFonts w:ascii="Arial" w:hAnsi="Arial" w:cs="Arial"/>
        </w:rPr>
        <w:fldChar w:fldCharType="separate"/>
      </w:r>
      <w:r w:rsidRPr="0047396A">
        <w:rPr>
          <w:rFonts w:ascii="Arial" w:hAnsi="Arial" w:cs="Arial"/>
        </w:rPr>
        <w:t xml:space="preserve">(Gore </w:t>
      </w:r>
      <w:r w:rsidRPr="0047396A">
        <w:rPr>
          <w:rFonts w:ascii="Arial" w:hAnsi="Arial" w:cs="Arial"/>
          <w:i/>
        </w:rPr>
        <w:t>et al.</w:t>
      </w:r>
      <w:r w:rsidRPr="0047396A">
        <w:rPr>
          <w:rFonts w:ascii="Arial" w:hAnsi="Arial" w:cs="Arial"/>
        </w:rPr>
        <w:t xml:space="preserve">, </w:t>
      </w:r>
      <w:r w:rsidRPr="0047396A">
        <w:rPr>
          <w:rFonts w:ascii="Arial" w:hAnsi="Arial" w:cs="Arial"/>
        </w:rPr>
        <w:lastRenderedPageBreak/>
        <w:t>2019)</w:t>
      </w:r>
      <w:r w:rsidRPr="0047396A">
        <w:rPr>
          <w:rFonts w:ascii="Arial" w:hAnsi="Arial" w:cs="Arial"/>
        </w:rPr>
        <w:fldChar w:fldCharType="end"/>
      </w:r>
      <w:r w:rsidRPr="0047396A">
        <w:rPr>
          <w:rFonts w:ascii="Arial" w:hAnsi="Arial" w:cs="Arial"/>
        </w:rPr>
        <w:t xml:space="preserve">. It is most common in adults between the ages of 40 to 80 years. The global prevalence of primary open-angle glaucoma (POAG) is approximately 3.54% and the highest prevalence observed in Africa, standing at 4.20% </w:t>
      </w:r>
      <w:r w:rsidRPr="0047396A">
        <w:rPr>
          <w:rFonts w:ascii="Arial" w:hAnsi="Arial" w:cs="Arial"/>
        </w:rPr>
        <w:fldChar w:fldCharType="begin" w:fldLock="1"/>
      </w:r>
      <w:r w:rsidRPr="0047396A">
        <w:rPr>
          <w:rFonts w:ascii="Arial" w:hAnsi="Arial" w:cs="Arial"/>
        </w:rPr>
        <w:instrText>ADDIN CSL_CITATION {"citationItems":[{"id":"ITEM-1","itemData":{"DOI":"10.1016/j.ophtha.2014.05.013","ISSN":"15494713","PMID":"24974815","abstract":"Purpose Glaucoma is the leading cause of global irreversible blindness. Present estimates of global glaucoma prevalence are not up-to-date and focused mainly on European ancestry populations. We systematically examined the global prevalence of primary open-angle glaucoma (POAG) and primary angle-closure glaucoma (PACG), and projected the number of affected people in 2020 and 2040.\nDesign Systematic review and meta-analysis.\nParticipantsData from 50 population-based studies (3770 POAG cases among 140 ≥496 examined individuals and 786 PACG cases among 112 398 examined individuals).\nMethods We searched PubMed, Medline, and Web of Science for population-based studies of glaucoma prevalence published up to March 25, 2013. Hierarchical Bayesian approach was used to estimate the pooled glaucoma prevalence of the population aged 40-80 years along with 95% credible intervals (CrIs). Projections of glaucoma were estimated based on the United Nations World Population Prospects. Bayesian meta-regression models were performed to assess the association between the prevalence of POAG and the relevant factors.\nMain Outcome Measures Prevalence and projection numbers of glaucoma cases.\nResults The global prevalence of glaucoma for population aged 40-80 years is 3.54% (95% CrI, 2.09-5.82). The prevalence of POAG is highest in Africa (4.20%; 95% CrI, 2.08-7.35), and the prevalence of PACG is highest in Asia (1.09%; 95% CrI, 0.43-2.32). In 2013, the number of people (aged 40-80 years) with glaucoma worldwide was estimated to be 64.3 million, increasing to 76.0 million in 2020 and 111.8 million in 2040. In the Bayesian meta-regression model, men were more likely to have POAG than women (odds ratio [OR], 1.36; 95% CrI, 1.23-1.52), and after adjusting for age, gender, habitation type, response rate, and year of study, people of African ancestry were more likely to have POAG than people of European ancestry (OR, 2.80; 95% CrI, 1.83-4.06), and people living in urban areas were more likely to have POAG than those in rural areas (OR, 1.58; 95% CrI, 1.19-2.04).\nConclusions The number of people with glaucoma worldwide will increase to 111.8 million in 2040, disproportionally affecting people residing in Asia and Africa. These estimates are important in guiding the designs of glaucoma screening, treatment, and related public health strategies.","author":[{"dropping-particle":"","family":"Tham","given":"Yih Chung","non-dropping-particle":"","parse-names":false,"suffix":""},{"dropping-particle":"","family":"Li","given":"Xiang","non-dropping-particle":"","parse-names":false,"suffix":""},{"dropping-particle":"","family":"Wong","given":"Tien Y.","non-dropping-particle":"","parse-names":false,"suffix":""},{"dropping-particle":"","family":"Quigley","given":"Harry A.","non-dropping-particle":"","parse-names":false,"suffix":""},{"dropping-particle":"","family":"Aung","given":"Tin","non-dropping-particle":"","parse-names":false,"suffix":""},{"dropping-particle":"","family":"Cheng","given":"Ching Yu","non-dropping-particle":"","parse-names":false,"suffix":""}],"container-title":"Ophthalmology","id":"ITEM-1","issue":"11","issued":{"date-parts":[["2014"]]},"page":"2081-2090","publisher":"Elsevier Inc","title":"Global prevalence of glaucoma and projections of glaucoma burden through 2040: A systematic review and meta-analysis","type":"article-journal","volume":"121"},"uris":["http://www.mendeley.com/documents/?uuid=360db47c-648d-43e0-8294-79ac1d192857","http://www.mendeley.com/documents/?uuid=a56a1c4d-96d7-4114-9afb-5df1622b8de7"]}],"mendeley":{"formattedCitation":"(Tham &lt;i&gt;et al.&lt;/i&gt;, 2014)","plainTextFormattedCitation":"(Tham et al., 2014)","previouslyFormattedCitation":"(3)"},"properties":{"noteIndex":0},"schema":"https://github.com/citation-style-language/schema/raw/master/csl-citation.json"}</w:instrText>
      </w:r>
      <w:r w:rsidRPr="0047396A">
        <w:rPr>
          <w:rFonts w:ascii="Arial" w:hAnsi="Arial" w:cs="Arial"/>
        </w:rPr>
        <w:fldChar w:fldCharType="separate"/>
      </w:r>
      <w:r w:rsidRPr="0047396A">
        <w:rPr>
          <w:rFonts w:ascii="Arial" w:hAnsi="Arial" w:cs="Arial"/>
        </w:rPr>
        <w:t xml:space="preserve">(Tham </w:t>
      </w:r>
      <w:r w:rsidRPr="0047396A">
        <w:rPr>
          <w:rFonts w:ascii="Arial" w:hAnsi="Arial" w:cs="Arial"/>
          <w:i/>
        </w:rPr>
        <w:t>et al.</w:t>
      </w:r>
      <w:r w:rsidRPr="0047396A">
        <w:rPr>
          <w:rFonts w:ascii="Arial" w:hAnsi="Arial" w:cs="Arial"/>
        </w:rPr>
        <w:t>, 2014)</w:t>
      </w:r>
      <w:r w:rsidRPr="0047396A">
        <w:rPr>
          <w:rFonts w:ascii="Arial" w:hAnsi="Arial" w:cs="Arial"/>
        </w:rPr>
        <w:fldChar w:fldCharType="end"/>
      </w:r>
      <w:r w:rsidRPr="0047396A">
        <w:rPr>
          <w:rFonts w:ascii="Arial" w:hAnsi="Arial" w:cs="Arial"/>
        </w:rPr>
        <w:t xml:space="preserve"> while in Tanzania is 4.16 </w:t>
      </w:r>
      <w:r w:rsidRPr="0047396A">
        <w:rPr>
          <w:rFonts w:ascii="Arial" w:hAnsi="Arial" w:cs="Arial"/>
        </w:rPr>
        <w:fldChar w:fldCharType="begin" w:fldLock="1"/>
      </w:r>
      <w:r w:rsidRPr="0047396A">
        <w:rPr>
          <w:rFonts w:ascii="Arial" w:hAnsi="Arial" w:cs="Arial"/>
        </w:rPr>
        <w:instrText>ADDIN CSL_CITATION {"citationItems":[{"id":"ITEM-1","itemData":{"DOI":"10.4103/0974-9233.110605","ISSN":"09749233","PMID":"23741130","abstract":"Purpose: The purpose of this study is to review the epidemiology of different types of glaucoma relevant to Sub-Saharan Africa (SSA) and to discuss the evidence regarding the risk factors for onset and progression of glaucoma, including risk factors for glaucoma blindness. Methods: Electronic databases (PubMed, MedLine, African Journals Online-AJOL) were searched using the full text, Medical Subject Headings (MeSH) terms, author(s) and title to identify publications since 1982 in the following areas: population-based glaucoma prevalence and incidence studies in SSA and in African-derived black populations outside Africa; population-based prevalence and incidence of blindness and visual impairment studies in SSA including rapid assessment methods, which elucidate the glaucoma-specific blindness prevalence; studies of risk factors for glaucoma; and publications that discussed public health approaches for the control of glaucoma in Africa. Results: Studies highlighted that glaucoma in SSA is a public health problem and predominantly open-angle glaucoma. It is the second-leading cause of blindness, has a high prevalence, an early onset and progresses more rapidly than in Caucasians. These factors are further compounded by poor awareness and low knowledge about glaucoma even by persons affected by the condition. Conclusion: Glaucoma care needs to be given high priority in Vision 2020 programs in Africa. Many questions remain unanswered and there is a need for further research in glaucoma in SSA in all aspects especially epidemiology and clinical care and outcomes involving randomized controlled trials. Genetic and genome-wide association studies may aid identification of high-risk groups. Social sciences and qualitative studies, health economics and health systems research will also enhance public health approaches for the prevention of blindness due to glaucoma.","author":[{"dropping-particle":"","family":"Kyari","given":"Fatima","non-dropping-particle":"","parse-names":false,"suffix":""},{"dropping-particle":"","family":"Abdull","given":"Mohammed M.","non-dropping-particle":"","parse-names":false,"suffix":""},{"dropping-particle":"","family":"Bastawrous","given":"Andrew","non-dropping-particle":"","parse-names":false,"suffix":""},{"dropping-particle":"","family":"Gilbert","given":"Clare E.","non-dropping-particle":"","parse-names":false,"suffix":""},{"dropping-particle":"","family":"Faal","given":"Hannah","non-dropping-particle":"","parse-names":false,"suffix":""}],"container-title":"Middle East African Journal of Ophthalmology","id":"ITEM-1","issue":"2","issued":{"date-parts":[["2013"]]},"page":"111-125","title":"Epidemiology of glaucoma in Sub-Saharan Africa: Prevalence, incidence and risk factors","type":"article-journal","volume":"20"},"uris":["http://www.mendeley.com/documents/?uuid=8b15a5c5-16a4-4f5d-bc53-2fdadacd3e31","http://www.mendeley.com/documents/?uuid=d5fa6479-05ba-4d45-be21-164ea1e08645"]}],"mendeley":{"formattedCitation":"(Kyari &lt;i&gt;et al.&lt;/i&gt;, 2013)","plainTextFormattedCitation":"(Kyari et al., 2013)","previouslyFormattedCitation":"(4)"},"properties":{"noteIndex":0},"schema":"https://github.com/citation-style-language/schema/raw/master/csl-citation.json"}</w:instrText>
      </w:r>
      <w:r w:rsidRPr="0047396A">
        <w:rPr>
          <w:rFonts w:ascii="Arial" w:hAnsi="Arial" w:cs="Arial"/>
        </w:rPr>
        <w:fldChar w:fldCharType="separate"/>
      </w:r>
      <w:r w:rsidRPr="0047396A">
        <w:rPr>
          <w:rFonts w:ascii="Arial" w:hAnsi="Arial" w:cs="Arial"/>
        </w:rPr>
        <w:t xml:space="preserve">(Kyari </w:t>
      </w:r>
      <w:r w:rsidRPr="0047396A">
        <w:rPr>
          <w:rFonts w:ascii="Arial" w:hAnsi="Arial" w:cs="Arial"/>
          <w:i/>
        </w:rPr>
        <w:t>et al.</w:t>
      </w:r>
      <w:r w:rsidRPr="0047396A">
        <w:rPr>
          <w:rFonts w:ascii="Arial" w:hAnsi="Arial" w:cs="Arial"/>
        </w:rPr>
        <w:t>, 2013)</w:t>
      </w:r>
      <w:r w:rsidRPr="0047396A">
        <w:rPr>
          <w:rFonts w:ascii="Arial" w:hAnsi="Arial" w:cs="Arial"/>
        </w:rPr>
        <w:fldChar w:fldCharType="end"/>
      </w:r>
      <w:r w:rsidRPr="0047396A">
        <w:rPr>
          <w:rFonts w:ascii="Arial" w:hAnsi="Arial" w:cs="Arial"/>
        </w:rPr>
        <w:t>.</w:t>
      </w:r>
    </w:p>
    <w:p w14:paraId="6853A2D2" w14:textId="77777777" w:rsidR="0047396A" w:rsidRPr="0047396A" w:rsidRDefault="0047396A" w:rsidP="0047396A">
      <w:pPr>
        <w:pStyle w:val="Body"/>
        <w:rPr>
          <w:rFonts w:ascii="Arial" w:hAnsi="Arial" w:cs="Arial"/>
        </w:rPr>
      </w:pPr>
      <w:r w:rsidRPr="0047396A">
        <w:rPr>
          <w:rFonts w:ascii="Arial" w:hAnsi="Arial" w:cs="Arial"/>
        </w:rPr>
        <w:t xml:space="preserve">The specific pathophysiological mechanism responsible for optic nerve injury remains unclear; however, high intraocular pressure is recognized as the primary risk factor for glaucoma </w:t>
      </w:r>
      <w:r w:rsidRPr="0047396A">
        <w:rPr>
          <w:rFonts w:ascii="Arial" w:hAnsi="Arial" w:cs="Arial"/>
        </w:rPr>
        <w:fldChar w:fldCharType="begin" w:fldLock="1"/>
      </w:r>
      <w:r w:rsidRPr="0047396A">
        <w:rPr>
          <w:rFonts w:ascii="Arial" w:hAnsi="Arial" w:cs="Arial"/>
        </w:rPr>
        <w:instrText>ADDIN CSL_CITATION {"citationItems":[{"id":"ITEM-1","itemData":{"author":[{"dropping-particle":"","family":"Rekha Mudhol* Manjushree KS","given":"Tanmay Gupta","non-dropping-particle":"","parse-names":false,"suffix":""},{"dropping-particle":"","family":"Yakkundi","given":"Arvind Y","non-dropping-particle":"","parse-names":false,"suffix":""}],"container-title":"Al Ameen Journal of Medical Sciences","id":"ITEM-1","issue":"4","issued":{"date-parts":[["2021"]]},"page":"318-325","title":"Ocular perfusion pressure: distribution and its relationship with glaucoma","type":"article-journal","volume":"14"},"uris":["http://www.mendeley.com/documents/?uuid=d4486253-5be8-4fae-891f-4238e043e55b"]}],"mendeley":{"formattedCitation":"(Rekha Mudhol* Manjushree KS and Yakkundi, 2021)","plainTextFormattedCitation":"(Rekha Mudhol* Manjushree KS and Yakkundi, 2021)","previouslyFormattedCitation":"(5)"},"properties":{"noteIndex":0},"schema":"https://github.com/citation-style-language/schema/raw/master/csl-citation.json"}</w:instrText>
      </w:r>
      <w:r w:rsidRPr="0047396A">
        <w:rPr>
          <w:rFonts w:ascii="Arial" w:hAnsi="Arial" w:cs="Arial"/>
        </w:rPr>
        <w:fldChar w:fldCharType="separate"/>
      </w:r>
      <w:r w:rsidRPr="0047396A">
        <w:rPr>
          <w:rFonts w:ascii="Arial" w:hAnsi="Arial" w:cs="Arial"/>
        </w:rPr>
        <w:t>(Rekha Mudhol* Manjushree KS and Yakkundi, 2021)</w:t>
      </w:r>
      <w:r w:rsidRPr="0047396A">
        <w:rPr>
          <w:rFonts w:ascii="Arial" w:hAnsi="Arial" w:cs="Arial"/>
        </w:rPr>
        <w:fldChar w:fldCharType="end"/>
      </w:r>
      <w:r w:rsidRPr="0047396A">
        <w:rPr>
          <w:rFonts w:ascii="Arial" w:hAnsi="Arial" w:cs="Arial"/>
        </w:rPr>
        <w:t xml:space="preserve">. The primary cause of ischemia damage to optic nerve fibers and axons in glaucoma development has been hypothesized to be inadequate blood supply. Vascular injury is supported by the relationships observed between glaucoma and other circulation illnesses, hypotension, hypertension, and cardiovascular illness </w:t>
      </w:r>
      <w:r w:rsidRPr="0047396A">
        <w:rPr>
          <w:rFonts w:ascii="Arial" w:hAnsi="Arial" w:cs="Arial"/>
        </w:rPr>
        <w:fldChar w:fldCharType="begin" w:fldLock="1"/>
      </w:r>
      <w:r w:rsidRPr="0047396A">
        <w:rPr>
          <w:rFonts w:ascii="Arial" w:hAnsi="Arial" w:cs="Arial"/>
        </w:rPr>
        <w:instrText>ADDIN CSL_CITATION {"citationItems":[{"id":"ITEM-1","itemData":{"DOI":"10.5455/njppp.2021.11.09251202006102020","ISBN":"0925120200","ISSN":"2320-4672","author":[{"dropping-particle":"","family":"Baisakhiya","given":"Shikha","non-dropping-particle":"","parse-names":false,"suffix":""},{"dropping-particle":"","family":"Verma","given":"Pratibha","non-dropping-particle":"","parse-names":false,"suffix":""}],"container-title":"National Journal of Physiology, Pharmacy and Pharmacology","id":"ITEM-1","issue":"0","issued":{"date-parts":[["2020"]]},"page":"1","title":"Association between intraocular pressure, mean blood pressure, and mean ocular perfusion pressure among normal healthy adults","type":"article-journal","volume":"11"},"uris":["http://www.mendeley.com/documents/?uuid=1c637bdf-5e29-4283-95a8-faca3f31ddba"]}],"mendeley":{"formattedCitation":"(Baisakhiya and Verma, 2020a)","plainTextFormattedCitation":"(Baisakhiya and Verma, 2020a)","previouslyFormattedCitation":"(6)"},"properties":{"noteIndex":0},"schema":"https://github.com/citation-style-language/schema/raw/master/csl-citation.json"}</w:instrText>
      </w:r>
      <w:r w:rsidRPr="0047396A">
        <w:rPr>
          <w:rFonts w:ascii="Arial" w:hAnsi="Arial" w:cs="Arial"/>
        </w:rPr>
        <w:fldChar w:fldCharType="separate"/>
      </w:r>
      <w:r w:rsidRPr="0047396A">
        <w:rPr>
          <w:rFonts w:ascii="Arial" w:hAnsi="Arial" w:cs="Arial"/>
        </w:rPr>
        <w:t>(Baisakhiya and Verma, 2020a)</w:t>
      </w:r>
      <w:r w:rsidRPr="0047396A">
        <w:rPr>
          <w:rFonts w:ascii="Arial" w:hAnsi="Arial" w:cs="Arial"/>
        </w:rPr>
        <w:fldChar w:fldCharType="end"/>
      </w:r>
      <w:r w:rsidRPr="0047396A">
        <w:rPr>
          <w:rFonts w:ascii="Arial" w:hAnsi="Arial" w:cs="Arial"/>
        </w:rPr>
        <w:t>.</w:t>
      </w:r>
    </w:p>
    <w:p w14:paraId="6B9A3172" w14:textId="77777777" w:rsidR="0047396A" w:rsidRPr="0047396A" w:rsidRDefault="0047396A" w:rsidP="0047396A">
      <w:pPr>
        <w:pStyle w:val="Body"/>
        <w:spacing w:after="0"/>
        <w:rPr>
          <w:rFonts w:ascii="Arial" w:hAnsi="Arial" w:cs="Arial"/>
        </w:rPr>
      </w:pPr>
      <w:r w:rsidRPr="0047396A">
        <w:rPr>
          <w:rFonts w:ascii="Arial" w:hAnsi="Arial" w:cs="Arial"/>
        </w:rPr>
        <w:t>Ocular perfusion pressure, recognized as the difference between arterial and venous pressure within ocular vessels, represents the pressure at which blood flows into the eye</w:t>
      </w:r>
      <w:r w:rsidRPr="0047396A">
        <w:rPr>
          <w:rFonts w:ascii="Arial" w:hAnsi="Arial" w:cs="Arial"/>
        </w:rPr>
        <w:fldChar w:fldCharType="begin" w:fldLock="1"/>
      </w:r>
      <w:r w:rsidRPr="0047396A">
        <w:rPr>
          <w:rFonts w:ascii="Arial" w:hAnsi="Arial" w:cs="Arial"/>
        </w:rPr>
        <w:instrText>ADDIN CSL_CITATION {"citationItems":[{"id":"ITEM-1","itemData":{"DOI":"10.3329/bsmmuj.v11i4.38618","ISSN":"2074-2908","abstract":"Primary open angle glaucoma is the most common form of glaucoma and it remains asymptomatic until the late stage of the disease. The purpose of this study is to compare the mean ocular perfusion pressure with the primary open angle glaucoma. A total of 60 study subjects were divided into two following groups: a) newly diagnosed patients with primary open angle glaucoma (case) and b) age and sex-matched healthy volunteers (control). The intraocular pressure and blood pressure were measured 3 hourly from 8:00 am to 11:00 pm. The mean ocular perfusion pressure of the right eyes in untreated primary open angle glaucoma was 39.9 ± 7.5 mm Hg whereas it was 47.7 ± 7.7 mm Hg in the control. The odds ratio was 6.6 (95% CI, 2.1-20.5; p=0.002). The right eyes of untreated primary open angle glaucoma had 6.6 times more risk compared to the control group. The mean ocular perfusion pressure of left eyes in untreated primary open angle glaucoma was 39.9 ± 7.5 mm Hg and 48.6 ± 4.0 mm Hg in the control group. The odds ratio was 5.7 (95% CI, 1.8-17.5; p=0.004). The left eyes of untreated primary open angle glaucoma had 5.7 times more risk compared to control group. The findings revealed the evidence of vascular mechanism in glaucoma pathogenesis: Reduction of mean ocular perfusion pressure ≤48 mm Hg, may lead to daily repetitive ischemic insult to the optic nerve.","author":[{"dropping-particle":"","family":"Sen","given":"Pallab Kumar","non-dropping-particle":"","parse-names":false,"suffix":""},{"dropping-particle":"","family":"Khan","given":"Nazneen","non-dropping-particle":"","parse-names":false,"suffix":""},{"dropping-particle":"","family":"Islam","given":"Md. Shafiqul","non-dropping-particle":"","parse-names":false,"suffix":""}],"container-title":"Bangabandhu Sheikh Mujib Medical University Journal","id":"ITEM-1","issue":"4","issued":{"date-parts":[["2018"]]},"page":"286-290","title":"Effect of mean ocular perfusion pressure on primary open angle glaucoma","type":"article-journal","volume":"11"},"uris":["http://www.mendeley.com/documents/?uuid=ea89bd07-16a2-4ced-83aa-ee94d9c4613d"]}],"mendeley":{"formattedCitation":"(Sen, Khan and Islam, 2018)","plainTextFormattedCitation":"(Sen, Khan and Islam, 2018)","previouslyFormattedCitation":"(7)"},"properties":{"noteIndex":0},"schema":"https://github.com/citation-style-language/schema/raw/master/csl-citation.json"}</w:instrText>
      </w:r>
      <w:r w:rsidRPr="0047396A">
        <w:rPr>
          <w:rFonts w:ascii="Arial" w:hAnsi="Arial" w:cs="Arial"/>
        </w:rPr>
        <w:fldChar w:fldCharType="separate"/>
      </w:r>
      <w:r w:rsidRPr="0047396A">
        <w:rPr>
          <w:rFonts w:ascii="Arial" w:hAnsi="Arial" w:cs="Arial"/>
        </w:rPr>
        <w:t>(Sen, Khan and Islam, 2018)</w:t>
      </w:r>
      <w:r w:rsidRPr="0047396A">
        <w:rPr>
          <w:rFonts w:ascii="Arial" w:hAnsi="Arial" w:cs="Arial"/>
        </w:rPr>
        <w:fldChar w:fldCharType="end"/>
      </w:r>
      <w:r w:rsidRPr="0047396A">
        <w:rPr>
          <w:rFonts w:ascii="Arial" w:hAnsi="Arial" w:cs="Arial"/>
        </w:rPr>
        <w:t xml:space="preserve">.  Low ocular perfusion pressure (OPP) has been proposed as a contributing factor to glaucomatous damage by altering the blood flow to the optic nerve. Diastolic ocular perfusion pressure (DOPP) values below 56 mmHg have been suggested as a useful cutoff point for identifying individuals who are more susceptible to developing progressive glaucomatous optic neuropathy </w:t>
      </w:r>
      <w:r w:rsidRPr="0047396A">
        <w:rPr>
          <w:rFonts w:ascii="Arial" w:hAnsi="Arial" w:cs="Arial"/>
        </w:rPr>
        <w:fldChar w:fldCharType="begin" w:fldLock="1"/>
      </w:r>
      <w:r w:rsidRPr="0047396A">
        <w:rPr>
          <w:rFonts w:ascii="Arial" w:hAnsi="Arial" w:cs="Arial"/>
        </w:rPr>
        <w:instrText>ADDIN CSL_CITATION {"citationItems":[{"id":"ITEM-1","itemData":{"DOI":"10.15353/cjo.v79i1.1606","ISSN":"0045-5075","abstract":"Glaucoma is the most common form of irreversible blindness in the world, and second only to cataract among all causes of blindness. There is still no universally agreed-upon definition of glaucoma, and as such, it remains a condition for which there are differing views on the classification of individuals within the continuum of suspicion through diagnosis. Regardless, there appears to be consensus that glaucoma refers to a group of diseases that manifest as a characteristic progressive optic neuropathy and retinal ganglion cell loss that eventually leads to a permanent loss of visual field.\r Glaucoma is a major public health issue because individuals are typically asymptomatic until end stages of the disease when the associated vision loss is significant and irreversible. Studies have shown that the prevalence of undetected glaucoma is as high as 50% even in high income areas including North America and Australia, increasing to 90% in middle and low income areas such as Asia and Africa. This is at least in part a result of inadequate screening tools and strategies to detect this asymptomatic disease: without more individuals accessing routine eye examinations, glaucoma will continue to go undetected.\r Vision loss from glaucoma imposes significant societal and economic burdens that increase with disease severity: the direct costs of vision loss from glaucoma exceed $300 million annually in Canada, and approach $2 billion across North America.","author":[{"dropping-particle":"","family":"MacIver","given":"S.","non-dropping-particle":"","parse-names":false,"suffix":""},{"dropping-particle":"","family":"MacDonald","given":"D.","non-dropping-particle":"","parse-names":false,"suffix":""},{"dropping-particle":"","family":"Prokopich","given":"C. Lisa","non-dropping-particle":"","parse-names":false,"suffix":""}],"container-title":"Canadian Journal of Optometry","id":"ITEM-1","issue":"1","issued":{"date-parts":[["2019"]]},"page":"5-71","title":"Screening, Diagnosis, and Management of Open Angle Glaucoma","type":"article-journal","volume":"79"},"uris":["http://www.mendeley.com/documents/?uuid=cca78ade-d9bb-4895-9962-5363179af478"]}],"mendeley":{"formattedCitation":"(MacIver, MacDonald and Prokopich, 2019)","plainTextFormattedCitation":"(MacIver, MacDonald and Prokopich, 2019)","previouslyFormattedCitation":"(8)"},"properties":{"noteIndex":0},"schema":"https://github.com/citation-style-language/schema/raw/master/csl-citation.json"}</w:instrText>
      </w:r>
      <w:r w:rsidRPr="0047396A">
        <w:rPr>
          <w:rFonts w:ascii="Arial" w:hAnsi="Arial" w:cs="Arial"/>
        </w:rPr>
        <w:fldChar w:fldCharType="separate"/>
      </w:r>
      <w:r w:rsidRPr="0047396A">
        <w:rPr>
          <w:rFonts w:ascii="Arial" w:hAnsi="Arial" w:cs="Arial"/>
        </w:rPr>
        <w:t>(MacIver, MacDonald and Prokopich, 2019)</w:t>
      </w:r>
      <w:r w:rsidRPr="0047396A">
        <w:rPr>
          <w:rFonts w:ascii="Arial" w:hAnsi="Arial" w:cs="Arial"/>
        </w:rPr>
        <w:fldChar w:fldCharType="end"/>
      </w:r>
      <w:r w:rsidRPr="0047396A">
        <w:rPr>
          <w:rFonts w:ascii="Arial" w:hAnsi="Arial" w:cs="Arial"/>
        </w:rPr>
        <w:t xml:space="preserve">. Moreover, numerous epidemiological studies have demonstrated a correlation between low ocular perfusion pressure and NTG, reporting that, mean ocular perfusion less than 55 mmHg may lead to optic nerve ischemia,  </w:t>
      </w:r>
      <w:r w:rsidRPr="0047396A">
        <w:rPr>
          <w:rFonts w:ascii="Arial" w:hAnsi="Arial" w:cs="Arial"/>
        </w:rPr>
        <w:fldChar w:fldCharType="begin" w:fldLock="1"/>
      </w:r>
      <w:r w:rsidRPr="0047396A">
        <w:rPr>
          <w:rFonts w:ascii="Arial" w:hAnsi="Arial" w:cs="Arial"/>
        </w:rPr>
        <w:instrText>ADDIN CSL_CITATION {"citationItems":[{"id":"ITEM-1","itemData":{"DOI":"10.1097/IJG.0000000000001768","ISBN":"0000000000","ISSN":"1536481X","PMID":"33394843","abstract":"Précis: Ambulatory blood pressure (BP) and intraocular pressure (IOP) monitoring of patients with normal tension glaucoma (NTG) revealed features of vascular dysregulation including hypertension, blunted nocturnal BP dipping, and morning BP surge. Purpose: The aim was to examine ambulatory fluctuations in IOP and BP in patients with NTG. Methods: A prospective study of 45 participants with NTG and 10 controls. All participants had a comprehensive ophthalmological examination followed by glaucoma medication washout. Patients using systemic antihypertensives were excluded. IOP and BP were recorded using home monitoring over 48 hours using a self-rebound tonometer and ambulatory blood pressure monitor. BP was recorded every 30 minutes by day and every 60 minutes overnight. IOP was recorded at 09:00, 11:00, 13:00, 16:00, 20:00, and 04:00. Results: Participants with NTG had a median mean deviation (MD) of -4.66 dB (interquartile range: -7.16 to -2.81 dB) in the worse eye. Among those with glaucoma, 18 of 45 (40%) had normal nocturnal BP dipping, 24 (53%) blunted dipping and 3 (6.7%) exaggerated dipping. Each 10 mm Hg lower minimum sleeping systolic BP was associated with a 0.9 dB (95% confidence interval: 0.1-1.6 dB) worse MD. Sixteen of 45 participants with glaucoma (35.6%) and 1 of 10 controls (10%) were found to have systemic hypertension on ambulatory blood pressure monitoring and 32 of those with glaucoma (71%) had a surge in morning BP, compared with 5 controls (50%). There was no difference in MD between patients with normal, exaggerated and blunted dipping (P=0.813). Conclusions: Though glaucoma has been associated with exaggerated nocturnal BP dipping, we found a higher proportion of patients had systemic hypertension, blunted nocturnal BP dipping, and a morning BP surge, measures also associated with vascular dysregulation.","author":[{"dropping-particle":"","family":"Tan","given":"Boo Hui","non-dropping-particle":"","parse-names":false,"suffix":""},{"dropping-particle":"","family":"Young","given":"Alexandra","non-dropping-particle":"","parse-names":false,"suffix":""},{"dropping-particle":"","family":"Bianchi","given":"Eleonora","non-dropping-particle":"","parse-names":false,"suffix":""},{"dropping-particle":"","family":"Brown","given":"Lyndsay","non-dropping-particle":"","parse-names":false,"suffix":""},{"dropping-particle":"","family":"Tatham","given":"Andrew J.","non-dropping-particle":"","parse-names":false,"suffix":""}],"container-title":"Journal of Glaucoma","id":"ITEM-1","issue":"4","issued":{"date-parts":[["2021"]]},"page":"304-311","title":"Fluctuation in Blood Pressure and Intraocular Pressure in Normal Tension Glaucoma Using Ambulatory Monitoring","type":"article-journal","volume":"30"},"uris":["http://www.mendeley.com/documents/?uuid=a48682a8-021c-44dd-bb7c-00ac3bc52173"]}],"mendeley":{"formattedCitation":"(Tan &lt;i&gt;et al.&lt;/i&gt;, 2021)","plainTextFormattedCitation":"(Tan et al., 2021)","previouslyFormattedCitation":"(9)"},"properties":{"noteIndex":0},"schema":"https://github.com/citation-style-language/schema/raw/master/csl-citation.json"}</w:instrText>
      </w:r>
      <w:r w:rsidRPr="0047396A">
        <w:rPr>
          <w:rFonts w:ascii="Arial" w:hAnsi="Arial" w:cs="Arial"/>
        </w:rPr>
        <w:fldChar w:fldCharType="separate"/>
      </w:r>
      <w:r w:rsidRPr="0047396A">
        <w:rPr>
          <w:rFonts w:ascii="Arial" w:hAnsi="Arial" w:cs="Arial"/>
        </w:rPr>
        <w:t xml:space="preserve">(Tan </w:t>
      </w:r>
      <w:r w:rsidRPr="0047396A">
        <w:rPr>
          <w:rFonts w:ascii="Arial" w:hAnsi="Arial" w:cs="Arial"/>
          <w:i/>
        </w:rPr>
        <w:t>et al.</w:t>
      </w:r>
      <w:r w:rsidRPr="0047396A">
        <w:rPr>
          <w:rFonts w:ascii="Arial" w:hAnsi="Arial" w:cs="Arial"/>
        </w:rPr>
        <w:t>, 2021)</w:t>
      </w:r>
      <w:r w:rsidRPr="0047396A">
        <w:rPr>
          <w:rFonts w:ascii="Arial" w:hAnsi="Arial" w:cs="Arial"/>
        </w:rPr>
        <w:fldChar w:fldCharType="end"/>
      </w:r>
      <w:r w:rsidRPr="0047396A">
        <w:rPr>
          <w:rFonts w:ascii="Arial" w:hAnsi="Arial" w:cs="Arial"/>
        </w:rPr>
        <w:t xml:space="preserve"> </w:t>
      </w:r>
      <w:r w:rsidRPr="0047396A">
        <w:rPr>
          <w:rFonts w:ascii="Arial" w:hAnsi="Arial" w:cs="Arial"/>
        </w:rPr>
        <w:fldChar w:fldCharType="begin" w:fldLock="1"/>
      </w:r>
      <w:r w:rsidRPr="0047396A">
        <w:rPr>
          <w:rFonts w:ascii="Arial" w:hAnsi="Arial" w:cs="Arial"/>
        </w:rPr>
        <w:instrText>ADDIN CSL_CITATION {"citationItems":[{"id":"ITEM-1","itemData":{"DOI":"10.5455/njppp.2021.11.09251202006102020","ISBN":"0925120200","ISSN":"2320-4672","author":[{"dropping-particle":"","family":"Baisakhiya","given":"Shikha","non-dropping-particle":"","parse-names":false,"suffix":""},{"dropping-particle":"","family":"Verma","given":"Pratibha","non-dropping-particle":"","parse-names":false,"suffix":""}],"container-title":"National Journal of Physiology, Pharmacy and Pharmacology","id":"ITEM-1","issue":"02","issued":{"date-parts":[["2020"]]},"page":"1","title":"Association between intraocular pressure, mean blood pressure, and mean ocular perfusion pressure among normal healthy adults","type":"article-journal","volume":"11"},"uris":["http://www.mendeley.com/documents/?uuid=b5c9f1e7-b85b-4a55-a3bf-ee4cb78f9f8c","http://www.mendeley.com/documents/?uuid=27a79258-e0a6-4410-890d-3486ae7e20ec"]}],"mendeley":{"formattedCitation":"(Baisakhiya and Verma, 2020b)","plainTextFormattedCitation":"(Baisakhiya and Verma, 2020b)","previouslyFormattedCitation":"(10)"},"properties":{"noteIndex":0},"schema":"https://github.com/citation-style-language/schema/raw/master/csl-citation.json"}</w:instrText>
      </w:r>
      <w:r w:rsidRPr="0047396A">
        <w:rPr>
          <w:rFonts w:ascii="Arial" w:hAnsi="Arial" w:cs="Arial"/>
        </w:rPr>
        <w:fldChar w:fldCharType="separate"/>
      </w:r>
      <w:r w:rsidRPr="0047396A">
        <w:rPr>
          <w:rFonts w:ascii="Arial" w:hAnsi="Arial" w:cs="Arial"/>
        </w:rPr>
        <w:t>(Baisakhiya and Verma, 2020b)</w:t>
      </w:r>
      <w:r w:rsidRPr="0047396A">
        <w:rPr>
          <w:rFonts w:ascii="Arial" w:hAnsi="Arial" w:cs="Arial"/>
        </w:rPr>
        <w:fldChar w:fldCharType="end"/>
      </w:r>
      <w:r w:rsidRPr="0047396A">
        <w:rPr>
          <w:rFonts w:ascii="Arial" w:hAnsi="Arial" w:cs="Arial"/>
        </w:rPr>
        <w:fldChar w:fldCharType="begin" w:fldLock="1"/>
      </w:r>
      <w:r w:rsidRPr="0047396A">
        <w:rPr>
          <w:rFonts w:ascii="Arial" w:hAnsi="Arial" w:cs="Arial"/>
        </w:rPr>
        <w:instrText>ADDIN CSL_CITATION {"citationItems":[{"id":"ITEM-1","itemData":{"DOI":"10.1186/s12886-016-0215-3","ISSN":"14712415","PMID":"27079202","abstract":"Background: Vascular insufficiency has been reported to be a cause of normal tension glaucoma (NTG). The aim of this study was to compare ocular perfusion pressure (OPP) and ophthalmic artery flow (OAF) between patients with NTG and those without glaucoma. Methods: We considered one eye each from 31 NTG and 15 non-glaucoma control patients. Blood pressure and intraocular pressure (IOP) were measured in the sitting position, for calculation of OPP. Humphrey visual field (HVF) assessment was then carried out on NTG patients. All patients then underwent Transcranial Doppler ultrasound measurements of OAF parameters, including mean flow velocity (MFV), end diastolic velocity (EDV), peak systolic velocity (PSV) and resistive index (RI). We looked at differences in OPP and OAF parameters between the two groups, and their correlations in NTG patients. T-tests, χ 2, ANOVA and Pearson Correlation tests were performed, with p &lt; 0.05 considered statistically significant. Results: There were no statistically significant differences in OPP between the NTG and control groups (60.5+/-8.7 mmHg and 62.9+/-10.2 mmHg respectively, p = 0.393), and also no statistically significant differences in MFV, EDV, PSV and RI (all p &gt; 0.05). In the NTG group, there were positive correlations between OPP and both MFV (r = 0.416, p = 0.020) and EDV (r = 0.369, p = 0.041). There were no statistically significant correlations between HVF mean deviation and OPP or OAF parameters (all p &gt; 0.05). Conclusion: There is no difference in OPP and OAF parameters between patients with NTG and non-glaucoma controls, suggesting that vascular insufficiency or dysregulation by themselves may not account for the pathogenesis of NTG.","author":[{"dropping-particle":"","family":"Samsudin","given":"Amir","non-dropping-particle":"","parse-names":false,"suffix":""},{"dropping-particle":"","family":"Isaacs","given":"Nadine","non-dropping-particle":"","parse-names":false,"suffix":""},{"dropping-particle":"","family":"Tai","given":"Mei Ling Sharon","non-dropping-particle":"","parse-names":false,"suffix":""},{"dropping-particle":"","family":"Ramli","given":"Norlina","non-dropping-particle":"","parse-names":false,"suffix":""},{"dropping-particle":"","family":"Mimiwati","given":"Zahari","non-dropping-particle":"","parse-names":false,"suffix":""},{"dropping-particle":"","family":"Choo","given":"May May","non-dropping-particle":"","parse-names":false,"suffix":""}],"container-title":"BMC Ophthalmology","id":"ITEM-1","issue":"1","issued":{"date-parts":[["2016"]]},"page":"1-5","publisher":"BMC Ophthalmology","title":"Ocular perfusion pressure and ophthalmic artery flow in patients with normal tension glaucoma","type":"article-journal","volume":"16"},"uris":["http://www.mendeley.com/documents/?uuid=b3011bce-51ec-4aeb-9d55-eea0260b4ba2"]}],"mendeley":{"formattedCitation":"(Samsudin &lt;i&gt;et al.&lt;/i&gt;, 2016)","plainTextFormattedCitation":"(Samsudin et al., 2016)","previouslyFormattedCitation":"(11)"},"properties":{"noteIndex":0},"schema":"https://github.com/citation-style-language/schema/raw/master/csl-citation.json"}</w:instrText>
      </w:r>
      <w:r w:rsidRPr="0047396A">
        <w:rPr>
          <w:rFonts w:ascii="Arial" w:hAnsi="Arial" w:cs="Arial"/>
        </w:rPr>
        <w:fldChar w:fldCharType="separate"/>
      </w:r>
      <w:r w:rsidRPr="0047396A">
        <w:rPr>
          <w:rFonts w:ascii="Arial" w:hAnsi="Arial" w:cs="Arial"/>
        </w:rPr>
        <w:t xml:space="preserve">(Samsudin </w:t>
      </w:r>
      <w:r w:rsidRPr="0047396A">
        <w:rPr>
          <w:rFonts w:ascii="Arial" w:hAnsi="Arial" w:cs="Arial"/>
          <w:i/>
        </w:rPr>
        <w:t>et al.</w:t>
      </w:r>
      <w:r w:rsidRPr="0047396A">
        <w:rPr>
          <w:rFonts w:ascii="Arial" w:hAnsi="Arial" w:cs="Arial"/>
        </w:rPr>
        <w:t>, 2016)</w:t>
      </w:r>
      <w:r w:rsidRPr="0047396A">
        <w:rPr>
          <w:rFonts w:ascii="Arial" w:hAnsi="Arial" w:cs="Arial"/>
        </w:rPr>
        <w:fldChar w:fldCharType="end"/>
      </w:r>
      <w:r w:rsidRPr="0047396A">
        <w:rPr>
          <w:rFonts w:ascii="Arial" w:hAnsi="Arial" w:cs="Arial"/>
        </w:rPr>
        <w:fldChar w:fldCharType="begin" w:fldLock="1"/>
      </w:r>
      <w:r w:rsidRPr="0047396A">
        <w:rPr>
          <w:rFonts w:ascii="Arial" w:hAnsi="Arial" w:cs="Arial"/>
        </w:rPr>
        <w:instrText>ADDIN CSL_CITATION {"citationItems":[{"id":"ITEM-1","itemData":{"DOI":"10.1038/s41598-020-66914-w","ISSN":"2045-2322","author":[{"dropping-particle":"","family":"Kim","given":"Ko Eun","non-dropping-particle":"","parse-names":false,"suffix":""},{"dropping-particle":"","family":"Oh","given":"Sohee","non-dropping-particle":"","parse-names":false,"suffix":""},{"dropping-particle":"","family":"Baek","given":"Sung Uk","non-dropping-particle":"","parse-names":false,"suffix":""},{"dropping-particle":"","family":"Ahn","given":"Seong Joon","non-dropping-particle":"","parse-names":false,"suffix":""},{"dropping-particle":"","family":"Park","given":"Ki Ho","non-dropping-particle":"","parse-names":false,"suffix":""},{"dropping-particle":"","family":"Jeoung","given":"Jin Wook","non-dropping-particle":"","parse-names":false,"suffix":""}],"container-title":"Scientific Reports","id":"ITEM-1","issued":{"date-parts":[["2020"]]},"page":"1-12","publisher":"Springer US","title":"Ocular Perfusion Pressure and the Risk of Open-Angle Glaucoma : Systematic Review and Meta- analysis","type":"article-journal"},"uris":["http://www.mendeley.com/documents/?uuid=1c67522e-f222-4c26-b686-b0c1186854c3"]}],"mendeley":{"formattedCitation":"(Kim &lt;i&gt;et al.&lt;/i&gt;, 2020)","plainTextFormattedCitation":"(Kim et al., 2020)","previouslyFormattedCitation":"(12)"},"properties":{"noteIndex":0},"schema":"https://github.com/citation-style-language/schema/raw/master/csl-citation.json"}</w:instrText>
      </w:r>
      <w:r w:rsidRPr="0047396A">
        <w:rPr>
          <w:rFonts w:ascii="Arial" w:hAnsi="Arial" w:cs="Arial"/>
        </w:rPr>
        <w:fldChar w:fldCharType="separate"/>
      </w:r>
      <w:r w:rsidRPr="0047396A">
        <w:rPr>
          <w:rFonts w:ascii="Arial" w:hAnsi="Arial" w:cs="Arial"/>
        </w:rPr>
        <w:t xml:space="preserve">(Kim </w:t>
      </w:r>
      <w:r w:rsidRPr="0047396A">
        <w:rPr>
          <w:rFonts w:ascii="Arial" w:hAnsi="Arial" w:cs="Arial"/>
          <w:i/>
        </w:rPr>
        <w:t>et al.</w:t>
      </w:r>
      <w:r w:rsidRPr="0047396A">
        <w:rPr>
          <w:rFonts w:ascii="Arial" w:hAnsi="Arial" w:cs="Arial"/>
        </w:rPr>
        <w:t>, 2020)</w:t>
      </w:r>
      <w:r w:rsidRPr="0047396A">
        <w:rPr>
          <w:rFonts w:ascii="Arial" w:hAnsi="Arial" w:cs="Arial"/>
        </w:rPr>
        <w:fldChar w:fldCharType="end"/>
      </w:r>
      <w:r w:rsidRPr="0047396A">
        <w:rPr>
          <w:rFonts w:ascii="Arial" w:hAnsi="Arial" w:cs="Arial"/>
        </w:rPr>
        <w:t>.</w:t>
      </w:r>
    </w:p>
    <w:p w14:paraId="1567D67B" w14:textId="77777777" w:rsidR="00790ADA" w:rsidRPr="00FB3A86" w:rsidRDefault="00790ADA" w:rsidP="00441B6F">
      <w:pPr>
        <w:pStyle w:val="Body"/>
        <w:spacing w:after="0"/>
        <w:rPr>
          <w:rFonts w:ascii="Arial" w:hAnsi="Arial" w:cs="Arial"/>
        </w:rPr>
      </w:pPr>
    </w:p>
    <w:p w14:paraId="4B9BEE18"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811435">
        <w:rPr>
          <w:rFonts w:ascii="Arial" w:hAnsi="Arial" w:cs="Arial"/>
        </w:rPr>
        <w:t>s</w:t>
      </w:r>
      <w:r w:rsidR="007F7B32">
        <w:rPr>
          <w:rFonts w:ascii="Arial" w:hAnsi="Arial" w:cs="Arial"/>
        </w:rPr>
        <w:t xml:space="preserve"> </w:t>
      </w:r>
    </w:p>
    <w:p w14:paraId="3809FE83" w14:textId="77777777" w:rsidR="00811435" w:rsidRPr="00811435" w:rsidRDefault="00811435" w:rsidP="00811435">
      <w:pPr>
        <w:pStyle w:val="Body"/>
        <w:spacing w:after="0"/>
        <w:rPr>
          <w:rFonts w:ascii="Arial" w:hAnsi="Arial" w:cs="Arial"/>
          <w:b/>
        </w:rPr>
      </w:pPr>
      <w:r w:rsidRPr="00811435">
        <w:rPr>
          <w:rFonts w:ascii="Arial" w:hAnsi="Arial" w:cs="Arial"/>
          <w:b/>
        </w:rPr>
        <w:t>2.1. Setting</w:t>
      </w:r>
    </w:p>
    <w:p w14:paraId="7275C1BA" w14:textId="77777777" w:rsidR="00811435" w:rsidRPr="00811435" w:rsidRDefault="00811435" w:rsidP="00811435">
      <w:pPr>
        <w:pStyle w:val="Body"/>
        <w:spacing w:after="0"/>
        <w:rPr>
          <w:rFonts w:ascii="Arial" w:hAnsi="Arial" w:cs="Arial"/>
        </w:rPr>
      </w:pPr>
      <w:r w:rsidRPr="00811435">
        <w:rPr>
          <w:rFonts w:ascii="Arial" w:hAnsi="Arial" w:cs="Arial"/>
        </w:rPr>
        <w:t xml:space="preserve">The study was conducted at the Eye department of Kilimanjaro Christian Medical Centre, a crucial facility among the four zonal referral hospitals in Tanzania. Serving around 11 million people from rural and urban areas. The Eye Department sees approximately 38,000 patients annually, including 200 newly diagnosed cases of primary open-angle glaucoma. </w:t>
      </w:r>
    </w:p>
    <w:p w14:paraId="2A95EA1E" w14:textId="77777777" w:rsidR="00811435" w:rsidRPr="00811435" w:rsidRDefault="00811435" w:rsidP="00811435">
      <w:pPr>
        <w:pStyle w:val="Body"/>
        <w:spacing w:after="0"/>
        <w:rPr>
          <w:rFonts w:ascii="Arial" w:hAnsi="Arial" w:cs="Arial"/>
          <w:b/>
        </w:rPr>
      </w:pPr>
      <w:r w:rsidRPr="00811435">
        <w:rPr>
          <w:rFonts w:ascii="Arial" w:hAnsi="Arial" w:cs="Arial"/>
          <w:i/>
        </w:rPr>
        <w:t>Study design</w:t>
      </w:r>
      <w:r w:rsidRPr="00811435">
        <w:rPr>
          <w:rFonts w:ascii="Arial" w:hAnsi="Arial" w:cs="Arial"/>
          <w:b/>
        </w:rPr>
        <w:t xml:space="preserve">: </w:t>
      </w:r>
      <w:r w:rsidRPr="00811435">
        <w:rPr>
          <w:rFonts w:ascii="Arial" w:hAnsi="Arial" w:cs="Arial"/>
        </w:rPr>
        <w:t>We conducted both case-control and cross-sectional designs, taking newly diagnosed normal-tension glaucoma cases and matching with controls from August 2024 to June 2025.</w:t>
      </w:r>
    </w:p>
    <w:p w14:paraId="544349F4" w14:textId="77777777" w:rsidR="00811435" w:rsidRPr="00811435" w:rsidRDefault="00811435" w:rsidP="00811435">
      <w:pPr>
        <w:pStyle w:val="Body"/>
        <w:spacing w:after="0"/>
        <w:rPr>
          <w:rFonts w:ascii="Arial" w:hAnsi="Arial" w:cs="Arial"/>
          <w:b/>
        </w:rPr>
      </w:pPr>
      <w:bookmarkStart w:id="0" w:name="_Toc201227428"/>
      <w:bookmarkStart w:id="1" w:name="_Toc201923039"/>
      <w:r w:rsidRPr="00811435">
        <w:rPr>
          <w:rFonts w:ascii="Arial" w:hAnsi="Arial" w:cs="Arial"/>
          <w:b/>
        </w:rPr>
        <w:t xml:space="preserve">2.2. Study </w:t>
      </w:r>
      <w:bookmarkEnd w:id="0"/>
      <w:bookmarkEnd w:id="1"/>
      <w:r w:rsidRPr="00811435">
        <w:rPr>
          <w:rFonts w:ascii="Arial" w:hAnsi="Arial" w:cs="Arial"/>
          <w:b/>
        </w:rPr>
        <w:t>population</w:t>
      </w:r>
    </w:p>
    <w:p w14:paraId="3478F34D" w14:textId="77777777" w:rsidR="00811435" w:rsidRPr="00811435" w:rsidRDefault="00811435" w:rsidP="00811435">
      <w:pPr>
        <w:pStyle w:val="Body"/>
        <w:spacing w:after="0"/>
        <w:rPr>
          <w:rFonts w:ascii="Arial" w:hAnsi="Arial" w:cs="Arial"/>
        </w:rPr>
      </w:pPr>
      <w:bookmarkStart w:id="2" w:name="_Toc158596291"/>
      <w:bookmarkStart w:id="3" w:name="_Toc159165381"/>
      <w:r w:rsidRPr="00811435">
        <w:rPr>
          <w:rFonts w:ascii="Arial" w:hAnsi="Arial" w:cs="Arial"/>
        </w:rPr>
        <w:t xml:space="preserve">Individuals aged 40 years and above, who provide voluntary consent and met the inclusion criteria, participated in </w:t>
      </w:r>
      <w:bookmarkEnd w:id="2"/>
      <w:bookmarkEnd w:id="3"/>
      <w:r w:rsidRPr="00811435">
        <w:rPr>
          <w:rFonts w:ascii="Arial" w:hAnsi="Arial" w:cs="Arial"/>
        </w:rPr>
        <w:t>the study. Cases were defined as newly diagnosed NTG patients who not eye commenced treatment, while controls were individuals without any ocular disease. Participants were excluded if they had a history of ocular trauma, ocular surgery, any congenital ocular pathology or corneal defects. Over the study period, 179 participants were included:  30 with NTG, 59 with HTG and 90 Controls.</w:t>
      </w:r>
      <w:bookmarkStart w:id="4" w:name="_Toc152504251"/>
      <w:bookmarkStart w:id="5" w:name="_Toc201227435"/>
    </w:p>
    <w:p w14:paraId="1F1AACC3" w14:textId="77777777" w:rsidR="00811435" w:rsidRPr="00811435" w:rsidRDefault="00811435" w:rsidP="00811435">
      <w:pPr>
        <w:pStyle w:val="Body"/>
        <w:spacing w:after="0"/>
        <w:rPr>
          <w:rFonts w:ascii="Arial" w:hAnsi="Arial" w:cs="Arial"/>
          <w:b/>
        </w:rPr>
      </w:pPr>
      <w:r>
        <w:rPr>
          <w:rFonts w:ascii="Arial" w:hAnsi="Arial" w:cs="Arial"/>
          <w:b/>
        </w:rPr>
        <w:t xml:space="preserve">2.3. </w:t>
      </w:r>
      <w:r w:rsidRPr="00811435">
        <w:rPr>
          <w:rFonts w:ascii="Arial" w:hAnsi="Arial" w:cs="Arial"/>
          <w:b/>
        </w:rPr>
        <w:t xml:space="preserve">Data collection tools, method and procedures </w:t>
      </w:r>
    </w:p>
    <w:p w14:paraId="5D627BDF" w14:textId="77777777" w:rsidR="00811435" w:rsidRPr="00811435" w:rsidRDefault="00811435" w:rsidP="00811435">
      <w:pPr>
        <w:pStyle w:val="Body"/>
        <w:spacing w:after="0"/>
        <w:rPr>
          <w:rFonts w:ascii="Arial" w:hAnsi="Arial" w:cs="Arial"/>
        </w:rPr>
      </w:pPr>
      <w:bookmarkStart w:id="6" w:name="_Toc152504252"/>
      <w:bookmarkEnd w:id="4"/>
      <w:bookmarkEnd w:id="5"/>
      <w:r w:rsidRPr="00811435">
        <w:rPr>
          <w:rFonts w:ascii="Arial" w:hAnsi="Arial" w:cs="Arial"/>
        </w:rPr>
        <w:t xml:space="preserve">The glaucoma suspect </w:t>
      </w:r>
      <w:proofErr w:type="gramStart"/>
      <w:r w:rsidRPr="00811435">
        <w:rPr>
          <w:rFonts w:ascii="Arial" w:hAnsi="Arial" w:cs="Arial"/>
        </w:rPr>
        <w:t>were</w:t>
      </w:r>
      <w:proofErr w:type="gramEnd"/>
      <w:r w:rsidRPr="00811435">
        <w:rPr>
          <w:rFonts w:ascii="Arial" w:hAnsi="Arial" w:cs="Arial"/>
        </w:rPr>
        <w:t xml:space="preserve"> identified. Two average blood pressure readings were taken from the non-dominant upper arm while the participant seated with arm supported on the table, using calibrated Omron device (OMRON BP785N 10 Series Upper Arm Blood Pressure Monitor). This was followed by a visual acuity test by using a Snellen chart. Intraocular pressure (IOP) was then measured using a rebound tonometer (I care-100), with three readings taken per eye. </w:t>
      </w:r>
    </w:p>
    <w:p w14:paraId="2636FB58" w14:textId="77777777" w:rsidR="00811435" w:rsidRPr="00811435" w:rsidRDefault="00811435" w:rsidP="00811435">
      <w:pPr>
        <w:pStyle w:val="Body"/>
        <w:spacing w:after="0"/>
        <w:rPr>
          <w:rFonts w:ascii="Arial" w:hAnsi="Arial" w:cs="Arial"/>
        </w:rPr>
      </w:pPr>
      <w:r w:rsidRPr="00811435">
        <w:rPr>
          <w:rFonts w:ascii="Arial" w:hAnsi="Arial" w:cs="Arial"/>
        </w:rPr>
        <w:t>The anterior segment was examined using a slit lamp biomicroscope. Visual field test was subsequently conducted using the Swedish Interactive Threshold Algorithm (SITA) Standard 24-2 program (II-</w:t>
      </w:r>
      <w:proofErr w:type="spellStart"/>
      <w:r w:rsidRPr="00811435">
        <w:rPr>
          <w:rFonts w:ascii="Arial" w:hAnsi="Arial" w:cs="Arial"/>
        </w:rPr>
        <w:t>i</w:t>
      </w:r>
      <w:proofErr w:type="spellEnd"/>
      <w:r w:rsidRPr="00811435">
        <w:rPr>
          <w:rFonts w:ascii="Arial" w:hAnsi="Arial" w:cs="Arial"/>
        </w:rPr>
        <w:t xml:space="preserve"> series system software version 4.2) integrated within the Humphrey Field Analyzer II 740i (Carl Zeiss </w:t>
      </w:r>
      <w:proofErr w:type="spellStart"/>
      <w:r w:rsidRPr="00811435">
        <w:rPr>
          <w:rFonts w:ascii="Arial" w:hAnsi="Arial" w:cs="Arial"/>
        </w:rPr>
        <w:t>Meditec</w:t>
      </w:r>
      <w:proofErr w:type="spellEnd"/>
      <w:r w:rsidRPr="00811435">
        <w:rPr>
          <w:rFonts w:ascii="Arial" w:hAnsi="Arial" w:cs="Arial"/>
        </w:rPr>
        <w:t xml:space="preserve"> AG in Jena, Germany) </w:t>
      </w:r>
      <w:r w:rsidRPr="00811435">
        <w:rPr>
          <w:rFonts w:ascii="Arial" w:hAnsi="Arial" w:cs="Arial"/>
        </w:rPr>
        <w:fldChar w:fldCharType="begin" w:fldLock="1"/>
      </w:r>
      <w:r w:rsidRPr="00811435">
        <w:rPr>
          <w:rFonts w:ascii="Arial" w:hAnsi="Arial" w:cs="Arial"/>
        </w:rPr>
        <w:instrText>ADDIN CSL_CITATION {"citationItems":[{"id":"ITEM-1","itemData":{"DOI":"10.1016/S2214-109X(21)00348-X","ISBN":"2015080012353","ISSN":"2214109X","PMID":"34655547","abstract":"Background: Glaucoma is a major cause of sight loss worldwide, with the highest regional prevalence and incidence reported in Africa. The most common low-cost treatment used to control glaucoma is long-term timolol eye drops. However, low adherence is a major challenge. We aimed to investigate whether selective laser trabeculoplasty (SLT) was superior to timolol eye drops for controlling intraocular pressure (IOP) in patients with open-angle glaucoma. Methods: We did a two-arm, parallel-group, single-masked randomised controlled trial at the Eye Department of Kilimanjaro Christian Medical Centre, Moshi, Tanzania. Eligible participants (aged ≥18 years) had open-angle glaucoma and an IOP above 21 mm Hg, and did not have asthma or a history of glaucoma surgery or laser. Participants were randomly assigned (1:1) to receive 0·5% timolol eye drops to administer twice daily or to receive SLT. The primary outcome was the proportion of eyes from both groups with treatment success, defined as an IOP below or equal to target pressure according to glaucoma severity, at 12 months following randomisation. Re-explanation of eye drop application or a repeat SLT was permitted once. The primary analysis was by modified intention-to-treat, excluding participants lost to follow-up, using logistic regression; generalised estimating equations were used to adjust for the correlation between eyes. This trial was registered with the Pan African Clinical Trials Registry, number PACTR201508001235339. Findings: 840 patients were screened for eligibility, of whom 201 (24%) participants (382 eligible eyes) were enrolled between Aug 31, 2015, and May 12, 2017. 100 (50%) participants (191 eyes) were randomly assigned to the timolol group and 101 (50%; 191 eyes) to the SLT group. After 1 year, 339 (89%) of 382 eyes were analysed. Treatment was successful in 55 (31%) of 176 eyes in the timolol group (16 [29%] of 55 eyes required repeat administration counselling) and in 99 (61%) of 163 eyes in the SLT group (33 [33%] of 99 eyes required repeat SLT; odds ratio 3·37 [95% CI 1·96–5·80]; p&lt;0·0001). Adverse events (mostly unrelated to ocular events) occurred in ten (10%) participants in the timolol group and in eight (8%) participants in the SLT group (p=0·61). Interpretation: SLT was superior to timolol eye drops for managing patients with open-angle high-pressure glaucoma for 1 year in Tanzania. SLT has the potential to transform the management of glaucoma in sub-Saharan Africa, even where…","author":[{"dropping-particle":"","family":"Philippin","given":"Heiko","non-dropping-particle":"","parse-names":false,"suffix":""},{"dropping-particle":"","family":"Matayan","given":"Einoti","non-dropping-particle":"","parse-names":false,"suffix":""},{"dropping-particle":"","family":"Knoll","given":"Karin M.","non-dropping-particle":"","parse-names":false,"suffix":""},{"dropping-particle":"","family":"Macha","given":"Edith","non-dropping-particle":"","parse-names":false,"suffix":""},{"dropping-particle":"","family":"Mbishi","given":"Sia","non-dropping-particle":"","parse-names":false,"suffix":""},{"dropping-particle":"","family":"Makupa","given":"Andrew","non-dropping-particle":"","parse-names":false,"suffix":""},{"dropping-particle":"","family":"Matsinhe","given":"Cristóvão","non-dropping-particle":"","parse-names":false,"suffix":""},{"dropping-particle":"","family":"Gama","given":"Vasco","non-dropping-particle":"da","parse-names":false,"suffix":""},{"dropping-particle":"","family":"Monjane","given":"Mario","non-dropping-particle":"","parse-names":false,"suffix":""},{"dropping-particle":"","family":"Ncheda","given":"Awum Joyce","non-dropping-particle":"","parse-names":false,"suffix":""},{"dropping-particle":"","family":"Mulobuana","given":"Francisco Alcides","non-dropping-particle":"","parse-names":false,"suffix":""},{"dropping-particle":"","family":"Muna","given":"Elisante","non-dropping-particle":"","parse-names":false,"suffix":""},{"dropping-particle":"","family":"Fopoussi","given":"Nelly","non-dropping-particle":"","parse-names":false,"suffix":""},{"dropping-particle":"","family":"Gazzard","given":"Gus","non-dropping-particle":"","parse-names":false,"suffix":""},{"dropping-particle":"","family":"Marques","given":"Ana Patricia","non-dropping-particle":"","parse-names":false,"suffix":""},{"dropping-particle":"","family":"Shah","given":"Peter","non-dropping-particle":"","parse-names":false,"suffix":""},{"dropping-particle":"","family":"Macleod","given":"David","non-dropping-particle":"","parse-names":false,"suffix":""},{"dropping-particle":"","family":"Makupa","given":"William U.","non-dropping-particle":"","parse-names":false,"suffix":""},{"dropping-particle":"","family":"Burton","given":"Matthew J.","non-dropping-particle":"","parse-names":false,"suffix":""}],"container-title":"The Lancet Global Health","id":"ITEM-1","issue":"11","issued":{"date-parts":[["2021"]]},"page":"e1589-e1599","title":"Selective laser trabeculoplasty versus 0·5% timolol eye drops for the treatment of glaucoma in Tanzania: a randomised controlled trial","type":"article-journal","volume":"9"},"uris":["http://www.mendeley.com/documents/?uuid=5879b972-391e-496f-b9a6-a7bbf723ef39"]}],"mendeley":{"formattedCitation":"(Philippin &lt;i&gt;et al.&lt;/i&gt;, 2021)","plainTextFormattedCitation":"(Philippin et al., 2021)","previouslyFormattedCitation":"(13)"},"properties":{"noteIndex":0},"schema":"https://github.com/citation-style-language/schema/raw/master/csl-citation.json"}</w:instrText>
      </w:r>
      <w:r w:rsidRPr="00811435">
        <w:rPr>
          <w:rFonts w:ascii="Arial" w:hAnsi="Arial" w:cs="Arial"/>
        </w:rPr>
        <w:fldChar w:fldCharType="separate"/>
      </w:r>
      <w:r w:rsidRPr="00811435">
        <w:rPr>
          <w:rFonts w:ascii="Arial" w:hAnsi="Arial" w:cs="Arial"/>
        </w:rPr>
        <w:t xml:space="preserve">(Philippin </w:t>
      </w:r>
      <w:r w:rsidRPr="00811435">
        <w:rPr>
          <w:rFonts w:ascii="Arial" w:hAnsi="Arial" w:cs="Arial"/>
          <w:i/>
        </w:rPr>
        <w:t>et al.</w:t>
      </w:r>
      <w:r w:rsidRPr="00811435">
        <w:rPr>
          <w:rFonts w:ascii="Arial" w:hAnsi="Arial" w:cs="Arial"/>
        </w:rPr>
        <w:t>, 2021)</w:t>
      </w:r>
      <w:r w:rsidRPr="00811435">
        <w:rPr>
          <w:rFonts w:ascii="Arial" w:hAnsi="Arial" w:cs="Arial"/>
        </w:rPr>
        <w:fldChar w:fldCharType="end"/>
      </w:r>
      <w:r w:rsidRPr="00811435">
        <w:rPr>
          <w:rFonts w:ascii="Arial" w:hAnsi="Arial" w:cs="Arial"/>
        </w:rPr>
        <w:t xml:space="preserve">. The following criteria were used to define glaucomatous visual field defects; </w:t>
      </w:r>
    </w:p>
    <w:p w14:paraId="265536F0" w14:textId="77777777" w:rsidR="00811435" w:rsidRPr="00811435" w:rsidRDefault="00811435" w:rsidP="00811435">
      <w:pPr>
        <w:pStyle w:val="Body"/>
        <w:numPr>
          <w:ilvl w:val="0"/>
          <w:numId w:val="34"/>
        </w:numPr>
        <w:spacing w:after="0"/>
        <w:rPr>
          <w:rFonts w:ascii="Arial" w:hAnsi="Arial" w:cs="Arial"/>
        </w:rPr>
      </w:pPr>
      <w:r w:rsidRPr="00811435">
        <w:rPr>
          <w:rFonts w:ascii="Arial" w:hAnsi="Arial" w:cs="Arial"/>
        </w:rPr>
        <w:lastRenderedPageBreak/>
        <w:t xml:space="preserve">On a pattern deviation map, a cluster of three points (excluding the rim area) with a probability of less than 5% in at least one hemi-field, including at least one point with a probability of less than 1% or a cluster of two points with a probability of less than 1%, </w:t>
      </w:r>
    </w:p>
    <w:p w14:paraId="2E29521B" w14:textId="77777777" w:rsidR="00811435" w:rsidRPr="00811435" w:rsidRDefault="00811435" w:rsidP="00811435">
      <w:pPr>
        <w:pStyle w:val="Body"/>
        <w:numPr>
          <w:ilvl w:val="0"/>
          <w:numId w:val="34"/>
        </w:numPr>
        <w:spacing w:after="0"/>
        <w:rPr>
          <w:rFonts w:ascii="Arial" w:hAnsi="Arial" w:cs="Arial"/>
        </w:rPr>
      </w:pPr>
      <w:r w:rsidRPr="00811435">
        <w:rPr>
          <w:rFonts w:ascii="Arial" w:hAnsi="Arial" w:cs="Arial"/>
        </w:rPr>
        <w:t xml:space="preserve">GHT -outside normal limits, </w:t>
      </w:r>
    </w:p>
    <w:p w14:paraId="023FA324" w14:textId="77777777" w:rsidR="00811435" w:rsidRPr="00811435" w:rsidRDefault="00811435" w:rsidP="00811435">
      <w:pPr>
        <w:pStyle w:val="Body"/>
        <w:numPr>
          <w:ilvl w:val="0"/>
          <w:numId w:val="34"/>
        </w:numPr>
        <w:spacing w:after="0"/>
        <w:rPr>
          <w:rFonts w:ascii="Arial" w:hAnsi="Arial" w:cs="Arial"/>
        </w:rPr>
      </w:pPr>
      <w:r w:rsidRPr="00811435">
        <w:rPr>
          <w:rFonts w:ascii="Arial" w:hAnsi="Arial" w:cs="Arial"/>
        </w:rPr>
        <w:t xml:space="preserve">Mean deviation ≤0.01 Db, </w:t>
      </w:r>
    </w:p>
    <w:p w14:paraId="5E623A93" w14:textId="77777777" w:rsidR="00811435" w:rsidRPr="00811435" w:rsidRDefault="00811435" w:rsidP="00811435">
      <w:pPr>
        <w:pStyle w:val="Body"/>
        <w:numPr>
          <w:ilvl w:val="0"/>
          <w:numId w:val="34"/>
        </w:numPr>
        <w:spacing w:after="0"/>
        <w:rPr>
          <w:rFonts w:ascii="Arial" w:hAnsi="Arial" w:cs="Arial"/>
        </w:rPr>
      </w:pPr>
      <w:r w:rsidRPr="00811435">
        <w:rPr>
          <w:rFonts w:ascii="Arial" w:hAnsi="Arial" w:cs="Arial"/>
        </w:rPr>
        <w:t xml:space="preserve">Visual field defect suggestive of nerve fiber bundle defect such as arcuate scotoma, nasal step, altitudinal scotoma, paracentral scotoma, and generalized field defects. </w:t>
      </w:r>
      <w:r w:rsidRPr="00811435">
        <w:rPr>
          <w:rFonts w:ascii="Arial" w:hAnsi="Arial" w:cs="Arial"/>
        </w:rPr>
        <w:fldChar w:fldCharType="begin" w:fldLock="1"/>
      </w:r>
      <w:r w:rsidRPr="00811435">
        <w:rPr>
          <w:rFonts w:ascii="Arial" w:hAnsi="Arial" w:cs="Arial"/>
        </w:rPr>
        <w:instrText>ADDIN CSL_CITATION {"citationItems":[{"id":"ITEM-1","itemData":{"DOI":"10.4103/jcor.jcor_90_18","ISSN":"2320-3897","author":[{"dropping-particle":"","family":"Khandelwal","given":"Rekha","non-dropping-particle":"","parse-names":false,"suffix":""},{"dropping-particle":"","family":"Khandelwal","given":"Rachit","non-dropping-particle":"","parse-names":false,"suffix":""},{"dropping-particle":"","family":"Raje","given":"Dhananjay","non-dropping-particle":"","parse-names":false,"suffix":""},{"dropping-particle":"","family":"Kumar","given":"Deepa","non-dropping-particle":"","parse-names":false,"suffix":""},{"dropping-particle":"","family":"Rathi","given":"Anand","non-dropping-particle":"","parse-names":false,"suffix":""}],"container-title":"Journal of Clinical Ophthalmology and Research","id":"ITEM-1","issue":"1","issued":{"date-parts":[["2020"]]},"page":"5","title":"Correlation of open-angle glaucoma and ocular perfusion pressure in hypertensive individuals","type":"article-journal","volume":"8"},"uris":["http://www.mendeley.com/documents/?uuid=1445dfa9-07ef-46e0-83db-399d8a242708"]}],"mendeley":{"formattedCitation":"(Khandelwal &lt;i&gt;et al.&lt;/i&gt;, 2020)","plainTextFormattedCitation":"(Khandelwal et al., 2020)","previouslyFormattedCitation":"(14)"},"properties":{"noteIndex":0},"schema":"https://github.com/citation-style-language/schema/raw/master/csl-citation.json"}</w:instrText>
      </w:r>
      <w:r w:rsidRPr="00811435">
        <w:rPr>
          <w:rFonts w:ascii="Arial" w:hAnsi="Arial" w:cs="Arial"/>
        </w:rPr>
        <w:fldChar w:fldCharType="separate"/>
      </w:r>
      <w:r w:rsidRPr="00811435">
        <w:rPr>
          <w:rFonts w:ascii="Arial" w:hAnsi="Arial" w:cs="Arial"/>
        </w:rPr>
        <w:t xml:space="preserve">(Khandelwal </w:t>
      </w:r>
      <w:r w:rsidRPr="00811435">
        <w:rPr>
          <w:rFonts w:ascii="Arial" w:hAnsi="Arial" w:cs="Arial"/>
          <w:i/>
        </w:rPr>
        <w:t>et al.</w:t>
      </w:r>
      <w:r w:rsidRPr="00811435">
        <w:rPr>
          <w:rFonts w:ascii="Arial" w:hAnsi="Arial" w:cs="Arial"/>
        </w:rPr>
        <w:t>, 2020)</w:t>
      </w:r>
      <w:r w:rsidRPr="00811435">
        <w:rPr>
          <w:rFonts w:ascii="Arial" w:hAnsi="Arial" w:cs="Arial"/>
        </w:rPr>
        <w:fldChar w:fldCharType="end"/>
      </w:r>
      <w:r w:rsidRPr="00811435">
        <w:rPr>
          <w:rFonts w:ascii="Arial" w:hAnsi="Arial" w:cs="Arial"/>
        </w:rPr>
        <w:t xml:space="preserve">.  </w:t>
      </w:r>
    </w:p>
    <w:p w14:paraId="796DF078" w14:textId="77777777" w:rsidR="00811435" w:rsidRPr="00811435" w:rsidRDefault="00811435" w:rsidP="00811435">
      <w:pPr>
        <w:pStyle w:val="Body"/>
        <w:spacing w:after="0"/>
        <w:rPr>
          <w:rFonts w:ascii="Arial" w:hAnsi="Arial" w:cs="Arial"/>
        </w:rPr>
      </w:pPr>
      <w:r w:rsidRPr="00811435">
        <w:rPr>
          <w:rFonts w:ascii="Arial" w:hAnsi="Arial" w:cs="Arial"/>
        </w:rPr>
        <w:t xml:space="preserve">A Goldmann-type four-mirror gonioscope was used assess whether the anterior chamber angle was closed or open. Subsequently, pupil dilatation was performed using tropicamide 0.5% to allow examination of the posterior segment, including </w:t>
      </w:r>
      <w:proofErr w:type="spellStart"/>
      <w:r w:rsidRPr="00811435">
        <w:rPr>
          <w:rFonts w:ascii="Arial" w:hAnsi="Arial" w:cs="Arial"/>
        </w:rPr>
        <w:t>evatuation</w:t>
      </w:r>
      <w:proofErr w:type="spellEnd"/>
      <w:r w:rsidRPr="00811435">
        <w:rPr>
          <w:rFonts w:ascii="Arial" w:hAnsi="Arial" w:cs="Arial"/>
        </w:rPr>
        <w:t xml:space="preserve"> of the optic nerve head and estimation of the cup disc ratio using a 90D VOLK lens with slit lamp biomicroscope. </w:t>
      </w:r>
    </w:p>
    <w:p w14:paraId="09AF1EFD" w14:textId="77777777" w:rsidR="00811435" w:rsidRPr="00811435" w:rsidRDefault="00811435" w:rsidP="00811435">
      <w:pPr>
        <w:pStyle w:val="Body"/>
        <w:spacing w:after="0"/>
        <w:rPr>
          <w:rFonts w:ascii="Arial" w:hAnsi="Arial" w:cs="Arial"/>
        </w:rPr>
      </w:pPr>
      <w:r w:rsidRPr="00811435">
        <w:rPr>
          <w:rFonts w:ascii="Arial" w:hAnsi="Arial" w:cs="Arial"/>
        </w:rPr>
        <w:t>Control participants underwent the same assessment procedures as primary open angle glaucoma (POAG) patients.</w:t>
      </w:r>
    </w:p>
    <w:p w14:paraId="1E4478E6" w14:textId="77777777" w:rsidR="00811435" w:rsidRPr="00811435" w:rsidRDefault="00811435" w:rsidP="00811435">
      <w:pPr>
        <w:pStyle w:val="Body"/>
        <w:spacing w:after="0"/>
        <w:rPr>
          <w:rFonts w:ascii="Arial" w:hAnsi="Arial" w:cs="Arial"/>
        </w:rPr>
      </w:pPr>
      <w:r w:rsidRPr="00811435">
        <w:rPr>
          <w:rFonts w:ascii="Arial" w:hAnsi="Arial" w:cs="Arial"/>
        </w:rPr>
        <w:t xml:space="preserve">The diagnosis of POAG was based on presence of an open angle on gonioscopy and </w:t>
      </w:r>
      <w:proofErr w:type="spellStart"/>
      <w:r w:rsidRPr="00811435">
        <w:rPr>
          <w:rFonts w:ascii="Arial" w:hAnsi="Arial" w:cs="Arial"/>
        </w:rPr>
        <w:t>atleast</w:t>
      </w:r>
      <w:proofErr w:type="spellEnd"/>
      <w:r w:rsidRPr="00811435">
        <w:rPr>
          <w:rFonts w:ascii="Arial" w:hAnsi="Arial" w:cs="Arial"/>
        </w:rPr>
        <w:t xml:space="preserve"> two of the following three criteria:</w:t>
      </w:r>
    </w:p>
    <w:p w14:paraId="43DED0BE" w14:textId="77777777" w:rsidR="00811435" w:rsidRPr="00811435" w:rsidRDefault="00811435" w:rsidP="00811435">
      <w:pPr>
        <w:pStyle w:val="Body"/>
        <w:numPr>
          <w:ilvl w:val="0"/>
          <w:numId w:val="33"/>
        </w:numPr>
        <w:spacing w:after="0"/>
        <w:rPr>
          <w:rFonts w:ascii="Arial" w:hAnsi="Arial" w:cs="Arial"/>
        </w:rPr>
      </w:pPr>
      <w:r w:rsidRPr="00811435">
        <w:rPr>
          <w:rFonts w:ascii="Arial" w:hAnsi="Arial" w:cs="Arial"/>
        </w:rPr>
        <w:t>Vertical cup to disc ratio ≥ 0.6 or disc asymmetry &gt; 0.2.</w:t>
      </w:r>
    </w:p>
    <w:p w14:paraId="55FAE3E9" w14:textId="77777777" w:rsidR="00811435" w:rsidRPr="00811435" w:rsidRDefault="00811435" w:rsidP="00811435">
      <w:pPr>
        <w:pStyle w:val="Body"/>
        <w:numPr>
          <w:ilvl w:val="0"/>
          <w:numId w:val="33"/>
        </w:numPr>
        <w:spacing w:after="0"/>
        <w:rPr>
          <w:rFonts w:ascii="Arial" w:hAnsi="Arial" w:cs="Arial"/>
        </w:rPr>
      </w:pPr>
      <w:r w:rsidRPr="00811435">
        <w:rPr>
          <w:rFonts w:ascii="Arial" w:hAnsi="Arial" w:cs="Arial"/>
        </w:rPr>
        <w:t>Glaucomatous visual field loss observed on visual field test.</w:t>
      </w:r>
    </w:p>
    <w:p w14:paraId="15064826" w14:textId="77777777" w:rsidR="00811435" w:rsidRPr="00811435" w:rsidRDefault="00811435" w:rsidP="00811435">
      <w:pPr>
        <w:pStyle w:val="Body"/>
        <w:numPr>
          <w:ilvl w:val="0"/>
          <w:numId w:val="33"/>
        </w:numPr>
        <w:spacing w:after="0"/>
        <w:rPr>
          <w:rFonts w:ascii="Arial" w:hAnsi="Arial" w:cs="Arial"/>
        </w:rPr>
      </w:pPr>
      <w:r w:rsidRPr="00811435">
        <w:rPr>
          <w:rFonts w:ascii="Arial" w:hAnsi="Arial" w:cs="Arial"/>
        </w:rPr>
        <w:t xml:space="preserve">Intraocular pressure ≥21 mmHg. (Rekha Mudhol* Manjushree KS and </w:t>
      </w:r>
      <w:proofErr w:type="spellStart"/>
      <w:r w:rsidRPr="00811435">
        <w:rPr>
          <w:rFonts w:ascii="Arial" w:hAnsi="Arial" w:cs="Arial"/>
        </w:rPr>
        <w:t>Yakkundi</w:t>
      </w:r>
      <w:proofErr w:type="spellEnd"/>
      <w:r w:rsidRPr="00811435">
        <w:rPr>
          <w:rFonts w:ascii="Arial" w:hAnsi="Arial" w:cs="Arial"/>
        </w:rPr>
        <w:t>, 2021)</w:t>
      </w:r>
    </w:p>
    <w:p w14:paraId="2D0A9FDD" w14:textId="77777777" w:rsidR="00811435" w:rsidRPr="00811435" w:rsidRDefault="00811435" w:rsidP="00811435">
      <w:pPr>
        <w:pStyle w:val="Body"/>
        <w:spacing w:after="0"/>
        <w:rPr>
          <w:rFonts w:ascii="Arial" w:hAnsi="Arial" w:cs="Arial"/>
          <w:b/>
        </w:rPr>
      </w:pPr>
      <w:r w:rsidRPr="00811435">
        <w:rPr>
          <w:rFonts w:ascii="Arial" w:hAnsi="Arial" w:cs="Arial"/>
          <w:b/>
        </w:rPr>
        <w:t>2.3.1. Measurement of ocular perfusion pressure</w:t>
      </w:r>
    </w:p>
    <w:p w14:paraId="0BA3B4C2" w14:textId="77777777" w:rsidR="00811435" w:rsidRPr="00811435" w:rsidRDefault="00811435" w:rsidP="00811435">
      <w:pPr>
        <w:pStyle w:val="Body"/>
        <w:spacing w:after="0"/>
        <w:rPr>
          <w:rFonts w:ascii="Arial" w:hAnsi="Arial" w:cs="Arial"/>
        </w:rPr>
      </w:pPr>
      <w:r w:rsidRPr="00811435">
        <w:rPr>
          <w:rFonts w:ascii="Arial" w:hAnsi="Arial" w:cs="Arial"/>
        </w:rPr>
        <w:t>The mean arterial pressure (MAP) was calculated using the formula:</w:t>
      </w:r>
    </w:p>
    <w:p w14:paraId="225A374B" w14:textId="77777777" w:rsidR="00811435" w:rsidRPr="00811435" w:rsidRDefault="00811435" w:rsidP="00811435">
      <w:pPr>
        <w:pStyle w:val="Body"/>
        <w:spacing w:after="0"/>
        <w:rPr>
          <w:rFonts w:ascii="Arial" w:hAnsi="Arial" w:cs="Arial"/>
        </w:rPr>
      </w:pPr>
      <w:r w:rsidRPr="00811435">
        <w:rPr>
          <w:rFonts w:ascii="Arial" w:hAnsi="Arial" w:cs="Arial"/>
        </w:rPr>
        <w:t xml:space="preserve">MAP = Diastolic blood pressure + 1⁄3 (Systolic blood pressure(SBP) − Diastolic blood pressure(DBP)) </w:t>
      </w:r>
      <w:r w:rsidRPr="00811435">
        <w:rPr>
          <w:rFonts w:ascii="Arial" w:hAnsi="Arial" w:cs="Arial"/>
        </w:rPr>
        <w:fldChar w:fldCharType="begin" w:fldLock="1"/>
      </w:r>
      <w:r w:rsidRPr="00811435">
        <w:rPr>
          <w:rFonts w:ascii="Arial" w:hAnsi="Arial" w:cs="Arial"/>
        </w:rPr>
        <w:instrText>ADDIN CSL_CITATION {"citationItems":[{"id":"ITEM-1","itemData":{"DOI":"10.4103/njcp.njcp","ISSN":"0772634726","abstract":"In British Columbia, colonial-nesting freshwater birds are familiar and important parts of our avifauna. Five species of colonial-nesting birds are discussed in this manual: Red-necked Grebe (B-RNGR, Podiceps grisegena), Eared Grebe (B-EAGR, Podiceps nigricollis), Western Grebe (B-WEGR, Aechmophorus occidentalis), American White Pelican (B-AWPE, Pelecanus erythrorhynchos), and Great Blue Heron (B-GBHE, Ardea herodias). Red-necked Grebes are widespread breeders in the interior and common along the coast during winter. Eared Grebes are relatively inconspicuous birds that breed in shallow interior marshes, in very large colonies at some sites, and winter mainly in the United States. Western Grebes breed at four sites in British Columbia, but are very abundant in the southern Strait of Georgia during winter. The American White Pelican, a highly recognizable species, is seldom seen in British Columbia, except in the Chilcotin where it breeds. The Great Blue Heron nests in trees and forages mainly along intertidal areas, edges of freshwater marshes, ditches, and grassy fields. It is a highly recognizable species and most populations exist in areas with high levels of human development (e.g., in valley bottoms and along lake, river, and marine shorelines). Disturbance by human activities poses a significant threat to these species, especially during the breeding season. Because of the concentration of nests at one site, a single event can affect an entire population at one time. Untimely visits to colonies can allow predation of eggs or young by gulls and corvids, or chilling or overheating of eggs which reduces hatching success. Severe disturbances can result in complete reproductive failure. In addition, habitats of colonial nesters are threatened by development, disturbance, and pollution. Wetlands near cities and towns continue to be drained for residential, industrial, or agricultural expansion. Other wetlands can be so heavily used for recreational purposes as to discourage use by these species. Stands of mature trees used for nesting by Great Blue Herons are often as attractive to loggers and developers as they are to herons. The species in this manual are all at, or near, the top of the food chain, and can suffer from concentration of organochlorines and heavy metals, which may reduce reproductive success. All three grebes, especially the Western Grebe, and the Great Blue Heron are vulnerable to marine oil spills. Because of threats to their habitat, t…","author":[{"dropping-particle":"","family":"Yılmaz","given":"S","non-dropping-particle":"","parse-names":false,"suffix":""},{"dropping-particle":"","family":"Calikoglu","given":"E. O.","non-dropping-particle":"","parse-names":false,"suffix":""},{"dropping-particle":"","family":"Kosan","given":"Z.","non-dropping-particle":"","parse-names":false,"suffix":""}],"container-title":"Nigerian Journal of Clinical Practice","id":"ITEM-1","issued":{"date-parts":[["2019"]]},"page":"1070-1077","title":"for an Uncommon Neurosurgical Emergency in a Developing Country","type":"article-journal","volume":"22"},"uris":["http://www.mendeley.com/documents/?uuid=47ed04ab-c0f2-4577-ab92-fa0257fb63da"]}],"mendeley":{"formattedCitation":"(Yılmaz, Calikoglu and Kosan, 2019)","plainTextFormattedCitation":"(Yılmaz, Calikoglu and Kosan, 2019)","previouslyFormattedCitation":"(15)"},"properties":{"noteIndex":0},"schema":"https://github.com/citation-style-language/schema/raw/master/csl-citation.json"}</w:instrText>
      </w:r>
      <w:r w:rsidRPr="00811435">
        <w:rPr>
          <w:rFonts w:ascii="Arial" w:hAnsi="Arial" w:cs="Arial"/>
        </w:rPr>
        <w:fldChar w:fldCharType="separate"/>
      </w:r>
      <w:r w:rsidRPr="00811435">
        <w:rPr>
          <w:rFonts w:ascii="Arial" w:hAnsi="Arial" w:cs="Arial"/>
        </w:rPr>
        <w:t>(Yılmaz, Calikoglu and Kosan, 2019)</w:t>
      </w:r>
      <w:r w:rsidRPr="00811435">
        <w:rPr>
          <w:rFonts w:ascii="Arial" w:hAnsi="Arial" w:cs="Arial"/>
        </w:rPr>
        <w:fldChar w:fldCharType="end"/>
      </w:r>
      <w:r w:rsidRPr="00811435">
        <w:rPr>
          <w:rFonts w:ascii="Arial" w:hAnsi="Arial" w:cs="Arial"/>
        </w:rPr>
        <w:t>.</w:t>
      </w:r>
    </w:p>
    <w:p w14:paraId="7A07F04A" w14:textId="77777777" w:rsidR="00811435" w:rsidRPr="00811435" w:rsidRDefault="00811435" w:rsidP="00811435">
      <w:pPr>
        <w:pStyle w:val="Body"/>
        <w:spacing w:after="0"/>
        <w:rPr>
          <w:rFonts w:ascii="Arial" w:hAnsi="Arial" w:cs="Arial"/>
        </w:rPr>
      </w:pPr>
      <w:r w:rsidRPr="00811435">
        <w:rPr>
          <w:rFonts w:ascii="Arial" w:hAnsi="Arial" w:cs="Arial"/>
        </w:rPr>
        <w:t xml:space="preserve">Subsequently, the following ocular perfusion pressures were calculated (Rekha Mudhol* Manjushree KS and </w:t>
      </w:r>
      <w:proofErr w:type="spellStart"/>
      <w:r w:rsidRPr="00811435">
        <w:rPr>
          <w:rFonts w:ascii="Arial" w:hAnsi="Arial" w:cs="Arial"/>
        </w:rPr>
        <w:t>Yakkundi</w:t>
      </w:r>
      <w:proofErr w:type="spellEnd"/>
      <w:r w:rsidRPr="00811435">
        <w:rPr>
          <w:rFonts w:ascii="Arial" w:hAnsi="Arial" w:cs="Arial"/>
        </w:rPr>
        <w:t>, 2021).</w:t>
      </w:r>
    </w:p>
    <w:p w14:paraId="1D9A41FE" w14:textId="77777777" w:rsidR="00811435" w:rsidRPr="00811435" w:rsidRDefault="00811435" w:rsidP="00811435">
      <w:pPr>
        <w:pStyle w:val="Body"/>
        <w:spacing w:after="0"/>
        <w:rPr>
          <w:rFonts w:ascii="Arial" w:hAnsi="Arial" w:cs="Arial"/>
        </w:rPr>
      </w:pPr>
      <w:r w:rsidRPr="00811435">
        <w:rPr>
          <w:rFonts w:ascii="Arial" w:hAnsi="Arial" w:cs="Arial"/>
        </w:rPr>
        <w:t xml:space="preserve"> Mean ocular perfusion pressure (MOPP) = 2⁄3 (MAP - IOP) </w:t>
      </w:r>
    </w:p>
    <w:p w14:paraId="41E27189" w14:textId="77777777" w:rsidR="00811435" w:rsidRPr="00811435" w:rsidRDefault="00811435" w:rsidP="00811435">
      <w:pPr>
        <w:pStyle w:val="Body"/>
        <w:spacing w:after="0"/>
        <w:rPr>
          <w:rFonts w:ascii="Arial" w:hAnsi="Arial" w:cs="Arial"/>
        </w:rPr>
      </w:pPr>
      <w:r w:rsidRPr="00811435">
        <w:rPr>
          <w:rFonts w:ascii="Arial" w:hAnsi="Arial" w:cs="Arial"/>
        </w:rPr>
        <w:t>Systolic perfusion pressure (SPP) = (SBP – IOP)</w:t>
      </w:r>
    </w:p>
    <w:p w14:paraId="272A5A74" w14:textId="77777777" w:rsidR="00811435" w:rsidRPr="00811435" w:rsidRDefault="00811435" w:rsidP="00811435">
      <w:pPr>
        <w:pStyle w:val="Body"/>
        <w:spacing w:after="0"/>
        <w:rPr>
          <w:rFonts w:ascii="Arial" w:hAnsi="Arial" w:cs="Arial"/>
        </w:rPr>
      </w:pPr>
      <w:r w:rsidRPr="00811435">
        <w:rPr>
          <w:rFonts w:ascii="Arial" w:hAnsi="Arial" w:cs="Arial"/>
        </w:rPr>
        <w:t xml:space="preserve">Diastolic perfusion pressure (DPP) = (DBP – IOP) </w:t>
      </w:r>
      <w:bookmarkStart w:id="7" w:name="_Toc201227436"/>
      <w:bookmarkStart w:id="8" w:name="_Toc201923052"/>
    </w:p>
    <w:p w14:paraId="1EDCEB22" w14:textId="77777777" w:rsidR="00811435" w:rsidRDefault="00811435" w:rsidP="00811435">
      <w:pPr>
        <w:pStyle w:val="Body"/>
        <w:spacing w:after="0"/>
        <w:rPr>
          <w:rFonts w:ascii="Arial" w:hAnsi="Arial" w:cs="Arial"/>
          <w:b/>
        </w:rPr>
      </w:pPr>
      <w:r>
        <w:rPr>
          <w:rFonts w:ascii="Arial" w:hAnsi="Arial" w:cs="Arial"/>
          <w:b/>
        </w:rPr>
        <w:t xml:space="preserve">2.4. </w:t>
      </w:r>
      <w:r w:rsidRPr="00811435">
        <w:rPr>
          <w:rFonts w:ascii="Arial" w:hAnsi="Arial" w:cs="Arial"/>
          <w:b/>
        </w:rPr>
        <w:t>Data Management and Analysis</w:t>
      </w:r>
      <w:bookmarkEnd w:id="6"/>
      <w:bookmarkEnd w:id="7"/>
      <w:bookmarkEnd w:id="8"/>
    </w:p>
    <w:p w14:paraId="1C354CC6" w14:textId="77777777" w:rsidR="00811435" w:rsidRPr="00811435" w:rsidRDefault="00811435" w:rsidP="00811435">
      <w:pPr>
        <w:pStyle w:val="Body"/>
        <w:spacing w:after="0"/>
        <w:rPr>
          <w:rFonts w:ascii="Arial" w:hAnsi="Arial" w:cs="Arial"/>
          <w:b/>
        </w:rPr>
      </w:pPr>
      <w:r w:rsidRPr="00811435">
        <w:rPr>
          <w:rFonts w:ascii="Arial" w:hAnsi="Arial" w:cs="Arial"/>
        </w:rPr>
        <w:t>The data analysis was conducted using STATA version 17 (</w:t>
      </w:r>
      <w:proofErr w:type="spellStart"/>
      <w:r w:rsidRPr="00811435">
        <w:rPr>
          <w:rFonts w:ascii="Arial" w:hAnsi="Arial" w:cs="Arial"/>
        </w:rPr>
        <w:t>StataCrop</w:t>
      </w:r>
      <w:proofErr w:type="spellEnd"/>
      <w:r w:rsidRPr="00811435">
        <w:rPr>
          <w:rFonts w:ascii="Arial" w:hAnsi="Arial" w:cs="Arial"/>
        </w:rPr>
        <w:t xml:space="preserve">, </w:t>
      </w:r>
      <w:proofErr w:type="spellStart"/>
      <w:r w:rsidRPr="00811435">
        <w:rPr>
          <w:rFonts w:ascii="Arial" w:hAnsi="Arial" w:cs="Arial"/>
        </w:rPr>
        <w:t>CollegeStation</w:t>
      </w:r>
      <w:proofErr w:type="spellEnd"/>
      <w:r w:rsidRPr="00811435">
        <w:rPr>
          <w:rFonts w:ascii="Arial" w:hAnsi="Arial" w:cs="Arial"/>
        </w:rPr>
        <w:t xml:space="preserve">, TX, USA). </w:t>
      </w:r>
    </w:p>
    <w:p w14:paraId="43CEFE1A" w14:textId="77777777" w:rsidR="00811435" w:rsidRPr="00811435" w:rsidRDefault="00811435" w:rsidP="00811435">
      <w:pPr>
        <w:pStyle w:val="Body"/>
        <w:spacing w:after="0"/>
        <w:rPr>
          <w:rFonts w:ascii="Arial" w:hAnsi="Arial" w:cs="Arial"/>
        </w:rPr>
      </w:pPr>
      <w:r w:rsidRPr="00811435">
        <w:rPr>
          <w:rFonts w:ascii="Arial" w:hAnsi="Arial" w:cs="Arial"/>
        </w:rPr>
        <w:t>The association between two categorical variables were investigated using the Chi-square test. Additionally, to investigate the correlation between OPP, and NTG, Analysis of Variance (ANOVA) was employed.</w:t>
      </w:r>
    </w:p>
    <w:p w14:paraId="76F711CB" w14:textId="77777777" w:rsidR="00811435" w:rsidRPr="00811435" w:rsidRDefault="00811435" w:rsidP="00811435">
      <w:pPr>
        <w:pStyle w:val="Body"/>
        <w:spacing w:after="0"/>
        <w:rPr>
          <w:rFonts w:ascii="Arial" w:hAnsi="Arial" w:cs="Arial"/>
        </w:rPr>
      </w:pPr>
      <w:r w:rsidRPr="00811435">
        <w:rPr>
          <w:rFonts w:ascii="Arial" w:hAnsi="Arial" w:cs="Arial"/>
        </w:rPr>
        <w:t>Depending on the distribution of the study population, quartile cut-offs was used to analyze perfusion pressures as continuous or categorical variables.</w:t>
      </w:r>
    </w:p>
    <w:p w14:paraId="7F729D97" w14:textId="77777777" w:rsidR="00811435" w:rsidRPr="00811435" w:rsidRDefault="00811435" w:rsidP="00811435">
      <w:pPr>
        <w:pStyle w:val="Body"/>
        <w:spacing w:after="0"/>
        <w:rPr>
          <w:rFonts w:ascii="Arial" w:hAnsi="Arial" w:cs="Arial"/>
        </w:rPr>
      </w:pPr>
      <w:r w:rsidRPr="00811435">
        <w:rPr>
          <w:rFonts w:ascii="Arial" w:hAnsi="Arial" w:cs="Arial"/>
        </w:rPr>
        <w:t>Logistic regression for estimation of odds ratios</w:t>
      </w:r>
      <w:r w:rsidRPr="00811435">
        <w:rPr>
          <w:rFonts w:ascii="Arial" w:hAnsi="Arial" w:cs="Arial"/>
          <w:b/>
          <w:bCs/>
        </w:rPr>
        <w:t xml:space="preserve"> </w:t>
      </w:r>
      <w:r w:rsidRPr="00811435">
        <w:rPr>
          <w:rFonts w:ascii="Arial" w:hAnsi="Arial" w:cs="Arial"/>
        </w:rPr>
        <w:t>was employed to evaluate the relationship between exposures and outcomes.</w:t>
      </w:r>
    </w:p>
    <w:p w14:paraId="6B14AC01" w14:textId="77777777" w:rsidR="00811435" w:rsidRPr="00811435" w:rsidRDefault="00811435" w:rsidP="00811435">
      <w:pPr>
        <w:pStyle w:val="Body"/>
        <w:spacing w:after="0"/>
        <w:rPr>
          <w:rFonts w:ascii="Arial" w:hAnsi="Arial" w:cs="Arial"/>
        </w:rPr>
      </w:pPr>
      <w:r w:rsidRPr="00811435">
        <w:rPr>
          <w:rFonts w:ascii="Arial" w:hAnsi="Arial" w:cs="Arial"/>
        </w:rPr>
        <w:t>The probability value &lt;0.05 was regarded as the significant level in all of the statistical tools mentioned above.</w:t>
      </w:r>
    </w:p>
    <w:p w14:paraId="13178FD6" w14:textId="77777777" w:rsidR="00790ADA" w:rsidRPr="00FB3A86" w:rsidRDefault="00790ADA" w:rsidP="00441B6F">
      <w:pPr>
        <w:pStyle w:val="Body"/>
        <w:spacing w:after="0"/>
        <w:rPr>
          <w:rFonts w:ascii="Arial" w:hAnsi="Arial" w:cs="Arial"/>
        </w:rPr>
      </w:pPr>
    </w:p>
    <w:p w14:paraId="09F5C6C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5B23E0">
        <w:rPr>
          <w:rFonts w:ascii="Arial" w:hAnsi="Arial" w:cs="Arial"/>
        </w:rPr>
        <w:t>results</w:t>
      </w:r>
    </w:p>
    <w:p w14:paraId="34D6B4ED" w14:textId="77777777" w:rsidR="00790ADA" w:rsidRPr="00FB3A86" w:rsidRDefault="00790ADA" w:rsidP="00441B6F">
      <w:pPr>
        <w:pStyle w:val="Head1"/>
        <w:spacing w:after="0"/>
        <w:jc w:val="both"/>
        <w:rPr>
          <w:rFonts w:ascii="Arial" w:hAnsi="Arial" w:cs="Arial"/>
        </w:rPr>
      </w:pPr>
    </w:p>
    <w:p w14:paraId="2BE7C7A2" w14:textId="77777777" w:rsidR="0044099A" w:rsidRPr="0044099A" w:rsidRDefault="0044099A" w:rsidP="0044099A">
      <w:pPr>
        <w:pStyle w:val="Body"/>
        <w:spacing w:after="0"/>
        <w:rPr>
          <w:rFonts w:ascii="Arial" w:hAnsi="Arial" w:cs="Arial"/>
          <w:b/>
        </w:rPr>
      </w:pPr>
      <w:bookmarkStart w:id="9" w:name="_Toc201923057"/>
      <w:r w:rsidRPr="0044099A">
        <w:rPr>
          <w:rFonts w:ascii="Arial" w:hAnsi="Arial" w:cs="Arial"/>
          <w:b/>
        </w:rPr>
        <w:t>3.1. Socio-demographic and clinical characteristics of study participants</w:t>
      </w:r>
      <w:bookmarkEnd w:id="9"/>
    </w:p>
    <w:p w14:paraId="75E25C07" w14:textId="77777777" w:rsidR="0044099A" w:rsidRPr="0044099A" w:rsidRDefault="0044099A" w:rsidP="0044099A">
      <w:pPr>
        <w:pStyle w:val="Body"/>
        <w:spacing w:after="0"/>
        <w:rPr>
          <w:rFonts w:ascii="Arial" w:hAnsi="Arial" w:cs="Arial"/>
        </w:rPr>
      </w:pPr>
      <w:r w:rsidRPr="0044099A">
        <w:rPr>
          <w:rFonts w:ascii="Arial" w:hAnsi="Arial" w:cs="Arial"/>
        </w:rPr>
        <w:t>A total of 179 participants (89 with POAG and 90 as controls) were analyzed in this study. Among the POAG group, 30 had normal tension glaucoma (NTG) and 59 had high tension glaucoma (HTG).</w:t>
      </w:r>
    </w:p>
    <w:p w14:paraId="07F17201" w14:textId="77777777" w:rsidR="0044099A" w:rsidRDefault="0044099A" w:rsidP="0044099A">
      <w:pPr>
        <w:pStyle w:val="Body"/>
        <w:spacing w:after="0"/>
        <w:rPr>
          <w:rFonts w:ascii="Arial" w:hAnsi="Arial" w:cs="Arial"/>
        </w:rPr>
      </w:pPr>
      <w:r w:rsidRPr="0044099A">
        <w:rPr>
          <w:rFonts w:ascii="Arial" w:hAnsi="Arial" w:cs="Arial"/>
        </w:rPr>
        <w:t xml:space="preserve">Among NTG patients, more than half, 17 (56.7%), were aged between 40 and 64 years younger than HTG patients, with a median age of 61 years. And nearly half of NTG patients, 30 (50.8%), were female. Most POAG participants were peasants, especially in the HTG </w:t>
      </w:r>
      <w:r w:rsidRPr="0044099A">
        <w:rPr>
          <w:rFonts w:ascii="Arial" w:hAnsi="Arial" w:cs="Arial"/>
        </w:rPr>
        <w:lastRenderedPageBreak/>
        <w:t>group; 43 (72.9%) were peasants and 15 (50%) of the NTG group reported drinking alcohol. Notably, 6 (75%) of the participants in the NTG group had solely diabetes mellitus, whereas 18 (81.8%) of the participants in the HTG group had just hypertension. Cold sensitivity was exclusively observed in NTG 4(13.3%). NTG patients had the lowest average blood pressure (121.8 ± 18.1 / 64.1 ± 12.1 mmHg), while HTG patients had the highest blood pressure (143.7 ± 22.6 / 81.7 ± 10.5 mmHg). The poor visual acuity (&lt;6/18), severe optic nerve damage (CDR ≥0.6) and severe mean deviation (MD &lt;–20) were more prevalent in HTG patients (47.5%), (81.4%) and (57.6%), respectively. (Table 1)</w:t>
      </w:r>
    </w:p>
    <w:p w14:paraId="54AF54C6" w14:textId="77777777" w:rsidR="0044099A" w:rsidRPr="0044099A" w:rsidRDefault="0044099A" w:rsidP="0044099A">
      <w:pPr>
        <w:pStyle w:val="Body"/>
        <w:rPr>
          <w:rFonts w:ascii="Arial" w:hAnsi="Arial" w:cs="Arial"/>
          <w:b/>
          <w:bCs/>
        </w:rPr>
      </w:pPr>
      <w:r w:rsidRPr="0044099A">
        <w:rPr>
          <w:rFonts w:ascii="Arial" w:hAnsi="Arial" w:cs="Arial"/>
          <w:b/>
          <w:bCs/>
        </w:rPr>
        <w:t xml:space="preserve">Table </w:t>
      </w:r>
      <w:r w:rsidRPr="0044099A">
        <w:rPr>
          <w:rFonts w:ascii="Arial" w:hAnsi="Arial" w:cs="Arial"/>
          <w:b/>
          <w:bCs/>
        </w:rPr>
        <w:fldChar w:fldCharType="begin"/>
      </w:r>
      <w:r w:rsidRPr="0044099A">
        <w:rPr>
          <w:rFonts w:ascii="Arial" w:hAnsi="Arial" w:cs="Arial"/>
          <w:b/>
          <w:bCs/>
        </w:rPr>
        <w:instrText xml:space="preserve"> SEQ Table \* ARABIC </w:instrText>
      </w:r>
      <w:r w:rsidRPr="0044099A">
        <w:rPr>
          <w:rFonts w:ascii="Arial" w:hAnsi="Arial" w:cs="Arial"/>
          <w:b/>
          <w:bCs/>
        </w:rPr>
        <w:fldChar w:fldCharType="separate"/>
      </w:r>
      <w:r w:rsidRPr="0044099A">
        <w:rPr>
          <w:rFonts w:ascii="Arial" w:hAnsi="Arial" w:cs="Arial"/>
          <w:b/>
          <w:bCs/>
        </w:rPr>
        <w:t>1</w:t>
      </w:r>
      <w:r w:rsidRPr="0044099A">
        <w:rPr>
          <w:rFonts w:ascii="Arial" w:hAnsi="Arial" w:cs="Arial"/>
        </w:rPr>
        <w:fldChar w:fldCharType="end"/>
      </w:r>
      <w:r w:rsidRPr="0044099A">
        <w:rPr>
          <w:rFonts w:ascii="Arial" w:hAnsi="Arial" w:cs="Arial"/>
          <w:b/>
          <w:bCs/>
        </w:rPr>
        <w:t>: Socio-demographic and clinical characteristics of study participants (N=179)</w:t>
      </w:r>
    </w:p>
    <w:tbl>
      <w:tblPr>
        <w:tblStyle w:val="TableGrid"/>
        <w:tblW w:w="5000" w:type="pct"/>
        <w:jc w:val="center"/>
        <w:tblBorders>
          <w:top w:val="single" w:sz="12"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443"/>
        <w:gridCol w:w="2037"/>
        <w:gridCol w:w="2037"/>
        <w:gridCol w:w="1907"/>
      </w:tblGrid>
      <w:tr w:rsidR="0044099A" w:rsidRPr="0044099A" w14:paraId="16D8B7E8" w14:textId="77777777" w:rsidTr="006C3430">
        <w:trPr>
          <w:jc w:val="center"/>
        </w:trPr>
        <w:tc>
          <w:tcPr>
            <w:tcW w:w="1450" w:type="pct"/>
            <w:tcBorders>
              <w:top w:val="single" w:sz="12" w:space="0" w:color="auto"/>
              <w:bottom w:val="single" w:sz="4" w:space="0" w:color="auto"/>
            </w:tcBorders>
          </w:tcPr>
          <w:p w14:paraId="6554038C" w14:textId="77777777" w:rsidR="0044099A" w:rsidRPr="0044099A" w:rsidRDefault="0044099A" w:rsidP="0044099A">
            <w:pPr>
              <w:pStyle w:val="Body"/>
              <w:spacing w:after="0"/>
              <w:rPr>
                <w:rFonts w:ascii="Arial" w:eastAsia="Times New Roman" w:hAnsi="Arial" w:cs="Arial"/>
                <w:b/>
                <w:bCs/>
                <w:sz w:val="20"/>
              </w:rPr>
            </w:pPr>
            <w:r w:rsidRPr="0044099A">
              <w:rPr>
                <w:rFonts w:ascii="Arial" w:eastAsia="Times New Roman" w:hAnsi="Arial" w:cs="Arial"/>
                <w:b/>
                <w:bCs/>
                <w:sz w:val="20"/>
              </w:rPr>
              <w:t>Variable</w:t>
            </w:r>
          </w:p>
        </w:tc>
        <w:tc>
          <w:tcPr>
            <w:tcW w:w="1209" w:type="pct"/>
            <w:tcBorders>
              <w:top w:val="single" w:sz="12" w:space="0" w:color="auto"/>
              <w:bottom w:val="single" w:sz="4" w:space="0" w:color="auto"/>
            </w:tcBorders>
          </w:tcPr>
          <w:p w14:paraId="631906F8" w14:textId="77777777" w:rsidR="0044099A" w:rsidRPr="0044099A" w:rsidRDefault="0044099A" w:rsidP="0044099A">
            <w:pPr>
              <w:pStyle w:val="Body"/>
              <w:spacing w:after="0"/>
              <w:rPr>
                <w:rFonts w:ascii="Arial" w:eastAsia="Times New Roman" w:hAnsi="Arial" w:cs="Arial"/>
                <w:b/>
                <w:bCs/>
                <w:sz w:val="20"/>
              </w:rPr>
            </w:pPr>
            <w:r w:rsidRPr="0044099A">
              <w:rPr>
                <w:rFonts w:ascii="Arial" w:eastAsia="Times New Roman" w:hAnsi="Arial" w:cs="Arial"/>
                <w:b/>
                <w:bCs/>
                <w:sz w:val="20"/>
              </w:rPr>
              <w:t>NTG n (%)</w:t>
            </w:r>
          </w:p>
        </w:tc>
        <w:tc>
          <w:tcPr>
            <w:tcW w:w="1209" w:type="pct"/>
            <w:tcBorders>
              <w:top w:val="single" w:sz="12" w:space="0" w:color="auto"/>
              <w:bottom w:val="single" w:sz="4" w:space="0" w:color="auto"/>
            </w:tcBorders>
          </w:tcPr>
          <w:p w14:paraId="522D54A0" w14:textId="77777777" w:rsidR="0044099A" w:rsidRPr="0044099A" w:rsidRDefault="0044099A" w:rsidP="0044099A">
            <w:pPr>
              <w:pStyle w:val="Body"/>
              <w:spacing w:after="0"/>
              <w:rPr>
                <w:rFonts w:ascii="Arial" w:eastAsia="Times New Roman" w:hAnsi="Arial" w:cs="Arial"/>
                <w:b/>
                <w:bCs/>
                <w:sz w:val="20"/>
              </w:rPr>
            </w:pPr>
            <w:r w:rsidRPr="0044099A">
              <w:rPr>
                <w:rFonts w:ascii="Arial" w:eastAsia="Times New Roman" w:hAnsi="Arial" w:cs="Arial"/>
                <w:b/>
                <w:bCs/>
                <w:sz w:val="20"/>
              </w:rPr>
              <w:t>HTG n (%)</w:t>
            </w:r>
          </w:p>
        </w:tc>
        <w:tc>
          <w:tcPr>
            <w:tcW w:w="1132" w:type="pct"/>
            <w:tcBorders>
              <w:top w:val="single" w:sz="12" w:space="0" w:color="auto"/>
              <w:bottom w:val="single" w:sz="4" w:space="0" w:color="auto"/>
            </w:tcBorders>
          </w:tcPr>
          <w:p w14:paraId="3014539F" w14:textId="77777777" w:rsidR="0044099A" w:rsidRPr="0044099A" w:rsidRDefault="0044099A" w:rsidP="0044099A">
            <w:pPr>
              <w:pStyle w:val="Body"/>
              <w:spacing w:after="0"/>
              <w:rPr>
                <w:rFonts w:ascii="Arial" w:eastAsia="Times New Roman" w:hAnsi="Arial" w:cs="Arial"/>
                <w:b/>
                <w:bCs/>
                <w:sz w:val="20"/>
              </w:rPr>
            </w:pPr>
            <w:r w:rsidRPr="0044099A">
              <w:rPr>
                <w:rFonts w:ascii="Arial" w:eastAsia="Times New Roman" w:hAnsi="Arial" w:cs="Arial"/>
                <w:b/>
                <w:bCs/>
                <w:sz w:val="20"/>
              </w:rPr>
              <w:t>Control n (%)</w:t>
            </w:r>
          </w:p>
        </w:tc>
      </w:tr>
      <w:tr w:rsidR="0044099A" w:rsidRPr="0044099A" w14:paraId="09E7D1EA" w14:textId="77777777" w:rsidTr="006C3430">
        <w:trPr>
          <w:jc w:val="center"/>
        </w:trPr>
        <w:tc>
          <w:tcPr>
            <w:tcW w:w="1450" w:type="pct"/>
            <w:tcBorders>
              <w:top w:val="single" w:sz="12" w:space="0" w:color="auto"/>
              <w:bottom w:val="single" w:sz="4" w:space="0" w:color="auto"/>
            </w:tcBorders>
          </w:tcPr>
          <w:p w14:paraId="1313FB27" w14:textId="77777777" w:rsidR="0044099A" w:rsidRPr="0044099A" w:rsidRDefault="0044099A" w:rsidP="0044099A">
            <w:pPr>
              <w:pStyle w:val="Body"/>
              <w:spacing w:after="0"/>
              <w:rPr>
                <w:rFonts w:ascii="Arial" w:eastAsia="Times New Roman" w:hAnsi="Arial" w:cs="Arial"/>
                <w:b/>
                <w:bCs/>
                <w:sz w:val="20"/>
              </w:rPr>
            </w:pPr>
            <w:r w:rsidRPr="0044099A">
              <w:rPr>
                <w:rFonts w:ascii="Arial" w:eastAsia="Times New Roman" w:hAnsi="Arial" w:cs="Arial"/>
                <w:i/>
                <w:iCs/>
                <w:sz w:val="20"/>
              </w:rPr>
              <w:t>Median (IQR)</w:t>
            </w:r>
          </w:p>
        </w:tc>
        <w:tc>
          <w:tcPr>
            <w:tcW w:w="1209" w:type="pct"/>
            <w:tcBorders>
              <w:top w:val="single" w:sz="12" w:space="0" w:color="auto"/>
              <w:bottom w:val="single" w:sz="4" w:space="0" w:color="auto"/>
            </w:tcBorders>
          </w:tcPr>
          <w:p w14:paraId="0096BFAB" w14:textId="77777777" w:rsidR="0044099A" w:rsidRPr="0044099A" w:rsidRDefault="0044099A" w:rsidP="0044099A">
            <w:pPr>
              <w:pStyle w:val="Body"/>
              <w:spacing w:after="0"/>
              <w:rPr>
                <w:rFonts w:ascii="Arial" w:eastAsia="Times New Roman" w:hAnsi="Arial" w:cs="Arial"/>
                <w:b/>
                <w:bCs/>
                <w:sz w:val="20"/>
              </w:rPr>
            </w:pPr>
            <w:r w:rsidRPr="0044099A">
              <w:rPr>
                <w:rFonts w:ascii="Arial" w:eastAsia="Times New Roman" w:hAnsi="Arial" w:cs="Arial"/>
                <w:i/>
                <w:iCs/>
                <w:sz w:val="20"/>
              </w:rPr>
              <w:t>61(52-70)</w:t>
            </w:r>
          </w:p>
        </w:tc>
        <w:tc>
          <w:tcPr>
            <w:tcW w:w="1209" w:type="pct"/>
            <w:tcBorders>
              <w:top w:val="single" w:sz="12" w:space="0" w:color="auto"/>
              <w:bottom w:val="single" w:sz="4" w:space="0" w:color="auto"/>
            </w:tcBorders>
          </w:tcPr>
          <w:p w14:paraId="3243B4F3" w14:textId="77777777" w:rsidR="0044099A" w:rsidRPr="0044099A" w:rsidRDefault="0044099A" w:rsidP="0044099A">
            <w:pPr>
              <w:pStyle w:val="Body"/>
              <w:spacing w:after="0"/>
              <w:rPr>
                <w:rFonts w:ascii="Arial" w:eastAsia="Times New Roman" w:hAnsi="Arial" w:cs="Arial"/>
                <w:b/>
                <w:bCs/>
                <w:sz w:val="20"/>
              </w:rPr>
            </w:pPr>
          </w:p>
        </w:tc>
        <w:tc>
          <w:tcPr>
            <w:tcW w:w="1132" w:type="pct"/>
            <w:tcBorders>
              <w:top w:val="single" w:sz="12" w:space="0" w:color="auto"/>
              <w:bottom w:val="single" w:sz="4" w:space="0" w:color="auto"/>
            </w:tcBorders>
          </w:tcPr>
          <w:p w14:paraId="6A81A019" w14:textId="77777777" w:rsidR="0044099A" w:rsidRPr="0044099A" w:rsidRDefault="0044099A" w:rsidP="0044099A">
            <w:pPr>
              <w:pStyle w:val="Body"/>
              <w:spacing w:after="0"/>
              <w:rPr>
                <w:rFonts w:ascii="Arial" w:eastAsia="Times New Roman" w:hAnsi="Arial" w:cs="Arial"/>
                <w:b/>
                <w:bCs/>
                <w:sz w:val="20"/>
              </w:rPr>
            </w:pPr>
          </w:p>
        </w:tc>
      </w:tr>
      <w:tr w:rsidR="0044099A" w:rsidRPr="0044099A" w14:paraId="25A00C79" w14:textId="77777777" w:rsidTr="006C3430">
        <w:trPr>
          <w:jc w:val="center"/>
        </w:trPr>
        <w:tc>
          <w:tcPr>
            <w:tcW w:w="1450" w:type="pct"/>
            <w:tcBorders>
              <w:top w:val="single" w:sz="4" w:space="0" w:color="auto"/>
            </w:tcBorders>
          </w:tcPr>
          <w:p w14:paraId="1D6CAC51" w14:textId="77777777" w:rsidR="0044099A" w:rsidRPr="0044099A" w:rsidRDefault="0044099A" w:rsidP="0044099A">
            <w:pPr>
              <w:pStyle w:val="Body"/>
              <w:spacing w:after="0"/>
              <w:rPr>
                <w:rFonts w:ascii="Arial" w:eastAsia="Times New Roman" w:hAnsi="Arial" w:cs="Arial"/>
                <w:b/>
                <w:bCs/>
                <w:sz w:val="20"/>
              </w:rPr>
            </w:pPr>
            <w:r w:rsidRPr="0044099A">
              <w:rPr>
                <w:rFonts w:ascii="Arial" w:eastAsia="Times New Roman" w:hAnsi="Arial" w:cs="Arial"/>
                <w:b/>
                <w:bCs/>
                <w:sz w:val="20"/>
              </w:rPr>
              <w:t>Age in years</w:t>
            </w:r>
          </w:p>
        </w:tc>
        <w:tc>
          <w:tcPr>
            <w:tcW w:w="1209" w:type="pct"/>
            <w:tcBorders>
              <w:top w:val="single" w:sz="4" w:space="0" w:color="auto"/>
            </w:tcBorders>
          </w:tcPr>
          <w:p w14:paraId="6D1B5CA4" w14:textId="77777777" w:rsidR="0044099A" w:rsidRPr="0044099A" w:rsidRDefault="0044099A" w:rsidP="0044099A">
            <w:pPr>
              <w:pStyle w:val="Body"/>
              <w:spacing w:after="0"/>
              <w:rPr>
                <w:rFonts w:ascii="Arial" w:eastAsia="Times New Roman" w:hAnsi="Arial" w:cs="Arial"/>
                <w:sz w:val="20"/>
              </w:rPr>
            </w:pPr>
          </w:p>
        </w:tc>
        <w:tc>
          <w:tcPr>
            <w:tcW w:w="1209" w:type="pct"/>
            <w:tcBorders>
              <w:top w:val="single" w:sz="4" w:space="0" w:color="auto"/>
            </w:tcBorders>
          </w:tcPr>
          <w:p w14:paraId="4DBDE8C7" w14:textId="77777777" w:rsidR="0044099A" w:rsidRPr="0044099A" w:rsidRDefault="0044099A" w:rsidP="0044099A">
            <w:pPr>
              <w:pStyle w:val="Body"/>
              <w:spacing w:after="0"/>
              <w:rPr>
                <w:rFonts w:ascii="Arial" w:eastAsia="Times New Roman" w:hAnsi="Arial" w:cs="Arial"/>
                <w:sz w:val="20"/>
              </w:rPr>
            </w:pPr>
          </w:p>
        </w:tc>
        <w:tc>
          <w:tcPr>
            <w:tcW w:w="1132" w:type="pct"/>
            <w:tcBorders>
              <w:top w:val="single" w:sz="4" w:space="0" w:color="auto"/>
            </w:tcBorders>
          </w:tcPr>
          <w:p w14:paraId="0997F509" w14:textId="77777777" w:rsidR="0044099A" w:rsidRPr="0044099A" w:rsidRDefault="0044099A" w:rsidP="0044099A">
            <w:pPr>
              <w:pStyle w:val="Body"/>
              <w:spacing w:after="0"/>
              <w:rPr>
                <w:rFonts w:ascii="Arial" w:eastAsia="Times New Roman" w:hAnsi="Arial" w:cs="Arial"/>
                <w:sz w:val="20"/>
              </w:rPr>
            </w:pPr>
          </w:p>
        </w:tc>
      </w:tr>
      <w:tr w:rsidR="0044099A" w:rsidRPr="0044099A" w14:paraId="44A8816B" w14:textId="77777777" w:rsidTr="006C3430">
        <w:trPr>
          <w:jc w:val="center"/>
        </w:trPr>
        <w:tc>
          <w:tcPr>
            <w:tcW w:w="1450" w:type="pct"/>
          </w:tcPr>
          <w:p w14:paraId="080B4C43"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40–64</w:t>
            </w:r>
          </w:p>
        </w:tc>
        <w:tc>
          <w:tcPr>
            <w:tcW w:w="1209" w:type="pct"/>
          </w:tcPr>
          <w:p w14:paraId="347952B3"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17 (56.7)</w:t>
            </w:r>
          </w:p>
        </w:tc>
        <w:tc>
          <w:tcPr>
            <w:tcW w:w="1209" w:type="pct"/>
          </w:tcPr>
          <w:p w14:paraId="2D6664E3"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27 (45.8)</w:t>
            </w:r>
          </w:p>
        </w:tc>
        <w:tc>
          <w:tcPr>
            <w:tcW w:w="1132" w:type="pct"/>
          </w:tcPr>
          <w:p w14:paraId="4C39135C"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61 (67.8)</w:t>
            </w:r>
          </w:p>
        </w:tc>
      </w:tr>
      <w:tr w:rsidR="0044099A" w:rsidRPr="0044099A" w14:paraId="50545225" w14:textId="77777777" w:rsidTr="006C3430">
        <w:trPr>
          <w:jc w:val="center"/>
        </w:trPr>
        <w:tc>
          <w:tcPr>
            <w:tcW w:w="1450" w:type="pct"/>
          </w:tcPr>
          <w:p w14:paraId="0F79CD47"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 65</w:t>
            </w:r>
          </w:p>
        </w:tc>
        <w:tc>
          <w:tcPr>
            <w:tcW w:w="1209" w:type="pct"/>
          </w:tcPr>
          <w:p w14:paraId="4EC4C361"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13 (43.3)</w:t>
            </w:r>
          </w:p>
        </w:tc>
        <w:tc>
          <w:tcPr>
            <w:tcW w:w="1209" w:type="pct"/>
          </w:tcPr>
          <w:p w14:paraId="6D884EFB"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32 (54.2)</w:t>
            </w:r>
          </w:p>
        </w:tc>
        <w:tc>
          <w:tcPr>
            <w:tcW w:w="1132" w:type="pct"/>
          </w:tcPr>
          <w:p w14:paraId="214ADEDC"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29 (32.2)</w:t>
            </w:r>
          </w:p>
        </w:tc>
      </w:tr>
      <w:tr w:rsidR="0044099A" w:rsidRPr="0044099A" w14:paraId="3484D580" w14:textId="77777777" w:rsidTr="006C3430">
        <w:trPr>
          <w:jc w:val="center"/>
        </w:trPr>
        <w:tc>
          <w:tcPr>
            <w:tcW w:w="1450" w:type="pct"/>
          </w:tcPr>
          <w:p w14:paraId="4DE0466F" w14:textId="77777777" w:rsidR="0044099A" w:rsidRPr="0044099A" w:rsidRDefault="0044099A" w:rsidP="0044099A">
            <w:pPr>
              <w:pStyle w:val="Body"/>
              <w:spacing w:after="0"/>
              <w:rPr>
                <w:rFonts w:ascii="Arial" w:eastAsia="Times New Roman" w:hAnsi="Arial" w:cs="Arial"/>
                <w:b/>
                <w:bCs/>
                <w:sz w:val="20"/>
              </w:rPr>
            </w:pPr>
            <w:r w:rsidRPr="0044099A">
              <w:rPr>
                <w:rFonts w:ascii="Arial" w:eastAsia="Times New Roman" w:hAnsi="Arial" w:cs="Arial"/>
                <w:b/>
                <w:bCs/>
                <w:sz w:val="20"/>
              </w:rPr>
              <w:t>Sex</w:t>
            </w:r>
          </w:p>
        </w:tc>
        <w:tc>
          <w:tcPr>
            <w:tcW w:w="1209" w:type="pct"/>
          </w:tcPr>
          <w:p w14:paraId="2FFAE6DE" w14:textId="77777777" w:rsidR="0044099A" w:rsidRPr="0044099A" w:rsidRDefault="0044099A" w:rsidP="0044099A">
            <w:pPr>
              <w:pStyle w:val="Body"/>
              <w:spacing w:after="0"/>
              <w:rPr>
                <w:rFonts w:ascii="Arial" w:eastAsia="Times New Roman" w:hAnsi="Arial" w:cs="Arial"/>
                <w:sz w:val="20"/>
              </w:rPr>
            </w:pPr>
          </w:p>
        </w:tc>
        <w:tc>
          <w:tcPr>
            <w:tcW w:w="1209" w:type="pct"/>
          </w:tcPr>
          <w:p w14:paraId="4777A49F" w14:textId="77777777" w:rsidR="0044099A" w:rsidRPr="0044099A" w:rsidRDefault="0044099A" w:rsidP="0044099A">
            <w:pPr>
              <w:pStyle w:val="Body"/>
              <w:spacing w:after="0"/>
              <w:rPr>
                <w:rFonts w:ascii="Arial" w:eastAsia="Times New Roman" w:hAnsi="Arial" w:cs="Arial"/>
                <w:sz w:val="20"/>
              </w:rPr>
            </w:pPr>
          </w:p>
        </w:tc>
        <w:tc>
          <w:tcPr>
            <w:tcW w:w="1132" w:type="pct"/>
          </w:tcPr>
          <w:p w14:paraId="53F336A9" w14:textId="77777777" w:rsidR="0044099A" w:rsidRPr="0044099A" w:rsidRDefault="0044099A" w:rsidP="0044099A">
            <w:pPr>
              <w:pStyle w:val="Body"/>
              <w:spacing w:after="0"/>
              <w:rPr>
                <w:rFonts w:ascii="Arial" w:eastAsia="Times New Roman" w:hAnsi="Arial" w:cs="Arial"/>
                <w:sz w:val="20"/>
              </w:rPr>
            </w:pPr>
          </w:p>
        </w:tc>
      </w:tr>
      <w:tr w:rsidR="0044099A" w:rsidRPr="0044099A" w14:paraId="1F10D99B" w14:textId="77777777" w:rsidTr="006C3430">
        <w:trPr>
          <w:jc w:val="center"/>
        </w:trPr>
        <w:tc>
          <w:tcPr>
            <w:tcW w:w="1450" w:type="pct"/>
          </w:tcPr>
          <w:p w14:paraId="66FF5CC0"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Male</w:t>
            </w:r>
          </w:p>
        </w:tc>
        <w:tc>
          <w:tcPr>
            <w:tcW w:w="1209" w:type="pct"/>
          </w:tcPr>
          <w:p w14:paraId="6D961600"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13 (43.3)</w:t>
            </w:r>
          </w:p>
        </w:tc>
        <w:tc>
          <w:tcPr>
            <w:tcW w:w="1209" w:type="pct"/>
          </w:tcPr>
          <w:p w14:paraId="31D6FF8D"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29 (49.2)</w:t>
            </w:r>
          </w:p>
        </w:tc>
        <w:tc>
          <w:tcPr>
            <w:tcW w:w="1132" w:type="pct"/>
          </w:tcPr>
          <w:p w14:paraId="2016A050"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43 (47.8)</w:t>
            </w:r>
          </w:p>
        </w:tc>
      </w:tr>
      <w:tr w:rsidR="0044099A" w:rsidRPr="0044099A" w14:paraId="7933FC70" w14:textId="77777777" w:rsidTr="006C3430">
        <w:trPr>
          <w:jc w:val="center"/>
        </w:trPr>
        <w:tc>
          <w:tcPr>
            <w:tcW w:w="1450" w:type="pct"/>
          </w:tcPr>
          <w:p w14:paraId="6478E028"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Female</w:t>
            </w:r>
          </w:p>
        </w:tc>
        <w:tc>
          <w:tcPr>
            <w:tcW w:w="1209" w:type="pct"/>
          </w:tcPr>
          <w:p w14:paraId="0C3C3800"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17 (56.7)</w:t>
            </w:r>
          </w:p>
        </w:tc>
        <w:tc>
          <w:tcPr>
            <w:tcW w:w="1209" w:type="pct"/>
          </w:tcPr>
          <w:p w14:paraId="7D3D06D4"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30 (50.8)</w:t>
            </w:r>
          </w:p>
        </w:tc>
        <w:tc>
          <w:tcPr>
            <w:tcW w:w="1132" w:type="pct"/>
          </w:tcPr>
          <w:p w14:paraId="293BE103"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47 (52.2)</w:t>
            </w:r>
          </w:p>
        </w:tc>
      </w:tr>
      <w:tr w:rsidR="0044099A" w:rsidRPr="0044099A" w14:paraId="164F4355" w14:textId="77777777" w:rsidTr="006C3430">
        <w:trPr>
          <w:jc w:val="center"/>
        </w:trPr>
        <w:tc>
          <w:tcPr>
            <w:tcW w:w="1450" w:type="pct"/>
          </w:tcPr>
          <w:p w14:paraId="5A685869" w14:textId="77777777" w:rsidR="0044099A" w:rsidRPr="0044099A" w:rsidRDefault="0044099A" w:rsidP="0044099A">
            <w:pPr>
              <w:pStyle w:val="Body"/>
              <w:spacing w:after="0"/>
              <w:rPr>
                <w:rFonts w:ascii="Arial" w:eastAsia="Times New Roman" w:hAnsi="Arial" w:cs="Arial"/>
                <w:b/>
                <w:bCs/>
                <w:sz w:val="20"/>
              </w:rPr>
            </w:pPr>
            <w:r w:rsidRPr="0044099A">
              <w:rPr>
                <w:rFonts w:ascii="Arial" w:eastAsia="Times New Roman" w:hAnsi="Arial" w:cs="Arial"/>
                <w:b/>
                <w:bCs/>
                <w:sz w:val="20"/>
              </w:rPr>
              <w:t>Occupation</w:t>
            </w:r>
          </w:p>
        </w:tc>
        <w:tc>
          <w:tcPr>
            <w:tcW w:w="1209" w:type="pct"/>
          </w:tcPr>
          <w:p w14:paraId="70149A92" w14:textId="77777777" w:rsidR="0044099A" w:rsidRPr="0044099A" w:rsidRDefault="0044099A" w:rsidP="0044099A">
            <w:pPr>
              <w:pStyle w:val="Body"/>
              <w:spacing w:after="0"/>
              <w:rPr>
                <w:rFonts w:ascii="Arial" w:eastAsia="Times New Roman" w:hAnsi="Arial" w:cs="Arial"/>
                <w:sz w:val="20"/>
              </w:rPr>
            </w:pPr>
          </w:p>
        </w:tc>
        <w:tc>
          <w:tcPr>
            <w:tcW w:w="1209" w:type="pct"/>
          </w:tcPr>
          <w:p w14:paraId="617AB87E" w14:textId="77777777" w:rsidR="0044099A" w:rsidRPr="0044099A" w:rsidRDefault="0044099A" w:rsidP="0044099A">
            <w:pPr>
              <w:pStyle w:val="Body"/>
              <w:spacing w:after="0"/>
              <w:rPr>
                <w:rFonts w:ascii="Arial" w:eastAsia="Times New Roman" w:hAnsi="Arial" w:cs="Arial"/>
                <w:sz w:val="20"/>
              </w:rPr>
            </w:pPr>
          </w:p>
        </w:tc>
        <w:tc>
          <w:tcPr>
            <w:tcW w:w="1132" w:type="pct"/>
          </w:tcPr>
          <w:p w14:paraId="3C049184" w14:textId="77777777" w:rsidR="0044099A" w:rsidRPr="0044099A" w:rsidRDefault="0044099A" w:rsidP="0044099A">
            <w:pPr>
              <w:pStyle w:val="Body"/>
              <w:spacing w:after="0"/>
              <w:rPr>
                <w:rFonts w:ascii="Arial" w:eastAsia="Times New Roman" w:hAnsi="Arial" w:cs="Arial"/>
                <w:sz w:val="20"/>
              </w:rPr>
            </w:pPr>
          </w:p>
        </w:tc>
      </w:tr>
      <w:tr w:rsidR="0044099A" w:rsidRPr="0044099A" w14:paraId="1680FE41" w14:textId="77777777" w:rsidTr="006C3430">
        <w:trPr>
          <w:jc w:val="center"/>
        </w:trPr>
        <w:tc>
          <w:tcPr>
            <w:tcW w:w="1450" w:type="pct"/>
          </w:tcPr>
          <w:p w14:paraId="79D6C734"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Peasant</w:t>
            </w:r>
          </w:p>
        </w:tc>
        <w:tc>
          <w:tcPr>
            <w:tcW w:w="1209" w:type="pct"/>
          </w:tcPr>
          <w:p w14:paraId="3FA4FFFD"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18 (60.0)</w:t>
            </w:r>
          </w:p>
        </w:tc>
        <w:tc>
          <w:tcPr>
            <w:tcW w:w="1209" w:type="pct"/>
          </w:tcPr>
          <w:p w14:paraId="37FD6E8B"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43 (72.9)</w:t>
            </w:r>
          </w:p>
        </w:tc>
        <w:tc>
          <w:tcPr>
            <w:tcW w:w="1132" w:type="pct"/>
          </w:tcPr>
          <w:p w14:paraId="108697FA"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47 (52.2)</w:t>
            </w:r>
          </w:p>
        </w:tc>
      </w:tr>
      <w:tr w:rsidR="0044099A" w:rsidRPr="0044099A" w14:paraId="3113850D" w14:textId="77777777" w:rsidTr="006C3430">
        <w:trPr>
          <w:jc w:val="center"/>
        </w:trPr>
        <w:tc>
          <w:tcPr>
            <w:tcW w:w="1450" w:type="pct"/>
          </w:tcPr>
          <w:p w14:paraId="6DA6D26F"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Employed</w:t>
            </w:r>
          </w:p>
        </w:tc>
        <w:tc>
          <w:tcPr>
            <w:tcW w:w="1209" w:type="pct"/>
          </w:tcPr>
          <w:p w14:paraId="33E3EFD3"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6 (20.0)</w:t>
            </w:r>
          </w:p>
        </w:tc>
        <w:tc>
          <w:tcPr>
            <w:tcW w:w="1209" w:type="pct"/>
          </w:tcPr>
          <w:p w14:paraId="4A744319"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9 (15.2)</w:t>
            </w:r>
          </w:p>
        </w:tc>
        <w:tc>
          <w:tcPr>
            <w:tcW w:w="1132" w:type="pct"/>
          </w:tcPr>
          <w:p w14:paraId="693F00ED"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18 (20.0)</w:t>
            </w:r>
          </w:p>
        </w:tc>
      </w:tr>
      <w:tr w:rsidR="0044099A" w:rsidRPr="0044099A" w14:paraId="6EEA995A" w14:textId="77777777" w:rsidTr="006C3430">
        <w:trPr>
          <w:jc w:val="center"/>
        </w:trPr>
        <w:tc>
          <w:tcPr>
            <w:tcW w:w="1450" w:type="pct"/>
          </w:tcPr>
          <w:p w14:paraId="54E40E5A"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Self employed</w:t>
            </w:r>
          </w:p>
        </w:tc>
        <w:tc>
          <w:tcPr>
            <w:tcW w:w="1209" w:type="pct"/>
          </w:tcPr>
          <w:p w14:paraId="4C07693D"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6 (20.0)</w:t>
            </w:r>
          </w:p>
        </w:tc>
        <w:tc>
          <w:tcPr>
            <w:tcW w:w="1209" w:type="pct"/>
          </w:tcPr>
          <w:p w14:paraId="535D1B21"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7 (11.9)</w:t>
            </w:r>
          </w:p>
        </w:tc>
        <w:tc>
          <w:tcPr>
            <w:tcW w:w="1132" w:type="pct"/>
          </w:tcPr>
          <w:p w14:paraId="35E6B641"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25 (27.8)</w:t>
            </w:r>
          </w:p>
        </w:tc>
      </w:tr>
      <w:tr w:rsidR="0044099A" w:rsidRPr="0044099A" w14:paraId="283F6FAF" w14:textId="77777777" w:rsidTr="006C3430">
        <w:trPr>
          <w:jc w:val="center"/>
        </w:trPr>
        <w:tc>
          <w:tcPr>
            <w:tcW w:w="1450" w:type="pct"/>
          </w:tcPr>
          <w:p w14:paraId="390A054F" w14:textId="77777777" w:rsidR="0044099A" w:rsidRPr="0044099A" w:rsidRDefault="0044099A" w:rsidP="0044099A">
            <w:pPr>
              <w:pStyle w:val="Body"/>
              <w:spacing w:after="0"/>
              <w:rPr>
                <w:rFonts w:ascii="Arial" w:eastAsia="Times New Roman" w:hAnsi="Arial" w:cs="Arial"/>
                <w:b/>
                <w:bCs/>
                <w:sz w:val="20"/>
              </w:rPr>
            </w:pPr>
            <w:r w:rsidRPr="0044099A">
              <w:rPr>
                <w:rFonts w:ascii="Arial" w:eastAsia="Times New Roman" w:hAnsi="Arial" w:cs="Arial"/>
                <w:b/>
                <w:bCs/>
                <w:sz w:val="20"/>
              </w:rPr>
              <w:t>Education level</w:t>
            </w:r>
          </w:p>
        </w:tc>
        <w:tc>
          <w:tcPr>
            <w:tcW w:w="1209" w:type="pct"/>
          </w:tcPr>
          <w:p w14:paraId="507A8C07" w14:textId="77777777" w:rsidR="0044099A" w:rsidRPr="0044099A" w:rsidRDefault="0044099A" w:rsidP="0044099A">
            <w:pPr>
              <w:pStyle w:val="Body"/>
              <w:spacing w:after="0"/>
              <w:rPr>
                <w:rFonts w:ascii="Arial" w:eastAsia="Times New Roman" w:hAnsi="Arial" w:cs="Arial"/>
                <w:sz w:val="20"/>
              </w:rPr>
            </w:pPr>
          </w:p>
        </w:tc>
        <w:tc>
          <w:tcPr>
            <w:tcW w:w="1209" w:type="pct"/>
          </w:tcPr>
          <w:p w14:paraId="085ACAB4" w14:textId="77777777" w:rsidR="0044099A" w:rsidRPr="0044099A" w:rsidRDefault="0044099A" w:rsidP="0044099A">
            <w:pPr>
              <w:pStyle w:val="Body"/>
              <w:spacing w:after="0"/>
              <w:rPr>
                <w:rFonts w:ascii="Arial" w:eastAsia="Times New Roman" w:hAnsi="Arial" w:cs="Arial"/>
                <w:sz w:val="20"/>
              </w:rPr>
            </w:pPr>
          </w:p>
        </w:tc>
        <w:tc>
          <w:tcPr>
            <w:tcW w:w="1132" w:type="pct"/>
          </w:tcPr>
          <w:p w14:paraId="1E1F0CEC" w14:textId="77777777" w:rsidR="0044099A" w:rsidRPr="0044099A" w:rsidRDefault="0044099A" w:rsidP="0044099A">
            <w:pPr>
              <w:pStyle w:val="Body"/>
              <w:spacing w:after="0"/>
              <w:rPr>
                <w:rFonts w:ascii="Arial" w:eastAsia="Times New Roman" w:hAnsi="Arial" w:cs="Arial"/>
                <w:sz w:val="20"/>
              </w:rPr>
            </w:pPr>
          </w:p>
        </w:tc>
      </w:tr>
      <w:tr w:rsidR="0044099A" w:rsidRPr="0044099A" w14:paraId="7A2A57E8" w14:textId="77777777" w:rsidTr="006C3430">
        <w:trPr>
          <w:jc w:val="center"/>
        </w:trPr>
        <w:tc>
          <w:tcPr>
            <w:tcW w:w="1450" w:type="pct"/>
          </w:tcPr>
          <w:p w14:paraId="24AC5E06" w14:textId="77777777" w:rsidR="0044099A" w:rsidRPr="0044099A" w:rsidRDefault="0044099A" w:rsidP="0044099A">
            <w:pPr>
              <w:pStyle w:val="Body"/>
              <w:spacing w:after="0"/>
              <w:rPr>
                <w:rFonts w:ascii="Arial" w:eastAsia="Times New Roman" w:hAnsi="Arial" w:cs="Arial"/>
                <w:sz w:val="20"/>
              </w:rPr>
            </w:pPr>
            <w:proofErr w:type="gramStart"/>
            <w:r w:rsidRPr="0044099A">
              <w:rPr>
                <w:rFonts w:ascii="Arial" w:eastAsia="Times New Roman" w:hAnsi="Arial" w:cs="Arial"/>
                <w:sz w:val="20"/>
              </w:rPr>
              <w:t>Non formal</w:t>
            </w:r>
            <w:proofErr w:type="gramEnd"/>
          </w:p>
        </w:tc>
        <w:tc>
          <w:tcPr>
            <w:tcW w:w="1209" w:type="pct"/>
          </w:tcPr>
          <w:p w14:paraId="039FD0AB"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5 (16.7)</w:t>
            </w:r>
          </w:p>
        </w:tc>
        <w:tc>
          <w:tcPr>
            <w:tcW w:w="1209" w:type="pct"/>
          </w:tcPr>
          <w:p w14:paraId="2514E459"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12 (20.3)</w:t>
            </w:r>
          </w:p>
        </w:tc>
        <w:tc>
          <w:tcPr>
            <w:tcW w:w="1132" w:type="pct"/>
          </w:tcPr>
          <w:p w14:paraId="2D88F4F6"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6 (6.7)</w:t>
            </w:r>
          </w:p>
        </w:tc>
      </w:tr>
      <w:tr w:rsidR="0044099A" w:rsidRPr="0044099A" w14:paraId="19987199" w14:textId="77777777" w:rsidTr="006C3430">
        <w:trPr>
          <w:jc w:val="center"/>
        </w:trPr>
        <w:tc>
          <w:tcPr>
            <w:tcW w:w="1450" w:type="pct"/>
          </w:tcPr>
          <w:p w14:paraId="457B579E"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Primary</w:t>
            </w:r>
          </w:p>
        </w:tc>
        <w:tc>
          <w:tcPr>
            <w:tcW w:w="1209" w:type="pct"/>
          </w:tcPr>
          <w:p w14:paraId="27DD1773"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15 (49.9)</w:t>
            </w:r>
          </w:p>
        </w:tc>
        <w:tc>
          <w:tcPr>
            <w:tcW w:w="1209" w:type="pct"/>
          </w:tcPr>
          <w:p w14:paraId="67D96274"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28 (47.5)</w:t>
            </w:r>
          </w:p>
        </w:tc>
        <w:tc>
          <w:tcPr>
            <w:tcW w:w="1132" w:type="pct"/>
          </w:tcPr>
          <w:p w14:paraId="19A2E784"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40 (44.4)</w:t>
            </w:r>
          </w:p>
        </w:tc>
      </w:tr>
      <w:tr w:rsidR="0044099A" w:rsidRPr="0044099A" w14:paraId="2AF481E7" w14:textId="77777777" w:rsidTr="006C3430">
        <w:trPr>
          <w:jc w:val="center"/>
        </w:trPr>
        <w:tc>
          <w:tcPr>
            <w:tcW w:w="1450" w:type="pct"/>
          </w:tcPr>
          <w:p w14:paraId="084AA85E"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Secondary</w:t>
            </w:r>
          </w:p>
        </w:tc>
        <w:tc>
          <w:tcPr>
            <w:tcW w:w="1209" w:type="pct"/>
          </w:tcPr>
          <w:p w14:paraId="3329D0F3"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5 (16.7)</w:t>
            </w:r>
          </w:p>
        </w:tc>
        <w:tc>
          <w:tcPr>
            <w:tcW w:w="1209" w:type="pct"/>
          </w:tcPr>
          <w:p w14:paraId="6641D9F5"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 (1.7)</w:t>
            </w:r>
          </w:p>
        </w:tc>
        <w:tc>
          <w:tcPr>
            <w:tcW w:w="1132" w:type="pct"/>
          </w:tcPr>
          <w:p w14:paraId="07538A7D"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7 (7.8)</w:t>
            </w:r>
          </w:p>
        </w:tc>
      </w:tr>
      <w:tr w:rsidR="0044099A" w:rsidRPr="0044099A" w14:paraId="4B4BADE6" w14:textId="77777777" w:rsidTr="006C3430">
        <w:trPr>
          <w:jc w:val="center"/>
        </w:trPr>
        <w:tc>
          <w:tcPr>
            <w:tcW w:w="1450" w:type="pct"/>
          </w:tcPr>
          <w:p w14:paraId="01284002"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University</w:t>
            </w:r>
          </w:p>
        </w:tc>
        <w:tc>
          <w:tcPr>
            <w:tcW w:w="1209" w:type="pct"/>
          </w:tcPr>
          <w:p w14:paraId="002C2BFA"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5 (16.7)</w:t>
            </w:r>
          </w:p>
        </w:tc>
        <w:tc>
          <w:tcPr>
            <w:tcW w:w="1209" w:type="pct"/>
          </w:tcPr>
          <w:p w14:paraId="399FBF7B"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18 (30.5)</w:t>
            </w:r>
          </w:p>
        </w:tc>
        <w:tc>
          <w:tcPr>
            <w:tcW w:w="1132" w:type="pct"/>
          </w:tcPr>
          <w:p w14:paraId="4081B6B9"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37 (41.1)</w:t>
            </w:r>
          </w:p>
        </w:tc>
      </w:tr>
      <w:tr w:rsidR="0044099A" w:rsidRPr="0044099A" w14:paraId="29D4B30C" w14:textId="77777777" w:rsidTr="006C3430">
        <w:trPr>
          <w:jc w:val="center"/>
        </w:trPr>
        <w:tc>
          <w:tcPr>
            <w:tcW w:w="1450" w:type="pct"/>
          </w:tcPr>
          <w:p w14:paraId="315B3077" w14:textId="77777777" w:rsidR="0044099A" w:rsidRPr="0044099A" w:rsidRDefault="0044099A" w:rsidP="0044099A">
            <w:pPr>
              <w:pStyle w:val="Body"/>
              <w:spacing w:after="0"/>
              <w:rPr>
                <w:rFonts w:ascii="Arial" w:eastAsia="Times New Roman" w:hAnsi="Arial" w:cs="Arial"/>
                <w:b/>
                <w:bCs/>
                <w:sz w:val="20"/>
              </w:rPr>
            </w:pPr>
            <w:r w:rsidRPr="0044099A">
              <w:rPr>
                <w:rFonts w:ascii="Arial" w:eastAsia="Times New Roman" w:hAnsi="Arial" w:cs="Arial"/>
                <w:b/>
                <w:bCs/>
                <w:sz w:val="20"/>
              </w:rPr>
              <w:t>Smoking status</w:t>
            </w:r>
          </w:p>
        </w:tc>
        <w:tc>
          <w:tcPr>
            <w:tcW w:w="1209" w:type="pct"/>
          </w:tcPr>
          <w:p w14:paraId="125F0BE4" w14:textId="77777777" w:rsidR="0044099A" w:rsidRPr="0044099A" w:rsidRDefault="0044099A" w:rsidP="0044099A">
            <w:pPr>
              <w:pStyle w:val="Body"/>
              <w:spacing w:after="0"/>
              <w:rPr>
                <w:rFonts w:ascii="Arial" w:eastAsia="Times New Roman" w:hAnsi="Arial" w:cs="Arial"/>
                <w:sz w:val="20"/>
              </w:rPr>
            </w:pPr>
          </w:p>
        </w:tc>
        <w:tc>
          <w:tcPr>
            <w:tcW w:w="1209" w:type="pct"/>
          </w:tcPr>
          <w:p w14:paraId="6357E851" w14:textId="77777777" w:rsidR="0044099A" w:rsidRPr="0044099A" w:rsidRDefault="0044099A" w:rsidP="0044099A">
            <w:pPr>
              <w:pStyle w:val="Body"/>
              <w:spacing w:after="0"/>
              <w:rPr>
                <w:rFonts w:ascii="Arial" w:eastAsia="Times New Roman" w:hAnsi="Arial" w:cs="Arial"/>
                <w:sz w:val="20"/>
              </w:rPr>
            </w:pPr>
          </w:p>
        </w:tc>
        <w:tc>
          <w:tcPr>
            <w:tcW w:w="1132" w:type="pct"/>
          </w:tcPr>
          <w:p w14:paraId="3E7857FF" w14:textId="77777777" w:rsidR="0044099A" w:rsidRPr="0044099A" w:rsidRDefault="0044099A" w:rsidP="0044099A">
            <w:pPr>
              <w:pStyle w:val="Body"/>
              <w:spacing w:after="0"/>
              <w:rPr>
                <w:rFonts w:ascii="Arial" w:eastAsia="Times New Roman" w:hAnsi="Arial" w:cs="Arial"/>
                <w:sz w:val="20"/>
              </w:rPr>
            </w:pPr>
          </w:p>
        </w:tc>
      </w:tr>
      <w:tr w:rsidR="0044099A" w:rsidRPr="0044099A" w14:paraId="5C70B280" w14:textId="77777777" w:rsidTr="006C3430">
        <w:trPr>
          <w:jc w:val="center"/>
        </w:trPr>
        <w:tc>
          <w:tcPr>
            <w:tcW w:w="1450" w:type="pct"/>
          </w:tcPr>
          <w:p w14:paraId="5FE58BEE"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Yes</w:t>
            </w:r>
          </w:p>
        </w:tc>
        <w:tc>
          <w:tcPr>
            <w:tcW w:w="1209" w:type="pct"/>
          </w:tcPr>
          <w:p w14:paraId="043608A0"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6 (20.0)</w:t>
            </w:r>
          </w:p>
        </w:tc>
        <w:tc>
          <w:tcPr>
            <w:tcW w:w="1209" w:type="pct"/>
          </w:tcPr>
          <w:p w14:paraId="27F58977"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6 (10.2)</w:t>
            </w:r>
          </w:p>
        </w:tc>
        <w:tc>
          <w:tcPr>
            <w:tcW w:w="1132" w:type="pct"/>
          </w:tcPr>
          <w:p w14:paraId="11A75B92"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9 (10.0)</w:t>
            </w:r>
          </w:p>
        </w:tc>
      </w:tr>
      <w:tr w:rsidR="0044099A" w:rsidRPr="0044099A" w14:paraId="61548B7F" w14:textId="77777777" w:rsidTr="006C3430">
        <w:trPr>
          <w:jc w:val="center"/>
        </w:trPr>
        <w:tc>
          <w:tcPr>
            <w:tcW w:w="1450" w:type="pct"/>
          </w:tcPr>
          <w:p w14:paraId="6A7CB6C2"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No</w:t>
            </w:r>
          </w:p>
        </w:tc>
        <w:tc>
          <w:tcPr>
            <w:tcW w:w="1209" w:type="pct"/>
          </w:tcPr>
          <w:p w14:paraId="4D7C1DA6"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24 (80.0)</w:t>
            </w:r>
          </w:p>
        </w:tc>
        <w:tc>
          <w:tcPr>
            <w:tcW w:w="1209" w:type="pct"/>
          </w:tcPr>
          <w:p w14:paraId="2D8A35BC"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53 (89.8)</w:t>
            </w:r>
          </w:p>
        </w:tc>
        <w:tc>
          <w:tcPr>
            <w:tcW w:w="1132" w:type="pct"/>
          </w:tcPr>
          <w:p w14:paraId="2A3C2B44"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81 (90.0)</w:t>
            </w:r>
          </w:p>
        </w:tc>
      </w:tr>
      <w:tr w:rsidR="0044099A" w:rsidRPr="0044099A" w14:paraId="448A315B" w14:textId="77777777" w:rsidTr="006C3430">
        <w:trPr>
          <w:jc w:val="center"/>
        </w:trPr>
        <w:tc>
          <w:tcPr>
            <w:tcW w:w="1450" w:type="pct"/>
          </w:tcPr>
          <w:p w14:paraId="03785F08" w14:textId="77777777" w:rsidR="0044099A" w:rsidRPr="0044099A" w:rsidRDefault="0044099A" w:rsidP="0044099A">
            <w:pPr>
              <w:pStyle w:val="Body"/>
              <w:spacing w:after="0"/>
              <w:rPr>
                <w:rFonts w:ascii="Arial" w:eastAsia="Times New Roman" w:hAnsi="Arial" w:cs="Arial"/>
                <w:b/>
                <w:bCs/>
                <w:sz w:val="20"/>
              </w:rPr>
            </w:pPr>
            <w:r w:rsidRPr="0044099A">
              <w:rPr>
                <w:rFonts w:ascii="Arial" w:eastAsia="Times New Roman" w:hAnsi="Arial" w:cs="Arial"/>
                <w:b/>
                <w:bCs/>
                <w:sz w:val="20"/>
              </w:rPr>
              <w:t>Alcohol consumption</w:t>
            </w:r>
          </w:p>
        </w:tc>
        <w:tc>
          <w:tcPr>
            <w:tcW w:w="1209" w:type="pct"/>
          </w:tcPr>
          <w:p w14:paraId="3BE26BDB" w14:textId="77777777" w:rsidR="0044099A" w:rsidRPr="0044099A" w:rsidRDefault="0044099A" w:rsidP="0044099A">
            <w:pPr>
              <w:pStyle w:val="Body"/>
              <w:spacing w:after="0"/>
              <w:rPr>
                <w:rFonts w:ascii="Arial" w:eastAsia="Times New Roman" w:hAnsi="Arial" w:cs="Arial"/>
                <w:sz w:val="20"/>
              </w:rPr>
            </w:pPr>
          </w:p>
        </w:tc>
        <w:tc>
          <w:tcPr>
            <w:tcW w:w="1209" w:type="pct"/>
          </w:tcPr>
          <w:p w14:paraId="78508201" w14:textId="77777777" w:rsidR="0044099A" w:rsidRPr="0044099A" w:rsidRDefault="0044099A" w:rsidP="0044099A">
            <w:pPr>
              <w:pStyle w:val="Body"/>
              <w:spacing w:after="0"/>
              <w:rPr>
                <w:rFonts w:ascii="Arial" w:eastAsia="Times New Roman" w:hAnsi="Arial" w:cs="Arial"/>
                <w:sz w:val="20"/>
              </w:rPr>
            </w:pPr>
          </w:p>
        </w:tc>
        <w:tc>
          <w:tcPr>
            <w:tcW w:w="1132" w:type="pct"/>
          </w:tcPr>
          <w:p w14:paraId="43984B36" w14:textId="77777777" w:rsidR="0044099A" w:rsidRPr="0044099A" w:rsidRDefault="0044099A" w:rsidP="0044099A">
            <w:pPr>
              <w:pStyle w:val="Body"/>
              <w:spacing w:after="0"/>
              <w:rPr>
                <w:rFonts w:ascii="Arial" w:eastAsia="Times New Roman" w:hAnsi="Arial" w:cs="Arial"/>
                <w:sz w:val="20"/>
              </w:rPr>
            </w:pPr>
          </w:p>
        </w:tc>
      </w:tr>
      <w:tr w:rsidR="0044099A" w:rsidRPr="0044099A" w14:paraId="5631E033" w14:textId="77777777" w:rsidTr="006C3430">
        <w:trPr>
          <w:jc w:val="center"/>
        </w:trPr>
        <w:tc>
          <w:tcPr>
            <w:tcW w:w="1450" w:type="pct"/>
          </w:tcPr>
          <w:p w14:paraId="049448A1"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Yes</w:t>
            </w:r>
          </w:p>
        </w:tc>
        <w:tc>
          <w:tcPr>
            <w:tcW w:w="1209" w:type="pct"/>
          </w:tcPr>
          <w:p w14:paraId="47B2F06D"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15 (50.0)</w:t>
            </w:r>
          </w:p>
        </w:tc>
        <w:tc>
          <w:tcPr>
            <w:tcW w:w="1209" w:type="pct"/>
          </w:tcPr>
          <w:p w14:paraId="36BE5852"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25 (42.4)</w:t>
            </w:r>
          </w:p>
        </w:tc>
        <w:tc>
          <w:tcPr>
            <w:tcW w:w="1132" w:type="pct"/>
          </w:tcPr>
          <w:p w14:paraId="3F4F09A5"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31 (34.4)</w:t>
            </w:r>
          </w:p>
        </w:tc>
      </w:tr>
      <w:tr w:rsidR="0044099A" w:rsidRPr="0044099A" w14:paraId="643065E6" w14:textId="77777777" w:rsidTr="006C3430">
        <w:trPr>
          <w:jc w:val="center"/>
        </w:trPr>
        <w:tc>
          <w:tcPr>
            <w:tcW w:w="1450" w:type="pct"/>
          </w:tcPr>
          <w:p w14:paraId="5272D586"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No</w:t>
            </w:r>
          </w:p>
        </w:tc>
        <w:tc>
          <w:tcPr>
            <w:tcW w:w="1209" w:type="pct"/>
          </w:tcPr>
          <w:p w14:paraId="1A765D15"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15 (50.0)</w:t>
            </w:r>
          </w:p>
        </w:tc>
        <w:tc>
          <w:tcPr>
            <w:tcW w:w="1209" w:type="pct"/>
          </w:tcPr>
          <w:p w14:paraId="49DDBB94"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34 (57.6)</w:t>
            </w:r>
          </w:p>
        </w:tc>
        <w:tc>
          <w:tcPr>
            <w:tcW w:w="1132" w:type="pct"/>
          </w:tcPr>
          <w:p w14:paraId="5A720B82"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59 (65.6)</w:t>
            </w:r>
          </w:p>
        </w:tc>
      </w:tr>
      <w:tr w:rsidR="0044099A" w:rsidRPr="0044099A" w14:paraId="5F767879" w14:textId="77777777" w:rsidTr="006C3430">
        <w:trPr>
          <w:jc w:val="center"/>
        </w:trPr>
        <w:tc>
          <w:tcPr>
            <w:tcW w:w="1450" w:type="pct"/>
          </w:tcPr>
          <w:p w14:paraId="2FC20312" w14:textId="77777777" w:rsidR="0044099A" w:rsidRPr="0044099A" w:rsidRDefault="0044099A" w:rsidP="0044099A">
            <w:pPr>
              <w:pStyle w:val="Body"/>
              <w:spacing w:after="0"/>
              <w:rPr>
                <w:rFonts w:ascii="Arial" w:eastAsia="Times New Roman" w:hAnsi="Arial" w:cs="Arial"/>
                <w:b/>
                <w:bCs/>
                <w:sz w:val="20"/>
              </w:rPr>
            </w:pPr>
            <w:r w:rsidRPr="0044099A">
              <w:rPr>
                <w:rFonts w:ascii="Arial" w:eastAsia="Times New Roman" w:hAnsi="Arial" w:cs="Arial"/>
                <w:b/>
                <w:bCs/>
                <w:sz w:val="20"/>
              </w:rPr>
              <w:t>Migraine headache</w:t>
            </w:r>
          </w:p>
        </w:tc>
        <w:tc>
          <w:tcPr>
            <w:tcW w:w="1209" w:type="pct"/>
          </w:tcPr>
          <w:p w14:paraId="40FC8D33" w14:textId="77777777" w:rsidR="0044099A" w:rsidRPr="0044099A" w:rsidRDefault="0044099A" w:rsidP="0044099A">
            <w:pPr>
              <w:pStyle w:val="Body"/>
              <w:spacing w:after="0"/>
              <w:rPr>
                <w:rFonts w:ascii="Arial" w:eastAsia="Times New Roman" w:hAnsi="Arial" w:cs="Arial"/>
                <w:sz w:val="20"/>
              </w:rPr>
            </w:pPr>
          </w:p>
        </w:tc>
        <w:tc>
          <w:tcPr>
            <w:tcW w:w="1209" w:type="pct"/>
          </w:tcPr>
          <w:p w14:paraId="33C1B831" w14:textId="77777777" w:rsidR="0044099A" w:rsidRPr="0044099A" w:rsidRDefault="0044099A" w:rsidP="0044099A">
            <w:pPr>
              <w:pStyle w:val="Body"/>
              <w:spacing w:after="0"/>
              <w:rPr>
                <w:rFonts w:ascii="Arial" w:eastAsia="Times New Roman" w:hAnsi="Arial" w:cs="Arial"/>
                <w:sz w:val="20"/>
              </w:rPr>
            </w:pPr>
          </w:p>
        </w:tc>
        <w:tc>
          <w:tcPr>
            <w:tcW w:w="1132" w:type="pct"/>
          </w:tcPr>
          <w:p w14:paraId="29C40166" w14:textId="77777777" w:rsidR="0044099A" w:rsidRPr="0044099A" w:rsidRDefault="0044099A" w:rsidP="0044099A">
            <w:pPr>
              <w:pStyle w:val="Body"/>
              <w:spacing w:after="0"/>
              <w:rPr>
                <w:rFonts w:ascii="Arial" w:eastAsia="Times New Roman" w:hAnsi="Arial" w:cs="Arial"/>
                <w:sz w:val="20"/>
              </w:rPr>
            </w:pPr>
          </w:p>
        </w:tc>
      </w:tr>
      <w:tr w:rsidR="0044099A" w:rsidRPr="0044099A" w14:paraId="5716A845" w14:textId="77777777" w:rsidTr="006C3430">
        <w:trPr>
          <w:jc w:val="center"/>
        </w:trPr>
        <w:tc>
          <w:tcPr>
            <w:tcW w:w="1450" w:type="pct"/>
          </w:tcPr>
          <w:p w14:paraId="5EF8B2AA"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Yes</w:t>
            </w:r>
          </w:p>
        </w:tc>
        <w:tc>
          <w:tcPr>
            <w:tcW w:w="1209" w:type="pct"/>
          </w:tcPr>
          <w:p w14:paraId="05EB1581"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4 (13.3)</w:t>
            </w:r>
          </w:p>
        </w:tc>
        <w:tc>
          <w:tcPr>
            <w:tcW w:w="1209" w:type="pct"/>
          </w:tcPr>
          <w:p w14:paraId="26A49F00"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6 (10.2)</w:t>
            </w:r>
          </w:p>
        </w:tc>
        <w:tc>
          <w:tcPr>
            <w:tcW w:w="1132" w:type="pct"/>
          </w:tcPr>
          <w:p w14:paraId="14749221"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7 (7.8)</w:t>
            </w:r>
          </w:p>
        </w:tc>
      </w:tr>
      <w:tr w:rsidR="0044099A" w:rsidRPr="0044099A" w14:paraId="79C0B327" w14:textId="77777777" w:rsidTr="006C3430">
        <w:trPr>
          <w:jc w:val="center"/>
        </w:trPr>
        <w:tc>
          <w:tcPr>
            <w:tcW w:w="1450" w:type="pct"/>
          </w:tcPr>
          <w:p w14:paraId="1B424652"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No</w:t>
            </w:r>
          </w:p>
        </w:tc>
        <w:tc>
          <w:tcPr>
            <w:tcW w:w="1209" w:type="pct"/>
          </w:tcPr>
          <w:p w14:paraId="589076CD"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26 (86.7)</w:t>
            </w:r>
          </w:p>
        </w:tc>
        <w:tc>
          <w:tcPr>
            <w:tcW w:w="1209" w:type="pct"/>
          </w:tcPr>
          <w:p w14:paraId="392A8D76"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53 (89.8)</w:t>
            </w:r>
          </w:p>
        </w:tc>
        <w:tc>
          <w:tcPr>
            <w:tcW w:w="1132" w:type="pct"/>
          </w:tcPr>
          <w:p w14:paraId="3081AC6E"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83 (92.2)</w:t>
            </w:r>
          </w:p>
        </w:tc>
      </w:tr>
      <w:tr w:rsidR="0044099A" w:rsidRPr="0044099A" w14:paraId="4A9A45E7" w14:textId="77777777" w:rsidTr="006C3430">
        <w:trPr>
          <w:jc w:val="center"/>
        </w:trPr>
        <w:tc>
          <w:tcPr>
            <w:tcW w:w="2659" w:type="pct"/>
            <w:gridSpan w:val="2"/>
          </w:tcPr>
          <w:p w14:paraId="70A5CC09"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b/>
                <w:bCs/>
                <w:sz w:val="20"/>
              </w:rPr>
              <w:t>Hypertension and DM</w:t>
            </w:r>
          </w:p>
        </w:tc>
        <w:tc>
          <w:tcPr>
            <w:tcW w:w="1209" w:type="pct"/>
          </w:tcPr>
          <w:p w14:paraId="239172A0" w14:textId="77777777" w:rsidR="0044099A" w:rsidRPr="0044099A" w:rsidRDefault="0044099A" w:rsidP="0044099A">
            <w:pPr>
              <w:pStyle w:val="Body"/>
              <w:spacing w:after="0"/>
              <w:rPr>
                <w:rFonts w:ascii="Arial" w:eastAsia="Times New Roman" w:hAnsi="Arial" w:cs="Arial"/>
                <w:sz w:val="20"/>
              </w:rPr>
            </w:pPr>
          </w:p>
        </w:tc>
        <w:tc>
          <w:tcPr>
            <w:tcW w:w="1132" w:type="pct"/>
          </w:tcPr>
          <w:p w14:paraId="1DE7399F" w14:textId="77777777" w:rsidR="0044099A" w:rsidRPr="0044099A" w:rsidRDefault="0044099A" w:rsidP="0044099A">
            <w:pPr>
              <w:pStyle w:val="Body"/>
              <w:spacing w:after="0"/>
              <w:rPr>
                <w:rFonts w:ascii="Arial" w:eastAsia="Times New Roman" w:hAnsi="Arial" w:cs="Arial"/>
                <w:sz w:val="20"/>
              </w:rPr>
            </w:pPr>
          </w:p>
        </w:tc>
      </w:tr>
      <w:tr w:rsidR="0044099A" w:rsidRPr="0044099A" w14:paraId="1C631C5B" w14:textId="77777777" w:rsidTr="006C3430">
        <w:trPr>
          <w:jc w:val="center"/>
        </w:trPr>
        <w:tc>
          <w:tcPr>
            <w:tcW w:w="1450" w:type="pct"/>
          </w:tcPr>
          <w:p w14:paraId="1B789127"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Yes</w:t>
            </w:r>
          </w:p>
        </w:tc>
        <w:tc>
          <w:tcPr>
            <w:tcW w:w="1209" w:type="pct"/>
          </w:tcPr>
          <w:p w14:paraId="7B653DA9"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8 (26.7)</w:t>
            </w:r>
          </w:p>
        </w:tc>
        <w:tc>
          <w:tcPr>
            <w:tcW w:w="1209" w:type="pct"/>
          </w:tcPr>
          <w:p w14:paraId="75FB7AF2"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22 (37.3)</w:t>
            </w:r>
          </w:p>
        </w:tc>
        <w:tc>
          <w:tcPr>
            <w:tcW w:w="1132" w:type="pct"/>
          </w:tcPr>
          <w:p w14:paraId="4BA88E2C"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34 (37.8)</w:t>
            </w:r>
          </w:p>
        </w:tc>
      </w:tr>
      <w:tr w:rsidR="0044099A" w:rsidRPr="0044099A" w14:paraId="40A6C3B6" w14:textId="77777777" w:rsidTr="006C3430">
        <w:trPr>
          <w:jc w:val="center"/>
        </w:trPr>
        <w:tc>
          <w:tcPr>
            <w:tcW w:w="1450" w:type="pct"/>
          </w:tcPr>
          <w:p w14:paraId="214397E4"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No</w:t>
            </w:r>
          </w:p>
        </w:tc>
        <w:tc>
          <w:tcPr>
            <w:tcW w:w="1209" w:type="pct"/>
          </w:tcPr>
          <w:p w14:paraId="3926CE96"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22 (73.3)</w:t>
            </w:r>
          </w:p>
        </w:tc>
        <w:tc>
          <w:tcPr>
            <w:tcW w:w="1209" w:type="pct"/>
          </w:tcPr>
          <w:p w14:paraId="20D01248"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37 (62.7)</w:t>
            </w:r>
          </w:p>
        </w:tc>
        <w:tc>
          <w:tcPr>
            <w:tcW w:w="1132" w:type="pct"/>
          </w:tcPr>
          <w:p w14:paraId="695A1A10"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56 (62.2)</w:t>
            </w:r>
          </w:p>
        </w:tc>
      </w:tr>
      <w:tr w:rsidR="0044099A" w:rsidRPr="0044099A" w14:paraId="67B048F7" w14:textId="77777777" w:rsidTr="006C3430">
        <w:trPr>
          <w:jc w:val="center"/>
        </w:trPr>
        <w:tc>
          <w:tcPr>
            <w:tcW w:w="2659" w:type="pct"/>
            <w:gridSpan w:val="2"/>
          </w:tcPr>
          <w:p w14:paraId="58AEE62C"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b/>
                <w:bCs/>
                <w:sz w:val="20"/>
              </w:rPr>
              <w:t xml:space="preserve">Diabetes </w:t>
            </w:r>
            <w:proofErr w:type="spellStart"/>
            <w:r w:rsidRPr="0044099A">
              <w:rPr>
                <w:rFonts w:ascii="Arial" w:eastAsia="Times New Roman" w:hAnsi="Arial" w:cs="Arial"/>
                <w:b/>
                <w:bCs/>
                <w:sz w:val="20"/>
              </w:rPr>
              <w:t>melitus</w:t>
            </w:r>
            <w:proofErr w:type="spellEnd"/>
            <w:r w:rsidRPr="0044099A">
              <w:rPr>
                <w:rFonts w:ascii="Arial" w:eastAsia="Times New Roman" w:hAnsi="Arial" w:cs="Arial"/>
                <w:b/>
                <w:bCs/>
                <w:sz w:val="20"/>
              </w:rPr>
              <w:t xml:space="preserve"> (n=64)</w:t>
            </w:r>
          </w:p>
        </w:tc>
        <w:tc>
          <w:tcPr>
            <w:tcW w:w="1209" w:type="pct"/>
          </w:tcPr>
          <w:p w14:paraId="48C103A5" w14:textId="77777777" w:rsidR="0044099A" w:rsidRPr="0044099A" w:rsidRDefault="0044099A" w:rsidP="0044099A">
            <w:pPr>
              <w:pStyle w:val="Body"/>
              <w:spacing w:after="0"/>
              <w:rPr>
                <w:rFonts w:ascii="Arial" w:eastAsia="Times New Roman" w:hAnsi="Arial" w:cs="Arial"/>
                <w:sz w:val="20"/>
              </w:rPr>
            </w:pPr>
          </w:p>
        </w:tc>
        <w:tc>
          <w:tcPr>
            <w:tcW w:w="1132" w:type="pct"/>
          </w:tcPr>
          <w:p w14:paraId="2FB5ACBB" w14:textId="77777777" w:rsidR="0044099A" w:rsidRPr="0044099A" w:rsidRDefault="0044099A" w:rsidP="0044099A">
            <w:pPr>
              <w:pStyle w:val="Body"/>
              <w:spacing w:after="0"/>
              <w:rPr>
                <w:rFonts w:ascii="Arial" w:eastAsia="Times New Roman" w:hAnsi="Arial" w:cs="Arial"/>
                <w:sz w:val="20"/>
              </w:rPr>
            </w:pPr>
          </w:p>
        </w:tc>
      </w:tr>
      <w:tr w:rsidR="0044099A" w:rsidRPr="0044099A" w14:paraId="65E38D92" w14:textId="77777777" w:rsidTr="006C3430">
        <w:trPr>
          <w:jc w:val="center"/>
        </w:trPr>
        <w:tc>
          <w:tcPr>
            <w:tcW w:w="1450" w:type="pct"/>
          </w:tcPr>
          <w:p w14:paraId="70EC0D0F"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Yes</w:t>
            </w:r>
          </w:p>
        </w:tc>
        <w:tc>
          <w:tcPr>
            <w:tcW w:w="1209" w:type="pct"/>
          </w:tcPr>
          <w:p w14:paraId="2ABDF6C8"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6 (75.0)</w:t>
            </w:r>
          </w:p>
        </w:tc>
        <w:tc>
          <w:tcPr>
            <w:tcW w:w="1209" w:type="pct"/>
          </w:tcPr>
          <w:p w14:paraId="54B113B9"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9 (40.9)</w:t>
            </w:r>
          </w:p>
        </w:tc>
        <w:tc>
          <w:tcPr>
            <w:tcW w:w="1132" w:type="pct"/>
          </w:tcPr>
          <w:p w14:paraId="284E7B79"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15 (44.1)</w:t>
            </w:r>
          </w:p>
        </w:tc>
      </w:tr>
      <w:tr w:rsidR="0044099A" w:rsidRPr="0044099A" w14:paraId="796CF65A" w14:textId="77777777" w:rsidTr="006C3430">
        <w:trPr>
          <w:jc w:val="center"/>
        </w:trPr>
        <w:tc>
          <w:tcPr>
            <w:tcW w:w="1450" w:type="pct"/>
          </w:tcPr>
          <w:p w14:paraId="65BB1837"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No</w:t>
            </w:r>
          </w:p>
        </w:tc>
        <w:tc>
          <w:tcPr>
            <w:tcW w:w="1209" w:type="pct"/>
          </w:tcPr>
          <w:p w14:paraId="559CF1B0"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2 (25.0)</w:t>
            </w:r>
          </w:p>
        </w:tc>
        <w:tc>
          <w:tcPr>
            <w:tcW w:w="1209" w:type="pct"/>
          </w:tcPr>
          <w:p w14:paraId="00F0C283"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13 (59.1)</w:t>
            </w:r>
          </w:p>
        </w:tc>
        <w:tc>
          <w:tcPr>
            <w:tcW w:w="1132" w:type="pct"/>
          </w:tcPr>
          <w:p w14:paraId="2F62B956"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19 (55.9)</w:t>
            </w:r>
          </w:p>
        </w:tc>
      </w:tr>
      <w:tr w:rsidR="0044099A" w:rsidRPr="0044099A" w14:paraId="056DFF90" w14:textId="77777777" w:rsidTr="006C3430">
        <w:trPr>
          <w:jc w:val="center"/>
        </w:trPr>
        <w:tc>
          <w:tcPr>
            <w:tcW w:w="1450" w:type="pct"/>
          </w:tcPr>
          <w:p w14:paraId="6433C56E" w14:textId="77777777" w:rsidR="0044099A" w:rsidRPr="0044099A" w:rsidRDefault="0044099A" w:rsidP="0044099A">
            <w:pPr>
              <w:pStyle w:val="Body"/>
              <w:spacing w:after="0"/>
              <w:rPr>
                <w:rFonts w:ascii="Arial" w:eastAsia="Times New Roman" w:hAnsi="Arial" w:cs="Arial"/>
                <w:b/>
                <w:bCs/>
                <w:sz w:val="20"/>
              </w:rPr>
            </w:pPr>
            <w:r w:rsidRPr="0044099A">
              <w:rPr>
                <w:rFonts w:ascii="Arial" w:eastAsia="Times New Roman" w:hAnsi="Arial" w:cs="Arial"/>
                <w:b/>
                <w:bCs/>
                <w:sz w:val="20"/>
              </w:rPr>
              <w:t>Hypertension (n=64)</w:t>
            </w:r>
          </w:p>
        </w:tc>
        <w:tc>
          <w:tcPr>
            <w:tcW w:w="1209" w:type="pct"/>
          </w:tcPr>
          <w:p w14:paraId="3129F064" w14:textId="77777777" w:rsidR="0044099A" w:rsidRPr="0044099A" w:rsidRDefault="0044099A" w:rsidP="0044099A">
            <w:pPr>
              <w:pStyle w:val="Body"/>
              <w:spacing w:after="0"/>
              <w:rPr>
                <w:rFonts w:ascii="Arial" w:eastAsia="Times New Roman" w:hAnsi="Arial" w:cs="Arial"/>
                <w:sz w:val="20"/>
              </w:rPr>
            </w:pPr>
          </w:p>
        </w:tc>
        <w:tc>
          <w:tcPr>
            <w:tcW w:w="1209" w:type="pct"/>
          </w:tcPr>
          <w:p w14:paraId="30F80798" w14:textId="77777777" w:rsidR="0044099A" w:rsidRPr="0044099A" w:rsidRDefault="0044099A" w:rsidP="0044099A">
            <w:pPr>
              <w:pStyle w:val="Body"/>
              <w:spacing w:after="0"/>
              <w:rPr>
                <w:rFonts w:ascii="Arial" w:eastAsia="Times New Roman" w:hAnsi="Arial" w:cs="Arial"/>
                <w:sz w:val="20"/>
              </w:rPr>
            </w:pPr>
          </w:p>
        </w:tc>
        <w:tc>
          <w:tcPr>
            <w:tcW w:w="1132" w:type="pct"/>
          </w:tcPr>
          <w:p w14:paraId="36480ED6" w14:textId="77777777" w:rsidR="0044099A" w:rsidRPr="0044099A" w:rsidRDefault="0044099A" w:rsidP="0044099A">
            <w:pPr>
              <w:pStyle w:val="Body"/>
              <w:spacing w:after="0"/>
              <w:rPr>
                <w:rFonts w:ascii="Arial" w:eastAsia="Times New Roman" w:hAnsi="Arial" w:cs="Arial"/>
                <w:sz w:val="20"/>
              </w:rPr>
            </w:pPr>
          </w:p>
        </w:tc>
      </w:tr>
      <w:tr w:rsidR="0044099A" w:rsidRPr="0044099A" w14:paraId="72D9C978" w14:textId="77777777" w:rsidTr="006C3430">
        <w:trPr>
          <w:jc w:val="center"/>
        </w:trPr>
        <w:tc>
          <w:tcPr>
            <w:tcW w:w="1450" w:type="pct"/>
          </w:tcPr>
          <w:p w14:paraId="67F1E64A"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Yes</w:t>
            </w:r>
          </w:p>
        </w:tc>
        <w:tc>
          <w:tcPr>
            <w:tcW w:w="1209" w:type="pct"/>
          </w:tcPr>
          <w:p w14:paraId="461CA0D0"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3 (37.5)</w:t>
            </w:r>
          </w:p>
        </w:tc>
        <w:tc>
          <w:tcPr>
            <w:tcW w:w="1209" w:type="pct"/>
          </w:tcPr>
          <w:p w14:paraId="53523609"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18 (81.8)</w:t>
            </w:r>
          </w:p>
        </w:tc>
        <w:tc>
          <w:tcPr>
            <w:tcW w:w="1132" w:type="pct"/>
          </w:tcPr>
          <w:p w14:paraId="13EFD562"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26 (76.5)</w:t>
            </w:r>
          </w:p>
        </w:tc>
      </w:tr>
      <w:tr w:rsidR="0044099A" w:rsidRPr="0044099A" w14:paraId="59EE5CEE" w14:textId="77777777" w:rsidTr="006C3430">
        <w:trPr>
          <w:jc w:val="center"/>
        </w:trPr>
        <w:tc>
          <w:tcPr>
            <w:tcW w:w="1450" w:type="pct"/>
          </w:tcPr>
          <w:p w14:paraId="2812FBA1"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No</w:t>
            </w:r>
          </w:p>
        </w:tc>
        <w:tc>
          <w:tcPr>
            <w:tcW w:w="1209" w:type="pct"/>
          </w:tcPr>
          <w:p w14:paraId="7B4C0CDA"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5 (62.5)</w:t>
            </w:r>
          </w:p>
        </w:tc>
        <w:tc>
          <w:tcPr>
            <w:tcW w:w="1209" w:type="pct"/>
          </w:tcPr>
          <w:p w14:paraId="2F95FE55"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4 (18.2)</w:t>
            </w:r>
          </w:p>
        </w:tc>
        <w:tc>
          <w:tcPr>
            <w:tcW w:w="1132" w:type="pct"/>
          </w:tcPr>
          <w:p w14:paraId="284AD587"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8 (23.5)</w:t>
            </w:r>
          </w:p>
        </w:tc>
      </w:tr>
      <w:tr w:rsidR="0044099A" w:rsidRPr="0044099A" w14:paraId="124AE743" w14:textId="77777777" w:rsidTr="006C3430">
        <w:trPr>
          <w:jc w:val="center"/>
        </w:trPr>
        <w:tc>
          <w:tcPr>
            <w:tcW w:w="1450" w:type="pct"/>
          </w:tcPr>
          <w:p w14:paraId="286FFBD7" w14:textId="77777777" w:rsidR="0044099A" w:rsidRPr="0044099A" w:rsidRDefault="0044099A" w:rsidP="0044099A">
            <w:pPr>
              <w:pStyle w:val="Body"/>
              <w:spacing w:after="0"/>
              <w:rPr>
                <w:rFonts w:ascii="Arial" w:eastAsia="Times New Roman" w:hAnsi="Arial" w:cs="Arial"/>
                <w:b/>
                <w:bCs/>
                <w:sz w:val="20"/>
              </w:rPr>
            </w:pPr>
            <w:r w:rsidRPr="0044099A">
              <w:rPr>
                <w:rFonts w:ascii="Arial" w:eastAsia="Times New Roman" w:hAnsi="Arial" w:cs="Arial"/>
                <w:b/>
                <w:bCs/>
                <w:sz w:val="20"/>
              </w:rPr>
              <w:t>Cold extremely</w:t>
            </w:r>
          </w:p>
        </w:tc>
        <w:tc>
          <w:tcPr>
            <w:tcW w:w="1209" w:type="pct"/>
          </w:tcPr>
          <w:p w14:paraId="6B1D37BA" w14:textId="77777777" w:rsidR="0044099A" w:rsidRPr="0044099A" w:rsidRDefault="0044099A" w:rsidP="0044099A">
            <w:pPr>
              <w:pStyle w:val="Body"/>
              <w:spacing w:after="0"/>
              <w:rPr>
                <w:rFonts w:ascii="Arial" w:eastAsia="Times New Roman" w:hAnsi="Arial" w:cs="Arial"/>
                <w:sz w:val="20"/>
              </w:rPr>
            </w:pPr>
          </w:p>
        </w:tc>
        <w:tc>
          <w:tcPr>
            <w:tcW w:w="1209" w:type="pct"/>
          </w:tcPr>
          <w:p w14:paraId="5AEFC57E" w14:textId="77777777" w:rsidR="0044099A" w:rsidRPr="0044099A" w:rsidRDefault="0044099A" w:rsidP="0044099A">
            <w:pPr>
              <w:pStyle w:val="Body"/>
              <w:spacing w:after="0"/>
              <w:rPr>
                <w:rFonts w:ascii="Arial" w:eastAsia="Times New Roman" w:hAnsi="Arial" w:cs="Arial"/>
                <w:sz w:val="20"/>
              </w:rPr>
            </w:pPr>
          </w:p>
        </w:tc>
        <w:tc>
          <w:tcPr>
            <w:tcW w:w="1132" w:type="pct"/>
          </w:tcPr>
          <w:p w14:paraId="3B785468" w14:textId="77777777" w:rsidR="0044099A" w:rsidRPr="0044099A" w:rsidRDefault="0044099A" w:rsidP="0044099A">
            <w:pPr>
              <w:pStyle w:val="Body"/>
              <w:spacing w:after="0"/>
              <w:rPr>
                <w:rFonts w:ascii="Arial" w:eastAsia="Times New Roman" w:hAnsi="Arial" w:cs="Arial"/>
                <w:sz w:val="20"/>
              </w:rPr>
            </w:pPr>
          </w:p>
        </w:tc>
      </w:tr>
      <w:tr w:rsidR="0044099A" w:rsidRPr="0044099A" w14:paraId="22D123A5" w14:textId="77777777" w:rsidTr="006C3430">
        <w:trPr>
          <w:jc w:val="center"/>
        </w:trPr>
        <w:tc>
          <w:tcPr>
            <w:tcW w:w="1450" w:type="pct"/>
          </w:tcPr>
          <w:p w14:paraId="5E96A1C5"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Yes</w:t>
            </w:r>
          </w:p>
        </w:tc>
        <w:tc>
          <w:tcPr>
            <w:tcW w:w="1209" w:type="pct"/>
          </w:tcPr>
          <w:p w14:paraId="53C8F7C1"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4 (13.3)</w:t>
            </w:r>
          </w:p>
        </w:tc>
        <w:tc>
          <w:tcPr>
            <w:tcW w:w="1209" w:type="pct"/>
          </w:tcPr>
          <w:p w14:paraId="5FD5843F"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0 (0.0)</w:t>
            </w:r>
          </w:p>
        </w:tc>
        <w:tc>
          <w:tcPr>
            <w:tcW w:w="1132" w:type="pct"/>
          </w:tcPr>
          <w:p w14:paraId="1D3F5CA0"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2 (2.2)</w:t>
            </w:r>
          </w:p>
        </w:tc>
      </w:tr>
      <w:tr w:rsidR="0044099A" w:rsidRPr="0044099A" w14:paraId="0DF0C61E" w14:textId="77777777" w:rsidTr="006C3430">
        <w:trPr>
          <w:jc w:val="center"/>
        </w:trPr>
        <w:tc>
          <w:tcPr>
            <w:tcW w:w="1450" w:type="pct"/>
          </w:tcPr>
          <w:p w14:paraId="4C512949"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No</w:t>
            </w:r>
          </w:p>
        </w:tc>
        <w:tc>
          <w:tcPr>
            <w:tcW w:w="1209" w:type="pct"/>
          </w:tcPr>
          <w:p w14:paraId="60A9C623"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26 (86.7)</w:t>
            </w:r>
          </w:p>
        </w:tc>
        <w:tc>
          <w:tcPr>
            <w:tcW w:w="1209" w:type="pct"/>
          </w:tcPr>
          <w:p w14:paraId="6C2306C7"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59 (100)</w:t>
            </w:r>
          </w:p>
        </w:tc>
        <w:tc>
          <w:tcPr>
            <w:tcW w:w="1132" w:type="pct"/>
          </w:tcPr>
          <w:p w14:paraId="16C7E6DF"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88 (97.8)</w:t>
            </w:r>
          </w:p>
        </w:tc>
      </w:tr>
      <w:tr w:rsidR="0044099A" w:rsidRPr="0044099A" w14:paraId="36709279" w14:textId="77777777" w:rsidTr="006C3430">
        <w:trPr>
          <w:jc w:val="center"/>
        </w:trPr>
        <w:tc>
          <w:tcPr>
            <w:tcW w:w="1450" w:type="pct"/>
          </w:tcPr>
          <w:p w14:paraId="68ED1CDA" w14:textId="77777777" w:rsidR="0044099A" w:rsidRPr="0044099A" w:rsidRDefault="0044099A" w:rsidP="0044099A">
            <w:pPr>
              <w:pStyle w:val="Body"/>
              <w:spacing w:after="0"/>
              <w:rPr>
                <w:rFonts w:ascii="Arial" w:eastAsia="Times New Roman" w:hAnsi="Arial" w:cs="Arial"/>
                <w:b/>
                <w:bCs/>
                <w:sz w:val="20"/>
              </w:rPr>
            </w:pPr>
            <w:r w:rsidRPr="0044099A">
              <w:rPr>
                <w:rFonts w:ascii="Arial" w:eastAsia="Times New Roman" w:hAnsi="Arial" w:cs="Arial"/>
                <w:b/>
                <w:bCs/>
                <w:sz w:val="20"/>
              </w:rPr>
              <w:t>VA</w:t>
            </w:r>
          </w:p>
        </w:tc>
        <w:tc>
          <w:tcPr>
            <w:tcW w:w="1209" w:type="pct"/>
          </w:tcPr>
          <w:p w14:paraId="6B78BA9F" w14:textId="77777777" w:rsidR="0044099A" w:rsidRPr="0044099A" w:rsidRDefault="0044099A" w:rsidP="0044099A">
            <w:pPr>
              <w:pStyle w:val="Body"/>
              <w:spacing w:after="0"/>
              <w:rPr>
                <w:rFonts w:ascii="Arial" w:eastAsia="Times New Roman" w:hAnsi="Arial" w:cs="Arial"/>
                <w:sz w:val="20"/>
              </w:rPr>
            </w:pPr>
          </w:p>
        </w:tc>
        <w:tc>
          <w:tcPr>
            <w:tcW w:w="1209" w:type="pct"/>
          </w:tcPr>
          <w:p w14:paraId="119C6764" w14:textId="77777777" w:rsidR="0044099A" w:rsidRPr="0044099A" w:rsidRDefault="0044099A" w:rsidP="0044099A">
            <w:pPr>
              <w:pStyle w:val="Body"/>
              <w:spacing w:after="0"/>
              <w:rPr>
                <w:rFonts w:ascii="Arial" w:eastAsia="Times New Roman" w:hAnsi="Arial" w:cs="Arial"/>
                <w:sz w:val="20"/>
              </w:rPr>
            </w:pPr>
          </w:p>
        </w:tc>
        <w:tc>
          <w:tcPr>
            <w:tcW w:w="1132" w:type="pct"/>
          </w:tcPr>
          <w:p w14:paraId="38372419" w14:textId="77777777" w:rsidR="0044099A" w:rsidRPr="0044099A" w:rsidRDefault="0044099A" w:rsidP="0044099A">
            <w:pPr>
              <w:pStyle w:val="Body"/>
              <w:spacing w:after="0"/>
              <w:rPr>
                <w:rFonts w:ascii="Arial" w:eastAsia="Times New Roman" w:hAnsi="Arial" w:cs="Arial"/>
                <w:sz w:val="20"/>
              </w:rPr>
            </w:pPr>
          </w:p>
        </w:tc>
      </w:tr>
      <w:tr w:rsidR="0044099A" w:rsidRPr="0044099A" w14:paraId="220F19AB" w14:textId="77777777" w:rsidTr="006C3430">
        <w:trPr>
          <w:jc w:val="center"/>
        </w:trPr>
        <w:tc>
          <w:tcPr>
            <w:tcW w:w="1450" w:type="pct"/>
          </w:tcPr>
          <w:p w14:paraId="17AFF910"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&gt;=6/18</w:t>
            </w:r>
          </w:p>
        </w:tc>
        <w:tc>
          <w:tcPr>
            <w:tcW w:w="1209" w:type="pct"/>
          </w:tcPr>
          <w:p w14:paraId="54F28AC4"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24 (80.0)</w:t>
            </w:r>
          </w:p>
        </w:tc>
        <w:tc>
          <w:tcPr>
            <w:tcW w:w="1209" w:type="pct"/>
          </w:tcPr>
          <w:p w14:paraId="77C264A1"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31 (52.5)</w:t>
            </w:r>
          </w:p>
        </w:tc>
        <w:tc>
          <w:tcPr>
            <w:tcW w:w="1132" w:type="pct"/>
          </w:tcPr>
          <w:p w14:paraId="779B761C"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80 (88.9)</w:t>
            </w:r>
          </w:p>
        </w:tc>
      </w:tr>
      <w:tr w:rsidR="0044099A" w:rsidRPr="0044099A" w14:paraId="0EBDDDA7" w14:textId="77777777" w:rsidTr="006C3430">
        <w:trPr>
          <w:jc w:val="center"/>
        </w:trPr>
        <w:tc>
          <w:tcPr>
            <w:tcW w:w="1450" w:type="pct"/>
          </w:tcPr>
          <w:p w14:paraId="38587496"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&lt;6/18</w:t>
            </w:r>
          </w:p>
        </w:tc>
        <w:tc>
          <w:tcPr>
            <w:tcW w:w="1209" w:type="pct"/>
          </w:tcPr>
          <w:p w14:paraId="347D7290"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6 (20.0)</w:t>
            </w:r>
          </w:p>
        </w:tc>
        <w:tc>
          <w:tcPr>
            <w:tcW w:w="1209" w:type="pct"/>
          </w:tcPr>
          <w:p w14:paraId="4BA0D082"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28 (47.5)</w:t>
            </w:r>
          </w:p>
        </w:tc>
        <w:tc>
          <w:tcPr>
            <w:tcW w:w="1132" w:type="pct"/>
          </w:tcPr>
          <w:p w14:paraId="736BEF07"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10 (11.1)</w:t>
            </w:r>
          </w:p>
        </w:tc>
      </w:tr>
      <w:tr w:rsidR="0044099A" w:rsidRPr="0044099A" w14:paraId="21B7E2D2" w14:textId="77777777" w:rsidTr="006C3430">
        <w:trPr>
          <w:jc w:val="center"/>
        </w:trPr>
        <w:tc>
          <w:tcPr>
            <w:tcW w:w="1450" w:type="pct"/>
          </w:tcPr>
          <w:p w14:paraId="24ECF7C2" w14:textId="77777777" w:rsidR="0044099A" w:rsidRPr="0044099A" w:rsidRDefault="0044099A" w:rsidP="0044099A">
            <w:pPr>
              <w:pStyle w:val="Body"/>
              <w:spacing w:after="0"/>
              <w:rPr>
                <w:rFonts w:ascii="Arial" w:eastAsia="Times New Roman" w:hAnsi="Arial" w:cs="Arial"/>
                <w:b/>
                <w:bCs/>
                <w:sz w:val="20"/>
              </w:rPr>
            </w:pPr>
            <w:r w:rsidRPr="0044099A">
              <w:rPr>
                <w:rFonts w:ascii="Arial" w:eastAsia="Times New Roman" w:hAnsi="Arial" w:cs="Arial"/>
                <w:b/>
                <w:bCs/>
                <w:sz w:val="20"/>
              </w:rPr>
              <w:t>Average CDR range</w:t>
            </w:r>
          </w:p>
        </w:tc>
        <w:tc>
          <w:tcPr>
            <w:tcW w:w="1209" w:type="pct"/>
          </w:tcPr>
          <w:p w14:paraId="31E987C6" w14:textId="77777777" w:rsidR="0044099A" w:rsidRPr="0044099A" w:rsidRDefault="0044099A" w:rsidP="0044099A">
            <w:pPr>
              <w:pStyle w:val="Body"/>
              <w:spacing w:after="0"/>
              <w:rPr>
                <w:rFonts w:ascii="Arial" w:eastAsia="Times New Roman" w:hAnsi="Arial" w:cs="Arial"/>
                <w:sz w:val="20"/>
              </w:rPr>
            </w:pPr>
          </w:p>
        </w:tc>
        <w:tc>
          <w:tcPr>
            <w:tcW w:w="1209" w:type="pct"/>
          </w:tcPr>
          <w:p w14:paraId="670A768B" w14:textId="77777777" w:rsidR="0044099A" w:rsidRPr="0044099A" w:rsidRDefault="0044099A" w:rsidP="0044099A">
            <w:pPr>
              <w:pStyle w:val="Body"/>
              <w:spacing w:after="0"/>
              <w:rPr>
                <w:rFonts w:ascii="Arial" w:eastAsia="Times New Roman" w:hAnsi="Arial" w:cs="Arial"/>
                <w:sz w:val="20"/>
              </w:rPr>
            </w:pPr>
          </w:p>
        </w:tc>
        <w:tc>
          <w:tcPr>
            <w:tcW w:w="1132" w:type="pct"/>
          </w:tcPr>
          <w:p w14:paraId="17729481" w14:textId="77777777" w:rsidR="0044099A" w:rsidRPr="0044099A" w:rsidRDefault="0044099A" w:rsidP="0044099A">
            <w:pPr>
              <w:pStyle w:val="Body"/>
              <w:spacing w:after="0"/>
              <w:rPr>
                <w:rFonts w:ascii="Arial" w:eastAsia="Times New Roman" w:hAnsi="Arial" w:cs="Arial"/>
                <w:sz w:val="20"/>
              </w:rPr>
            </w:pPr>
          </w:p>
        </w:tc>
      </w:tr>
      <w:tr w:rsidR="0044099A" w:rsidRPr="0044099A" w14:paraId="608C6D8E" w14:textId="77777777" w:rsidTr="006C3430">
        <w:trPr>
          <w:jc w:val="center"/>
        </w:trPr>
        <w:tc>
          <w:tcPr>
            <w:tcW w:w="1450" w:type="pct"/>
          </w:tcPr>
          <w:p w14:paraId="2685507B"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0.1-0.3</w:t>
            </w:r>
          </w:p>
        </w:tc>
        <w:tc>
          <w:tcPr>
            <w:tcW w:w="1209" w:type="pct"/>
          </w:tcPr>
          <w:p w14:paraId="636D4F61"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 (3.3)</w:t>
            </w:r>
          </w:p>
        </w:tc>
        <w:tc>
          <w:tcPr>
            <w:tcW w:w="1209" w:type="pct"/>
          </w:tcPr>
          <w:p w14:paraId="738B2E20"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w:t>
            </w:r>
          </w:p>
        </w:tc>
        <w:tc>
          <w:tcPr>
            <w:tcW w:w="1132" w:type="pct"/>
          </w:tcPr>
          <w:p w14:paraId="3D75856D"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65 (72.2)</w:t>
            </w:r>
          </w:p>
        </w:tc>
      </w:tr>
      <w:tr w:rsidR="0044099A" w:rsidRPr="0044099A" w14:paraId="65374044" w14:textId="77777777" w:rsidTr="006C3430">
        <w:trPr>
          <w:jc w:val="center"/>
        </w:trPr>
        <w:tc>
          <w:tcPr>
            <w:tcW w:w="1450" w:type="pct"/>
          </w:tcPr>
          <w:p w14:paraId="0653BAF4"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lastRenderedPageBreak/>
              <w:t>0.4-&lt;0.6</w:t>
            </w:r>
          </w:p>
        </w:tc>
        <w:tc>
          <w:tcPr>
            <w:tcW w:w="1209" w:type="pct"/>
          </w:tcPr>
          <w:p w14:paraId="5537D85D"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8 (26.7)</w:t>
            </w:r>
          </w:p>
        </w:tc>
        <w:tc>
          <w:tcPr>
            <w:tcW w:w="1209" w:type="pct"/>
          </w:tcPr>
          <w:p w14:paraId="5A744AB0"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11 (18.6)</w:t>
            </w:r>
          </w:p>
        </w:tc>
        <w:tc>
          <w:tcPr>
            <w:tcW w:w="1132" w:type="pct"/>
          </w:tcPr>
          <w:p w14:paraId="3A623926"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23 (25.6)</w:t>
            </w:r>
          </w:p>
        </w:tc>
      </w:tr>
      <w:tr w:rsidR="0044099A" w:rsidRPr="0044099A" w14:paraId="1022AB61" w14:textId="77777777" w:rsidTr="006C3430">
        <w:trPr>
          <w:jc w:val="center"/>
        </w:trPr>
        <w:tc>
          <w:tcPr>
            <w:tcW w:w="1450" w:type="pct"/>
          </w:tcPr>
          <w:p w14:paraId="13A96C43"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≥0.6</w:t>
            </w:r>
          </w:p>
        </w:tc>
        <w:tc>
          <w:tcPr>
            <w:tcW w:w="1209" w:type="pct"/>
          </w:tcPr>
          <w:p w14:paraId="65AB0DF8"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21 (70.0)</w:t>
            </w:r>
          </w:p>
        </w:tc>
        <w:tc>
          <w:tcPr>
            <w:tcW w:w="1209" w:type="pct"/>
          </w:tcPr>
          <w:p w14:paraId="6E43D5CE"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48 (81.4)</w:t>
            </w:r>
          </w:p>
        </w:tc>
        <w:tc>
          <w:tcPr>
            <w:tcW w:w="1132" w:type="pct"/>
          </w:tcPr>
          <w:p w14:paraId="3B6E438F"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2 (2.2)</w:t>
            </w:r>
          </w:p>
        </w:tc>
      </w:tr>
      <w:tr w:rsidR="0044099A" w:rsidRPr="0044099A" w14:paraId="746D364B" w14:textId="77777777" w:rsidTr="006C3430">
        <w:trPr>
          <w:jc w:val="center"/>
        </w:trPr>
        <w:tc>
          <w:tcPr>
            <w:tcW w:w="1450" w:type="pct"/>
          </w:tcPr>
          <w:p w14:paraId="1D156755" w14:textId="77777777" w:rsidR="0044099A" w:rsidRPr="0044099A" w:rsidRDefault="0044099A" w:rsidP="0044099A">
            <w:pPr>
              <w:pStyle w:val="Body"/>
              <w:spacing w:after="0"/>
              <w:rPr>
                <w:rFonts w:ascii="Arial" w:eastAsia="Times New Roman" w:hAnsi="Arial" w:cs="Arial"/>
                <w:b/>
                <w:bCs/>
                <w:sz w:val="20"/>
              </w:rPr>
            </w:pPr>
            <w:r w:rsidRPr="0044099A">
              <w:rPr>
                <w:rFonts w:ascii="Arial" w:eastAsia="Times New Roman" w:hAnsi="Arial" w:cs="Arial"/>
                <w:b/>
                <w:bCs/>
                <w:sz w:val="20"/>
              </w:rPr>
              <w:t>VFI</w:t>
            </w:r>
          </w:p>
        </w:tc>
        <w:tc>
          <w:tcPr>
            <w:tcW w:w="1209" w:type="pct"/>
          </w:tcPr>
          <w:p w14:paraId="5929D91B" w14:textId="77777777" w:rsidR="0044099A" w:rsidRPr="0044099A" w:rsidRDefault="0044099A" w:rsidP="0044099A">
            <w:pPr>
              <w:pStyle w:val="Body"/>
              <w:spacing w:after="0"/>
              <w:rPr>
                <w:rFonts w:ascii="Arial" w:eastAsia="Times New Roman" w:hAnsi="Arial" w:cs="Arial"/>
                <w:sz w:val="20"/>
              </w:rPr>
            </w:pPr>
          </w:p>
        </w:tc>
        <w:tc>
          <w:tcPr>
            <w:tcW w:w="1209" w:type="pct"/>
          </w:tcPr>
          <w:p w14:paraId="357AC79C" w14:textId="77777777" w:rsidR="0044099A" w:rsidRPr="0044099A" w:rsidRDefault="0044099A" w:rsidP="0044099A">
            <w:pPr>
              <w:pStyle w:val="Body"/>
              <w:spacing w:after="0"/>
              <w:rPr>
                <w:rFonts w:ascii="Arial" w:eastAsia="Times New Roman" w:hAnsi="Arial" w:cs="Arial"/>
                <w:sz w:val="20"/>
              </w:rPr>
            </w:pPr>
          </w:p>
        </w:tc>
        <w:tc>
          <w:tcPr>
            <w:tcW w:w="1132" w:type="pct"/>
          </w:tcPr>
          <w:p w14:paraId="42488D9A" w14:textId="77777777" w:rsidR="0044099A" w:rsidRPr="0044099A" w:rsidRDefault="0044099A" w:rsidP="0044099A">
            <w:pPr>
              <w:pStyle w:val="Body"/>
              <w:spacing w:after="0"/>
              <w:rPr>
                <w:rFonts w:ascii="Arial" w:eastAsia="Times New Roman" w:hAnsi="Arial" w:cs="Arial"/>
                <w:sz w:val="20"/>
              </w:rPr>
            </w:pPr>
          </w:p>
        </w:tc>
      </w:tr>
      <w:tr w:rsidR="0044099A" w:rsidRPr="0044099A" w14:paraId="427EE2FF" w14:textId="77777777" w:rsidTr="00013EE6">
        <w:trPr>
          <w:jc w:val="center"/>
        </w:trPr>
        <w:tc>
          <w:tcPr>
            <w:tcW w:w="1450" w:type="pct"/>
            <w:tcBorders>
              <w:bottom w:val="nil"/>
            </w:tcBorders>
          </w:tcPr>
          <w:p w14:paraId="1CC8C3EC"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0-95</w:t>
            </w:r>
          </w:p>
        </w:tc>
        <w:tc>
          <w:tcPr>
            <w:tcW w:w="1209" w:type="pct"/>
            <w:tcBorders>
              <w:bottom w:val="nil"/>
            </w:tcBorders>
          </w:tcPr>
          <w:p w14:paraId="5D110522"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25 (83.3)</w:t>
            </w:r>
          </w:p>
        </w:tc>
        <w:tc>
          <w:tcPr>
            <w:tcW w:w="1209" w:type="pct"/>
            <w:tcBorders>
              <w:bottom w:val="nil"/>
            </w:tcBorders>
          </w:tcPr>
          <w:p w14:paraId="70FEBF5E"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53 (89.8)</w:t>
            </w:r>
          </w:p>
        </w:tc>
        <w:tc>
          <w:tcPr>
            <w:tcW w:w="1132" w:type="pct"/>
            <w:tcBorders>
              <w:bottom w:val="nil"/>
            </w:tcBorders>
          </w:tcPr>
          <w:p w14:paraId="78006711"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14 (15.6)</w:t>
            </w:r>
          </w:p>
        </w:tc>
      </w:tr>
      <w:tr w:rsidR="0044099A" w:rsidRPr="0044099A" w14:paraId="0979F6A0" w14:textId="77777777" w:rsidTr="00013EE6">
        <w:trPr>
          <w:jc w:val="center"/>
        </w:trPr>
        <w:tc>
          <w:tcPr>
            <w:tcW w:w="1450" w:type="pct"/>
            <w:tcBorders>
              <w:top w:val="nil"/>
              <w:bottom w:val="nil"/>
            </w:tcBorders>
          </w:tcPr>
          <w:p w14:paraId="18D7392A"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&gt;95-100</w:t>
            </w:r>
          </w:p>
        </w:tc>
        <w:tc>
          <w:tcPr>
            <w:tcW w:w="1209" w:type="pct"/>
            <w:tcBorders>
              <w:top w:val="nil"/>
              <w:bottom w:val="nil"/>
            </w:tcBorders>
          </w:tcPr>
          <w:p w14:paraId="13B8C2A6"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5 (16.7)</w:t>
            </w:r>
          </w:p>
        </w:tc>
        <w:tc>
          <w:tcPr>
            <w:tcW w:w="1209" w:type="pct"/>
            <w:tcBorders>
              <w:top w:val="nil"/>
              <w:bottom w:val="nil"/>
            </w:tcBorders>
          </w:tcPr>
          <w:p w14:paraId="32100B3C"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6 (10.2)</w:t>
            </w:r>
          </w:p>
        </w:tc>
        <w:tc>
          <w:tcPr>
            <w:tcW w:w="1132" w:type="pct"/>
            <w:tcBorders>
              <w:top w:val="nil"/>
              <w:bottom w:val="nil"/>
            </w:tcBorders>
          </w:tcPr>
          <w:p w14:paraId="2C8BC7BA"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76 (84.4)</w:t>
            </w:r>
          </w:p>
        </w:tc>
      </w:tr>
      <w:tr w:rsidR="0044099A" w:rsidRPr="0044099A" w14:paraId="5D6D0F6D" w14:textId="77777777" w:rsidTr="00013EE6">
        <w:trPr>
          <w:jc w:val="center"/>
        </w:trPr>
        <w:tc>
          <w:tcPr>
            <w:tcW w:w="1450" w:type="pct"/>
            <w:tcBorders>
              <w:top w:val="nil"/>
              <w:bottom w:val="nil"/>
            </w:tcBorders>
          </w:tcPr>
          <w:p w14:paraId="26F7199D" w14:textId="77777777" w:rsidR="0044099A" w:rsidRPr="0044099A" w:rsidRDefault="0044099A" w:rsidP="0044099A">
            <w:pPr>
              <w:pStyle w:val="Body"/>
              <w:spacing w:after="0"/>
              <w:rPr>
                <w:rFonts w:ascii="Arial" w:eastAsia="Times New Roman" w:hAnsi="Arial" w:cs="Arial"/>
                <w:b/>
                <w:bCs/>
                <w:sz w:val="20"/>
              </w:rPr>
            </w:pPr>
            <w:r w:rsidRPr="0044099A">
              <w:rPr>
                <w:rFonts w:ascii="Arial" w:eastAsia="Times New Roman" w:hAnsi="Arial" w:cs="Arial"/>
                <w:b/>
                <w:bCs/>
                <w:sz w:val="20"/>
              </w:rPr>
              <w:t>MD</w:t>
            </w:r>
          </w:p>
        </w:tc>
        <w:tc>
          <w:tcPr>
            <w:tcW w:w="1209" w:type="pct"/>
            <w:tcBorders>
              <w:top w:val="nil"/>
              <w:bottom w:val="nil"/>
            </w:tcBorders>
          </w:tcPr>
          <w:p w14:paraId="709E6C6E" w14:textId="77777777" w:rsidR="0044099A" w:rsidRPr="0044099A" w:rsidRDefault="0044099A" w:rsidP="0044099A">
            <w:pPr>
              <w:pStyle w:val="Body"/>
              <w:spacing w:after="0"/>
              <w:rPr>
                <w:rFonts w:ascii="Arial" w:eastAsia="Times New Roman" w:hAnsi="Arial" w:cs="Arial"/>
                <w:sz w:val="20"/>
              </w:rPr>
            </w:pPr>
          </w:p>
        </w:tc>
        <w:tc>
          <w:tcPr>
            <w:tcW w:w="1209" w:type="pct"/>
            <w:tcBorders>
              <w:top w:val="nil"/>
              <w:bottom w:val="nil"/>
            </w:tcBorders>
          </w:tcPr>
          <w:p w14:paraId="08B2B458" w14:textId="77777777" w:rsidR="0044099A" w:rsidRPr="0044099A" w:rsidRDefault="0044099A" w:rsidP="0044099A">
            <w:pPr>
              <w:pStyle w:val="Body"/>
              <w:spacing w:after="0"/>
              <w:rPr>
                <w:rFonts w:ascii="Arial" w:eastAsia="Times New Roman" w:hAnsi="Arial" w:cs="Arial"/>
                <w:sz w:val="20"/>
              </w:rPr>
            </w:pPr>
          </w:p>
        </w:tc>
        <w:tc>
          <w:tcPr>
            <w:tcW w:w="1132" w:type="pct"/>
            <w:tcBorders>
              <w:top w:val="nil"/>
              <w:bottom w:val="nil"/>
            </w:tcBorders>
          </w:tcPr>
          <w:p w14:paraId="4ABD5B86" w14:textId="77777777" w:rsidR="0044099A" w:rsidRPr="0044099A" w:rsidRDefault="0044099A" w:rsidP="0044099A">
            <w:pPr>
              <w:pStyle w:val="Body"/>
              <w:spacing w:after="0"/>
              <w:rPr>
                <w:rFonts w:ascii="Arial" w:eastAsia="Times New Roman" w:hAnsi="Arial" w:cs="Arial"/>
                <w:sz w:val="20"/>
              </w:rPr>
            </w:pPr>
          </w:p>
        </w:tc>
      </w:tr>
      <w:tr w:rsidR="0044099A" w:rsidRPr="0044099A" w14:paraId="124ECBC7" w14:textId="77777777" w:rsidTr="00013EE6">
        <w:trPr>
          <w:jc w:val="center"/>
        </w:trPr>
        <w:tc>
          <w:tcPr>
            <w:tcW w:w="1450" w:type="pct"/>
            <w:tcBorders>
              <w:top w:val="nil"/>
            </w:tcBorders>
          </w:tcPr>
          <w:p w14:paraId="3BF5AA14"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&gt;-0.1</w:t>
            </w:r>
          </w:p>
        </w:tc>
        <w:tc>
          <w:tcPr>
            <w:tcW w:w="1209" w:type="pct"/>
            <w:tcBorders>
              <w:top w:val="nil"/>
            </w:tcBorders>
          </w:tcPr>
          <w:p w14:paraId="5A8AA72B"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w:t>
            </w:r>
          </w:p>
        </w:tc>
        <w:tc>
          <w:tcPr>
            <w:tcW w:w="1209" w:type="pct"/>
            <w:tcBorders>
              <w:top w:val="nil"/>
              <w:bottom w:val="nil"/>
            </w:tcBorders>
          </w:tcPr>
          <w:p w14:paraId="143BF7A9"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w:t>
            </w:r>
          </w:p>
        </w:tc>
        <w:tc>
          <w:tcPr>
            <w:tcW w:w="1132" w:type="pct"/>
            <w:tcBorders>
              <w:top w:val="nil"/>
            </w:tcBorders>
          </w:tcPr>
          <w:p w14:paraId="5B98DC78"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63 (70.0)</w:t>
            </w:r>
          </w:p>
        </w:tc>
      </w:tr>
      <w:tr w:rsidR="0044099A" w:rsidRPr="0044099A" w14:paraId="442B07BF" w14:textId="77777777" w:rsidTr="00013EE6">
        <w:trPr>
          <w:jc w:val="center"/>
        </w:trPr>
        <w:tc>
          <w:tcPr>
            <w:tcW w:w="1450" w:type="pct"/>
          </w:tcPr>
          <w:p w14:paraId="73EC3F25"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≤-(0.1-6)</w:t>
            </w:r>
          </w:p>
        </w:tc>
        <w:tc>
          <w:tcPr>
            <w:tcW w:w="1209" w:type="pct"/>
          </w:tcPr>
          <w:p w14:paraId="493F74F0"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15 (50.0)</w:t>
            </w:r>
          </w:p>
        </w:tc>
        <w:tc>
          <w:tcPr>
            <w:tcW w:w="1209" w:type="pct"/>
            <w:tcBorders>
              <w:top w:val="nil"/>
            </w:tcBorders>
          </w:tcPr>
          <w:p w14:paraId="2275F6D4"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17 (28.8)</w:t>
            </w:r>
          </w:p>
        </w:tc>
        <w:tc>
          <w:tcPr>
            <w:tcW w:w="1132" w:type="pct"/>
          </w:tcPr>
          <w:p w14:paraId="228ADC1D"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12 (13.3)</w:t>
            </w:r>
          </w:p>
        </w:tc>
      </w:tr>
      <w:tr w:rsidR="0044099A" w:rsidRPr="0044099A" w14:paraId="4032A636" w14:textId="77777777" w:rsidTr="006C3430">
        <w:trPr>
          <w:jc w:val="center"/>
        </w:trPr>
        <w:tc>
          <w:tcPr>
            <w:tcW w:w="1450" w:type="pct"/>
          </w:tcPr>
          <w:p w14:paraId="41D5019A"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&lt;-(6</w:t>
            </w:r>
            <w:r w:rsidRPr="0044099A">
              <w:rPr>
                <w:rFonts w:ascii="Arial" w:eastAsia="Times New Roman" w:hAnsi="Arial" w:cs="Arial"/>
                <w:sz w:val="20"/>
              </w:rPr>
              <w:softHyphen/>
            </w:r>
            <w:r w:rsidRPr="0044099A">
              <w:rPr>
                <w:rFonts w:ascii="Arial" w:eastAsia="Times New Roman" w:hAnsi="Arial" w:cs="Arial"/>
                <w:sz w:val="20"/>
              </w:rPr>
              <w:softHyphen/>
            </w:r>
            <w:r w:rsidRPr="0044099A">
              <w:rPr>
                <w:rFonts w:ascii="Arial" w:eastAsia="Times New Roman" w:hAnsi="Arial" w:cs="Arial"/>
                <w:sz w:val="20"/>
              </w:rPr>
              <w:softHyphen/>
            </w:r>
            <w:r w:rsidRPr="0044099A">
              <w:rPr>
                <w:rFonts w:ascii="Arial" w:eastAsia="Times New Roman" w:hAnsi="Arial" w:cs="Arial"/>
                <w:sz w:val="20"/>
              </w:rPr>
              <w:softHyphen/>
            </w:r>
            <w:r w:rsidRPr="0044099A">
              <w:rPr>
                <w:rFonts w:ascii="Arial" w:eastAsia="Times New Roman" w:hAnsi="Arial" w:cs="Arial"/>
                <w:sz w:val="20"/>
              </w:rPr>
              <w:softHyphen/>
              <w:t>-12)</w:t>
            </w:r>
          </w:p>
        </w:tc>
        <w:tc>
          <w:tcPr>
            <w:tcW w:w="1209" w:type="pct"/>
          </w:tcPr>
          <w:p w14:paraId="23AB5B45"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7 (23.3)</w:t>
            </w:r>
          </w:p>
        </w:tc>
        <w:tc>
          <w:tcPr>
            <w:tcW w:w="1209" w:type="pct"/>
          </w:tcPr>
          <w:p w14:paraId="7FD9363C"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4 (6.8)</w:t>
            </w:r>
          </w:p>
        </w:tc>
        <w:tc>
          <w:tcPr>
            <w:tcW w:w="1132" w:type="pct"/>
          </w:tcPr>
          <w:p w14:paraId="4B02A9A3"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6 (6.7)</w:t>
            </w:r>
          </w:p>
        </w:tc>
      </w:tr>
      <w:tr w:rsidR="0044099A" w:rsidRPr="0044099A" w14:paraId="61418D27" w14:textId="77777777" w:rsidTr="006C3430">
        <w:trPr>
          <w:jc w:val="center"/>
        </w:trPr>
        <w:tc>
          <w:tcPr>
            <w:tcW w:w="1450" w:type="pct"/>
          </w:tcPr>
          <w:p w14:paraId="721F30D8"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&lt;-(12-20)</w:t>
            </w:r>
          </w:p>
        </w:tc>
        <w:tc>
          <w:tcPr>
            <w:tcW w:w="1209" w:type="pct"/>
          </w:tcPr>
          <w:p w14:paraId="31A1B665"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2 (6.7)</w:t>
            </w:r>
          </w:p>
        </w:tc>
        <w:tc>
          <w:tcPr>
            <w:tcW w:w="1209" w:type="pct"/>
          </w:tcPr>
          <w:p w14:paraId="23DF1823"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4 (6.8)</w:t>
            </w:r>
          </w:p>
        </w:tc>
        <w:tc>
          <w:tcPr>
            <w:tcW w:w="1132" w:type="pct"/>
          </w:tcPr>
          <w:p w14:paraId="40ADA938"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4 (4.4)</w:t>
            </w:r>
          </w:p>
        </w:tc>
      </w:tr>
      <w:tr w:rsidR="0044099A" w:rsidRPr="0044099A" w14:paraId="4E77B519" w14:textId="77777777" w:rsidTr="006C3430">
        <w:trPr>
          <w:jc w:val="center"/>
        </w:trPr>
        <w:tc>
          <w:tcPr>
            <w:tcW w:w="1450" w:type="pct"/>
          </w:tcPr>
          <w:p w14:paraId="2AD0F9C5"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&lt;-20</w:t>
            </w:r>
          </w:p>
        </w:tc>
        <w:tc>
          <w:tcPr>
            <w:tcW w:w="1209" w:type="pct"/>
          </w:tcPr>
          <w:p w14:paraId="2E0AC3EC"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6 (20.0)</w:t>
            </w:r>
          </w:p>
        </w:tc>
        <w:tc>
          <w:tcPr>
            <w:tcW w:w="1209" w:type="pct"/>
          </w:tcPr>
          <w:p w14:paraId="6E0B07E7"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34 (57.6)</w:t>
            </w:r>
          </w:p>
        </w:tc>
        <w:tc>
          <w:tcPr>
            <w:tcW w:w="1132" w:type="pct"/>
          </w:tcPr>
          <w:p w14:paraId="383B1A96"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5 (5.6)</w:t>
            </w:r>
          </w:p>
        </w:tc>
      </w:tr>
      <w:tr w:rsidR="0044099A" w:rsidRPr="0044099A" w14:paraId="4ED0A108" w14:textId="77777777" w:rsidTr="006C3430">
        <w:trPr>
          <w:jc w:val="center"/>
        </w:trPr>
        <w:tc>
          <w:tcPr>
            <w:tcW w:w="1450" w:type="pct"/>
          </w:tcPr>
          <w:p w14:paraId="616B5A4B" w14:textId="77777777" w:rsidR="0044099A" w:rsidRPr="0044099A" w:rsidRDefault="0044099A" w:rsidP="0044099A">
            <w:pPr>
              <w:pStyle w:val="Body"/>
              <w:spacing w:after="0"/>
              <w:rPr>
                <w:rFonts w:ascii="Arial" w:eastAsia="Times New Roman" w:hAnsi="Arial" w:cs="Arial"/>
                <w:b/>
                <w:bCs/>
                <w:sz w:val="20"/>
              </w:rPr>
            </w:pPr>
            <w:r w:rsidRPr="0044099A">
              <w:rPr>
                <w:rFonts w:ascii="Arial" w:eastAsia="Times New Roman" w:hAnsi="Arial" w:cs="Arial"/>
                <w:b/>
                <w:bCs/>
                <w:sz w:val="20"/>
              </w:rPr>
              <w:t>GHT</w:t>
            </w:r>
          </w:p>
        </w:tc>
        <w:tc>
          <w:tcPr>
            <w:tcW w:w="1209" w:type="pct"/>
          </w:tcPr>
          <w:p w14:paraId="6E73E3C2" w14:textId="77777777" w:rsidR="0044099A" w:rsidRPr="0044099A" w:rsidRDefault="0044099A" w:rsidP="0044099A">
            <w:pPr>
              <w:pStyle w:val="Body"/>
              <w:spacing w:after="0"/>
              <w:rPr>
                <w:rFonts w:ascii="Arial" w:eastAsia="Times New Roman" w:hAnsi="Arial" w:cs="Arial"/>
                <w:sz w:val="20"/>
              </w:rPr>
            </w:pPr>
          </w:p>
        </w:tc>
        <w:tc>
          <w:tcPr>
            <w:tcW w:w="1209" w:type="pct"/>
          </w:tcPr>
          <w:p w14:paraId="6EF5749F" w14:textId="77777777" w:rsidR="0044099A" w:rsidRPr="0044099A" w:rsidRDefault="0044099A" w:rsidP="0044099A">
            <w:pPr>
              <w:pStyle w:val="Body"/>
              <w:spacing w:after="0"/>
              <w:rPr>
                <w:rFonts w:ascii="Arial" w:eastAsia="Times New Roman" w:hAnsi="Arial" w:cs="Arial"/>
                <w:sz w:val="20"/>
              </w:rPr>
            </w:pPr>
          </w:p>
        </w:tc>
        <w:tc>
          <w:tcPr>
            <w:tcW w:w="1132" w:type="pct"/>
          </w:tcPr>
          <w:p w14:paraId="5987EE5F" w14:textId="77777777" w:rsidR="0044099A" w:rsidRPr="0044099A" w:rsidRDefault="0044099A" w:rsidP="0044099A">
            <w:pPr>
              <w:pStyle w:val="Body"/>
              <w:spacing w:after="0"/>
              <w:rPr>
                <w:rFonts w:ascii="Arial" w:eastAsia="Times New Roman" w:hAnsi="Arial" w:cs="Arial"/>
                <w:sz w:val="20"/>
              </w:rPr>
            </w:pPr>
          </w:p>
        </w:tc>
      </w:tr>
      <w:tr w:rsidR="0044099A" w:rsidRPr="0044099A" w14:paraId="48EC1E81" w14:textId="77777777" w:rsidTr="006C3430">
        <w:trPr>
          <w:jc w:val="center"/>
        </w:trPr>
        <w:tc>
          <w:tcPr>
            <w:tcW w:w="1450" w:type="pct"/>
          </w:tcPr>
          <w:p w14:paraId="34BE86AD"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Within normal limit</w:t>
            </w:r>
          </w:p>
        </w:tc>
        <w:tc>
          <w:tcPr>
            <w:tcW w:w="1209" w:type="pct"/>
          </w:tcPr>
          <w:p w14:paraId="0C415B5D"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w:t>
            </w:r>
          </w:p>
        </w:tc>
        <w:tc>
          <w:tcPr>
            <w:tcW w:w="1209" w:type="pct"/>
          </w:tcPr>
          <w:p w14:paraId="425AC152"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w:t>
            </w:r>
          </w:p>
        </w:tc>
        <w:tc>
          <w:tcPr>
            <w:tcW w:w="1132" w:type="pct"/>
          </w:tcPr>
          <w:p w14:paraId="2EB74C05"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66 (73.3)</w:t>
            </w:r>
          </w:p>
        </w:tc>
      </w:tr>
      <w:tr w:rsidR="0044099A" w:rsidRPr="0044099A" w14:paraId="14323F99" w14:textId="77777777" w:rsidTr="006C3430">
        <w:trPr>
          <w:jc w:val="center"/>
        </w:trPr>
        <w:tc>
          <w:tcPr>
            <w:tcW w:w="1450" w:type="pct"/>
          </w:tcPr>
          <w:p w14:paraId="255B07AB"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Outside normal limit</w:t>
            </w:r>
          </w:p>
        </w:tc>
        <w:tc>
          <w:tcPr>
            <w:tcW w:w="1209" w:type="pct"/>
          </w:tcPr>
          <w:p w14:paraId="3041E591"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30 (100)</w:t>
            </w:r>
          </w:p>
        </w:tc>
        <w:tc>
          <w:tcPr>
            <w:tcW w:w="1209" w:type="pct"/>
          </w:tcPr>
          <w:p w14:paraId="6B10B939"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59 (100)</w:t>
            </w:r>
          </w:p>
        </w:tc>
        <w:tc>
          <w:tcPr>
            <w:tcW w:w="1132" w:type="pct"/>
          </w:tcPr>
          <w:p w14:paraId="7B9EBFD5"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9 (10.0)</w:t>
            </w:r>
          </w:p>
        </w:tc>
      </w:tr>
      <w:tr w:rsidR="0044099A" w:rsidRPr="0044099A" w14:paraId="36A6B307" w14:textId="77777777" w:rsidTr="006C3430">
        <w:trPr>
          <w:jc w:val="center"/>
        </w:trPr>
        <w:tc>
          <w:tcPr>
            <w:tcW w:w="1450" w:type="pct"/>
          </w:tcPr>
          <w:p w14:paraId="66BE95BD"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Borderline</w:t>
            </w:r>
          </w:p>
        </w:tc>
        <w:tc>
          <w:tcPr>
            <w:tcW w:w="1209" w:type="pct"/>
          </w:tcPr>
          <w:p w14:paraId="3883669A"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w:t>
            </w:r>
          </w:p>
        </w:tc>
        <w:tc>
          <w:tcPr>
            <w:tcW w:w="1209" w:type="pct"/>
          </w:tcPr>
          <w:p w14:paraId="2403EDDA"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w:t>
            </w:r>
          </w:p>
        </w:tc>
        <w:tc>
          <w:tcPr>
            <w:tcW w:w="1132" w:type="pct"/>
          </w:tcPr>
          <w:p w14:paraId="45C877BF"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15 (17.7)</w:t>
            </w:r>
          </w:p>
        </w:tc>
      </w:tr>
      <w:tr w:rsidR="0044099A" w:rsidRPr="0044099A" w14:paraId="15133833" w14:textId="77777777" w:rsidTr="006C3430">
        <w:trPr>
          <w:jc w:val="center"/>
        </w:trPr>
        <w:tc>
          <w:tcPr>
            <w:tcW w:w="1450" w:type="pct"/>
          </w:tcPr>
          <w:p w14:paraId="342EE8D0" w14:textId="77777777" w:rsidR="0044099A" w:rsidRPr="0044099A" w:rsidRDefault="0044099A" w:rsidP="0044099A">
            <w:pPr>
              <w:pStyle w:val="Body"/>
              <w:spacing w:after="0"/>
              <w:rPr>
                <w:rFonts w:ascii="Arial" w:eastAsia="Times New Roman" w:hAnsi="Arial" w:cs="Arial"/>
                <w:b/>
                <w:bCs/>
                <w:sz w:val="20"/>
              </w:rPr>
            </w:pPr>
            <w:r w:rsidRPr="0044099A">
              <w:rPr>
                <w:rFonts w:ascii="Arial" w:eastAsia="Times New Roman" w:hAnsi="Arial" w:cs="Arial"/>
                <w:b/>
                <w:bCs/>
                <w:sz w:val="20"/>
              </w:rPr>
              <w:t>Average BP (mmHg)</w:t>
            </w:r>
          </w:p>
        </w:tc>
        <w:tc>
          <w:tcPr>
            <w:tcW w:w="1209" w:type="pct"/>
          </w:tcPr>
          <w:p w14:paraId="06A6422B" w14:textId="77777777" w:rsidR="0044099A" w:rsidRPr="0044099A" w:rsidRDefault="0044099A" w:rsidP="0044099A">
            <w:pPr>
              <w:pStyle w:val="Body"/>
              <w:spacing w:after="0"/>
              <w:rPr>
                <w:rFonts w:ascii="Arial" w:eastAsia="Times New Roman" w:hAnsi="Arial" w:cs="Arial"/>
                <w:sz w:val="20"/>
              </w:rPr>
            </w:pPr>
          </w:p>
        </w:tc>
        <w:tc>
          <w:tcPr>
            <w:tcW w:w="1209" w:type="pct"/>
          </w:tcPr>
          <w:p w14:paraId="33450D7D" w14:textId="77777777" w:rsidR="0044099A" w:rsidRPr="0044099A" w:rsidRDefault="0044099A" w:rsidP="0044099A">
            <w:pPr>
              <w:pStyle w:val="Body"/>
              <w:spacing w:after="0"/>
              <w:rPr>
                <w:rFonts w:ascii="Arial" w:eastAsia="Times New Roman" w:hAnsi="Arial" w:cs="Arial"/>
                <w:sz w:val="20"/>
              </w:rPr>
            </w:pPr>
          </w:p>
        </w:tc>
        <w:tc>
          <w:tcPr>
            <w:tcW w:w="1132" w:type="pct"/>
          </w:tcPr>
          <w:p w14:paraId="7B235224" w14:textId="77777777" w:rsidR="0044099A" w:rsidRPr="0044099A" w:rsidRDefault="0044099A" w:rsidP="0044099A">
            <w:pPr>
              <w:pStyle w:val="Body"/>
              <w:spacing w:after="0"/>
              <w:rPr>
                <w:rFonts w:ascii="Arial" w:eastAsia="Times New Roman" w:hAnsi="Arial" w:cs="Arial"/>
                <w:sz w:val="20"/>
              </w:rPr>
            </w:pPr>
          </w:p>
        </w:tc>
      </w:tr>
      <w:tr w:rsidR="0044099A" w:rsidRPr="0044099A" w14:paraId="16954337" w14:textId="77777777" w:rsidTr="006C3430">
        <w:trPr>
          <w:jc w:val="center"/>
        </w:trPr>
        <w:tc>
          <w:tcPr>
            <w:tcW w:w="1450" w:type="pct"/>
          </w:tcPr>
          <w:p w14:paraId="1D5FBF97"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Systolic</w:t>
            </w:r>
          </w:p>
        </w:tc>
        <w:tc>
          <w:tcPr>
            <w:tcW w:w="1209" w:type="pct"/>
          </w:tcPr>
          <w:p w14:paraId="7D45CD22"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121.8±18.1</w:t>
            </w:r>
          </w:p>
        </w:tc>
        <w:tc>
          <w:tcPr>
            <w:tcW w:w="1209" w:type="pct"/>
          </w:tcPr>
          <w:p w14:paraId="79DB83EA"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143.7±22.6</w:t>
            </w:r>
          </w:p>
        </w:tc>
        <w:tc>
          <w:tcPr>
            <w:tcW w:w="1132" w:type="pct"/>
          </w:tcPr>
          <w:p w14:paraId="75609DDE"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134.0±18.7</w:t>
            </w:r>
          </w:p>
        </w:tc>
      </w:tr>
      <w:tr w:rsidR="0044099A" w:rsidRPr="0044099A" w14:paraId="0CD7BA5A" w14:textId="77777777" w:rsidTr="006C3430">
        <w:trPr>
          <w:jc w:val="center"/>
        </w:trPr>
        <w:tc>
          <w:tcPr>
            <w:tcW w:w="1450" w:type="pct"/>
          </w:tcPr>
          <w:p w14:paraId="7740484E"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Diastolic</w:t>
            </w:r>
          </w:p>
        </w:tc>
        <w:tc>
          <w:tcPr>
            <w:tcW w:w="1209" w:type="pct"/>
          </w:tcPr>
          <w:p w14:paraId="7822C26E"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64.1±12.1</w:t>
            </w:r>
          </w:p>
        </w:tc>
        <w:tc>
          <w:tcPr>
            <w:tcW w:w="1209" w:type="pct"/>
          </w:tcPr>
          <w:p w14:paraId="6889FDF4"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81.7±10.5</w:t>
            </w:r>
          </w:p>
        </w:tc>
        <w:tc>
          <w:tcPr>
            <w:tcW w:w="1132" w:type="pct"/>
          </w:tcPr>
          <w:p w14:paraId="10E06D8F"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79.8 ±11.0</w:t>
            </w:r>
          </w:p>
        </w:tc>
      </w:tr>
    </w:tbl>
    <w:p w14:paraId="4B14D966" w14:textId="77777777" w:rsidR="006C3430" w:rsidRDefault="006C3430" w:rsidP="00441B6F">
      <w:pPr>
        <w:pStyle w:val="Body"/>
        <w:spacing w:after="0"/>
        <w:rPr>
          <w:rFonts w:ascii="Arial" w:hAnsi="Arial" w:cs="Arial"/>
        </w:rPr>
      </w:pPr>
      <w:r w:rsidRPr="006C3430">
        <w:rPr>
          <w:rFonts w:ascii="Arial" w:hAnsi="Arial" w:cs="Arial"/>
        </w:rPr>
        <w:t>(</w:t>
      </w:r>
      <w:r w:rsidRPr="006C3430">
        <w:rPr>
          <w:rFonts w:ascii="Arial" w:hAnsi="Arial" w:cs="Arial"/>
          <w:i/>
        </w:rPr>
        <w:t>Abbreviations: VA - Visual Acuity; CDR - Cup Disc Ratio; VFI – Visual Field Index; MD – Mean Deviation; GHT – Glaucoma Hemi-field Test; BP – Blood Pressure; NTG – Normal Tension Glaucoma; HTG – High Tension Glaucoma</w:t>
      </w:r>
      <w:r w:rsidRPr="006C3430">
        <w:rPr>
          <w:rFonts w:ascii="Arial" w:hAnsi="Arial" w:cs="Arial"/>
        </w:rPr>
        <w:t>)</w:t>
      </w:r>
    </w:p>
    <w:p w14:paraId="79E4FB90" w14:textId="77777777" w:rsidR="0044099A" w:rsidRPr="0044099A" w:rsidRDefault="0044099A" w:rsidP="0044099A">
      <w:pPr>
        <w:rPr>
          <w:rFonts w:ascii="Arial" w:hAnsi="Arial" w:cs="Arial"/>
          <w:b/>
          <w:lang w:eastAsia="en-GB"/>
        </w:rPr>
      </w:pPr>
      <w:bookmarkStart w:id="10" w:name="_Toc201923058"/>
      <w:r w:rsidRPr="0044099A">
        <w:rPr>
          <w:rFonts w:ascii="Arial" w:hAnsi="Arial" w:cs="Arial"/>
          <w:b/>
          <w:lang w:eastAsia="en-GB"/>
        </w:rPr>
        <w:t>3.2. Socio-demographic and Clinical Comparisons Between Normal Tension Glaucoma (NTG) and High-Tension Glaucoma (HTG)</w:t>
      </w:r>
      <w:bookmarkEnd w:id="10"/>
    </w:p>
    <w:p w14:paraId="6093B786" w14:textId="77777777" w:rsidR="0044099A" w:rsidRDefault="0044099A" w:rsidP="0044099A">
      <w:pPr>
        <w:rPr>
          <w:rFonts w:ascii="Arial" w:hAnsi="Arial" w:cs="Arial"/>
          <w:lang w:eastAsia="en-GB"/>
        </w:rPr>
      </w:pPr>
      <w:r w:rsidRPr="0044099A">
        <w:rPr>
          <w:rFonts w:ascii="Arial" w:hAnsi="Arial" w:cs="Arial"/>
          <w:lang w:eastAsia="en-GB"/>
        </w:rPr>
        <w:t>POAG patients aged ≥ 65 years (54.2%) were more prevalent in the HTG group, while a significantly higher proportion of NTG patients were aged 40 - 64 years (56.7%) (</w:t>
      </w:r>
      <w:r w:rsidRPr="0044099A">
        <w:rPr>
          <w:rFonts w:ascii="Arial" w:hAnsi="Arial" w:cs="Arial"/>
          <w:b/>
          <w:bCs/>
          <w:i/>
          <w:iCs/>
          <w:lang w:eastAsia="en-GB"/>
        </w:rPr>
        <w:t>x</w:t>
      </w:r>
      <w:r w:rsidRPr="0044099A">
        <w:rPr>
          <w:rFonts w:ascii="Arial" w:hAnsi="Arial" w:cs="Arial"/>
          <w:b/>
          <w:bCs/>
          <w:i/>
          <w:iCs/>
          <w:vertAlign w:val="superscript"/>
          <w:lang w:eastAsia="en-GB"/>
        </w:rPr>
        <w:t xml:space="preserve">2 </w:t>
      </w:r>
      <w:r w:rsidRPr="0044099A">
        <w:rPr>
          <w:rFonts w:ascii="Arial" w:hAnsi="Arial" w:cs="Arial"/>
          <w:lang w:eastAsia="en-GB"/>
        </w:rPr>
        <w:t>= 8.92, p = 0.003). Smoking was more prevalent in the NTG group (20.0%) than in the HTG group (10.2%) (</w:t>
      </w:r>
      <w:r w:rsidRPr="0044099A">
        <w:rPr>
          <w:rFonts w:ascii="Arial" w:hAnsi="Arial" w:cs="Arial"/>
          <w:b/>
          <w:bCs/>
          <w:i/>
          <w:iCs/>
          <w:lang w:eastAsia="en-GB"/>
        </w:rPr>
        <w:t>x</w:t>
      </w:r>
      <w:r w:rsidRPr="0044099A">
        <w:rPr>
          <w:rFonts w:ascii="Arial" w:hAnsi="Arial" w:cs="Arial"/>
          <w:b/>
          <w:bCs/>
          <w:i/>
          <w:iCs/>
          <w:vertAlign w:val="superscript"/>
          <w:lang w:eastAsia="en-GB"/>
        </w:rPr>
        <w:t xml:space="preserve">2 </w:t>
      </w:r>
      <w:r w:rsidRPr="0044099A">
        <w:rPr>
          <w:rFonts w:ascii="Arial" w:hAnsi="Arial" w:cs="Arial"/>
          <w:lang w:eastAsia="en-GB"/>
        </w:rPr>
        <w:t>= 3.85, p = 0.047). Diabetic mellitus alone was significantly more prevalent in the NTG group (75%) compared to the HTG (40.9%) (</w:t>
      </w:r>
      <w:r w:rsidRPr="0044099A">
        <w:rPr>
          <w:rFonts w:ascii="Arial" w:hAnsi="Arial" w:cs="Arial"/>
          <w:b/>
          <w:bCs/>
          <w:i/>
          <w:iCs/>
          <w:lang w:eastAsia="en-GB"/>
        </w:rPr>
        <w:t>x</w:t>
      </w:r>
      <w:r w:rsidRPr="0044099A">
        <w:rPr>
          <w:rFonts w:ascii="Arial" w:hAnsi="Arial" w:cs="Arial"/>
          <w:b/>
          <w:bCs/>
          <w:i/>
          <w:iCs/>
          <w:vertAlign w:val="superscript"/>
          <w:lang w:eastAsia="en-GB"/>
        </w:rPr>
        <w:t xml:space="preserve">2 </w:t>
      </w:r>
      <w:r w:rsidRPr="0044099A">
        <w:rPr>
          <w:rFonts w:ascii="Arial" w:hAnsi="Arial" w:cs="Arial"/>
          <w:lang w:eastAsia="en-GB"/>
        </w:rPr>
        <w:t>= 3.23, p = 0.042). Also, hypertension alone was more common among the HTG group (81.8%) than in the NTG group (37.5%) (</w:t>
      </w:r>
      <w:r w:rsidRPr="0044099A">
        <w:rPr>
          <w:rFonts w:ascii="Arial" w:hAnsi="Arial" w:cs="Arial"/>
          <w:b/>
          <w:bCs/>
          <w:i/>
          <w:iCs/>
          <w:lang w:eastAsia="en-GB"/>
        </w:rPr>
        <w:t>x</w:t>
      </w:r>
      <w:r w:rsidRPr="0044099A">
        <w:rPr>
          <w:rFonts w:ascii="Arial" w:hAnsi="Arial" w:cs="Arial"/>
          <w:b/>
          <w:bCs/>
          <w:i/>
          <w:iCs/>
          <w:vertAlign w:val="superscript"/>
          <w:lang w:eastAsia="en-GB"/>
        </w:rPr>
        <w:t xml:space="preserve">2 </w:t>
      </w:r>
      <w:r w:rsidRPr="0044099A">
        <w:rPr>
          <w:rFonts w:ascii="Arial" w:hAnsi="Arial" w:cs="Arial"/>
          <w:lang w:eastAsia="en-GB"/>
        </w:rPr>
        <w:t>= 3.32, p = 0.038). No statistically significant differences were observed between the groups regarding sex, alcohol use, migraine headaches, combined hypertension and diabetes, and cold sensitivity. (Table 2)</w:t>
      </w:r>
    </w:p>
    <w:p w14:paraId="3FA92E1F" w14:textId="77777777" w:rsidR="005803EC" w:rsidRDefault="005803EC" w:rsidP="0044099A">
      <w:pPr>
        <w:rPr>
          <w:rFonts w:ascii="Arial" w:hAnsi="Arial" w:cs="Arial"/>
          <w:lang w:eastAsia="en-GB"/>
        </w:rPr>
      </w:pPr>
    </w:p>
    <w:p w14:paraId="1DF48565" w14:textId="77777777" w:rsidR="006C3430" w:rsidRPr="006C3430" w:rsidRDefault="006C3430" w:rsidP="0044099A">
      <w:pPr>
        <w:rPr>
          <w:rFonts w:ascii="Arial" w:hAnsi="Arial" w:cs="Arial"/>
          <w:b/>
          <w:bCs/>
          <w:lang w:eastAsia="en-GB"/>
        </w:rPr>
      </w:pPr>
      <w:r>
        <w:rPr>
          <w:rFonts w:ascii="Arial" w:hAnsi="Arial" w:cs="Arial"/>
          <w:lang w:eastAsia="en-GB"/>
        </w:rPr>
        <w:t xml:space="preserve">Table 2. </w:t>
      </w:r>
      <w:bookmarkStart w:id="11" w:name="_Toc201923085"/>
      <w:r w:rsidRPr="006C3430">
        <w:rPr>
          <w:rFonts w:ascii="Arial" w:hAnsi="Arial" w:cs="Arial"/>
          <w:b/>
          <w:lang w:eastAsia="en-GB"/>
        </w:rPr>
        <w:t>Socio-demographic and Clinical Comparisons between Normal Tension Glaucoma and High-Tension Glaucoma</w:t>
      </w:r>
      <w:bookmarkEnd w:id="11"/>
    </w:p>
    <w:tbl>
      <w:tblPr>
        <w:tblStyle w:val="TableGrid"/>
        <w:tblW w:w="5000" w:type="pct"/>
        <w:jc w:val="center"/>
        <w:tblBorders>
          <w:top w:val="single" w:sz="12"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1959"/>
        <w:gridCol w:w="1676"/>
        <w:gridCol w:w="2280"/>
      </w:tblGrid>
      <w:tr w:rsidR="006C3430" w:rsidRPr="006C3430" w14:paraId="481E8A54" w14:textId="77777777" w:rsidTr="006C3430">
        <w:trPr>
          <w:jc w:val="center"/>
        </w:trPr>
        <w:tc>
          <w:tcPr>
            <w:tcW w:w="1489" w:type="pct"/>
            <w:tcBorders>
              <w:top w:val="single" w:sz="12" w:space="0" w:color="auto"/>
              <w:bottom w:val="single" w:sz="4" w:space="0" w:color="auto"/>
            </w:tcBorders>
          </w:tcPr>
          <w:p w14:paraId="48AE34E1" w14:textId="77777777" w:rsidR="006C3430" w:rsidRPr="006C3430" w:rsidRDefault="006C3430" w:rsidP="006C3430">
            <w:pPr>
              <w:rPr>
                <w:rFonts w:ascii="Arial" w:eastAsia="Times New Roman" w:hAnsi="Arial" w:cs="Arial"/>
                <w:b/>
                <w:bCs/>
                <w:sz w:val="20"/>
                <w:lang w:eastAsia="en-GB"/>
              </w:rPr>
            </w:pPr>
            <w:r w:rsidRPr="006C3430">
              <w:rPr>
                <w:rFonts w:ascii="Arial" w:eastAsia="Times New Roman" w:hAnsi="Arial" w:cs="Arial"/>
                <w:b/>
                <w:bCs/>
                <w:sz w:val="20"/>
                <w:lang w:eastAsia="en-GB"/>
              </w:rPr>
              <w:t>Variable</w:t>
            </w:r>
          </w:p>
        </w:tc>
        <w:tc>
          <w:tcPr>
            <w:tcW w:w="1163" w:type="pct"/>
            <w:tcBorders>
              <w:top w:val="single" w:sz="12" w:space="0" w:color="auto"/>
              <w:bottom w:val="single" w:sz="4" w:space="0" w:color="auto"/>
            </w:tcBorders>
          </w:tcPr>
          <w:p w14:paraId="5E2F76A0" w14:textId="77777777" w:rsidR="006C3430" w:rsidRPr="006C3430" w:rsidRDefault="006C3430" w:rsidP="006C3430">
            <w:pPr>
              <w:rPr>
                <w:rFonts w:ascii="Arial" w:eastAsia="Times New Roman" w:hAnsi="Arial" w:cs="Arial"/>
                <w:b/>
                <w:bCs/>
                <w:sz w:val="20"/>
                <w:lang w:eastAsia="en-GB"/>
              </w:rPr>
            </w:pPr>
            <w:r w:rsidRPr="006C3430">
              <w:rPr>
                <w:rFonts w:ascii="Arial" w:eastAsia="Times New Roman" w:hAnsi="Arial" w:cs="Arial"/>
                <w:b/>
                <w:bCs/>
                <w:sz w:val="20"/>
                <w:lang w:eastAsia="en-GB"/>
              </w:rPr>
              <w:t>NTG</w:t>
            </w:r>
          </w:p>
        </w:tc>
        <w:tc>
          <w:tcPr>
            <w:tcW w:w="995" w:type="pct"/>
            <w:tcBorders>
              <w:top w:val="single" w:sz="12" w:space="0" w:color="auto"/>
              <w:bottom w:val="single" w:sz="4" w:space="0" w:color="auto"/>
            </w:tcBorders>
          </w:tcPr>
          <w:p w14:paraId="5DE6BEA0" w14:textId="77777777" w:rsidR="006C3430" w:rsidRPr="006C3430" w:rsidRDefault="006C3430" w:rsidP="006C3430">
            <w:pPr>
              <w:rPr>
                <w:rFonts w:ascii="Arial" w:eastAsia="Times New Roman" w:hAnsi="Arial" w:cs="Arial"/>
                <w:b/>
                <w:bCs/>
                <w:sz w:val="20"/>
                <w:lang w:eastAsia="en-GB"/>
              </w:rPr>
            </w:pPr>
            <w:r w:rsidRPr="006C3430">
              <w:rPr>
                <w:rFonts w:ascii="Arial" w:eastAsia="Times New Roman" w:hAnsi="Arial" w:cs="Arial"/>
                <w:b/>
                <w:bCs/>
                <w:sz w:val="20"/>
                <w:lang w:eastAsia="en-GB"/>
              </w:rPr>
              <w:t>HTG</w:t>
            </w:r>
          </w:p>
        </w:tc>
        <w:tc>
          <w:tcPr>
            <w:tcW w:w="1353" w:type="pct"/>
            <w:tcBorders>
              <w:top w:val="single" w:sz="12" w:space="0" w:color="auto"/>
              <w:bottom w:val="single" w:sz="4" w:space="0" w:color="auto"/>
            </w:tcBorders>
          </w:tcPr>
          <w:p w14:paraId="782BEC8B" w14:textId="77777777" w:rsidR="006C3430" w:rsidRPr="006C3430" w:rsidRDefault="006C3430" w:rsidP="006C3430">
            <w:pPr>
              <w:rPr>
                <w:rFonts w:ascii="Arial" w:eastAsia="Times New Roman" w:hAnsi="Arial" w:cs="Arial"/>
                <w:b/>
                <w:bCs/>
                <w:sz w:val="20"/>
                <w:lang w:eastAsia="en-GB"/>
              </w:rPr>
            </w:pPr>
            <w:r w:rsidRPr="006C3430">
              <w:rPr>
                <w:rFonts w:ascii="Arial" w:eastAsia="Times New Roman" w:hAnsi="Arial" w:cs="Arial"/>
                <w:b/>
                <w:bCs/>
                <w:i/>
                <w:iCs/>
                <w:sz w:val="20"/>
                <w:lang w:eastAsia="en-GB"/>
              </w:rPr>
              <w:t>x</w:t>
            </w:r>
            <w:r w:rsidRPr="006C3430">
              <w:rPr>
                <w:rFonts w:ascii="Arial" w:eastAsia="Times New Roman" w:hAnsi="Arial" w:cs="Arial"/>
                <w:b/>
                <w:bCs/>
                <w:i/>
                <w:iCs/>
                <w:sz w:val="20"/>
                <w:vertAlign w:val="superscript"/>
                <w:lang w:eastAsia="en-GB"/>
              </w:rPr>
              <w:t xml:space="preserve">2 </w:t>
            </w:r>
            <w:r w:rsidRPr="006C3430">
              <w:rPr>
                <w:rFonts w:ascii="Arial" w:eastAsia="Times New Roman" w:hAnsi="Arial" w:cs="Arial"/>
                <w:b/>
                <w:bCs/>
                <w:i/>
                <w:iCs/>
                <w:sz w:val="20"/>
                <w:lang w:eastAsia="en-GB"/>
              </w:rPr>
              <w:t>(p</w:t>
            </w:r>
            <w:r w:rsidRPr="006C3430">
              <w:rPr>
                <w:rFonts w:ascii="Arial" w:eastAsia="Times New Roman" w:hAnsi="Arial" w:cs="Arial"/>
                <w:b/>
                <w:bCs/>
                <w:sz w:val="20"/>
                <w:lang w:eastAsia="en-GB"/>
              </w:rPr>
              <w:t>-value)</w:t>
            </w:r>
          </w:p>
        </w:tc>
      </w:tr>
      <w:tr w:rsidR="006C3430" w:rsidRPr="006C3430" w14:paraId="63E2D668" w14:textId="77777777" w:rsidTr="006C3430">
        <w:trPr>
          <w:jc w:val="center"/>
        </w:trPr>
        <w:tc>
          <w:tcPr>
            <w:tcW w:w="1489" w:type="pct"/>
            <w:tcBorders>
              <w:top w:val="single" w:sz="4" w:space="0" w:color="auto"/>
            </w:tcBorders>
          </w:tcPr>
          <w:p w14:paraId="56AD9FD7" w14:textId="77777777" w:rsidR="006C3430" w:rsidRPr="006C3430" w:rsidRDefault="006C3430" w:rsidP="006C3430">
            <w:pPr>
              <w:rPr>
                <w:rFonts w:ascii="Arial" w:eastAsia="Times New Roman" w:hAnsi="Arial" w:cs="Arial"/>
                <w:b/>
                <w:bCs/>
                <w:sz w:val="20"/>
                <w:lang w:eastAsia="en-GB"/>
              </w:rPr>
            </w:pPr>
            <w:r w:rsidRPr="006C3430">
              <w:rPr>
                <w:rFonts w:ascii="Arial" w:eastAsia="Times New Roman" w:hAnsi="Arial" w:cs="Arial"/>
                <w:b/>
                <w:bCs/>
                <w:sz w:val="20"/>
                <w:lang w:eastAsia="en-GB"/>
              </w:rPr>
              <w:t>Age in years</w:t>
            </w:r>
          </w:p>
        </w:tc>
        <w:tc>
          <w:tcPr>
            <w:tcW w:w="1163" w:type="pct"/>
            <w:tcBorders>
              <w:top w:val="single" w:sz="4" w:space="0" w:color="auto"/>
            </w:tcBorders>
          </w:tcPr>
          <w:p w14:paraId="5DD9E773" w14:textId="77777777" w:rsidR="006C3430" w:rsidRPr="006C3430" w:rsidRDefault="006C3430" w:rsidP="006C3430">
            <w:pPr>
              <w:rPr>
                <w:rFonts w:ascii="Arial" w:eastAsia="Times New Roman" w:hAnsi="Arial" w:cs="Arial"/>
                <w:sz w:val="20"/>
                <w:lang w:eastAsia="en-GB"/>
              </w:rPr>
            </w:pPr>
          </w:p>
        </w:tc>
        <w:tc>
          <w:tcPr>
            <w:tcW w:w="995" w:type="pct"/>
            <w:tcBorders>
              <w:top w:val="single" w:sz="4" w:space="0" w:color="auto"/>
            </w:tcBorders>
          </w:tcPr>
          <w:p w14:paraId="0B9119A5" w14:textId="77777777" w:rsidR="006C3430" w:rsidRPr="006C3430" w:rsidRDefault="006C3430" w:rsidP="006C3430">
            <w:pPr>
              <w:rPr>
                <w:rFonts w:ascii="Arial" w:eastAsia="Times New Roman" w:hAnsi="Arial" w:cs="Arial"/>
                <w:sz w:val="20"/>
                <w:lang w:eastAsia="en-GB"/>
              </w:rPr>
            </w:pPr>
          </w:p>
        </w:tc>
        <w:tc>
          <w:tcPr>
            <w:tcW w:w="1353" w:type="pct"/>
            <w:tcBorders>
              <w:top w:val="single" w:sz="4" w:space="0" w:color="auto"/>
            </w:tcBorders>
          </w:tcPr>
          <w:p w14:paraId="589193E0" w14:textId="77777777" w:rsidR="006C3430" w:rsidRPr="006C3430" w:rsidRDefault="006C3430" w:rsidP="006C3430">
            <w:pPr>
              <w:rPr>
                <w:rFonts w:ascii="Arial" w:eastAsia="Times New Roman" w:hAnsi="Arial" w:cs="Arial"/>
                <w:sz w:val="20"/>
                <w:lang w:eastAsia="en-GB"/>
              </w:rPr>
            </w:pPr>
          </w:p>
        </w:tc>
      </w:tr>
      <w:tr w:rsidR="006C3430" w:rsidRPr="006C3430" w14:paraId="177998B0" w14:textId="77777777" w:rsidTr="006C3430">
        <w:trPr>
          <w:jc w:val="center"/>
        </w:trPr>
        <w:tc>
          <w:tcPr>
            <w:tcW w:w="1489" w:type="pct"/>
          </w:tcPr>
          <w:p w14:paraId="1048526A"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40–64</w:t>
            </w:r>
          </w:p>
        </w:tc>
        <w:tc>
          <w:tcPr>
            <w:tcW w:w="1163" w:type="pct"/>
          </w:tcPr>
          <w:p w14:paraId="418E5EEF"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17 (56.7)</w:t>
            </w:r>
          </w:p>
        </w:tc>
        <w:tc>
          <w:tcPr>
            <w:tcW w:w="995" w:type="pct"/>
          </w:tcPr>
          <w:p w14:paraId="0DDCDA08"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27 (45.8)</w:t>
            </w:r>
          </w:p>
        </w:tc>
        <w:tc>
          <w:tcPr>
            <w:tcW w:w="1353" w:type="pct"/>
          </w:tcPr>
          <w:p w14:paraId="6CA52B43"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8.92 (0.003)</w:t>
            </w:r>
          </w:p>
        </w:tc>
      </w:tr>
      <w:tr w:rsidR="006C3430" w:rsidRPr="006C3430" w14:paraId="645ADF7A" w14:textId="77777777" w:rsidTr="006C3430">
        <w:trPr>
          <w:jc w:val="center"/>
        </w:trPr>
        <w:tc>
          <w:tcPr>
            <w:tcW w:w="1489" w:type="pct"/>
          </w:tcPr>
          <w:p w14:paraId="2EE3486B"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 65</w:t>
            </w:r>
          </w:p>
        </w:tc>
        <w:tc>
          <w:tcPr>
            <w:tcW w:w="1163" w:type="pct"/>
          </w:tcPr>
          <w:p w14:paraId="605DF85A"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13 (43.3)</w:t>
            </w:r>
          </w:p>
        </w:tc>
        <w:tc>
          <w:tcPr>
            <w:tcW w:w="995" w:type="pct"/>
          </w:tcPr>
          <w:p w14:paraId="100D797A"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32 (54.2)</w:t>
            </w:r>
          </w:p>
        </w:tc>
        <w:tc>
          <w:tcPr>
            <w:tcW w:w="1353" w:type="pct"/>
          </w:tcPr>
          <w:p w14:paraId="6FF9FC8F" w14:textId="77777777" w:rsidR="006C3430" w:rsidRPr="006C3430" w:rsidRDefault="006C3430" w:rsidP="006C3430">
            <w:pPr>
              <w:rPr>
                <w:rFonts w:ascii="Arial" w:eastAsia="Times New Roman" w:hAnsi="Arial" w:cs="Arial"/>
                <w:sz w:val="20"/>
                <w:lang w:eastAsia="en-GB"/>
              </w:rPr>
            </w:pPr>
          </w:p>
        </w:tc>
      </w:tr>
      <w:tr w:rsidR="006C3430" w:rsidRPr="006C3430" w14:paraId="5B37FBC9" w14:textId="77777777" w:rsidTr="006C3430">
        <w:trPr>
          <w:jc w:val="center"/>
        </w:trPr>
        <w:tc>
          <w:tcPr>
            <w:tcW w:w="1489" w:type="pct"/>
          </w:tcPr>
          <w:p w14:paraId="0D3C29F5" w14:textId="77777777" w:rsidR="006C3430" w:rsidRPr="006C3430" w:rsidRDefault="006C3430" w:rsidP="006C3430">
            <w:pPr>
              <w:rPr>
                <w:rFonts w:ascii="Arial" w:eastAsia="Times New Roman" w:hAnsi="Arial" w:cs="Arial"/>
                <w:b/>
                <w:bCs/>
                <w:sz w:val="20"/>
                <w:lang w:eastAsia="en-GB"/>
              </w:rPr>
            </w:pPr>
            <w:r w:rsidRPr="006C3430">
              <w:rPr>
                <w:rFonts w:ascii="Arial" w:eastAsia="Times New Roman" w:hAnsi="Arial" w:cs="Arial"/>
                <w:b/>
                <w:bCs/>
                <w:sz w:val="20"/>
                <w:lang w:eastAsia="en-GB"/>
              </w:rPr>
              <w:t>Sex</w:t>
            </w:r>
          </w:p>
        </w:tc>
        <w:tc>
          <w:tcPr>
            <w:tcW w:w="1163" w:type="pct"/>
          </w:tcPr>
          <w:p w14:paraId="58225F4A" w14:textId="77777777" w:rsidR="006C3430" w:rsidRPr="006C3430" w:rsidRDefault="006C3430" w:rsidP="006C3430">
            <w:pPr>
              <w:rPr>
                <w:rFonts w:ascii="Arial" w:eastAsia="Times New Roman" w:hAnsi="Arial" w:cs="Arial"/>
                <w:sz w:val="20"/>
                <w:lang w:eastAsia="en-GB"/>
              </w:rPr>
            </w:pPr>
          </w:p>
        </w:tc>
        <w:tc>
          <w:tcPr>
            <w:tcW w:w="995" w:type="pct"/>
          </w:tcPr>
          <w:p w14:paraId="39AE7812" w14:textId="77777777" w:rsidR="006C3430" w:rsidRPr="006C3430" w:rsidRDefault="006C3430" w:rsidP="006C3430">
            <w:pPr>
              <w:rPr>
                <w:rFonts w:ascii="Arial" w:eastAsia="Times New Roman" w:hAnsi="Arial" w:cs="Arial"/>
                <w:sz w:val="20"/>
                <w:lang w:eastAsia="en-GB"/>
              </w:rPr>
            </w:pPr>
          </w:p>
        </w:tc>
        <w:tc>
          <w:tcPr>
            <w:tcW w:w="1353" w:type="pct"/>
          </w:tcPr>
          <w:p w14:paraId="75410A60" w14:textId="77777777" w:rsidR="006C3430" w:rsidRPr="006C3430" w:rsidRDefault="006C3430" w:rsidP="006C3430">
            <w:pPr>
              <w:rPr>
                <w:rFonts w:ascii="Arial" w:eastAsia="Times New Roman" w:hAnsi="Arial" w:cs="Arial"/>
                <w:sz w:val="20"/>
                <w:lang w:eastAsia="en-GB"/>
              </w:rPr>
            </w:pPr>
          </w:p>
        </w:tc>
      </w:tr>
      <w:tr w:rsidR="006C3430" w:rsidRPr="006C3430" w14:paraId="70A3C77D" w14:textId="77777777" w:rsidTr="006C3430">
        <w:trPr>
          <w:jc w:val="center"/>
        </w:trPr>
        <w:tc>
          <w:tcPr>
            <w:tcW w:w="1489" w:type="pct"/>
          </w:tcPr>
          <w:p w14:paraId="0DC3320D"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Male</w:t>
            </w:r>
          </w:p>
        </w:tc>
        <w:tc>
          <w:tcPr>
            <w:tcW w:w="1163" w:type="pct"/>
          </w:tcPr>
          <w:p w14:paraId="1463E302"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13 (43.3)</w:t>
            </w:r>
          </w:p>
        </w:tc>
        <w:tc>
          <w:tcPr>
            <w:tcW w:w="995" w:type="pct"/>
          </w:tcPr>
          <w:p w14:paraId="570885BD"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29 (49.2)</w:t>
            </w:r>
          </w:p>
        </w:tc>
        <w:tc>
          <w:tcPr>
            <w:tcW w:w="1353" w:type="pct"/>
          </w:tcPr>
          <w:p w14:paraId="7CFF7E78"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0.01 (0.874)</w:t>
            </w:r>
          </w:p>
        </w:tc>
      </w:tr>
      <w:tr w:rsidR="006C3430" w:rsidRPr="006C3430" w14:paraId="743EF310" w14:textId="77777777" w:rsidTr="006C3430">
        <w:trPr>
          <w:jc w:val="center"/>
        </w:trPr>
        <w:tc>
          <w:tcPr>
            <w:tcW w:w="1489" w:type="pct"/>
          </w:tcPr>
          <w:p w14:paraId="5628F707"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Female</w:t>
            </w:r>
          </w:p>
        </w:tc>
        <w:tc>
          <w:tcPr>
            <w:tcW w:w="1163" w:type="pct"/>
          </w:tcPr>
          <w:p w14:paraId="7C99A1AE"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17 (56.7)</w:t>
            </w:r>
          </w:p>
        </w:tc>
        <w:tc>
          <w:tcPr>
            <w:tcW w:w="995" w:type="pct"/>
          </w:tcPr>
          <w:p w14:paraId="2CDC7DC2"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30 (50.8)</w:t>
            </w:r>
          </w:p>
        </w:tc>
        <w:tc>
          <w:tcPr>
            <w:tcW w:w="1353" w:type="pct"/>
          </w:tcPr>
          <w:p w14:paraId="21D14489" w14:textId="77777777" w:rsidR="006C3430" w:rsidRPr="006C3430" w:rsidRDefault="006C3430" w:rsidP="006C3430">
            <w:pPr>
              <w:rPr>
                <w:rFonts w:ascii="Arial" w:eastAsia="Times New Roman" w:hAnsi="Arial" w:cs="Arial"/>
                <w:sz w:val="20"/>
                <w:lang w:eastAsia="en-GB"/>
              </w:rPr>
            </w:pPr>
          </w:p>
        </w:tc>
      </w:tr>
      <w:tr w:rsidR="006C3430" w:rsidRPr="006C3430" w14:paraId="3ECF5AC3" w14:textId="77777777" w:rsidTr="006C3430">
        <w:trPr>
          <w:jc w:val="center"/>
        </w:trPr>
        <w:tc>
          <w:tcPr>
            <w:tcW w:w="1489" w:type="pct"/>
          </w:tcPr>
          <w:p w14:paraId="2DFFAEF7" w14:textId="77777777" w:rsidR="006C3430" w:rsidRPr="006C3430" w:rsidRDefault="006C3430" w:rsidP="006C3430">
            <w:pPr>
              <w:rPr>
                <w:rFonts w:ascii="Arial" w:eastAsia="Times New Roman" w:hAnsi="Arial" w:cs="Arial"/>
                <w:b/>
                <w:bCs/>
                <w:sz w:val="20"/>
                <w:lang w:eastAsia="en-GB"/>
              </w:rPr>
            </w:pPr>
            <w:r w:rsidRPr="006C3430">
              <w:rPr>
                <w:rFonts w:ascii="Arial" w:eastAsia="Times New Roman" w:hAnsi="Arial" w:cs="Arial"/>
                <w:b/>
                <w:bCs/>
                <w:sz w:val="20"/>
                <w:lang w:eastAsia="en-GB"/>
              </w:rPr>
              <w:t>Smoking status</w:t>
            </w:r>
          </w:p>
        </w:tc>
        <w:tc>
          <w:tcPr>
            <w:tcW w:w="1163" w:type="pct"/>
          </w:tcPr>
          <w:p w14:paraId="44E800D6" w14:textId="77777777" w:rsidR="006C3430" w:rsidRPr="006C3430" w:rsidRDefault="006C3430" w:rsidP="006C3430">
            <w:pPr>
              <w:rPr>
                <w:rFonts w:ascii="Arial" w:eastAsia="Times New Roman" w:hAnsi="Arial" w:cs="Arial"/>
                <w:sz w:val="20"/>
                <w:lang w:eastAsia="en-GB"/>
              </w:rPr>
            </w:pPr>
          </w:p>
        </w:tc>
        <w:tc>
          <w:tcPr>
            <w:tcW w:w="995" w:type="pct"/>
          </w:tcPr>
          <w:p w14:paraId="1374FA0C" w14:textId="77777777" w:rsidR="006C3430" w:rsidRPr="006C3430" w:rsidRDefault="006C3430" w:rsidP="006C3430">
            <w:pPr>
              <w:rPr>
                <w:rFonts w:ascii="Arial" w:eastAsia="Times New Roman" w:hAnsi="Arial" w:cs="Arial"/>
                <w:sz w:val="20"/>
                <w:lang w:eastAsia="en-GB"/>
              </w:rPr>
            </w:pPr>
          </w:p>
        </w:tc>
        <w:tc>
          <w:tcPr>
            <w:tcW w:w="1353" w:type="pct"/>
          </w:tcPr>
          <w:p w14:paraId="09A94BD8" w14:textId="77777777" w:rsidR="006C3430" w:rsidRPr="006C3430" w:rsidRDefault="006C3430" w:rsidP="006C3430">
            <w:pPr>
              <w:rPr>
                <w:rFonts w:ascii="Arial" w:eastAsia="Times New Roman" w:hAnsi="Arial" w:cs="Arial"/>
                <w:sz w:val="20"/>
                <w:lang w:eastAsia="en-GB"/>
              </w:rPr>
            </w:pPr>
          </w:p>
        </w:tc>
      </w:tr>
      <w:tr w:rsidR="006C3430" w:rsidRPr="006C3430" w14:paraId="458BD9CA" w14:textId="77777777" w:rsidTr="006C3430">
        <w:trPr>
          <w:jc w:val="center"/>
        </w:trPr>
        <w:tc>
          <w:tcPr>
            <w:tcW w:w="1489" w:type="pct"/>
          </w:tcPr>
          <w:p w14:paraId="33D9B4A5"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Yes</w:t>
            </w:r>
          </w:p>
        </w:tc>
        <w:tc>
          <w:tcPr>
            <w:tcW w:w="1163" w:type="pct"/>
          </w:tcPr>
          <w:p w14:paraId="41F3F48F"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6 (20.0)</w:t>
            </w:r>
          </w:p>
        </w:tc>
        <w:tc>
          <w:tcPr>
            <w:tcW w:w="995" w:type="pct"/>
          </w:tcPr>
          <w:p w14:paraId="46F9EAE4"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6 (10.2)</w:t>
            </w:r>
          </w:p>
        </w:tc>
        <w:tc>
          <w:tcPr>
            <w:tcW w:w="1353" w:type="pct"/>
          </w:tcPr>
          <w:p w14:paraId="7CB4F79A"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3.85 (0.047)</w:t>
            </w:r>
          </w:p>
        </w:tc>
      </w:tr>
      <w:tr w:rsidR="006C3430" w:rsidRPr="006C3430" w14:paraId="0D189745" w14:textId="77777777" w:rsidTr="006C3430">
        <w:trPr>
          <w:jc w:val="center"/>
        </w:trPr>
        <w:tc>
          <w:tcPr>
            <w:tcW w:w="1489" w:type="pct"/>
          </w:tcPr>
          <w:p w14:paraId="212EE430"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No</w:t>
            </w:r>
          </w:p>
        </w:tc>
        <w:tc>
          <w:tcPr>
            <w:tcW w:w="1163" w:type="pct"/>
          </w:tcPr>
          <w:p w14:paraId="1EF4DC0F"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24 (80.0)</w:t>
            </w:r>
          </w:p>
        </w:tc>
        <w:tc>
          <w:tcPr>
            <w:tcW w:w="995" w:type="pct"/>
          </w:tcPr>
          <w:p w14:paraId="32AADE07"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53 (89.8)</w:t>
            </w:r>
          </w:p>
        </w:tc>
        <w:tc>
          <w:tcPr>
            <w:tcW w:w="1353" w:type="pct"/>
          </w:tcPr>
          <w:p w14:paraId="60147D52" w14:textId="77777777" w:rsidR="006C3430" w:rsidRPr="006C3430" w:rsidRDefault="006C3430" w:rsidP="006C3430">
            <w:pPr>
              <w:rPr>
                <w:rFonts w:ascii="Arial" w:eastAsia="Times New Roman" w:hAnsi="Arial" w:cs="Arial"/>
                <w:sz w:val="20"/>
                <w:lang w:eastAsia="en-GB"/>
              </w:rPr>
            </w:pPr>
          </w:p>
        </w:tc>
      </w:tr>
      <w:tr w:rsidR="006C3430" w:rsidRPr="006C3430" w14:paraId="23893E83" w14:textId="77777777" w:rsidTr="006C3430">
        <w:trPr>
          <w:jc w:val="center"/>
        </w:trPr>
        <w:tc>
          <w:tcPr>
            <w:tcW w:w="1489" w:type="pct"/>
          </w:tcPr>
          <w:p w14:paraId="036FFBCD" w14:textId="77777777" w:rsidR="006C3430" w:rsidRPr="006C3430" w:rsidRDefault="006C3430" w:rsidP="006C3430">
            <w:pPr>
              <w:rPr>
                <w:rFonts w:ascii="Arial" w:eastAsia="Times New Roman" w:hAnsi="Arial" w:cs="Arial"/>
                <w:b/>
                <w:bCs/>
                <w:sz w:val="20"/>
                <w:lang w:eastAsia="en-GB"/>
              </w:rPr>
            </w:pPr>
            <w:r w:rsidRPr="006C3430">
              <w:rPr>
                <w:rFonts w:ascii="Arial" w:eastAsia="Times New Roman" w:hAnsi="Arial" w:cs="Arial"/>
                <w:b/>
                <w:bCs/>
                <w:sz w:val="20"/>
                <w:lang w:eastAsia="en-GB"/>
              </w:rPr>
              <w:t>Alcohol consumption</w:t>
            </w:r>
          </w:p>
        </w:tc>
        <w:tc>
          <w:tcPr>
            <w:tcW w:w="1163" w:type="pct"/>
          </w:tcPr>
          <w:p w14:paraId="7A1B90C1" w14:textId="77777777" w:rsidR="006C3430" w:rsidRPr="006C3430" w:rsidRDefault="006C3430" w:rsidP="006C3430">
            <w:pPr>
              <w:rPr>
                <w:rFonts w:ascii="Arial" w:eastAsia="Times New Roman" w:hAnsi="Arial" w:cs="Arial"/>
                <w:sz w:val="20"/>
                <w:lang w:eastAsia="en-GB"/>
              </w:rPr>
            </w:pPr>
          </w:p>
        </w:tc>
        <w:tc>
          <w:tcPr>
            <w:tcW w:w="995" w:type="pct"/>
          </w:tcPr>
          <w:p w14:paraId="0E8D3F8A" w14:textId="77777777" w:rsidR="006C3430" w:rsidRPr="006C3430" w:rsidRDefault="006C3430" w:rsidP="006C3430">
            <w:pPr>
              <w:rPr>
                <w:rFonts w:ascii="Arial" w:eastAsia="Times New Roman" w:hAnsi="Arial" w:cs="Arial"/>
                <w:sz w:val="20"/>
                <w:lang w:eastAsia="en-GB"/>
              </w:rPr>
            </w:pPr>
          </w:p>
        </w:tc>
        <w:tc>
          <w:tcPr>
            <w:tcW w:w="1353" w:type="pct"/>
          </w:tcPr>
          <w:p w14:paraId="5BCB5BAF" w14:textId="77777777" w:rsidR="006C3430" w:rsidRPr="006C3430" w:rsidRDefault="006C3430" w:rsidP="006C3430">
            <w:pPr>
              <w:rPr>
                <w:rFonts w:ascii="Arial" w:eastAsia="Times New Roman" w:hAnsi="Arial" w:cs="Arial"/>
                <w:sz w:val="20"/>
                <w:lang w:eastAsia="en-GB"/>
              </w:rPr>
            </w:pPr>
          </w:p>
        </w:tc>
      </w:tr>
      <w:tr w:rsidR="006C3430" w:rsidRPr="006C3430" w14:paraId="546EAB0D" w14:textId="77777777" w:rsidTr="006C3430">
        <w:trPr>
          <w:jc w:val="center"/>
        </w:trPr>
        <w:tc>
          <w:tcPr>
            <w:tcW w:w="1489" w:type="pct"/>
          </w:tcPr>
          <w:p w14:paraId="632FFDAE"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Yes</w:t>
            </w:r>
          </w:p>
        </w:tc>
        <w:tc>
          <w:tcPr>
            <w:tcW w:w="1163" w:type="pct"/>
          </w:tcPr>
          <w:p w14:paraId="4323F119"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15 (50.0)</w:t>
            </w:r>
          </w:p>
        </w:tc>
        <w:tc>
          <w:tcPr>
            <w:tcW w:w="995" w:type="pct"/>
          </w:tcPr>
          <w:p w14:paraId="54E533B5"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25 (42.4)</w:t>
            </w:r>
          </w:p>
        </w:tc>
        <w:tc>
          <w:tcPr>
            <w:tcW w:w="1353" w:type="pct"/>
          </w:tcPr>
          <w:p w14:paraId="77FD889B"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1.40 (0.216)</w:t>
            </w:r>
          </w:p>
        </w:tc>
      </w:tr>
      <w:tr w:rsidR="006C3430" w:rsidRPr="006C3430" w14:paraId="43553EFC" w14:textId="77777777" w:rsidTr="006C3430">
        <w:trPr>
          <w:jc w:val="center"/>
        </w:trPr>
        <w:tc>
          <w:tcPr>
            <w:tcW w:w="1489" w:type="pct"/>
          </w:tcPr>
          <w:p w14:paraId="34A4FE98"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No</w:t>
            </w:r>
          </w:p>
        </w:tc>
        <w:tc>
          <w:tcPr>
            <w:tcW w:w="1163" w:type="pct"/>
          </w:tcPr>
          <w:p w14:paraId="38C7E423"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15 (50.0)</w:t>
            </w:r>
          </w:p>
        </w:tc>
        <w:tc>
          <w:tcPr>
            <w:tcW w:w="995" w:type="pct"/>
          </w:tcPr>
          <w:p w14:paraId="6787E12A"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34 (57.6)</w:t>
            </w:r>
          </w:p>
        </w:tc>
        <w:tc>
          <w:tcPr>
            <w:tcW w:w="1353" w:type="pct"/>
          </w:tcPr>
          <w:p w14:paraId="62D5E8EA" w14:textId="77777777" w:rsidR="006C3430" w:rsidRPr="006C3430" w:rsidRDefault="006C3430" w:rsidP="006C3430">
            <w:pPr>
              <w:rPr>
                <w:rFonts w:ascii="Arial" w:eastAsia="Times New Roman" w:hAnsi="Arial" w:cs="Arial"/>
                <w:sz w:val="20"/>
                <w:lang w:eastAsia="en-GB"/>
              </w:rPr>
            </w:pPr>
          </w:p>
        </w:tc>
      </w:tr>
      <w:tr w:rsidR="006C3430" w:rsidRPr="006C3430" w14:paraId="3DC7BABE" w14:textId="77777777" w:rsidTr="006C3430">
        <w:trPr>
          <w:jc w:val="center"/>
        </w:trPr>
        <w:tc>
          <w:tcPr>
            <w:tcW w:w="1489" w:type="pct"/>
          </w:tcPr>
          <w:p w14:paraId="385E2B8E" w14:textId="77777777" w:rsidR="006C3430" w:rsidRPr="006C3430" w:rsidRDefault="006C3430" w:rsidP="006C3430">
            <w:pPr>
              <w:rPr>
                <w:rFonts w:ascii="Arial" w:eastAsia="Times New Roman" w:hAnsi="Arial" w:cs="Arial"/>
                <w:b/>
                <w:bCs/>
                <w:sz w:val="20"/>
                <w:lang w:eastAsia="en-GB"/>
              </w:rPr>
            </w:pPr>
            <w:r w:rsidRPr="006C3430">
              <w:rPr>
                <w:rFonts w:ascii="Arial" w:eastAsia="Times New Roman" w:hAnsi="Arial" w:cs="Arial"/>
                <w:b/>
                <w:bCs/>
                <w:sz w:val="20"/>
                <w:lang w:eastAsia="en-GB"/>
              </w:rPr>
              <w:t>Migraine headache</w:t>
            </w:r>
          </w:p>
        </w:tc>
        <w:tc>
          <w:tcPr>
            <w:tcW w:w="1163" w:type="pct"/>
          </w:tcPr>
          <w:p w14:paraId="0FB9B08B" w14:textId="77777777" w:rsidR="006C3430" w:rsidRPr="006C3430" w:rsidRDefault="006C3430" w:rsidP="006C3430">
            <w:pPr>
              <w:rPr>
                <w:rFonts w:ascii="Arial" w:eastAsia="Times New Roman" w:hAnsi="Arial" w:cs="Arial"/>
                <w:sz w:val="20"/>
                <w:lang w:eastAsia="en-GB"/>
              </w:rPr>
            </w:pPr>
          </w:p>
        </w:tc>
        <w:tc>
          <w:tcPr>
            <w:tcW w:w="995" w:type="pct"/>
          </w:tcPr>
          <w:p w14:paraId="61B682AF" w14:textId="77777777" w:rsidR="006C3430" w:rsidRPr="006C3430" w:rsidRDefault="006C3430" w:rsidP="006C3430">
            <w:pPr>
              <w:rPr>
                <w:rFonts w:ascii="Arial" w:eastAsia="Times New Roman" w:hAnsi="Arial" w:cs="Arial"/>
                <w:sz w:val="20"/>
                <w:lang w:eastAsia="en-GB"/>
              </w:rPr>
            </w:pPr>
          </w:p>
        </w:tc>
        <w:tc>
          <w:tcPr>
            <w:tcW w:w="1353" w:type="pct"/>
          </w:tcPr>
          <w:p w14:paraId="31C06AA3" w14:textId="77777777" w:rsidR="006C3430" w:rsidRPr="006C3430" w:rsidRDefault="006C3430" w:rsidP="006C3430">
            <w:pPr>
              <w:rPr>
                <w:rFonts w:ascii="Arial" w:eastAsia="Times New Roman" w:hAnsi="Arial" w:cs="Arial"/>
                <w:sz w:val="20"/>
                <w:lang w:eastAsia="en-GB"/>
              </w:rPr>
            </w:pPr>
          </w:p>
        </w:tc>
      </w:tr>
      <w:tr w:rsidR="006C3430" w:rsidRPr="006C3430" w14:paraId="782F73D5" w14:textId="77777777" w:rsidTr="006C3430">
        <w:trPr>
          <w:jc w:val="center"/>
        </w:trPr>
        <w:tc>
          <w:tcPr>
            <w:tcW w:w="1489" w:type="pct"/>
          </w:tcPr>
          <w:p w14:paraId="3253E876"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Yes</w:t>
            </w:r>
          </w:p>
        </w:tc>
        <w:tc>
          <w:tcPr>
            <w:tcW w:w="1163" w:type="pct"/>
          </w:tcPr>
          <w:p w14:paraId="5809BDC0"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4 (13.3)</w:t>
            </w:r>
          </w:p>
        </w:tc>
        <w:tc>
          <w:tcPr>
            <w:tcW w:w="995" w:type="pct"/>
          </w:tcPr>
          <w:p w14:paraId="08C14226"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6 (10.2)</w:t>
            </w:r>
          </w:p>
        </w:tc>
        <w:tc>
          <w:tcPr>
            <w:tcW w:w="1353" w:type="pct"/>
          </w:tcPr>
          <w:p w14:paraId="791365A5"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0.001 (0.974)</w:t>
            </w:r>
          </w:p>
        </w:tc>
      </w:tr>
      <w:tr w:rsidR="006C3430" w:rsidRPr="006C3430" w14:paraId="045ACAFB" w14:textId="77777777" w:rsidTr="006C3430">
        <w:trPr>
          <w:jc w:val="center"/>
        </w:trPr>
        <w:tc>
          <w:tcPr>
            <w:tcW w:w="1489" w:type="pct"/>
          </w:tcPr>
          <w:p w14:paraId="4F7BAD30"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No</w:t>
            </w:r>
          </w:p>
        </w:tc>
        <w:tc>
          <w:tcPr>
            <w:tcW w:w="1163" w:type="pct"/>
          </w:tcPr>
          <w:p w14:paraId="56AFD930"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26 (86.7)</w:t>
            </w:r>
          </w:p>
        </w:tc>
        <w:tc>
          <w:tcPr>
            <w:tcW w:w="995" w:type="pct"/>
          </w:tcPr>
          <w:p w14:paraId="332BDC9B"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53 (89.8)</w:t>
            </w:r>
          </w:p>
        </w:tc>
        <w:tc>
          <w:tcPr>
            <w:tcW w:w="1353" w:type="pct"/>
          </w:tcPr>
          <w:p w14:paraId="34BAFBCE" w14:textId="77777777" w:rsidR="006C3430" w:rsidRPr="006C3430" w:rsidRDefault="006C3430" w:rsidP="006C3430">
            <w:pPr>
              <w:rPr>
                <w:rFonts w:ascii="Arial" w:eastAsia="Times New Roman" w:hAnsi="Arial" w:cs="Arial"/>
                <w:sz w:val="20"/>
                <w:lang w:eastAsia="en-GB"/>
              </w:rPr>
            </w:pPr>
          </w:p>
        </w:tc>
      </w:tr>
      <w:tr w:rsidR="006C3430" w:rsidRPr="006C3430" w14:paraId="3B3F6300" w14:textId="77777777" w:rsidTr="006C3430">
        <w:trPr>
          <w:jc w:val="center"/>
        </w:trPr>
        <w:tc>
          <w:tcPr>
            <w:tcW w:w="1489" w:type="pct"/>
          </w:tcPr>
          <w:p w14:paraId="2A29BB0E" w14:textId="77777777" w:rsidR="006C3430" w:rsidRPr="006C3430" w:rsidRDefault="006C3430" w:rsidP="006C3430">
            <w:pPr>
              <w:rPr>
                <w:rFonts w:ascii="Arial" w:eastAsia="Times New Roman" w:hAnsi="Arial" w:cs="Arial"/>
                <w:b/>
                <w:bCs/>
                <w:sz w:val="20"/>
                <w:lang w:eastAsia="en-GB"/>
              </w:rPr>
            </w:pPr>
            <w:r w:rsidRPr="006C3430">
              <w:rPr>
                <w:rFonts w:ascii="Arial" w:eastAsia="Times New Roman" w:hAnsi="Arial" w:cs="Arial"/>
                <w:b/>
                <w:bCs/>
                <w:sz w:val="20"/>
                <w:lang w:eastAsia="en-GB"/>
              </w:rPr>
              <w:t>Hypertension and DM</w:t>
            </w:r>
          </w:p>
        </w:tc>
        <w:tc>
          <w:tcPr>
            <w:tcW w:w="1163" w:type="pct"/>
          </w:tcPr>
          <w:p w14:paraId="1DF9C096" w14:textId="77777777" w:rsidR="006C3430" w:rsidRPr="006C3430" w:rsidRDefault="006C3430" w:rsidP="006C3430">
            <w:pPr>
              <w:rPr>
                <w:rFonts w:ascii="Arial" w:eastAsia="Times New Roman" w:hAnsi="Arial" w:cs="Arial"/>
                <w:sz w:val="20"/>
                <w:lang w:eastAsia="en-GB"/>
              </w:rPr>
            </w:pPr>
          </w:p>
        </w:tc>
        <w:tc>
          <w:tcPr>
            <w:tcW w:w="995" w:type="pct"/>
          </w:tcPr>
          <w:p w14:paraId="115DEC53" w14:textId="77777777" w:rsidR="006C3430" w:rsidRPr="006C3430" w:rsidRDefault="006C3430" w:rsidP="006C3430">
            <w:pPr>
              <w:rPr>
                <w:rFonts w:ascii="Arial" w:eastAsia="Times New Roman" w:hAnsi="Arial" w:cs="Arial"/>
                <w:sz w:val="20"/>
                <w:lang w:eastAsia="en-GB"/>
              </w:rPr>
            </w:pPr>
          </w:p>
        </w:tc>
        <w:tc>
          <w:tcPr>
            <w:tcW w:w="1353" w:type="pct"/>
          </w:tcPr>
          <w:p w14:paraId="5B3FD79C" w14:textId="77777777" w:rsidR="006C3430" w:rsidRPr="006C3430" w:rsidRDefault="006C3430" w:rsidP="006C3430">
            <w:pPr>
              <w:rPr>
                <w:rFonts w:ascii="Arial" w:eastAsia="Times New Roman" w:hAnsi="Arial" w:cs="Arial"/>
                <w:sz w:val="20"/>
                <w:lang w:eastAsia="en-GB"/>
              </w:rPr>
            </w:pPr>
          </w:p>
        </w:tc>
      </w:tr>
      <w:tr w:rsidR="006C3430" w:rsidRPr="006C3430" w14:paraId="03BB7573" w14:textId="77777777" w:rsidTr="006C3430">
        <w:trPr>
          <w:jc w:val="center"/>
        </w:trPr>
        <w:tc>
          <w:tcPr>
            <w:tcW w:w="1489" w:type="pct"/>
          </w:tcPr>
          <w:p w14:paraId="09C5BCFD"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Yes</w:t>
            </w:r>
          </w:p>
        </w:tc>
        <w:tc>
          <w:tcPr>
            <w:tcW w:w="1163" w:type="pct"/>
          </w:tcPr>
          <w:p w14:paraId="01EFDC0E"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8 (26.7)</w:t>
            </w:r>
          </w:p>
        </w:tc>
        <w:tc>
          <w:tcPr>
            <w:tcW w:w="995" w:type="pct"/>
          </w:tcPr>
          <w:p w14:paraId="69D9A3A8"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22 (37.3)</w:t>
            </w:r>
          </w:p>
        </w:tc>
        <w:tc>
          <w:tcPr>
            <w:tcW w:w="1353" w:type="pct"/>
          </w:tcPr>
          <w:p w14:paraId="5D684211"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0.36 (0.542)</w:t>
            </w:r>
          </w:p>
        </w:tc>
      </w:tr>
      <w:tr w:rsidR="006C3430" w:rsidRPr="006C3430" w14:paraId="154D87F4" w14:textId="77777777" w:rsidTr="006C3430">
        <w:trPr>
          <w:jc w:val="center"/>
        </w:trPr>
        <w:tc>
          <w:tcPr>
            <w:tcW w:w="1489" w:type="pct"/>
          </w:tcPr>
          <w:p w14:paraId="49956623"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lastRenderedPageBreak/>
              <w:t>No</w:t>
            </w:r>
          </w:p>
        </w:tc>
        <w:tc>
          <w:tcPr>
            <w:tcW w:w="1163" w:type="pct"/>
          </w:tcPr>
          <w:p w14:paraId="037C30C0"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22 (73.3)</w:t>
            </w:r>
          </w:p>
        </w:tc>
        <w:tc>
          <w:tcPr>
            <w:tcW w:w="995" w:type="pct"/>
          </w:tcPr>
          <w:p w14:paraId="4E66D5AB"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37 (62.7)</w:t>
            </w:r>
          </w:p>
        </w:tc>
        <w:tc>
          <w:tcPr>
            <w:tcW w:w="1353" w:type="pct"/>
          </w:tcPr>
          <w:p w14:paraId="5A1FE97F" w14:textId="77777777" w:rsidR="006C3430" w:rsidRPr="006C3430" w:rsidRDefault="006C3430" w:rsidP="006C3430">
            <w:pPr>
              <w:rPr>
                <w:rFonts w:ascii="Arial" w:eastAsia="Times New Roman" w:hAnsi="Arial" w:cs="Arial"/>
                <w:sz w:val="20"/>
                <w:lang w:eastAsia="en-GB"/>
              </w:rPr>
            </w:pPr>
          </w:p>
        </w:tc>
      </w:tr>
      <w:tr w:rsidR="006C3430" w:rsidRPr="006C3430" w14:paraId="6A61C82D" w14:textId="77777777" w:rsidTr="006C3430">
        <w:trPr>
          <w:jc w:val="center"/>
        </w:trPr>
        <w:tc>
          <w:tcPr>
            <w:tcW w:w="1489" w:type="pct"/>
          </w:tcPr>
          <w:p w14:paraId="5A6554CF" w14:textId="77777777" w:rsidR="006C3430" w:rsidRPr="006C3430" w:rsidRDefault="006C3430" w:rsidP="006C3430">
            <w:pPr>
              <w:rPr>
                <w:rFonts w:ascii="Arial" w:eastAsia="Times New Roman" w:hAnsi="Arial" w:cs="Arial"/>
                <w:b/>
                <w:bCs/>
                <w:sz w:val="20"/>
                <w:lang w:eastAsia="en-GB"/>
              </w:rPr>
            </w:pPr>
            <w:r w:rsidRPr="006C3430">
              <w:rPr>
                <w:rFonts w:ascii="Arial" w:eastAsia="Times New Roman" w:hAnsi="Arial" w:cs="Arial"/>
                <w:b/>
                <w:bCs/>
                <w:sz w:val="20"/>
                <w:lang w:eastAsia="en-GB"/>
              </w:rPr>
              <w:t>Diabetes mellitus</w:t>
            </w:r>
          </w:p>
        </w:tc>
        <w:tc>
          <w:tcPr>
            <w:tcW w:w="1163" w:type="pct"/>
          </w:tcPr>
          <w:p w14:paraId="7C7379BD" w14:textId="77777777" w:rsidR="006C3430" w:rsidRPr="006C3430" w:rsidRDefault="006C3430" w:rsidP="006C3430">
            <w:pPr>
              <w:rPr>
                <w:rFonts w:ascii="Arial" w:eastAsia="Times New Roman" w:hAnsi="Arial" w:cs="Arial"/>
                <w:sz w:val="20"/>
                <w:lang w:eastAsia="en-GB"/>
              </w:rPr>
            </w:pPr>
          </w:p>
        </w:tc>
        <w:tc>
          <w:tcPr>
            <w:tcW w:w="995" w:type="pct"/>
          </w:tcPr>
          <w:p w14:paraId="7512411E" w14:textId="77777777" w:rsidR="006C3430" w:rsidRPr="006C3430" w:rsidRDefault="006C3430" w:rsidP="006C3430">
            <w:pPr>
              <w:rPr>
                <w:rFonts w:ascii="Arial" w:eastAsia="Times New Roman" w:hAnsi="Arial" w:cs="Arial"/>
                <w:sz w:val="20"/>
                <w:lang w:eastAsia="en-GB"/>
              </w:rPr>
            </w:pPr>
          </w:p>
        </w:tc>
        <w:tc>
          <w:tcPr>
            <w:tcW w:w="1353" w:type="pct"/>
          </w:tcPr>
          <w:p w14:paraId="585906AC" w14:textId="77777777" w:rsidR="006C3430" w:rsidRPr="006C3430" w:rsidRDefault="006C3430" w:rsidP="006C3430">
            <w:pPr>
              <w:rPr>
                <w:rFonts w:ascii="Arial" w:eastAsia="Times New Roman" w:hAnsi="Arial" w:cs="Arial"/>
                <w:sz w:val="20"/>
                <w:lang w:eastAsia="en-GB"/>
              </w:rPr>
            </w:pPr>
          </w:p>
        </w:tc>
      </w:tr>
      <w:tr w:rsidR="006C3430" w:rsidRPr="006C3430" w14:paraId="4C157D84" w14:textId="77777777" w:rsidTr="006C3430">
        <w:trPr>
          <w:jc w:val="center"/>
        </w:trPr>
        <w:tc>
          <w:tcPr>
            <w:tcW w:w="1489" w:type="pct"/>
          </w:tcPr>
          <w:p w14:paraId="4449626E"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Yes</w:t>
            </w:r>
          </w:p>
        </w:tc>
        <w:tc>
          <w:tcPr>
            <w:tcW w:w="1163" w:type="pct"/>
          </w:tcPr>
          <w:p w14:paraId="4E51E802"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6 (75.0)</w:t>
            </w:r>
          </w:p>
        </w:tc>
        <w:tc>
          <w:tcPr>
            <w:tcW w:w="995" w:type="pct"/>
          </w:tcPr>
          <w:p w14:paraId="373E6A98"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9 (40.9)</w:t>
            </w:r>
          </w:p>
        </w:tc>
        <w:tc>
          <w:tcPr>
            <w:tcW w:w="1353" w:type="pct"/>
          </w:tcPr>
          <w:p w14:paraId="708C2933"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3.23 (0.042)</w:t>
            </w:r>
          </w:p>
        </w:tc>
      </w:tr>
      <w:tr w:rsidR="006C3430" w:rsidRPr="006C3430" w14:paraId="79FC0527" w14:textId="77777777" w:rsidTr="006C3430">
        <w:trPr>
          <w:jc w:val="center"/>
        </w:trPr>
        <w:tc>
          <w:tcPr>
            <w:tcW w:w="1489" w:type="pct"/>
          </w:tcPr>
          <w:p w14:paraId="6F7D11AF"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No</w:t>
            </w:r>
          </w:p>
        </w:tc>
        <w:tc>
          <w:tcPr>
            <w:tcW w:w="1163" w:type="pct"/>
          </w:tcPr>
          <w:p w14:paraId="2C1C5386"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2 (25.0)</w:t>
            </w:r>
          </w:p>
        </w:tc>
        <w:tc>
          <w:tcPr>
            <w:tcW w:w="995" w:type="pct"/>
          </w:tcPr>
          <w:p w14:paraId="55BCF35A"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13 (59.1)</w:t>
            </w:r>
          </w:p>
        </w:tc>
        <w:tc>
          <w:tcPr>
            <w:tcW w:w="1353" w:type="pct"/>
          </w:tcPr>
          <w:p w14:paraId="4CD09BF6" w14:textId="77777777" w:rsidR="006C3430" w:rsidRPr="006C3430" w:rsidRDefault="006C3430" w:rsidP="006C3430">
            <w:pPr>
              <w:rPr>
                <w:rFonts w:ascii="Arial" w:eastAsia="Times New Roman" w:hAnsi="Arial" w:cs="Arial"/>
                <w:sz w:val="20"/>
                <w:lang w:eastAsia="en-GB"/>
              </w:rPr>
            </w:pPr>
          </w:p>
        </w:tc>
      </w:tr>
      <w:tr w:rsidR="006C3430" w:rsidRPr="006C3430" w14:paraId="17AAF762" w14:textId="77777777" w:rsidTr="006C3430">
        <w:trPr>
          <w:jc w:val="center"/>
        </w:trPr>
        <w:tc>
          <w:tcPr>
            <w:tcW w:w="1489" w:type="pct"/>
          </w:tcPr>
          <w:p w14:paraId="545EB2BC" w14:textId="77777777" w:rsidR="006C3430" w:rsidRPr="006C3430" w:rsidRDefault="006C3430" w:rsidP="006C3430">
            <w:pPr>
              <w:rPr>
                <w:rFonts w:ascii="Arial" w:eastAsia="Times New Roman" w:hAnsi="Arial" w:cs="Arial"/>
                <w:b/>
                <w:bCs/>
                <w:sz w:val="20"/>
                <w:lang w:eastAsia="en-GB"/>
              </w:rPr>
            </w:pPr>
            <w:r w:rsidRPr="006C3430">
              <w:rPr>
                <w:rFonts w:ascii="Arial" w:eastAsia="Times New Roman" w:hAnsi="Arial" w:cs="Arial"/>
                <w:b/>
                <w:bCs/>
                <w:sz w:val="20"/>
                <w:lang w:eastAsia="en-GB"/>
              </w:rPr>
              <w:t>Hypertension</w:t>
            </w:r>
          </w:p>
        </w:tc>
        <w:tc>
          <w:tcPr>
            <w:tcW w:w="1163" w:type="pct"/>
          </w:tcPr>
          <w:p w14:paraId="4FFBC304" w14:textId="77777777" w:rsidR="006C3430" w:rsidRPr="006C3430" w:rsidRDefault="006C3430" w:rsidP="006C3430">
            <w:pPr>
              <w:rPr>
                <w:rFonts w:ascii="Arial" w:eastAsia="Times New Roman" w:hAnsi="Arial" w:cs="Arial"/>
                <w:sz w:val="20"/>
                <w:lang w:eastAsia="en-GB"/>
              </w:rPr>
            </w:pPr>
          </w:p>
        </w:tc>
        <w:tc>
          <w:tcPr>
            <w:tcW w:w="995" w:type="pct"/>
          </w:tcPr>
          <w:p w14:paraId="08755FCD" w14:textId="77777777" w:rsidR="006C3430" w:rsidRPr="006C3430" w:rsidRDefault="006C3430" w:rsidP="006C3430">
            <w:pPr>
              <w:rPr>
                <w:rFonts w:ascii="Arial" w:eastAsia="Times New Roman" w:hAnsi="Arial" w:cs="Arial"/>
                <w:sz w:val="20"/>
                <w:lang w:eastAsia="en-GB"/>
              </w:rPr>
            </w:pPr>
          </w:p>
        </w:tc>
        <w:tc>
          <w:tcPr>
            <w:tcW w:w="1353" w:type="pct"/>
          </w:tcPr>
          <w:p w14:paraId="19E8EBCE" w14:textId="77777777" w:rsidR="006C3430" w:rsidRPr="006C3430" w:rsidRDefault="006C3430" w:rsidP="006C3430">
            <w:pPr>
              <w:rPr>
                <w:rFonts w:ascii="Arial" w:eastAsia="Times New Roman" w:hAnsi="Arial" w:cs="Arial"/>
                <w:sz w:val="20"/>
                <w:lang w:eastAsia="en-GB"/>
              </w:rPr>
            </w:pPr>
          </w:p>
        </w:tc>
      </w:tr>
      <w:tr w:rsidR="006C3430" w:rsidRPr="006C3430" w14:paraId="0C8F477E" w14:textId="77777777" w:rsidTr="006C3430">
        <w:trPr>
          <w:jc w:val="center"/>
        </w:trPr>
        <w:tc>
          <w:tcPr>
            <w:tcW w:w="1489" w:type="pct"/>
          </w:tcPr>
          <w:p w14:paraId="14E13143"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Yes</w:t>
            </w:r>
          </w:p>
        </w:tc>
        <w:tc>
          <w:tcPr>
            <w:tcW w:w="1163" w:type="pct"/>
          </w:tcPr>
          <w:p w14:paraId="1E2B95D5"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3 (37.5)</w:t>
            </w:r>
          </w:p>
        </w:tc>
        <w:tc>
          <w:tcPr>
            <w:tcW w:w="995" w:type="pct"/>
          </w:tcPr>
          <w:p w14:paraId="091FD297"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18 (81.8)</w:t>
            </w:r>
          </w:p>
        </w:tc>
        <w:tc>
          <w:tcPr>
            <w:tcW w:w="1353" w:type="pct"/>
          </w:tcPr>
          <w:p w14:paraId="24DEA5E7"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3.32 (0.038)</w:t>
            </w:r>
          </w:p>
        </w:tc>
      </w:tr>
      <w:tr w:rsidR="006C3430" w:rsidRPr="006C3430" w14:paraId="21D4C80A" w14:textId="77777777" w:rsidTr="006C3430">
        <w:trPr>
          <w:jc w:val="center"/>
        </w:trPr>
        <w:tc>
          <w:tcPr>
            <w:tcW w:w="1489" w:type="pct"/>
          </w:tcPr>
          <w:p w14:paraId="6FB66591"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No</w:t>
            </w:r>
          </w:p>
        </w:tc>
        <w:tc>
          <w:tcPr>
            <w:tcW w:w="1163" w:type="pct"/>
          </w:tcPr>
          <w:p w14:paraId="43635FBD"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5 (62.5)</w:t>
            </w:r>
          </w:p>
        </w:tc>
        <w:tc>
          <w:tcPr>
            <w:tcW w:w="995" w:type="pct"/>
          </w:tcPr>
          <w:p w14:paraId="565CBD6F"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4 (18.2)</w:t>
            </w:r>
          </w:p>
        </w:tc>
        <w:tc>
          <w:tcPr>
            <w:tcW w:w="1353" w:type="pct"/>
          </w:tcPr>
          <w:p w14:paraId="3EDC3B1E" w14:textId="77777777" w:rsidR="006C3430" w:rsidRPr="006C3430" w:rsidRDefault="006C3430" w:rsidP="006C3430">
            <w:pPr>
              <w:rPr>
                <w:rFonts w:ascii="Arial" w:eastAsia="Times New Roman" w:hAnsi="Arial" w:cs="Arial"/>
                <w:sz w:val="20"/>
                <w:lang w:eastAsia="en-GB"/>
              </w:rPr>
            </w:pPr>
          </w:p>
        </w:tc>
      </w:tr>
      <w:tr w:rsidR="006C3430" w:rsidRPr="006C3430" w14:paraId="4160005D" w14:textId="77777777" w:rsidTr="006C3430">
        <w:trPr>
          <w:jc w:val="center"/>
        </w:trPr>
        <w:tc>
          <w:tcPr>
            <w:tcW w:w="1489" w:type="pct"/>
          </w:tcPr>
          <w:p w14:paraId="7B0AEED0" w14:textId="77777777" w:rsidR="006C3430" w:rsidRPr="006C3430" w:rsidRDefault="006C3430" w:rsidP="006C3430">
            <w:pPr>
              <w:rPr>
                <w:rFonts w:ascii="Arial" w:eastAsia="Times New Roman" w:hAnsi="Arial" w:cs="Arial"/>
                <w:b/>
                <w:bCs/>
                <w:sz w:val="20"/>
                <w:lang w:eastAsia="en-GB"/>
              </w:rPr>
            </w:pPr>
            <w:r w:rsidRPr="006C3430">
              <w:rPr>
                <w:rFonts w:ascii="Arial" w:eastAsia="Times New Roman" w:hAnsi="Arial" w:cs="Arial"/>
                <w:b/>
                <w:bCs/>
                <w:sz w:val="20"/>
                <w:lang w:eastAsia="en-GB"/>
              </w:rPr>
              <w:t>Cold extremely</w:t>
            </w:r>
          </w:p>
        </w:tc>
        <w:tc>
          <w:tcPr>
            <w:tcW w:w="1163" w:type="pct"/>
          </w:tcPr>
          <w:p w14:paraId="6D7890D4" w14:textId="77777777" w:rsidR="006C3430" w:rsidRPr="006C3430" w:rsidRDefault="006C3430" w:rsidP="006C3430">
            <w:pPr>
              <w:rPr>
                <w:rFonts w:ascii="Arial" w:eastAsia="Times New Roman" w:hAnsi="Arial" w:cs="Arial"/>
                <w:sz w:val="20"/>
                <w:lang w:eastAsia="en-GB"/>
              </w:rPr>
            </w:pPr>
          </w:p>
        </w:tc>
        <w:tc>
          <w:tcPr>
            <w:tcW w:w="995" w:type="pct"/>
          </w:tcPr>
          <w:p w14:paraId="45590B2D" w14:textId="77777777" w:rsidR="006C3430" w:rsidRPr="006C3430" w:rsidRDefault="006C3430" w:rsidP="006C3430">
            <w:pPr>
              <w:rPr>
                <w:rFonts w:ascii="Arial" w:eastAsia="Times New Roman" w:hAnsi="Arial" w:cs="Arial"/>
                <w:sz w:val="20"/>
                <w:lang w:eastAsia="en-GB"/>
              </w:rPr>
            </w:pPr>
          </w:p>
        </w:tc>
        <w:tc>
          <w:tcPr>
            <w:tcW w:w="1353" w:type="pct"/>
          </w:tcPr>
          <w:p w14:paraId="040EA86D" w14:textId="77777777" w:rsidR="006C3430" w:rsidRPr="006C3430" w:rsidRDefault="006C3430" w:rsidP="006C3430">
            <w:pPr>
              <w:rPr>
                <w:rFonts w:ascii="Arial" w:eastAsia="Times New Roman" w:hAnsi="Arial" w:cs="Arial"/>
                <w:sz w:val="20"/>
                <w:lang w:eastAsia="en-GB"/>
              </w:rPr>
            </w:pPr>
          </w:p>
        </w:tc>
      </w:tr>
      <w:tr w:rsidR="006C3430" w:rsidRPr="006C3430" w14:paraId="4CAB6F75" w14:textId="77777777" w:rsidTr="006C3430">
        <w:trPr>
          <w:jc w:val="center"/>
        </w:trPr>
        <w:tc>
          <w:tcPr>
            <w:tcW w:w="1489" w:type="pct"/>
          </w:tcPr>
          <w:p w14:paraId="1AFAD46B"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Yes</w:t>
            </w:r>
          </w:p>
        </w:tc>
        <w:tc>
          <w:tcPr>
            <w:tcW w:w="1163" w:type="pct"/>
          </w:tcPr>
          <w:p w14:paraId="23B3BE2D"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4 (13.3)</w:t>
            </w:r>
          </w:p>
        </w:tc>
        <w:tc>
          <w:tcPr>
            <w:tcW w:w="995" w:type="pct"/>
          </w:tcPr>
          <w:p w14:paraId="41938BC1"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0 (0.0)</w:t>
            </w:r>
          </w:p>
        </w:tc>
        <w:tc>
          <w:tcPr>
            <w:tcW w:w="1353" w:type="pct"/>
          </w:tcPr>
          <w:p w14:paraId="546548EC"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1.27 (0.213)</w:t>
            </w:r>
          </w:p>
        </w:tc>
      </w:tr>
      <w:tr w:rsidR="006C3430" w:rsidRPr="006C3430" w14:paraId="6FCCCC42" w14:textId="77777777" w:rsidTr="006C3430">
        <w:trPr>
          <w:jc w:val="center"/>
        </w:trPr>
        <w:tc>
          <w:tcPr>
            <w:tcW w:w="1489" w:type="pct"/>
          </w:tcPr>
          <w:p w14:paraId="67DFC0A8"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No</w:t>
            </w:r>
          </w:p>
        </w:tc>
        <w:tc>
          <w:tcPr>
            <w:tcW w:w="1163" w:type="pct"/>
          </w:tcPr>
          <w:p w14:paraId="0DEECF1E"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26 (86.7)</w:t>
            </w:r>
          </w:p>
        </w:tc>
        <w:tc>
          <w:tcPr>
            <w:tcW w:w="995" w:type="pct"/>
          </w:tcPr>
          <w:p w14:paraId="1D8C5C76"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59 (100)</w:t>
            </w:r>
          </w:p>
        </w:tc>
        <w:tc>
          <w:tcPr>
            <w:tcW w:w="1353" w:type="pct"/>
          </w:tcPr>
          <w:p w14:paraId="2CC3D4F0" w14:textId="77777777" w:rsidR="006C3430" w:rsidRPr="006C3430" w:rsidRDefault="006C3430" w:rsidP="006C3430">
            <w:pPr>
              <w:rPr>
                <w:rFonts w:ascii="Arial" w:eastAsia="Times New Roman" w:hAnsi="Arial" w:cs="Arial"/>
                <w:sz w:val="20"/>
                <w:lang w:eastAsia="en-GB"/>
              </w:rPr>
            </w:pPr>
          </w:p>
        </w:tc>
      </w:tr>
    </w:tbl>
    <w:p w14:paraId="1EC4EE59" w14:textId="77777777" w:rsidR="0044099A" w:rsidRPr="006C3430" w:rsidRDefault="006C3430" w:rsidP="0044099A">
      <w:pPr>
        <w:rPr>
          <w:rFonts w:ascii="Arial" w:hAnsi="Arial" w:cs="Arial"/>
          <w:lang w:eastAsia="en-GB"/>
        </w:rPr>
      </w:pPr>
      <w:r w:rsidRPr="006C3430">
        <w:rPr>
          <w:rFonts w:ascii="Arial" w:hAnsi="Arial" w:cs="Arial"/>
          <w:lang w:eastAsia="en-GB"/>
        </w:rPr>
        <w:t>(</w:t>
      </w:r>
      <w:r w:rsidRPr="006C3430">
        <w:rPr>
          <w:rFonts w:ascii="Arial" w:hAnsi="Arial" w:cs="Arial"/>
          <w:i/>
          <w:lang w:eastAsia="en-GB"/>
        </w:rPr>
        <w:t>Abbreviations: NTG – Normal Tension Glaucoma; HTG – High Tension Glaucoma</w:t>
      </w:r>
      <w:r w:rsidRPr="006C3430">
        <w:rPr>
          <w:rFonts w:ascii="Arial" w:hAnsi="Arial" w:cs="Arial"/>
          <w:lang w:eastAsia="en-GB"/>
        </w:rPr>
        <w:t>)</w:t>
      </w:r>
      <w:r w:rsidR="00E053D0" w:rsidRPr="00E053D0">
        <w:rPr>
          <w:rFonts w:ascii="Arial" w:hAnsi="Arial" w:cs="Arial"/>
          <w:lang w:val="en-GB" w:eastAsia="en-GB"/>
        </w:rPr>
        <w:br/>
      </w:r>
      <w:bookmarkStart w:id="12" w:name="_Toc201923059"/>
      <w:r w:rsidR="0044099A" w:rsidRPr="0044099A">
        <w:rPr>
          <w:rFonts w:ascii="Arial" w:hAnsi="Arial" w:cs="Arial"/>
          <w:b/>
          <w:lang w:eastAsia="en-GB"/>
        </w:rPr>
        <w:t>3.3. Distribution of OPP and IOP among POAG and control</w:t>
      </w:r>
      <w:bookmarkEnd w:id="12"/>
    </w:p>
    <w:p w14:paraId="03F8953E" w14:textId="77777777" w:rsidR="00E053D0" w:rsidRPr="006C3430" w:rsidRDefault="0044099A" w:rsidP="00441B6F">
      <w:pPr>
        <w:rPr>
          <w:rFonts w:ascii="Arial" w:hAnsi="Arial" w:cs="Arial"/>
          <w:bCs/>
          <w:lang w:eastAsia="en-GB"/>
        </w:rPr>
      </w:pPr>
      <w:r w:rsidRPr="0044099A">
        <w:rPr>
          <w:rFonts w:ascii="Arial" w:hAnsi="Arial" w:cs="Arial"/>
          <w:bCs/>
          <w:lang w:eastAsia="en-GB"/>
        </w:rPr>
        <w:t xml:space="preserve">NTG patients had the lowest average ocular perfusion pressures (DPP, SPP, MOPP), while the control group had the highest values. The average ocular perfusion pressures in the NTG group were (DPP was 50.9±13.9 mmHg, SPP was 112.7±25.5 mmHg, MOPP was 71.5±16.7 mmHg), while for the control group were (DPP was </w:t>
      </w:r>
      <w:r w:rsidRPr="0044099A">
        <w:rPr>
          <w:rFonts w:ascii="Arial" w:hAnsi="Arial" w:cs="Arial"/>
          <w:lang w:eastAsia="en-GB"/>
        </w:rPr>
        <w:t xml:space="preserve">65.7±10.8 </w:t>
      </w:r>
      <w:r w:rsidRPr="0044099A">
        <w:rPr>
          <w:rFonts w:ascii="Arial" w:hAnsi="Arial" w:cs="Arial"/>
          <w:bCs/>
          <w:lang w:eastAsia="en-GB"/>
        </w:rPr>
        <w:t xml:space="preserve">mmHg, SPP was </w:t>
      </w:r>
      <w:r w:rsidRPr="0044099A">
        <w:rPr>
          <w:rFonts w:ascii="Arial" w:hAnsi="Arial" w:cs="Arial"/>
          <w:lang w:eastAsia="en-GB"/>
        </w:rPr>
        <w:t xml:space="preserve">119.8±17.9 </w:t>
      </w:r>
      <w:r w:rsidRPr="0044099A">
        <w:rPr>
          <w:rFonts w:ascii="Arial" w:hAnsi="Arial" w:cs="Arial"/>
          <w:bCs/>
          <w:lang w:eastAsia="en-GB"/>
        </w:rPr>
        <w:t xml:space="preserve">mmHg, MOPP was </w:t>
      </w:r>
      <w:r w:rsidRPr="0044099A">
        <w:rPr>
          <w:rFonts w:ascii="Arial" w:hAnsi="Arial" w:cs="Arial"/>
          <w:lang w:eastAsia="en-GB"/>
        </w:rPr>
        <w:t xml:space="preserve">83.8±12.1 </w:t>
      </w:r>
      <w:r w:rsidRPr="0044099A">
        <w:rPr>
          <w:rFonts w:ascii="Arial" w:hAnsi="Arial" w:cs="Arial"/>
          <w:bCs/>
          <w:lang w:eastAsia="en-GB"/>
        </w:rPr>
        <w:t>mmHg). The average IOP for NTG (</w:t>
      </w:r>
      <w:r w:rsidRPr="0044099A">
        <w:rPr>
          <w:rFonts w:ascii="Arial" w:hAnsi="Arial" w:cs="Arial"/>
          <w:lang w:eastAsia="en-GB"/>
        </w:rPr>
        <w:t>20.0±0.92 mmHg</w:t>
      </w:r>
      <w:r w:rsidRPr="0044099A">
        <w:rPr>
          <w:rFonts w:ascii="Arial" w:hAnsi="Arial" w:cs="Arial"/>
          <w:bCs/>
          <w:lang w:eastAsia="en-GB"/>
        </w:rPr>
        <w:t>) was higher than for controls (</w:t>
      </w:r>
      <w:r w:rsidRPr="0044099A">
        <w:rPr>
          <w:rFonts w:ascii="Arial" w:hAnsi="Arial" w:cs="Arial"/>
          <w:lang w:eastAsia="en-GB"/>
        </w:rPr>
        <w:t>14.1±3.1 mmHg</w:t>
      </w:r>
      <w:r w:rsidRPr="0044099A">
        <w:rPr>
          <w:rFonts w:ascii="Arial" w:hAnsi="Arial" w:cs="Arial"/>
          <w:bCs/>
          <w:lang w:eastAsia="en-GB"/>
        </w:rPr>
        <w:t>), whereas the HTG had the highest IOP (</w:t>
      </w:r>
      <w:r w:rsidRPr="0044099A">
        <w:rPr>
          <w:rFonts w:ascii="Arial" w:hAnsi="Arial" w:cs="Arial"/>
          <w:lang w:eastAsia="en-GB"/>
        </w:rPr>
        <w:t>26.0±1.6 mmHg</w:t>
      </w:r>
      <w:r w:rsidRPr="0044099A">
        <w:rPr>
          <w:rFonts w:ascii="Arial" w:hAnsi="Arial" w:cs="Arial"/>
          <w:bCs/>
          <w:lang w:eastAsia="en-GB"/>
        </w:rPr>
        <w:t>). (Table 3)</w:t>
      </w:r>
    </w:p>
    <w:p w14:paraId="728214E2" w14:textId="77777777" w:rsidR="006C3430" w:rsidRDefault="006C3430" w:rsidP="001277C6">
      <w:pPr>
        <w:pStyle w:val="Body"/>
        <w:spacing w:after="0"/>
        <w:rPr>
          <w:rFonts w:ascii="Arial" w:hAnsi="Arial" w:cs="Arial"/>
          <w:b/>
          <w:bCs/>
        </w:rPr>
      </w:pPr>
      <w:bookmarkStart w:id="13" w:name="_Toc201923086"/>
      <w:r w:rsidRPr="006C3430">
        <w:rPr>
          <w:rFonts w:ascii="Arial" w:hAnsi="Arial" w:cs="Arial"/>
          <w:b/>
          <w:bCs/>
        </w:rPr>
        <w:t xml:space="preserve">Table </w:t>
      </w:r>
      <w:r w:rsidRPr="006C3430">
        <w:rPr>
          <w:rFonts w:ascii="Arial" w:hAnsi="Arial" w:cs="Arial"/>
          <w:b/>
          <w:bCs/>
        </w:rPr>
        <w:fldChar w:fldCharType="begin"/>
      </w:r>
      <w:r w:rsidRPr="006C3430">
        <w:rPr>
          <w:rFonts w:ascii="Arial" w:hAnsi="Arial" w:cs="Arial"/>
          <w:b/>
          <w:bCs/>
        </w:rPr>
        <w:instrText xml:space="preserve"> SEQ Table \* ARABIC </w:instrText>
      </w:r>
      <w:r w:rsidRPr="006C3430">
        <w:rPr>
          <w:rFonts w:ascii="Arial" w:hAnsi="Arial" w:cs="Arial"/>
          <w:b/>
          <w:bCs/>
        </w:rPr>
        <w:fldChar w:fldCharType="separate"/>
      </w:r>
      <w:r w:rsidRPr="006C3430">
        <w:rPr>
          <w:rFonts w:ascii="Arial" w:hAnsi="Arial" w:cs="Arial"/>
          <w:b/>
          <w:bCs/>
        </w:rPr>
        <w:t>3</w:t>
      </w:r>
      <w:r w:rsidRPr="006C3430">
        <w:rPr>
          <w:rFonts w:ascii="Arial" w:hAnsi="Arial" w:cs="Arial"/>
        </w:rPr>
        <w:fldChar w:fldCharType="end"/>
      </w:r>
      <w:r w:rsidRPr="006C3430">
        <w:rPr>
          <w:rFonts w:ascii="Arial" w:hAnsi="Arial" w:cs="Arial"/>
          <w:b/>
          <w:bCs/>
        </w:rPr>
        <w:t>: Distribution of OPP and IOP among POAG and control</w:t>
      </w:r>
      <w:bookmarkEnd w:id="13"/>
    </w:p>
    <w:tbl>
      <w:tblPr>
        <w:tblStyle w:val="TableGrid"/>
        <w:tblW w:w="0" w:type="auto"/>
        <w:jc w:val="center"/>
        <w:tblBorders>
          <w:top w:val="single" w:sz="12"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352"/>
        <w:gridCol w:w="1834"/>
        <w:gridCol w:w="2119"/>
        <w:gridCol w:w="2119"/>
      </w:tblGrid>
      <w:tr w:rsidR="006C3430" w:rsidRPr="006C3430" w14:paraId="251FD4E0" w14:textId="77777777" w:rsidTr="006C3430">
        <w:trPr>
          <w:jc w:val="center"/>
        </w:trPr>
        <w:tc>
          <w:tcPr>
            <w:tcW w:w="2352" w:type="dxa"/>
            <w:tcBorders>
              <w:top w:val="single" w:sz="12" w:space="0" w:color="auto"/>
              <w:bottom w:val="single" w:sz="4" w:space="0" w:color="auto"/>
            </w:tcBorders>
          </w:tcPr>
          <w:p w14:paraId="03680623" w14:textId="77777777" w:rsidR="006C3430" w:rsidRPr="006C3430" w:rsidRDefault="006C3430" w:rsidP="001277C6">
            <w:pPr>
              <w:pStyle w:val="Body"/>
              <w:spacing w:after="0"/>
              <w:rPr>
                <w:rFonts w:ascii="Arial" w:eastAsia="Times New Roman" w:hAnsi="Arial" w:cs="Arial"/>
                <w:b/>
                <w:bCs/>
                <w:sz w:val="20"/>
              </w:rPr>
            </w:pPr>
            <w:r w:rsidRPr="006C3430">
              <w:rPr>
                <w:rFonts w:ascii="Arial" w:eastAsia="Times New Roman" w:hAnsi="Arial" w:cs="Arial"/>
                <w:b/>
                <w:bCs/>
                <w:sz w:val="20"/>
              </w:rPr>
              <w:t>Variable</w:t>
            </w:r>
          </w:p>
        </w:tc>
        <w:tc>
          <w:tcPr>
            <w:tcW w:w="1834" w:type="dxa"/>
            <w:tcBorders>
              <w:top w:val="single" w:sz="12" w:space="0" w:color="auto"/>
              <w:bottom w:val="single" w:sz="4" w:space="0" w:color="auto"/>
            </w:tcBorders>
          </w:tcPr>
          <w:p w14:paraId="48C00CB6" w14:textId="77777777" w:rsidR="006C3430" w:rsidRPr="006C3430" w:rsidRDefault="006C3430" w:rsidP="001277C6">
            <w:pPr>
              <w:pStyle w:val="Body"/>
              <w:spacing w:after="0"/>
              <w:rPr>
                <w:rFonts w:ascii="Arial" w:eastAsia="Times New Roman" w:hAnsi="Arial" w:cs="Arial"/>
                <w:b/>
                <w:bCs/>
                <w:sz w:val="20"/>
              </w:rPr>
            </w:pPr>
            <w:r w:rsidRPr="006C3430">
              <w:rPr>
                <w:rFonts w:ascii="Arial" w:eastAsia="Times New Roman" w:hAnsi="Arial" w:cs="Arial"/>
                <w:b/>
                <w:bCs/>
                <w:sz w:val="20"/>
              </w:rPr>
              <w:t>NTG (</w:t>
            </w:r>
            <w:proofErr w:type="spellStart"/>
            <w:r w:rsidRPr="006C3430">
              <w:rPr>
                <w:rFonts w:ascii="Arial" w:eastAsia="Times New Roman" w:hAnsi="Arial" w:cs="Arial"/>
                <w:b/>
                <w:bCs/>
                <w:sz w:val="20"/>
              </w:rPr>
              <w:t>Mean±SD</w:t>
            </w:r>
            <w:proofErr w:type="spellEnd"/>
            <w:r w:rsidRPr="006C3430">
              <w:rPr>
                <w:rFonts w:ascii="Arial" w:eastAsia="Times New Roman" w:hAnsi="Arial" w:cs="Arial"/>
                <w:b/>
                <w:bCs/>
                <w:sz w:val="20"/>
              </w:rPr>
              <w:t>)</w:t>
            </w:r>
          </w:p>
          <w:p w14:paraId="0AB46B1A" w14:textId="77777777" w:rsidR="006C3430" w:rsidRPr="006C3430" w:rsidRDefault="006C3430" w:rsidP="001277C6">
            <w:pPr>
              <w:pStyle w:val="Body"/>
              <w:spacing w:after="0"/>
              <w:rPr>
                <w:rFonts w:ascii="Arial" w:eastAsia="Times New Roman" w:hAnsi="Arial" w:cs="Arial"/>
                <w:b/>
                <w:bCs/>
                <w:sz w:val="20"/>
              </w:rPr>
            </w:pPr>
            <w:r w:rsidRPr="006C3430">
              <w:rPr>
                <w:rFonts w:ascii="Arial" w:eastAsia="Times New Roman" w:hAnsi="Arial" w:cs="Arial"/>
                <w:b/>
                <w:bCs/>
                <w:sz w:val="20"/>
              </w:rPr>
              <w:t>(mmHg)</w:t>
            </w:r>
          </w:p>
        </w:tc>
        <w:tc>
          <w:tcPr>
            <w:tcW w:w="2119" w:type="dxa"/>
            <w:tcBorders>
              <w:top w:val="single" w:sz="12" w:space="0" w:color="auto"/>
              <w:bottom w:val="single" w:sz="4" w:space="0" w:color="auto"/>
            </w:tcBorders>
          </w:tcPr>
          <w:p w14:paraId="467D74C6" w14:textId="77777777" w:rsidR="006C3430" w:rsidRPr="006C3430" w:rsidRDefault="006C3430" w:rsidP="001277C6">
            <w:pPr>
              <w:pStyle w:val="Body"/>
              <w:spacing w:after="0"/>
              <w:rPr>
                <w:rFonts w:ascii="Arial" w:eastAsia="Times New Roman" w:hAnsi="Arial" w:cs="Arial"/>
                <w:b/>
                <w:bCs/>
                <w:sz w:val="20"/>
              </w:rPr>
            </w:pPr>
            <w:r w:rsidRPr="006C3430">
              <w:rPr>
                <w:rFonts w:ascii="Arial" w:eastAsia="Times New Roman" w:hAnsi="Arial" w:cs="Arial"/>
                <w:b/>
                <w:bCs/>
                <w:sz w:val="20"/>
              </w:rPr>
              <w:t>HTG (</w:t>
            </w:r>
            <w:proofErr w:type="spellStart"/>
            <w:r w:rsidRPr="006C3430">
              <w:rPr>
                <w:rFonts w:ascii="Arial" w:eastAsia="Times New Roman" w:hAnsi="Arial" w:cs="Arial"/>
                <w:b/>
                <w:bCs/>
                <w:sz w:val="20"/>
              </w:rPr>
              <w:t>Mean±SD</w:t>
            </w:r>
            <w:proofErr w:type="spellEnd"/>
            <w:r w:rsidRPr="006C3430">
              <w:rPr>
                <w:rFonts w:ascii="Arial" w:eastAsia="Times New Roman" w:hAnsi="Arial" w:cs="Arial"/>
                <w:b/>
                <w:bCs/>
                <w:sz w:val="20"/>
              </w:rPr>
              <w:t>)</w:t>
            </w:r>
          </w:p>
          <w:p w14:paraId="55F5AFD6" w14:textId="77777777" w:rsidR="006C3430" w:rsidRPr="006C3430" w:rsidRDefault="006C3430" w:rsidP="001277C6">
            <w:pPr>
              <w:pStyle w:val="Body"/>
              <w:spacing w:after="0"/>
              <w:rPr>
                <w:rFonts w:ascii="Arial" w:eastAsia="Times New Roman" w:hAnsi="Arial" w:cs="Arial"/>
                <w:b/>
                <w:bCs/>
                <w:sz w:val="20"/>
              </w:rPr>
            </w:pPr>
            <w:r w:rsidRPr="006C3430">
              <w:rPr>
                <w:rFonts w:ascii="Arial" w:eastAsia="Times New Roman" w:hAnsi="Arial" w:cs="Arial"/>
                <w:b/>
                <w:bCs/>
                <w:sz w:val="20"/>
              </w:rPr>
              <w:t>(mmHg)</w:t>
            </w:r>
          </w:p>
        </w:tc>
        <w:tc>
          <w:tcPr>
            <w:tcW w:w="2119" w:type="dxa"/>
            <w:tcBorders>
              <w:top w:val="single" w:sz="12" w:space="0" w:color="auto"/>
              <w:bottom w:val="single" w:sz="4" w:space="0" w:color="auto"/>
            </w:tcBorders>
          </w:tcPr>
          <w:p w14:paraId="4D6791C3" w14:textId="77777777" w:rsidR="006C3430" w:rsidRPr="006C3430" w:rsidRDefault="006C3430" w:rsidP="001277C6">
            <w:pPr>
              <w:pStyle w:val="Body"/>
              <w:spacing w:after="0"/>
              <w:rPr>
                <w:rFonts w:ascii="Arial" w:eastAsia="Times New Roman" w:hAnsi="Arial" w:cs="Arial"/>
                <w:b/>
                <w:bCs/>
                <w:sz w:val="20"/>
              </w:rPr>
            </w:pPr>
            <w:r w:rsidRPr="006C3430">
              <w:rPr>
                <w:rFonts w:ascii="Arial" w:eastAsia="Times New Roman" w:hAnsi="Arial" w:cs="Arial"/>
                <w:b/>
                <w:bCs/>
                <w:sz w:val="20"/>
              </w:rPr>
              <w:t>Control (</w:t>
            </w:r>
            <w:proofErr w:type="spellStart"/>
            <w:r w:rsidRPr="006C3430">
              <w:rPr>
                <w:rFonts w:ascii="Arial" w:eastAsia="Times New Roman" w:hAnsi="Arial" w:cs="Arial"/>
                <w:b/>
                <w:bCs/>
                <w:sz w:val="20"/>
              </w:rPr>
              <w:t>Mean±SD</w:t>
            </w:r>
            <w:proofErr w:type="spellEnd"/>
            <w:r w:rsidRPr="006C3430">
              <w:rPr>
                <w:rFonts w:ascii="Arial" w:eastAsia="Times New Roman" w:hAnsi="Arial" w:cs="Arial"/>
                <w:b/>
                <w:bCs/>
                <w:sz w:val="20"/>
              </w:rPr>
              <w:t>)</w:t>
            </w:r>
          </w:p>
          <w:p w14:paraId="194FCAB2" w14:textId="77777777" w:rsidR="006C3430" w:rsidRPr="006C3430" w:rsidRDefault="006C3430" w:rsidP="001277C6">
            <w:pPr>
              <w:pStyle w:val="Body"/>
              <w:spacing w:after="0"/>
              <w:rPr>
                <w:rFonts w:ascii="Arial" w:eastAsia="Times New Roman" w:hAnsi="Arial" w:cs="Arial"/>
                <w:b/>
                <w:bCs/>
                <w:sz w:val="20"/>
              </w:rPr>
            </w:pPr>
            <w:r w:rsidRPr="006C3430">
              <w:rPr>
                <w:rFonts w:ascii="Arial" w:eastAsia="Times New Roman" w:hAnsi="Arial" w:cs="Arial"/>
                <w:b/>
                <w:bCs/>
                <w:sz w:val="20"/>
              </w:rPr>
              <w:t>(mmHg)</w:t>
            </w:r>
          </w:p>
        </w:tc>
      </w:tr>
      <w:tr w:rsidR="006C3430" w:rsidRPr="006C3430" w14:paraId="5AAA76F1" w14:textId="77777777" w:rsidTr="006C3430">
        <w:trPr>
          <w:jc w:val="center"/>
        </w:trPr>
        <w:tc>
          <w:tcPr>
            <w:tcW w:w="2352" w:type="dxa"/>
            <w:tcBorders>
              <w:top w:val="single" w:sz="4" w:space="0" w:color="auto"/>
            </w:tcBorders>
          </w:tcPr>
          <w:p w14:paraId="5136506B" w14:textId="77777777" w:rsidR="006C3430" w:rsidRPr="006C3430" w:rsidRDefault="006C3430" w:rsidP="006C3430">
            <w:pPr>
              <w:pStyle w:val="Body"/>
              <w:spacing w:after="0"/>
              <w:rPr>
                <w:rFonts w:ascii="Arial" w:eastAsia="Times New Roman" w:hAnsi="Arial" w:cs="Arial"/>
                <w:b/>
                <w:bCs/>
                <w:sz w:val="20"/>
              </w:rPr>
            </w:pPr>
            <w:r w:rsidRPr="006C3430">
              <w:rPr>
                <w:rFonts w:ascii="Arial" w:eastAsia="Times New Roman" w:hAnsi="Arial" w:cs="Arial"/>
                <w:b/>
                <w:bCs/>
                <w:sz w:val="20"/>
              </w:rPr>
              <w:t>Mean Average DPP</w:t>
            </w:r>
          </w:p>
        </w:tc>
        <w:tc>
          <w:tcPr>
            <w:tcW w:w="1834" w:type="dxa"/>
            <w:tcBorders>
              <w:top w:val="single" w:sz="4" w:space="0" w:color="auto"/>
            </w:tcBorders>
          </w:tcPr>
          <w:p w14:paraId="2BB7F7CF" w14:textId="77777777" w:rsidR="006C3430" w:rsidRPr="006C3430" w:rsidRDefault="006C3430" w:rsidP="006C3430">
            <w:pPr>
              <w:pStyle w:val="Body"/>
              <w:spacing w:after="0"/>
              <w:rPr>
                <w:rFonts w:ascii="Arial" w:eastAsia="Times New Roman" w:hAnsi="Arial" w:cs="Arial"/>
                <w:bCs/>
                <w:sz w:val="20"/>
              </w:rPr>
            </w:pPr>
          </w:p>
        </w:tc>
        <w:tc>
          <w:tcPr>
            <w:tcW w:w="2119" w:type="dxa"/>
            <w:tcBorders>
              <w:top w:val="single" w:sz="4" w:space="0" w:color="auto"/>
            </w:tcBorders>
          </w:tcPr>
          <w:p w14:paraId="4BAA78FF" w14:textId="77777777" w:rsidR="006C3430" w:rsidRPr="006C3430" w:rsidRDefault="006C3430" w:rsidP="006C3430">
            <w:pPr>
              <w:pStyle w:val="Body"/>
              <w:spacing w:after="0"/>
              <w:rPr>
                <w:rFonts w:ascii="Arial" w:eastAsia="Times New Roman" w:hAnsi="Arial" w:cs="Arial"/>
                <w:bCs/>
                <w:sz w:val="20"/>
              </w:rPr>
            </w:pPr>
          </w:p>
        </w:tc>
        <w:tc>
          <w:tcPr>
            <w:tcW w:w="2119" w:type="dxa"/>
            <w:tcBorders>
              <w:top w:val="single" w:sz="4" w:space="0" w:color="auto"/>
            </w:tcBorders>
          </w:tcPr>
          <w:p w14:paraId="65F09C56" w14:textId="77777777" w:rsidR="006C3430" w:rsidRPr="006C3430" w:rsidRDefault="006C3430" w:rsidP="006C3430">
            <w:pPr>
              <w:pStyle w:val="Body"/>
              <w:spacing w:after="0"/>
              <w:rPr>
                <w:rFonts w:ascii="Arial" w:eastAsia="Times New Roman" w:hAnsi="Arial" w:cs="Arial"/>
                <w:bCs/>
                <w:sz w:val="20"/>
              </w:rPr>
            </w:pPr>
          </w:p>
        </w:tc>
      </w:tr>
      <w:tr w:rsidR="006C3430" w:rsidRPr="006C3430" w14:paraId="05770324" w14:textId="77777777" w:rsidTr="006C3430">
        <w:trPr>
          <w:jc w:val="center"/>
        </w:trPr>
        <w:tc>
          <w:tcPr>
            <w:tcW w:w="2352" w:type="dxa"/>
          </w:tcPr>
          <w:p w14:paraId="58A1E460"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Right</w:t>
            </w:r>
          </w:p>
        </w:tc>
        <w:tc>
          <w:tcPr>
            <w:tcW w:w="1834" w:type="dxa"/>
          </w:tcPr>
          <w:p w14:paraId="55C31522"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50.9±13.9</w:t>
            </w:r>
          </w:p>
        </w:tc>
        <w:tc>
          <w:tcPr>
            <w:tcW w:w="2119" w:type="dxa"/>
          </w:tcPr>
          <w:p w14:paraId="380EA686"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61.3±13.9</w:t>
            </w:r>
          </w:p>
        </w:tc>
        <w:tc>
          <w:tcPr>
            <w:tcW w:w="2119" w:type="dxa"/>
          </w:tcPr>
          <w:p w14:paraId="25172F1C"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65.7±10.8</w:t>
            </w:r>
          </w:p>
        </w:tc>
      </w:tr>
      <w:tr w:rsidR="006C3430" w:rsidRPr="006C3430" w14:paraId="09DAA597" w14:textId="77777777" w:rsidTr="006C3430">
        <w:trPr>
          <w:jc w:val="center"/>
        </w:trPr>
        <w:tc>
          <w:tcPr>
            <w:tcW w:w="2352" w:type="dxa"/>
          </w:tcPr>
          <w:p w14:paraId="41C037DF"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Left</w:t>
            </w:r>
          </w:p>
        </w:tc>
        <w:tc>
          <w:tcPr>
            <w:tcW w:w="1834" w:type="dxa"/>
          </w:tcPr>
          <w:p w14:paraId="062C3DE8"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51.5±13.0</w:t>
            </w:r>
          </w:p>
        </w:tc>
        <w:tc>
          <w:tcPr>
            <w:tcW w:w="2119" w:type="dxa"/>
          </w:tcPr>
          <w:p w14:paraId="6A4FA33A"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61.0±14.9</w:t>
            </w:r>
          </w:p>
        </w:tc>
        <w:tc>
          <w:tcPr>
            <w:tcW w:w="2119" w:type="dxa"/>
          </w:tcPr>
          <w:p w14:paraId="0C35DFE2"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65.5±10.8</w:t>
            </w:r>
          </w:p>
        </w:tc>
      </w:tr>
      <w:tr w:rsidR="006C3430" w:rsidRPr="006C3430" w14:paraId="451C65A7" w14:textId="77777777" w:rsidTr="006C3430">
        <w:trPr>
          <w:jc w:val="center"/>
        </w:trPr>
        <w:tc>
          <w:tcPr>
            <w:tcW w:w="2352" w:type="dxa"/>
          </w:tcPr>
          <w:p w14:paraId="240F4615"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
                <w:bCs/>
                <w:sz w:val="20"/>
              </w:rPr>
              <w:t>Mean Average SPP</w:t>
            </w:r>
          </w:p>
        </w:tc>
        <w:tc>
          <w:tcPr>
            <w:tcW w:w="1834" w:type="dxa"/>
          </w:tcPr>
          <w:p w14:paraId="79005E41" w14:textId="77777777" w:rsidR="006C3430" w:rsidRPr="006C3430" w:rsidRDefault="006C3430" w:rsidP="006C3430">
            <w:pPr>
              <w:pStyle w:val="Body"/>
              <w:spacing w:after="0"/>
              <w:rPr>
                <w:rFonts w:ascii="Arial" w:eastAsia="Times New Roman" w:hAnsi="Arial" w:cs="Arial"/>
                <w:bCs/>
                <w:sz w:val="20"/>
              </w:rPr>
            </w:pPr>
          </w:p>
        </w:tc>
        <w:tc>
          <w:tcPr>
            <w:tcW w:w="2119" w:type="dxa"/>
          </w:tcPr>
          <w:p w14:paraId="1E2CE085" w14:textId="77777777" w:rsidR="006C3430" w:rsidRPr="006C3430" w:rsidRDefault="006C3430" w:rsidP="006C3430">
            <w:pPr>
              <w:pStyle w:val="Body"/>
              <w:spacing w:after="0"/>
              <w:rPr>
                <w:rFonts w:ascii="Arial" w:eastAsia="Times New Roman" w:hAnsi="Arial" w:cs="Arial"/>
                <w:bCs/>
                <w:sz w:val="20"/>
              </w:rPr>
            </w:pPr>
          </w:p>
        </w:tc>
        <w:tc>
          <w:tcPr>
            <w:tcW w:w="2119" w:type="dxa"/>
          </w:tcPr>
          <w:p w14:paraId="3AAE205D" w14:textId="77777777" w:rsidR="006C3430" w:rsidRPr="006C3430" w:rsidRDefault="006C3430" w:rsidP="006C3430">
            <w:pPr>
              <w:pStyle w:val="Body"/>
              <w:spacing w:after="0"/>
              <w:rPr>
                <w:rFonts w:ascii="Arial" w:eastAsia="Times New Roman" w:hAnsi="Arial" w:cs="Arial"/>
                <w:bCs/>
                <w:sz w:val="20"/>
              </w:rPr>
            </w:pPr>
          </w:p>
        </w:tc>
      </w:tr>
      <w:tr w:rsidR="006C3430" w:rsidRPr="006C3430" w14:paraId="23CF6417" w14:textId="77777777" w:rsidTr="006C3430">
        <w:trPr>
          <w:jc w:val="center"/>
        </w:trPr>
        <w:tc>
          <w:tcPr>
            <w:tcW w:w="2352" w:type="dxa"/>
          </w:tcPr>
          <w:p w14:paraId="6D7497A6"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Right</w:t>
            </w:r>
          </w:p>
        </w:tc>
        <w:tc>
          <w:tcPr>
            <w:tcW w:w="1834" w:type="dxa"/>
          </w:tcPr>
          <w:p w14:paraId="2CEAAF4C"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112.7±25.5</w:t>
            </w:r>
          </w:p>
        </w:tc>
        <w:tc>
          <w:tcPr>
            <w:tcW w:w="2119" w:type="dxa"/>
          </w:tcPr>
          <w:p w14:paraId="4253B0FB"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116.3±19.1</w:t>
            </w:r>
          </w:p>
        </w:tc>
        <w:tc>
          <w:tcPr>
            <w:tcW w:w="2119" w:type="dxa"/>
          </w:tcPr>
          <w:p w14:paraId="1FB953C5"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119.8±17.9</w:t>
            </w:r>
          </w:p>
        </w:tc>
      </w:tr>
      <w:tr w:rsidR="006C3430" w:rsidRPr="006C3430" w14:paraId="26EC1036" w14:textId="77777777" w:rsidTr="006C3430">
        <w:trPr>
          <w:jc w:val="center"/>
        </w:trPr>
        <w:tc>
          <w:tcPr>
            <w:tcW w:w="2352" w:type="dxa"/>
          </w:tcPr>
          <w:p w14:paraId="663F90AF"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Left</w:t>
            </w:r>
          </w:p>
        </w:tc>
        <w:tc>
          <w:tcPr>
            <w:tcW w:w="1834" w:type="dxa"/>
          </w:tcPr>
          <w:p w14:paraId="2F9E6A9C"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112.7±22.6</w:t>
            </w:r>
          </w:p>
        </w:tc>
        <w:tc>
          <w:tcPr>
            <w:tcW w:w="2119" w:type="dxa"/>
          </w:tcPr>
          <w:p w14:paraId="6B6C9EC3"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116.4±20.8</w:t>
            </w:r>
          </w:p>
        </w:tc>
        <w:tc>
          <w:tcPr>
            <w:tcW w:w="2119" w:type="dxa"/>
          </w:tcPr>
          <w:p w14:paraId="4113929B"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119.6±18.0</w:t>
            </w:r>
          </w:p>
        </w:tc>
      </w:tr>
      <w:tr w:rsidR="006C3430" w:rsidRPr="006C3430" w14:paraId="559F2996" w14:textId="77777777" w:rsidTr="006C3430">
        <w:trPr>
          <w:jc w:val="center"/>
        </w:trPr>
        <w:tc>
          <w:tcPr>
            <w:tcW w:w="2352" w:type="dxa"/>
          </w:tcPr>
          <w:p w14:paraId="4936C188" w14:textId="77777777" w:rsidR="006C3430" w:rsidRPr="006C3430" w:rsidRDefault="006C3430" w:rsidP="006C3430">
            <w:pPr>
              <w:pStyle w:val="Body"/>
              <w:spacing w:after="0"/>
              <w:rPr>
                <w:rFonts w:ascii="Arial" w:eastAsia="Times New Roman" w:hAnsi="Arial" w:cs="Arial"/>
                <w:b/>
                <w:bCs/>
                <w:sz w:val="20"/>
              </w:rPr>
            </w:pPr>
            <w:r w:rsidRPr="006C3430">
              <w:rPr>
                <w:rFonts w:ascii="Arial" w:eastAsia="Times New Roman" w:hAnsi="Arial" w:cs="Arial"/>
                <w:b/>
                <w:bCs/>
                <w:sz w:val="20"/>
              </w:rPr>
              <w:t>Mean Average MOPP</w:t>
            </w:r>
          </w:p>
        </w:tc>
        <w:tc>
          <w:tcPr>
            <w:tcW w:w="1834" w:type="dxa"/>
          </w:tcPr>
          <w:p w14:paraId="54AB570C" w14:textId="77777777" w:rsidR="006C3430" w:rsidRPr="006C3430" w:rsidRDefault="006C3430" w:rsidP="006C3430">
            <w:pPr>
              <w:pStyle w:val="Body"/>
              <w:spacing w:after="0"/>
              <w:rPr>
                <w:rFonts w:ascii="Arial" w:eastAsia="Times New Roman" w:hAnsi="Arial" w:cs="Arial"/>
                <w:bCs/>
                <w:sz w:val="20"/>
              </w:rPr>
            </w:pPr>
          </w:p>
        </w:tc>
        <w:tc>
          <w:tcPr>
            <w:tcW w:w="2119" w:type="dxa"/>
          </w:tcPr>
          <w:p w14:paraId="4C373CA1" w14:textId="77777777" w:rsidR="006C3430" w:rsidRPr="006C3430" w:rsidRDefault="006C3430" w:rsidP="006C3430">
            <w:pPr>
              <w:pStyle w:val="Body"/>
              <w:spacing w:after="0"/>
              <w:rPr>
                <w:rFonts w:ascii="Arial" w:eastAsia="Times New Roman" w:hAnsi="Arial" w:cs="Arial"/>
                <w:bCs/>
                <w:sz w:val="20"/>
              </w:rPr>
            </w:pPr>
          </w:p>
        </w:tc>
        <w:tc>
          <w:tcPr>
            <w:tcW w:w="2119" w:type="dxa"/>
          </w:tcPr>
          <w:p w14:paraId="7E1DBB16" w14:textId="77777777" w:rsidR="006C3430" w:rsidRPr="006C3430" w:rsidRDefault="006C3430" w:rsidP="006C3430">
            <w:pPr>
              <w:pStyle w:val="Body"/>
              <w:spacing w:after="0"/>
              <w:rPr>
                <w:rFonts w:ascii="Arial" w:eastAsia="Times New Roman" w:hAnsi="Arial" w:cs="Arial"/>
                <w:bCs/>
                <w:sz w:val="20"/>
              </w:rPr>
            </w:pPr>
          </w:p>
        </w:tc>
      </w:tr>
      <w:tr w:rsidR="006C3430" w:rsidRPr="006C3430" w14:paraId="095B0F49" w14:textId="77777777" w:rsidTr="006C3430">
        <w:trPr>
          <w:jc w:val="center"/>
        </w:trPr>
        <w:tc>
          <w:tcPr>
            <w:tcW w:w="2352" w:type="dxa"/>
          </w:tcPr>
          <w:p w14:paraId="560B3D3A"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Right</w:t>
            </w:r>
          </w:p>
        </w:tc>
        <w:tc>
          <w:tcPr>
            <w:tcW w:w="1834" w:type="dxa"/>
          </w:tcPr>
          <w:p w14:paraId="0838BCD4"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71.5±16.7</w:t>
            </w:r>
          </w:p>
        </w:tc>
        <w:tc>
          <w:tcPr>
            <w:tcW w:w="2119" w:type="dxa"/>
          </w:tcPr>
          <w:p w14:paraId="03B0D3EE"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79.7±14.5</w:t>
            </w:r>
          </w:p>
        </w:tc>
        <w:tc>
          <w:tcPr>
            <w:tcW w:w="2119" w:type="dxa"/>
          </w:tcPr>
          <w:p w14:paraId="31BF0CCE"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83.8±12.1</w:t>
            </w:r>
          </w:p>
        </w:tc>
      </w:tr>
      <w:tr w:rsidR="006C3430" w:rsidRPr="006C3430" w14:paraId="07B053E8" w14:textId="77777777" w:rsidTr="006C3430">
        <w:trPr>
          <w:jc w:val="center"/>
        </w:trPr>
        <w:tc>
          <w:tcPr>
            <w:tcW w:w="2352" w:type="dxa"/>
          </w:tcPr>
          <w:p w14:paraId="05660BD6"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Left</w:t>
            </w:r>
          </w:p>
        </w:tc>
        <w:tc>
          <w:tcPr>
            <w:tcW w:w="1834" w:type="dxa"/>
          </w:tcPr>
          <w:p w14:paraId="36E0B994"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71.9±14.9</w:t>
            </w:r>
          </w:p>
        </w:tc>
        <w:tc>
          <w:tcPr>
            <w:tcW w:w="2119" w:type="dxa"/>
          </w:tcPr>
          <w:p w14:paraId="663C3C61"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79.5±15.7</w:t>
            </w:r>
          </w:p>
        </w:tc>
        <w:tc>
          <w:tcPr>
            <w:tcW w:w="2119" w:type="dxa"/>
          </w:tcPr>
          <w:p w14:paraId="2FE5385F"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83.5±12.1</w:t>
            </w:r>
          </w:p>
        </w:tc>
      </w:tr>
      <w:tr w:rsidR="006C3430" w:rsidRPr="006C3430" w14:paraId="12E5F481" w14:textId="77777777" w:rsidTr="006C3430">
        <w:trPr>
          <w:jc w:val="center"/>
        </w:trPr>
        <w:tc>
          <w:tcPr>
            <w:tcW w:w="2352" w:type="dxa"/>
          </w:tcPr>
          <w:p w14:paraId="128F9206"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
                <w:bCs/>
                <w:sz w:val="20"/>
              </w:rPr>
              <w:t>Mean Average IOP</w:t>
            </w:r>
          </w:p>
        </w:tc>
        <w:tc>
          <w:tcPr>
            <w:tcW w:w="1834" w:type="dxa"/>
          </w:tcPr>
          <w:p w14:paraId="28E1A023" w14:textId="77777777" w:rsidR="006C3430" w:rsidRPr="006C3430" w:rsidRDefault="006C3430" w:rsidP="006C3430">
            <w:pPr>
              <w:pStyle w:val="Body"/>
              <w:spacing w:after="0"/>
              <w:rPr>
                <w:rFonts w:ascii="Arial" w:eastAsia="Times New Roman" w:hAnsi="Arial" w:cs="Arial"/>
                <w:bCs/>
                <w:sz w:val="20"/>
              </w:rPr>
            </w:pPr>
          </w:p>
        </w:tc>
        <w:tc>
          <w:tcPr>
            <w:tcW w:w="2119" w:type="dxa"/>
          </w:tcPr>
          <w:p w14:paraId="72C91BC7" w14:textId="77777777" w:rsidR="006C3430" w:rsidRPr="006C3430" w:rsidRDefault="006C3430" w:rsidP="006C3430">
            <w:pPr>
              <w:pStyle w:val="Body"/>
              <w:spacing w:after="0"/>
              <w:rPr>
                <w:rFonts w:ascii="Arial" w:eastAsia="Times New Roman" w:hAnsi="Arial" w:cs="Arial"/>
                <w:b/>
                <w:bCs/>
                <w:sz w:val="20"/>
              </w:rPr>
            </w:pPr>
          </w:p>
        </w:tc>
        <w:tc>
          <w:tcPr>
            <w:tcW w:w="2119" w:type="dxa"/>
          </w:tcPr>
          <w:p w14:paraId="283BA2EC" w14:textId="77777777" w:rsidR="006C3430" w:rsidRPr="006C3430" w:rsidRDefault="006C3430" w:rsidP="006C3430">
            <w:pPr>
              <w:pStyle w:val="Body"/>
              <w:spacing w:after="0"/>
              <w:rPr>
                <w:rFonts w:ascii="Arial" w:eastAsia="Times New Roman" w:hAnsi="Arial" w:cs="Arial"/>
                <w:bCs/>
                <w:sz w:val="20"/>
              </w:rPr>
            </w:pPr>
          </w:p>
        </w:tc>
      </w:tr>
      <w:tr w:rsidR="006C3430" w:rsidRPr="006C3430" w14:paraId="5B2EC665" w14:textId="77777777" w:rsidTr="006C3430">
        <w:trPr>
          <w:jc w:val="center"/>
        </w:trPr>
        <w:tc>
          <w:tcPr>
            <w:tcW w:w="2352" w:type="dxa"/>
          </w:tcPr>
          <w:p w14:paraId="1AE1B841"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Right</w:t>
            </w:r>
          </w:p>
        </w:tc>
        <w:tc>
          <w:tcPr>
            <w:tcW w:w="1834" w:type="dxa"/>
          </w:tcPr>
          <w:p w14:paraId="606662B6"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20.0±0.92</w:t>
            </w:r>
          </w:p>
        </w:tc>
        <w:tc>
          <w:tcPr>
            <w:tcW w:w="2119" w:type="dxa"/>
          </w:tcPr>
          <w:p w14:paraId="52E5DCCC"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26.0±1.6</w:t>
            </w:r>
          </w:p>
        </w:tc>
        <w:tc>
          <w:tcPr>
            <w:tcW w:w="2119" w:type="dxa"/>
          </w:tcPr>
          <w:p w14:paraId="5754618A"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14.1±3.1</w:t>
            </w:r>
          </w:p>
        </w:tc>
      </w:tr>
      <w:tr w:rsidR="006C3430" w:rsidRPr="006C3430" w14:paraId="1A2702B2" w14:textId="77777777" w:rsidTr="006C3430">
        <w:trPr>
          <w:jc w:val="center"/>
        </w:trPr>
        <w:tc>
          <w:tcPr>
            <w:tcW w:w="2352" w:type="dxa"/>
          </w:tcPr>
          <w:p w14:paraId="2C7DF3AC"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Left</w:t>
            </w:r>
          </w:p>
        </w:tc>
        <w:tc>
          <w:tcPr>
            <w:tcW w:w="1834" w:type="dxa"/>
          </w:tcPr>
          <w:p w14:paraId="76F9E54C"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20.0±0.93</w:t>
            </w:r>
          </w:p>
        </w:tc>
        <w:tc>
          <w:tcPr>
            <w:tcW w:w="2119" w:type="dxa"/>
          </w:tcPr>
          <w:p w14:paraId="6BDE9050"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25.8±2.1</w:t>
            </w:r>
          </w:p>
        </w:tc>
        <w:tc>
          <w:tcPr>
            <w:tcW w:w="2119" w:type="dxa"/>
          </w:tcPr>
          <w:p w14:paraId="54534911"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14.3±3.1</w:t>
            </w:r>
          </w:p>
        </w:tc>
      </w:tr>
    </w:tbl>
    <w:p w14:paraId="659F2142" w14:textId="77777777" w:rsidR="00E053D0" w:rsidRPr="001277C6" w:rsidRDefault="006C3430" w:rsidP="001277C6">
      <w:pPr>
        <w:jc w:val="both"/>
        <w:rPr>
          <w:rFonts w:ascii="Times New Roman" w:hAnsi="Times New Roman"/>
          <w:sz w:val="24"/>
          <w:szCs w:val="24"/>
        </w:rPr>
      </w:pPr>
      <w:r w:rsidRPr="00C70B56">
        <w:rPr>
          <w:rFonts w:ascii="Times New Roman" w:hAnsi="Times New Roman"/>
          <w:sz w:val="24"/>
          <w:szCs w:val="24"/>
        </w:rPr>
        <w:t>(</w:t>
      </w:r>
      <w:r w:rsidRPr="00C70B56">
        <w:rPr>
          <w:rFonts w:ascii="Times New Roman" w:hAnsi="Times New Roman"/>
          <w:i/>
          <w:sz w:val="24"/>
          <w:szCs w:val="24"/>
        </w:rPr>
        <w:t>Abbreviations: DPP – Diastolic Perfusion Pressure; SPP – Systolic Perfusion Pressure; MOPP – Mean Ocular Perfusion Pressure; IOP – Intraocular pressure; SD – Standard Deviation</w:t>
      </w:r>
      <w:r w:rsidRPr="00C70B56">
        <w:rPr>
          <w:rFonts w:ascii="Times New Roman" w:hAnsi="Times New Roman"/>
          <w:sz w:val="24"/>
          <w:szCs w:val="24"/>
        </w:rPr>
        <w:t>)</w:t>
      </w:r>
    </w:p>
    <w:p w14:paraId="24CBBC77" w14:textId="77777777" w:rsidR="0044099A" w:rsidRPr="0044099A" w:rsidRDefault="0044099A" w:rsidP="0044099A">
      <w:pPr>
        <w:pStyle w:val="Body"/>
        <w:spacing w:after="0"/>
        <w:rPr>
          <w:rFonts w:ascii="Arial" w:hAnsi="Arial" w:cs="Arial"/>
          <w:b/>
        </w:rPr>
      </w:pPr>
      <w:bookmarkStart w:id="14" w:name="_Toc201923060"/>
      <w:r w:rsidRPr="0044099A">
        <w:rPr>
          <w:rFonts w:ascii="Arial" w:hAnsi="Arial" w:cs="Arial"/>
          <w:b/>
        </w:rPr>
        <w:t>3.4. Relationship of Ocular perfusion pressure (OPP) and normal tension glaucoma (NTG)</w:t>
      </w:r>
      <w:bookmarkEnd w:id="14"/>
    </w:p>
    <w:p w14:paraId="3709F2C1" w14:textId="77777777" w:rsidR="0044099A" w:rsidRDefault="0044099A" w:rsidP="0044099A">
      <w:pPr>
        <w:pStyle w:val="Body"/>
        <w:spacing w:after="0"/>
        <w:rPr>
          <w:rFonts w:ascii="Arial" w:hAnsi="Arial" w:cs="Arial"/>
        </w:rPr>
      </w:pPr>
      <w:r w:rsidRPr="0044099A">
        <w:rPr>
          <w:rFonts w:ascii="Arial" w:hAnsi="Arial" w:cs="Arial"/>
        </w:rPr>
        <w:t>A diastolic perfusion pressure (DPP ≤ 56 mmHg) was observed in 76.7% of NTG patients compared to 15.6% in the control group (</w:t>
      </w:r>
      <w:r w:rsidRPr="0044099A">
        <w:rPr>
          <w:rFonts w:ascii="Arial" w:hAnsi="Arial" w:cs="Arial"/>
          <w:b/>
          <w:bCs/>
          <w:i/>
          <w:iCs/>
        </w:rPr>
        <w:t>x</w:t>
      </w:r>
      <w:r w:rsidRPr="0044099A">
        <w:rPr>
          <w:rFonts w:ascii="Arial" w:hAnsi="Arial" w:cs="Arial"/>
          <w:b/>
          <w:bCs/>
          <w:i/>
          <w:iCs/>
          <w:vertAlign w:val="superscript"/>
        </w:rPr>
        <w:t xml:space="preserve">2 </w:t>
      </w:r>
      <w:r w:rsidRPr="0044099A">
        <w:rPr>
          <w:rFonts w:ascii="Arial" w:hAnsi="Arial" w:cs="Arial"/>
        </w:rPr>
        <w:t>= 10.83, p &lt; 0.001). A systolic perfusion pressure (SPP ≤101 mmHg) was 40% in NTG patients while in controls was 15.6% (</w:t>
      </w:r>
      <w:r w:rsidRPr="0044099A">
        <w:rPr>
          <w:rFonts w:ascii="Arial" w:hAnsi="Arial" w:cs="Arial"/>
          <w:b/>
          <w:bCs/>
          <w:i/>
          <w:iCs/>
        </w:rPr>
        <w:t>x</w:t>
      </w:r>
      <w:r w:rsidRPr="0044099A">
        <w:rPr>
          <w:rFonts w:ascii="Arial" w:hAnsi="Arial" w:cs="Arial"/>
          <w:b/>
          <w:bCs/>
          <w:i/>
          <w:iCs/>
          <w:vertAlign w:val="superscript"/>
        </w:rPr>
        <w:t xml:space="preserve">2 </w:t>
      </w:r>
      <w:r w:rsidRPr="0044099A">
        <w:rPr>
          <w:rFonts w:ascii="Arial" w:hAnsi="Arial" w:cs="Arial"/>
        </w:rPr>
        <w:t>= 3.15, p = 0.020). Notably, a mean ocular pressure (≤ 53 mmHg) was 16.7% which was exclusively in NTG patients (</w:t>
      </w:r>
      <w:r w:rsidRPr="0044099A">
        <w:rPr>
          <w:rFonts w:ascii="Arial" w:hAnsi="Arial" w:cs="Arial"/>
          <w:b/>
          <w:bCs/>
          <w:i/>
          <w:iCs/>
        </w:rPr>
        <w:t>x</w:t>
      </w:r>
      <w:r w:rsidRPr="0044099A">
        <w:rPr>
          <w:rFonts w:ascii="Arial" w:hAnsi="Arial" w:cs="Arial"/>
          <w:b/>
          <w:bCs/>
          <w:i/>
          <w:iCs/>
          <w:vertAlign w:val="superscript"/>
        </w:rPr>
        <w:t xml:space="preserve">2 </w:t>
      </w:r>
      <w:r w:rsidRPr="0044099A">
        <w:rPr>
          <w:rFonts w:ascii="Arial" w:hAnsi="Arial" w:cs="Arial"/>
        </w:rPr>
        <w:t>= 10.83, p = 0.001). (Table 4)</w:t>
      </w:r>
    </w:p>
    <w:p w14:paraId="13B2A192" w14:textId="77777777" w:rsidR="006C3430" w:rsidRPr="001277C6" w:rsidRDefault="006C3430" w:rsidP="0044099A">
      <w:pPr>
        <w:pStyle w:val="Body"/>
        <w:spacing w:after="0"/>
        <w:rPr>
          <w:rFonts w:ascii="Arial" w:hAnsi="Arial" w:cs="Arial"/>
          <w:b/>
        </w:rPr>
      </w:pPr>
      <w:bookmarkStart w:id="15" w:name="_Toc201923087"/>
      <w:r w:rsidRPr="006C3430">
        <w:rPr>
          <w:rFonts w:ascii="Arial" w:hAnsi="Arial" w:cs="Arial"/>
          <w:b/>
        </w:rPr>
        <w:t xml:space="preserve">Table </w:t>
      </w:r>
      <w:r w:rsidRPr="006C3430">
        <w:rPr>
          <w:rFonts w:ascii="Arial" w:hAnsi="Arial" w:cs="Arial"/>
          <w:b/>
        </w:rPr>
        <w:fldChar w:fldCharType="begin"/>
      </w:r>
      <w:r w:rsidRPr="006C3430">
        <w:rPr>
          <w:rFonts w:ascii="Arial" w:hAnsi="Arial" w:cs="Arial"/>
          <w:b/>
        </w:rPr>
        <w:instrText xml:space="preserve"> SEQ Table \* ARABIC </w:instrText>
      </w:r>
      <w:r w:rsidRPr="006C3430">
        <w:rPr>
          <w:rFonts w:ascii="Arial" w:hAnsi="Arial" w:cs="Arial"/>
          <w:b/>
        </w:rPr>
        <w:fldChar w:fldCharType="separate"/>
      </w:r>
      <w:r w:rsidRPr="006C3430">
        <w:rPr>
          <w:rFonts w:ascii="Arial" w:hAnsi="Arial" w:cs="Arial"/>
          <w:b/>
        </w:rPr>
        <w:t>4</w:t>
      </w:r>
      <w:r w:rsidRPr="006C3430">
        <w:rPr>
          <w:rFonts w:ascii="Arial" w:hAnsi="Arial" w:cs="Arial"/>
        </w:rPr>
        <w:fldChar w:fldCharType="end"/>
      </w:r>
      <w:r w:rsidRPr="006C3430">
        <w:rPr>
          <w:rFonts w:ascii="Arial" w:hAnsi="Arial" w:cs="Arial"/>
          <w:b/>
        </w:rPr>
        <w:t>: Relationship of Ocular perfusion pressure and normal tension glaucoma</w:t>
      </w:r>
      <w:bookmarkEnd w:id="15"/>
    </w:p>
    <w:tbl>
      <w:tblPr>
        <w:tblStyle w:val="TableGrid"/>
        <w:tblW w:w="5000" w:type="pct"/>
        <w:jc w:val="center"/>
        <w:tblBorders>
          <w:top w:val="single" w:sz="12"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743"/>
        <w:gridCol w:w="2603"/>
        <w:gridCol w:w="1825"/>
        <w:gridCol w:w="2253"/>
      </w:tblGrid>
      <w:tr w:rsidR="006C3430" w:rsidRPr="006C3430" w14:paraId="1225DBDD" w14:textId="77777777" w:rsidTr="006C3430">
        <w:trPr>
          <w:jc w:val="center"/>
        </w:trPr>
        <w:tc>
          <w:tcPr>
            <w:tcW w:w="1035" w:type="pct"/>
            <w:tcBorders>
              <w:top w:val="single" w:sz="12" w:space="0" w:color="auto"/>
              <w:bottom w:val="single" w:sz="4" w:space="0" w:color="auto"/>
            </w:tcBorders>
          </w:tcPr>
          <w:p w14:paraId="46ED0E25" w14:textId="77777777" w:rsidR="006C3430" w:rsidRPr="006C3430" w:rsidRDefault="006C3430" w:rsidP="006C3430">
            <w:pPr>
              <w:pStyle w:val="Body"/>
              <w:spacing w:after="0"/>
              <w:rPr>
                <w:rFonts w:ascii="Arial" w:eastAsia="Times New Roman" w:hAnsi="Arial" w:cs="Arial"/>
                <w:b/>
                <w:bCs/>
                <w:sz w:val="20"/>
              </w:rPr>
            </w:pPr>
            <w:bookmarkStart w:id="16" w:name="_Hlk189651667"/>
            <w:r w:rsidRPr="006C3430">
              <w:rPr>
                <w:rFonts w:ascii="Arial" w:eastAsia="Times New Roman" w:hAnsi="Arial" w:cs="Arial"/>
                <w:b/>
                <w:bCs/>
                <w:sz w:val="20"/>
              </w:rPr>
              <w:t>Variable</w:t>
            </w:r>
          </w:p>
        </w:tc>
        <w:tc>
          <w:tcPr>
            <w:tcW w:w="1545" w:type="pct"/>
            <w:tcBorders>
              <w:top w:val="single" w:sz="12" w:space="0" w:color="auto"/>
              <w:bottom w:val="single" w:sz="4" w:space="0" w:color="auto"/>
            </w:tcBorders>
          </w:tcPr>
          <w:p w14:paraId="0F446C73" w14:textId="77777777" w:rsidR="006C3430" w:rsidRPr="006C3430" w:rsidRDefault="006C3430" w:rsidP="006C3430">
            <w:pPr>
              <w:pStyle w:val="Body"/>
              <w:spacing w:after="0"/>
              <w:rPr>
                <w:rFonts w:ascii="Arial" w:eastAsia="Times New Roman" w:hAnsi="Arial" w:cs="Arial"/>
                <w:b/>
                <w:bCs/>
                <w:sz w:val="20"/>
              </w:rPr>
            </w:pPr>
            <w:r w:rsidRPr="006C3430">
              <w:rPr>
                <w:rFonts w:ascii="Arial" w:eastAsia="Times New Roman" w:hAnsi="Arial" w:cs="Arial"/>
                <w:b/>
                <w:bCs/>
                <w:sz w:val="20"/>
              </w:rPr>
              <w:t>NTG n (%)</w:t>
            </w:r>
          </w:p>
        </w:tc>
        <w:tc>
          <w:tcPr>
            <w:tcW w:w="1083" w:type="pct"/>
            <w:tcBorders>
              <w:top w:val="single" w:sz="12" w:space="0" w:color="auto"/>
              <w:bottom w:val="single" w:sz="4" w:space="0" w:color="auto"/>
            </w:tcBorders>
          </w:tcPr>
          <w:p w14:paraId="4F01246F" w14:textId="77777777" w:rsidR="006C3430" w:rsidRPr="006C3430" w:rsidRDefault="006C3430" w:rsidP="006C3430">
            <w:pPr>
              <w:pStyle w:val="Body"/>
              <w:spacing w:after="0"/>
              <w:rPr>
                <w:rFonts w:ascii="Arial" w:eastAsia="Times New Roman" w:hAnsi="Arial" w:cs="Arial"/>
                <w:b/>
                <w:bCs/>
                <w:sz w:val="20"/>
              </w:rPr>
            </w:pPr>
            <w:r w:rsidRPr="006C3430">
              <w:rPr>
                <w:rFonts w:ascii="Arial" w:eastAsia="Times New Roman" w:hAnsi="Arial" w:cs="Arial"/>
                <w:b/>
                <w:bCs/>
                <w:sz w:val="20"/>
              </w:rPr>
              <w:t>Control n (%)</w:t>
            </w:r>
          </w:p>
        </w:tc>
        <w:tc>
          <w:tcPr>
            <w:tcW w:w="1337" w:type="pct"/>
            <w:tcBorders>
              <w:top w:val="single" w:sz="12" w:space="0" w:color="auto"/>
              <w:bottom w:val="single" w:sz="4" w:space="0" w:color="auto"/>
            </w:tcBorders>
          </w:tcPr>
          <w:p w14:paraId="79DF9A0D" w14:textId="77777777" w:rsidR="006C3430" w:rsidRPr="006C3430" w:rsidRDefault="006C3430" w:rsidP="006C3430">
            <w:pPr>
              <w:pStyle w:val="Body"/>
              <w:spacing w:after="0"/>
              <w:rPr>
                <w:rFonts w:ascii="Arial" w:eastAsia="Times New Roman" w:hAnsi="Arial" w:cs="Arial"/>
                <w:b/>
                <w:bCs/>
                <w:sz w:val="20"/>
              </w:rPr>
            </w:pPr>
            <w:r w:rsidRPr="006C3430">
              <w:rPr>
                <w:rFonts w:ascii="Arial" w:eastAsia="Times New Roman" w:hAnsi="Arial" w:cs="Arial"/>
                <w:b/>
                <w:bCs/>
                <w:i/>
                <w:iCs/>
                <w:sz w:val="20"/>
              </w:rPr>
              <w:t>x</w:t>
            </w:r>
            <w:r w:rsidRPr="006C3430">
              <w:rPr>
                <w:rFonts w:ascii="Arial" w:eastAsia="Times New Roman" w:hAnsi="Arial" w:cs="Arial"/>
                <w:b/>
                <w:bCs/>
                <w:i/>
                <w:iCs/>
                <w:sz w:val="20"/>
                <w:vertAlign w:val="superscript"/>
              </w:rPr>
              <w:t>2</w:t>
            </w:r>
            <w:r w:rsidRPr="006C3430">
              <w:rPr>
                <w:rFonts w:ascii="Arial" w:eastAsia="Times New Roman" w:hAnsi="Arial" w:cs="Arial"/>
                <w:b/>
                <w:bCs/>
                <w:i/>
                <w:iCs/>
                <w:sz w:val="20"/>
              </w:rPr>
              <w:t xml:space="preserve"> (p</w:t>
            </w:r>
            <w:r w:rsidRPr="006C3430">
              <w:rPr>
                <w:rFonts w:ascii="Arial" w:eastAsia="Times New Roman" w:hAnsi="Arial" w:cs="Arial"/>
                <w:b/>
                <w:bCs/>
                <w:sz w:val="20"/>
              </w:rPr>
              <w:t>-value)</w:t>
            </w:r>
          </w:p>
        </w:tc>
      </w:tr>
      <w:tr w:rsidR="006C3430" w:rsidRPr="006C3430" w14:paraId="1990FF7A" w14:textId="77777777" w:rsidTr="006C3430">
        <w:trPr>
          <w:jc w:val="center"/>
        </w:trPr>
        <w:tc>
          <w:tcPr>
            <w:tcW w:w="1035" w:type="pct"/>
            <w:tcBorders>
              <w:top w:val="single" w:sz="4" w:space="0" w:color="auto"/>
            </w:tcBorders>
          </w:tcPr>
          <w:p w14:paraId="51705991" w14:textId="77777777" w:rsidR="006C3430" w:rsidRPr="006C3430" w:rsidRDefault="006C3430" w:rsidP="006C3430">
            <w:pPr>
              <w:pStyle w:val="Body"/>
              <w:spacing w:after="0"/>
              <w:rPr>
                <w:rFonts w:ascii="Arial" w:eastAsia="Times New Roman" w:hAnsi="Arial" w:cs="Arial"/>
                <w:b/>
                <w:bCs/>
                <w:sz w:val="20"/>
              </w:rPr>
            </w:pPr>
            <w:proofErr w:type="gramStart"/>
            <w:r w:rsidRPr="006C3430">
              <w:rPr>
                <w:rFonts w:ascii="Arial" w:eastAsia="Times New Roman" w:hAnsi="Arial" w:cs="Arial"/>
                <w:b/>
                <w:bCs/>
                <w:sz w:val="20"/>
              </w:rPr>
              <w:t>DPP(</w:t>
            </w:r>
            <w:proofErr w:type="gramEnd"/>
            <w:r w:rsidRPr="006C3430">
              <w:rPr>
                <w:rFonts w:ascii="Arial" w:eastAsia="Times New Roman" w:hAnsi="Arial" w:cs="Arial"/>
                <w:b/>
                <w:bCs/>
                <w:sz w:val="20"/>
              </w:rPr>
              <w:t>mmHg)</w:t>
            </w:r>
          </w:p>
        </w:tc>
        <w:tc>
          <w:tcPr>
            <w:tcW w:w="1545" w:type="pct"/>
            <w:tcBorders>
              <w:top w:val="single" w:sz="4" w:space="0" w:color="auto"/>
            </w:tcBorders>
          </w:tcPr>
          <w:p w14:paraId="5E28F6ED" w14:textId="77777777" w:rsidR="006C3430" w:rsidRPr="006C3430" w:rsidRDefault="006C3430" w:rsidP="006C3430">
            <w:pPr>
              <w:pStyle w:val="Body"/>
              <w:spacing w:after="0"/>
              <w:rPr>
                <w:rFonts w:ascii="Arial" w:eastAsia="Times New Roman" w:hAnsi="Arial" w:cs="Arial"/>
                <w:sz w:val="20"/>
              </w:rPr>
            </w:pPr>
          </w:p>
        </w:tc>
        <w:tc>
          <w:tcPr>
            <w:tcW w:w="1083" w:type="pct"/>
            <w:tcBorders>
              <w:top w:val="single" w:sz="4" w:space="0" w:color="auto"/>
            </w:tcBorders>
          </w:tcPr>
          <w:p w14:paraId="6495C779" w14:textId="77777777" w:rsidR="006C3430" w:rsidRPr="006C3430" w:rsidRDefault="006C3430" w:rsidP="006C3430">
            <w:pPr>
              <w:pStyle w:val="Body"/>
              <w:spacing w:after="0"/>
              <w:rPr>
                <w:rFonts w:ascii="Arial" w:eastAsia="Times New Roman" w:hAnsi="Arial" w:cs="Arial"/>
                <w:sz w:val="20"/>
              </w:rPr>
            </w:pPr>
          </w:p>
        </w:tc>
        <w:tc>
          <w:tcPr>
            <w:tcW w:w="1337" w:type="pct"/>
            <w:tcBorders>
              <w:top w:val="single" w:sz="4" w:space="0" w:color="auto"/>
            </w:tcBorders>
          </w:tcPr>
          <w:p w14:paraId="611263F1" w14:textId="77777777" w:rsidR="006C3430" w:rsidRPr="006C3430" w:rsidRDefault="006C3430" w:rsidP="006C3430">
            <w:pPr>
              <w:pStyle w:val="Body"/>
              <w:spacing w:after="0"/>
              <w:rPr>
                <w:rFonts w:ascii="Arial" w:eastAsia="Times New Roman" w:hAnsi="Arial" w:cs="Arial"/>
                <w:sz w:val="20"/>
              </w:rPr>
            </w:pPr>
          </w:p>
        </w:tc>
      </w:tr>
      <w:tr w:rsidR="006C3430" w:rsidRPr="006C3430" w14:paraId="5EA5AE40" w14:textId="77777777" w:rsidTr="006C3430">
        <w:trPr>
          <w:jc w:val="center"/>
        </w:trPr>
        <w:tc>
          <w:tcPr>
            <w:tcW w:w="1035" w:type="pct"/>
          </w:tcPr>
          <w:p w14:paraId="6AA5A683" w14:textId="77777777" w:rsidR="006C3430" w:rsidRPr="006C3430" w:rsidRDefault="006C3430" w:rsidP="006C3430">
            <w:pPr>
              <w:pStyle w:val="Body"/>
              <w:spacing w:after="0"/>
              <w:rPr>
                <w:rFonts w:ascii="Arial" w:eastAsia="Times New Roman" w:hAnsi="Arial" w:cs="Arial"/>
                <w:sz w:val="20"/>
              </w:rPr>
            </w:pPr>
            <w:r w:rsidRPr="006C3430">
              <w:rPr>
                <w:rFonts w:ascii="Arial" w:eastAsia="Times New Roman" w:hAnsi="Arial" w:cs="Arial"/>
                <w:sz w:val="20"/>
              </w:rPr>
              <w:t>0-56</w:t>
            </w:r>
          </w:p>
        </w:tc>
        <w:tc>
          <w:tcPr>
            <w:tcW w:w="1545" w:type="pct"/>
          </w:tcPr>
          <w:p w14:paraId="6FF1DC75" w14:textId="77777777" w:rsidR="006C3430" w:rsidRPr="006C3430" w:rsidRDefault="006C3430" w:rsidP="006C3430">
            <w:pPr>
              <w:pStyle w:val="Body"/>
              <w:spacing w:after="0"/>
              <w:rPr>
                <w:rFonts w:ascii="Arial" w:eastAsia="Times New Roman" w:hAnsi="Arial" w:cs="Arial"/>
                <w:sz w:val="20"/>
              </w:rPr>
            </w:pPr>
            <w:r w:rsidRPr="006C3430">
              <w:rPr>
                <w:rFonts w:ascii="Arial" w:eastAsia="Times New Roman" w:hAnsi="Arial" w:cs="Arial"/>
                <w:sz w:val="20"/>
              </w:rPr>
              <w:t>23 (76.7)</w:t>
            </w:r>
          </w:p>
        </w:tc>
        <w:tc>
          <w:tcPr>
            <w:tcW w:w="1083" w:type="pct"/>
          </w:tcPr>
          <w:p w14:paraId="2CA371C9" w14:textId="77777777" w:rsidR="006C3430" w:rsidRPr="006C3430" w:rsidRDefault="006C3430" w:rsidP="006C3430">
            <w:pPr>
              <w:pStyle w:val="Body"/>
              <w:spacing w:after="0"/>
              <w:rPr>
                <w:rFonts w:ascii="Arial" w:eastAsia="Times New Roman" w:hAnsi="Arial" w:cs="Arial"/>
                <w:sz w:val="20"/>
              </w:rPr>
            </w:pPr>
            <w:r w:rsidRPr="006C3430">
              <w:rPr>
                <w:rFonts w:ascii="Arial" w:eastAsia="Times New Roman" w:hAnsi="Arial" w:cs="Arial"/>
                <w:sz w:val="20"/>
              </w:rPr>
              <w:t>14 (15.6)</w:t>
            </w:r>
          </w:p>
        </w:tc>
        <w:tc>
          <w:tcPr>
            <w:tcW w:w="1337" w:type="pct"/>
          </w:tcPr>
          <w:p w14:paraId="1550FA79" w14:textId="77777777" w:rsidR="006C3430" w:rsidRPr="006C3430" w:rsidRDefault="006C3430" w:rsidP="006C3430">
            <w:pPr>
              <w:pStyle w:val="Body"/>
              <w:spacing w:after="0"/>
              <w:rPr>
                <w:rFonts w:ascii="Arial" w:eastAsia="Times New Roman" w:hAnsi="Arial" w:cs="Arial"/>
                <w:sz w:val="20"/>
              </w:rPr>
            </w:pPr>
            <w:r w:rsidRPr="006C3430">
              <w:rPr>
                <w:rFonts w:ascii="Arial" w:eastAsia="Times New Roman" w:hAnsi="Arial" w:cs="Arial"/>
                <w:sz w:val="20"/>
              </w:rPr>
              <w:t>10.83 (&lt;0.001)</w:t>
            </w:r>
          </w:p>
        </w:tc>
      </w:tr>
      <w:tr w:rsidR="006C3430" w:rsidRPr="006C3430" w14:paraId="5C794367" w14:textId="77777777" w:rsidTr="006C3430">
        <w:trPr>
          <w:jc w:val="center"/>
        </w:trPr>
        <w:tc>
          <w:tcPr>
            <w:tcW w:w="1035" w:type="pct"/>
          </w:tcPr>
          <w:p w14:paraId="151AB33B" w14:textId="77777777" w:rsidR="006C3430" w:rsidRPr="006C3430" w:rsidRDefault="006C3430" w:rsidP="006C3430">
            <w:pPr>
              <w:pStyle w:val="Body"/>
              <w:spacing w:after="0"/>
              <w:rPr>
                <w:rFonts w:ascii="Arial" w:eastAsia="Times New Roman" w:hAnsi="Arial" w:cs="Arial"/>
                <w:sz w:val="20"/>
              </w:rPr>
            </w:pPr>
            <w:r w:rsidRPr="006C3430">
              <w:rPr>
                <w:rFonts w:ascii="Arial" w:eastAsia="Times New Roman" w:hAnsi="Arial" w:cs="Arial"/>
                <w:sz w:val="20"/>
              </w:rPr>
              <w:t>&gt;56</w:t>
            </w:r>
          </w:p>
        </w:tc>
        <w:tc>
          <w:tcPr>
            <w:tcW w:w="1545" w:type="pct"/>
          </w:tcPr>
          <w:p w14:paraId="3C5A9A14" w14:textId="77777777" w:rsidR="006C3430" w:rsidRPr="006C3430" w:rsidRDefault="006C3430" w:rsidP="006C3430">
            <w:pPr>
              <w:pStyle w:val="Body"/>
              <w:spacing w:after="0"/>
              <w:rPr>
                <w:rFonts w:ascii="Arial" w:eastAsia="Times New Roman" w:hAnsi="Arial" w:cs="Arial"/>
                <w:sz w:val="20"/>
              </w:rPr>
            </w:pPr>
            <w:r w:rsidRPr="006C3430">
              <w:rPr>
                <w:rFonts w:ascii="Arial" w:eastAsia="Times New Roman" w:hAnsi="Arial" w:cs="Arial"/>
                <w:sz w:val="20"/>
              </w:rPr>
              <w:t>7 (23.3)</w:t>
            </w:r>
          </w:p>
        </w:tc>
        <w:tc>
          <w:tcPr>
            <w:tcW w:w="1083" w:type="pct"/>
          </w:tcPr>
          <w:p w14:paraId="7AD5BB37" w14:textId="77777777" w:rsidR="006C3430" w:rsidRPr="006C3430" w:rsidRDefault="006C3430" w:rsidP="006C3430">
            <w:pPr>
              <w:pStyle w:val="Body"/>
              <w:spacing w:after="0"/>
              <w:rPr>
                <w:rFonts w:ascii="Arial" w:eastAsia="Times New Roman" w:hAnsi="Arial" w:cs="Arial"/>
                <w:sz w:val="20"/>
              </w:rPr>
            </w:pPr>
            <w:r w:rsidRPr="006C3430">
              <w:rPr>
                <w:rFonts w:ascii="Arial" w:eastAsia="Times New Roman" w:hAnsi="Arial" w:cs="Arial"/>
                <w:sz w:val="20"/>
              </w:rPr>
              <w:t>76 (84.4)</w:t>
            </w:r>
          </w:p>
        </w:tc>
        <w:tc>
          <w:tcPr>
            <w:tcW w:w="1337" w:type="pct"/>
          </w:tcPr>
          <w:p w14:paraId="747C37E5" w14:textId="77777777" w:rsidR="006C3430" w:rsidRPr="006C3430" w:rsidRDefault="006C3430" w:rsidP="006C3430">
            <w:pPr>
              <w:pStyle w:val="Body"/>
              <w:spacing w:after="0"/>
              <w:rPr>
                <w:rFonts w:ascii="Arial" w:eastAsia="Times New Roman" w:hAnsi="Arial" w:cs="Arial"/>
                <w:sz w:val="20"/>
              </w:rPr>
            </w:pPr>
          </w:p>
        </w:tc>
      </w:tr>
      <w:tr w:rsidR="006C3430" w:rsidRPr="006C3430" w14:paraId="3619551B" w14:textId="77777777" w:rsidTr="006C3430">
        <w:trPr>
          <w:jc w:val="center"/>
        </w:trPr>
        <w:tc>
          <w:tcPr>
            <w:tcW w:w="1035" w:type="pct"/>
          </w:tcPr>
          <w:p w14:paraId="331B9FF5" w14:textId="77777777" w:rsidR="006C3430" w:rsidRPr="006C3430" w:rsidRDefault="006C3430" w:rsidP="006C3430">
            <w:pPr>
              <w:pStyle w:val="Body"/>
              <w:spacing w:after="0"/>
              <w:rPr>
                <w:rFonts w:ascii="Arial" w:eastAsia="Times New Roman" w:hAnsi="Arial" w:cs="Arial"/>
                <w:sz w:val="20"/>
              </w:rPr>
            </w:pPr>
            <w:proofErr w:type="gramStart"/>
            <w:r w:rsidRPr="006C3430">
              <w:rPr>
                <w:rFonts w:ascii="Arial" w:eastAsia="Times New Roman" w:hAnsi="Arial" w:cs="Arial"/>
                <w:b/>
                <w:bCs/>
                <w:sz w:val="20"/>
              </w:rPr>
              <w:t>SPP(</w:t>
            </w:r>
            <w:proofErr w:type="gramEnd"/>
            <w:r w:rsidRPr="006C3430">
              <w:rPr>
                <w:rFonts w:ascii="Arial" w:eastAsia="Times New Roman" w:hAnsi="Arial" w:cs="Arial"/>
                <w:b/>
                <w:bCs/>
                <w:sz w:val="20"/>
              </w:rPr>
              <w:t>mmHg)</w:t>
            </w:r>
          </w:p>
        </w:tc>
        <w:tc>
          <w:tcPr>
            <w:tcW w:w="1545" w:type="pct"/>
          </w:tcPr>
          <w:p w14:paraId="45D4562A" w14:textId="77777777" w:rsidR="006C3430" w:rsidRPr="006C3430" w:rsidRDefault="006C3430" w:rsidP="006C3430">
            <w:pPr>
              <w:pStyle w:val="Body"/>
              <w:spacing w:after="0"/>
              <w:rPr>
                <w:rFonts w:ascii="Arial" w:eastAsia="Times New Roman" w:hAnsi="Arial" w:cs="Arial"/>
                <w:sz w:val="20"/>
              </w:rPr>
            </w:pPr>
          </w:p>
        </w:tc>
        <w:tc>
          <w:tcPr>
            <w:tcW w:w="1083" w:type="pct"/>
          </w:tcPr>
          <w:p w14:paraId="7DFA7321" w14:textId="77777777" w:rsidR="006C3430" w:rsidRPr="006C3430" w:rsidRDefault="006C3430" w:rsidP="006C3430">
            <w:pPr>
              <w:pStyle w:val="Body"/>
              <w:spacing w:after="0"/>
              <w:rPr>
                <w:rFonts w:ascii="Arial" w:eastAsia="Times New Roman" w:hAnsi="Arial" w:cs="Arial"/>
                <w:sz w:val="20"/>
              </w:rPr>
            </w:pPr>
          </w:p>
        </w:tc>
        <w:tc>
          <w:tcPr>
            <w:tcW w:w="1337" w:type="pct"/>
          </w:tcPr>
          <w:p w14:paraId="0C1FAC15" w14:textId="77777777" w:rsidR="006C3430" w:rsidRPr="006C3430" w:rsidRDefault="006C3430" w:rsidP="006C3430">
            <w:pPr>
              <w:pStyle w:val="Body"/>
              <w:spacing w:after="0"/>
              <w:rPr>
                <w:rFonts w:ascii="Arial" w:eastAsia="Times New Roman" w:hAnsi="Arial" w:cs="Arial"/>
                <w:sz w:val="20"/>
              </w:rPr>
            </w:pPr>
          </w:p>
        </w:tc>
      </w:tr>
      <w:tr w:rsidR="006C3430" w:rsidRPr="006C3430" w14:paraId="40A99300" w14:textId="77777777" w:rsidTr="006C3430">
        <w:trPr>
          <w:jc w:val="center"/>
        </w:trPr>
        <w:tc>
          <w:tcPr>
            <w:tcW w:w="1035" w:type="pct"/>
          </w:tcPr>
          <w:p w14:paraId="04E2BE7C" w14:textId="77777777" w:rsidR="006C3430" w:rsidRPr="006C3430" w:rsidRDefault="006C3430" w:rsidP="006C3430">
            <w:pPr>
              <w:pStyle w:val="Body"/>
              <w:spacing w:after="0"/>
              <w:rPr>
                <w:rFonts w:ascii="Arial" w:eastAsia="Times New Roman" w:hAnsi="Arial" w:cs="Arial"/>
                <w:sz w:val="20"/>
              </w:rPr>
            </w:pPr>
            <w:r w:rsidRPr="006C3430">
              <w:rPr>
                <w:rFonts w:ascii="Arial" w:eastAsia="Times New Roman" w:hAnsi="Arial" w:cs="Arial"/>
                <w:sz w:val="20"/>
              </w:rPr>
              <w:t>≤101</w:t>
            </w:r>
          </w:p>
        </w:tc>
        <w:tc>
          <w:tcPr>
            <w:tcW w:w="1545" w:type="pct"/>
          </w:tcPr>
          <w:p w14:paraId="09B24E14" w14:textId="77777777" w:rsidR="006C3430" w:rsidRPr="006C3430" w:rsidRDefault="006C3430" w:rsidP="006C3430">
            <w:pPr>
              <w:pStyle w:val="Body"/>
              <w:spacing w:after="0"/>
              <w:rPr>
                <w:rFonts w:ascii="Arial" w:eastAsia="Times New Roman" w:hAnsi="Arial" w:cs="Arial"/>
                <w:sz w:val="20"/>
              </w:rPr>
            </w:pPr>
            <w:r w:rsidRPr="006C3430">
              <w:rPr>
                <w:rFonts w:ascii="Arial" w:eastAsia="Times New Roman" w:hAnsi="Arial" w:cs="Arial"/>
                <w:sz w:val="20"/>
              </w:rPr>
              <w:t>12 (40.0)</w:t>
            </w:r>
          </w:p>
        </w:tc>
        <w:tc>
          <w:tcPr>
            <w:tcW w:w="1083" w:type="pct"/>
          </w:tcPr>
          <w:p w14:paraId="1869FD21" w14:textId="77777777" w:rsidR="006C3430" w:rsidRPr="006C3430" w:rsidRDefault="006C3430" w:rsidP="006C3430">
            <w:pPr>
              <w:pStyle w:val="Body"/>
              <w:spacing w:after="0"/>
              <w:rPr>
                <w:rFonts w:ascii="Arial" w:eastAsia="Times New Roman" w:hAnsi="Arial" w:cs="Arial"/>
                <w:sz w:val="20"/>
              </w:rPr>
            </w:pPr>
            <w:r w:rsidRPr="006C3430">
              <w:rPr>
                <w:rFonts w:ascii="Arial" w:eastAsia="Times New Roman" w:hAnsi="Arial" w:cs="Arial"/>
                <w:sz w:val="20"/>
              </w:rPr>
              <w:t>14 (15.6)</w:t>
            </w:r>
          </w:p>
        </w:tc>
        <w:tc>
          <w:tcPr>
            <w:tcW w:w="1337" w:type="pct"/>
          </w:tcPr>
          <w:p w14:paraId="3520A6BE" w14:textId="77777777" w:rsidR="006C3430" w:rsidRPr="006C3430" w:rsidRDefault="006C3430" w:rsidP="006C3430">
            <w:pPr>
              <w:pStyle w:val="Body"/>
              <w:spacing w:after="0"/>
              <w:rPr>
                <w:rFonts w:ascii="Arial" w:eastAsia="Times New Roman" w:hAnsi="Arial" w:cs="Arial"/>
                <w:sz w:val="20"/>
              </w:rPr>
            </w:pPr>
            <w:r w:rsidRPr="006C3430">
              <w:rPr>
                <w:rFonts w:ascii="Arial" w:eastAsia="Times New Roman" w:hAnsi="Arial" w:cs="Arial"/>
                <w:sz w:val="20"/>
              </w:rPr>
              <w:t>3.15 (0.020)</w:t>
            </w:r>
          </w:p>
        </w:tc>
      </w:tr>
      <w:tr w:rsidR="006C3430" w:rsidRPr="006C3430" w14:paraId="6DDAB3C7" w14:textId="77777777" w:rsidTr="006C3430">
        <w:trPr>
          <w:jc w:val="center"/>
        </w:trPr>
        <w:tc>
          <w:tcPr>
            <w:tcW w:w="1035" w:type="pct"/>
          </w:tcPr>
          <w:p w14:paraId="447947E2" w14:textId="77777777" w:rsidR="006C3430" w:rsidRPr="006C3430" w:rsidRDefault="006C3430" w:rsidP="006C3430">
            <w:pPr>
              <w:pStyle w:val="Body"/>
              <w:spacing w:after="0"/>
              <w:rPr>
                <w:rFonts w:ascii="Arial" w:eastAsia="Times New Roman" w:hAnsi="Arial" w:cs="Arial"/>
                <w:sz w:val="20"/>
              </w:rPr>
            </w:pPr>
            <w:r w:rsidRPr="006C3430">
              <w:rPr>
                <w:rFonts w:ascii="Arial" w:eastAsia="Times New Roman" w:hAnsi="Arial" w:cs="Arial"/>
                <w:sz w:val="20"/>
              </w:rPr>
              <w:t>&gt;101</w:t>
            </w:r>
          </w:p>
        </w:tc>
        <w:tc>
          <w:tcPr>
            <w:tcW w:w="1545" w:type="pct"/>
          </w:tcPr>
          <w:p w14:paraId="7BC77D9E" w14:textId="77777777" w:rsidR="006C3430" w:rsidRPr="006C3430" w:rsidRDefault="006C3430" w:rsidP="006C3430">
            <w:pPr>
              <w:pStyle w:val="Body"/>
              <w:spacing w:after="0"/>
              <w:rPr>
                <w:rFonts w:ascii="Arial" w:eastAsia="Times New Roman" w:hAnsi="Arial" w:cs="Arial"/>
                <w:sz w:val="20"/>
              </w:rPr>
            </w:pPr>
            <w:r w:rsidRPr="006C3430">
              <w:rPr>
                <w:rFonts w:ascii="Arial" w:eastAsia="Times New Roman" w:hAnsi="Arial" w:cs="Arial"/>
                <w:sz w:val="20"/>
              </w:rPr>
              <w:t>18 (60.0)</w:t>
            </w:r>
          </w:p>
        </w:tc>
        <w:tc>
          <w:tcPr>
            <w:tcW w:w="1083" w:type="pct"/>
          </w:tcPr>
          <w:p w14:paraId="2F2B1268" w14:textId="77777777" w:rsidR="006C3430" w:rsidRPr="006C3430" w:rsidRDefault="006C3430" w:rsidP="006C3430">
            <w:pPr>
              <w:pStyle w:val="Body"/>
              <w:spacing w:after="0"/>
              <w:rPr>
                <w:rFonts w:ascii="Arial" w:eastAsia="Times New Roman" w:hAnsi="Arial" w:cs="Arial"/>
                <w:sz w:val="20"/>
              </w:rPr>
            </w:pPr>
            <w:r w:rsidRPr="006C3430">
              <w:rPr>
                <w:rFonts w:ascii="Arial" w:eastAsia="Times New Roman" w:hAnsi="Arial" w:cs="Arial"/>
                <w:sz w:val="20"/>
              </w:rPr>
              <w:t>76 (84.4)</w:t>
            </w:r>
          </w:p>
        </w:tc>
        <w:tc>
          <w:tcPr>
            <w:tcW w:w="1337" w:type="pct"/>
          </w:tcPr>
          <w:p w14:paraId="226DEAF0" w14:textId="77777777" w:rsidR="006C3430" w:rsidRPr="006C3430" w:rsidRDefault="006C3430" w:rsidP="006C3430">
            <w:pPr>
              <w:pStyle w:val="Body"/>
              <w:spacing w:after="0"/>
              <w:rPr>
                <w:rFonts w:ascii="Arial" w:eastAsia="Times New Roman" w:hAnsi="Arial" w:cs="Arial"/>
                <w:sz w:val="20"/>
              </w:rPr>
            </w:pPr>
          </w:p>
        </w:tc>
      </w:tr>
      <w:tr w:rsidR="006C3430" w:rsidRPr="006C3430" w14:paraId="7CAC3497" w14:textId="77777777" w:rsidTr="006C3430">
        <w:trPr>
          <w:jc w:val="center"/>
        </w:trPr>
        <w:tc>
          <w:tcPr>
            <w:tcW w:w="1035" w:type="pct"/>
          </w:tcPr>
          <w:p w14:paraId="7A2FDB24" w14:textId="77777777" w:rsidR="006C3430" w:rsidRPr="006C3430" w:rsidRDefault="006C3430" w:rsidP="006C3430">
            <w:pPr>
              <w:pStyle w:val="Body"/>
              <w:spacing w:after="0"/>
              <w:rPr>
                <w:rFonts w:ascii="Arial" w:eastAsia="Times New Roman" w:hAnsi="Arial" w:cs="Arial"/>
                <w:b/>
                <w:bCs/>
                <w:sz w:val="20"/>
              </w:rPr>
            </w:pPr>
            <w:proofErr w:type="gramStart"/>
            <w:r w:rsidRPr="006C3430">
              <w:rPr>
                <w:rFonts w:ascii="Arial" w:eastAsia="Times New Roman" w:hAnsi="Arial" w:cs="Arial"/>
                <w:b/>
                <w:bCs/>
                <w:sz w:val="20"/>
              </w:rPr>
              <w:lastRenderedPageBreak/>
              <w:t>MOPP(</w:t>
            </w:r>
            <w:proofErr w:type="gramEnd"/>
            <w:r w:rsidRPr="006C3430">
              <w:rPr>
                <w:rFonts w:ascii="Arial" w:eastAsia="Times New Roman" w:hAnsi="Arial" w:cs="Arial"/>
                <w:b/>
                <w:bCs/>
                <w:sz w:val="20"/>
              </w:rPr>
              <w:t>mmHg)</w:t>
            </w:r>
          </w:p>
        </w:tc>
        <w:tc>
          <w:tcPr>
            <w:tcW w:w="1545" w:type="pct"/>
          </w:tcPr>
          <w:p w14:paraId="18F6EC0B" w14:textId="77777777" w:rsidR="006C3430" w:rsidRPr="006C3430" w:rsidRDefault="006C3430" w:rsidP="006C3430">
            <w:pPr>
              <w:pStyle w:val="Body"/>
              <w:spacing w:after="0"/>
              <w:rPr>
                <w:rFonts w:ascii="Arial" w:eastAsia="Times New Roman" w:hAnsi="Arial" w:cs="Arial"/>
                <w:sz w:val="20"/>
              </w:rPr>
            </w:pPr>
          </w:p>
        </w:tc>
        <w:tc>
          <w:tcPr>
            <w:tcW w:w="1083" w:type="pct"/>
          </w:tcPr>
          <w:p w14:paraId="53CA0E21" w14:textId="77777777" w:rsidR="006C3430" w:rsidRPr="006C3430" w:rsidRDefault="006C3430" w:rsidP="006C3430">
            <w:pPr>
              <w:pStyle w:val="Body"/>
              <w:spacing w:after="0"/>
              <w:rPr>
                <w:rFonts w:ascii="Arial" w:eastAsia="Times New Roman" w:hAnsi="Arial" w:cs="Arial"/>
                <w:sz w:val="20"/>
              </w:rPr>
            </w:pPr>
          </w:p>
        </w:tc>
        <w:tc>
          <w:tcPr>
            <w:tcW w:w="1337" w:type="pct"/>
          </w:tcPr>
          <w:p w14:paraId="098CE14E" w14:textId="77777777" w:rsidR="006C3430" w:rsidRPr="006C3430" w:rsidRDefault="006C3430" w:rsidP="006C3430">
            <w:pPr>
              <w:pStyle w:val="Body"/>
              <w:spacing w:after="0"/>
              <w:rPr>
                <w:rFonts w:ascii="Arial" w:eastAsia="Times New Roman" w:hAnsi="Arial" w:cs="Arial"/>
                <w:sz w:val="20"/>
              </w:rPr>
            </w:pPr>
          </w:p>
        </w:tc>
      </w:tr>
      <w:tr w:rsidR="006C3430" w:rsidRPr="006C3430" w14:paraId="6C831F50" w14:textId="77777777" w:rsidTr="006C3430">
        <w:trPr>
          <w:jc w:val="center"/>
        </w:trPr>
        <w:tc>
          <w:tcPr>
            <w:tcW w:w="1035" w:type="pct"/>
          </w:tcPr>
          <w:p w14:paraId="756A7B17" w14:textId="77777777" w:rsidR="006C3430" w:rsidRPr="006C3430" w:rsidRDefault="006C3430" w:rsidP="006C3430">
            <w:pPr>
              <w:pStyle w:val="Body"/>
              <w:spacing w:after="0"/>
              <w:rPr>
                <w:rFonts w:ascii="Arial" w:eastAsia="Times New Roman" w:hAnsi="Arial" w:cs="Arial"/>
                <w:sz w:val="20"/>
              </w:rPr>
            </w:pPr>
            <w:r w:rsidRPr="006C3430">
              <w:rPr>
                <w:rFonts w:ascii="Arial" w:eastAsia="Times New Roman" w:hAnsi="Arial" w:cs="Arial"/>
                <w:sz w:val="20"/>
              </w:rPr>
              <w:t>0-53</w:t>
            </w:r>
          </w:p>
        </w:tc>
        <w:tc>
          <w:tcPr>
            <w:tcW w:w="1545" w:type="pct"/>
          </w:tcPr>
          <w:p w14:paraId="11011379" w14:textId="77777777" w:rsidR="006C3430" w:rsidRPr="006C3430" w:rsidRDefault="006C3430" w:rsidP="006C3430">
            <w:pPr>
              <w:pStyle w:val="Body"/>
              <w:spacing w:after="0"/>
              <w:rPr>
                <w:rFonts w:ascii="Arial" w:eastAsia="Times New Roman" w:hAnsi="Arial" w:cs="Arial"/>
                <w:sz w:val="20"/>
              </w:rPr>
            </w:pPr>
            <w:r w:rsidRPr="006C3430">
              <w:rPr>
                <w:rFonts w:ascii="Arial" w:eastAsia="Times New Roman" w:hAnsi="Arial" w:cs="Arial"/>
                <w:sz w:val="20"/>
              </w:rPr>
              <w:t>5 (16.7)</w:t>
            </w:r>
          </w:p>
        </w:tc>
        <w:tc>
          <w:tcPr>
            <w:tcW w:w="1083" w:type="pct"/>
          </w:tcPr>
          <w:p w14:paraId="7154D502" w14:textId="77777777" w:rsidR="006C3430" w:rsidRPr="006C3430" w:rsidRDefault="006C3430" w:rsidP="006C3430">
            <w:pPr>
              <w:pStyle w:val="Body"/>
              <w:spacing w:after="0"/>
              <w:rPr>
                <w:rFonts w:ascii="Arial" w:eastAsia="Times New Roman" w:hAnsi="Arial" w:cs="Arial"/>
                <w:sz w:val="20"/>
              </w:rPr>
            </w:pPr>
            <w:r w:rsidRPr="006C3430">
              <w:rPr>
                <w:rFonts w:ascii="Arial" w:eastAsia="Times New Roman" w:hAnsi="Arial" w:cs="Arial"/>
                <w:sz w:val="20"/>
              </w:rPr>
              <w:t>0 (0.0)</w:t>
            </w:r>
          </w:p>
        </w:tc>
        <w:tc>
          <w:tcPr>
            <w:tcW w:w="1337" w:type="pct"/>
          </w:tcPr>
          <w:p w14:paraId="5E7C9593" w14:textId="77777777" w:rsidR="006C3430" w:rsidRPr="006C3430" w:rsidRDefault="006C3430" w:rsidP="006C3430">
            <w:pPr>
              <w:pStyle w:val="Body"/>
              <w:spacing w:after="0"/>
              <w:rPr>
                <w:rFonts w:ascii="Arial" w:eastAsia="Times New Roman" w:hAnsi="Arial" w:cs="Arial"/>
                <w:sz w:val="20"/>
              </w:rPr>
            </w:pPr>
            <w:r w:rsidRPr="006C3430">
              <w:rPr>
                <w:rFonts w:ascii="Arial" w:eastAsia="Times New Roman" w:hAnsi="Arial" w:cs="Arial"/>
                <w:sz w:val="20"/>
              </w:rPr>
              <w:t>10.83 (0.001)</w:t>
            </w:r>
          </w:p>
        </w:tc>
      </w:tr>
      <w:tr w:rsidR="006C3430" w:rsidRPr="006C3430" w14:paraId="7C4B0265" w14:textId="77777777" w:rsidTr="006C3430">
        <w:trPr>
          <w:jc w:val="center"/>
        </w:trPr>
        <w:tc>
          <w:tcPr>
            <w:tcW w:w="1035" w:type="pct"/>
          </w:tcPr>
          <w:p w14:paraId="7D552403" w14:textId="77777777" w:rsidR="006C3430" w:rsidRPr="006C3430" w:rsidRDefault="006C3430" w:rsidP="006C3430">
            <w:pPr>
              <w:pStyle w:val="Body"/>
              <w:spacing w:after="0"/>
              <w:rPr>
                <w:rFonts w:ascii="Arial" w:eastAsia="Times New Roman" w:hAnsi="Arial" w:cs="Arial"/>
                <w:sz w:val="20"/>
              </w:rPr>
            </w:pPr>
            <w:r w:rsidRPr="006C3430">
              <w:rPr>
                <w:rFonts w:ascii="Arial" w:eastAsia="Times New Roman" w:hAnsi="Arial" w:cs="Arial"/>
                <w:sz w:val="20"/>
              </w:rPr>
              <w:t>&gt;53</w:t>
            </w:r>
          </w:p>
        </w:tc>
        <w:tc>
          <w:tcPr>
            <w:tcW w:w="1545" w:type="pct"/>
          </w:tcPr>
          <w:p w14:paraId="46539348" w14:textId="77777777" w:rsidR="006C3430" w:rsidRPr="006C3430" w:rsidRDefault="006C3430" w:rsidP="006C3430">
            <w:pPr>
              <w:pStyle w:val="Body"/>
              <w:spacing w:after="0"/>
              <w:rPr>
                <w:rFonts w:ascii="Arial" w:eastAsia="Times New Roman" w:hAnsi="Arial" w:cs="Arial"/>
                <w:sz w:val="20"/>
              </w:rPr>
            </w:pPr>
            <w:r w:rsidRPr="006C3430">
              <w:rPr>
                <w:rFonts w:ascii="Arial" w:eastAsia="Times New Roman" w:hAnsi="Arial" w:cs="Arial"/>
                <w:sz w:val="20"/>
              </w:rPr>
              <w:t>25 (83.3)</w:t>
            </w:r>
          </w:p>
        </w:tc>
        <w:tc>
          <w:tcPr>
            <w:tcW w:w="1083" w:type="pct"/>
          </w:tcPr>
          <w:p w14:paraId="0F46054E" w14:textId="77777777" w:rsidR="006C3430" w:rsidRPr="006C3430" w:rsidRDefault="006C3430" w:rsidP="006C3430">
            <w:pPr>
              <w:pStyle w:val="Body"/>
              <w:spacing w:after="0"/>
              <w:rPr>
                <w:rFonts w:ascii="Arial" w:eastAsia="Times New Roman" w:hAnsi="Arial" w:cs="Arial"/>
                <w:sz w:val="20"/>
              </w:rPr>
            </w:pPr>
            <w:r w:rsidRPr="006C3430">
              <w:rPr>
                <w:rFonts w:ascii="Arial" w:eastAsia="Times New Roman" w:hAnsi="Arial" w:cs="Arial"/>
                <w:sz w:val="20"/>
              </w:rPr>
              <w:t>90 (100)</w:t>
            </w:r>
          </w:p>
        </w:tc>
        <w:tc>
          <w:tcPr>
            <w:tcW w:w="1337" w:type="pct"/>
          </w:tcPr>
          <w:p w14:paraId="0C463424" w14:textId="77777777" w:rsidR="006C3430" w:rsidRPr="006C3430" w:rsidRDefault="006C3430" w:rsidP="006C3430">
            <w:pPr>
              <w:pStyle w:val="Body"/>
              <w:spacing w:after="0"/>
              <w:rPr>
                <w:rFonts w:ascii="Arial" w:eastAsia="Times New Roman" w:hAnsi="Arial" w:cs="Arial"/>
                <w:sz w:val="20"/>
              </w:rPr>
            </w:pPr>
          </w:p>
        </w:tc>
      </w:tr>
    </w:tbl>
    <w:bookmarkEnd w:id="16"/>
    <w:p w14:paraId="64A7DB2B" w14:textId="77777777" w:rsidR="00790ADA" w:rsidRPr="006C3430" w:rsidRDefault="006C3430" w:rsidP="006C3430">
      <w:pPr>
        <w:jc w:val="both"/>
        <w:rPr>
          <w:rFonts w:ascii="Times New Roman" w:hAnsi="Times New Roman"/>
          <w:sz w:val="24"/>
          <w:szCs w:val="24"/>
        </w:rPr>
      </w:pPr>
      <w:r w:rsidRPr="00C70B56">
        <w:rPr>
          <w:rFonts w:ascii="Times New Roman" w:hAnsi="Times New Roman"/>
          <w:sz w:val="24"/>
          <w:szCs w:val="24"/>
        </w:rPr>
        <w:t>(</w:t>
      </w:r>
      <w:r w:rsidRPr="00C70B56">
        <w:rPr>
          <w:rFonts w:ascii="Times New Roman" w:hAnsi="Times New Roman"/>
          <w:i/>
          <w:sz w:val="24"/>
          <w:szCs w:val="24"/>
        </w:rPr>
        <w:t>Abbreviations: DPP – Diastolic Perfusion Pressure; SPP – Systolic Perfusion Pressure; MOPP – Mean Ocular Perfusion Pressure; NTG – Normal Tension Glaucoma</w:t>
      </w:r>
      <w:r w:rsidRPr="00C70B56">
        <w:rPr>
          <w:rFonts w:ascii="Times New Roman" w:hAnsi="Times New Roman"/>
          <w:sz w:val="24"/>
          <w:szCs w:val="24"/>
        </w:rPr>
        <w:t>)</w:t>
      </w:r>
    </w:p>
    <w:p w14:paraId="168FF1D7" w14:textId="77777777" w:rsidR="0044099A" w:rsidRPr="0044099A" w:rsidRDefault="0044099A" w:rsidP="0044099A">
      <w:pPr>
        <w:pStyle w:val="Body"/>
        <w:spacing w:after="0"/>
        <w:rPr>
          <w:rFonts w:ascii="Arial" w:hAnsi="Arial" w:cs="Arial"/>
          <w:b/>
        </w:rPr>
      </w:pPr>
      <w:bookmarkStart w:id="17" w:name="_Toc201923061"/>
      <w:r w:rsidRPr="0044099A">
        <w:rPr>
          <w:rFonts w:ascii="Arial" w:hAnsi="Arial" w:cs="Arial"/>
          <w:b/>
        </w:rPr>
        <w:t>3.5. Association between DPP, SPP, MOPP, and Normal Tension Glaucoma (NTG)</w:t>
      </w:r>
      <w:bookmarkEnd w:id="17"/>
    </w:p>
    <w:p w14:paraId="2B3D8A31" w14:textId="77777777" w:rsidR="0044099A" w:rsidRPr="0044099A" w:rsidRDefault="0044099A" w:rsidP="0044099A">
      <w:pPr>
        <w:pStyle w:val="Body"/>
        <w:spacing w:after="0"/>
        <w:rPr>
          <w:rFonts w:ascii="Arial" w:hAnsi="Arial" w:cs="Arial"/>
        </w:rPr>
      </w:pPr>
      <w:r w:rsidRPr="0044099A">
        <w:rPr>
          <w:rFonts w:ascii="Arial" w:hAnsi="Arial" w:cs="Arial"/>
        </w:rPr>
        <w:t>In bivariate analysis patients with DPP between 0-56 had significant 67% higher odds of having NTG as compared to patients with DPP above 56 (COR: 1.67; 95%CI: 1.08, 2.58), patients with SPP less than or equal to 101 had 12% higher odds of having NTG as compared to patients with SPP greater than 101 (COR: 1.12; 95%CI: 1.02, 1.23). Patients with MOPP between 0-53 had significant 32% of having NTG as compared to patients with MOPP above 53 (COR: 1.32; 95%CI: 0.45, 3.85).</w:t>
      </w:r>
    </w:p>
    <w:p w14:paraId="72EB3F68" w14:textId="77777777" w:rsidR="0044099A" w:rsidRPr="0044099A" w:rsidRDefault="0044099A" w:rsidP="0044099A">
      <w:pPr>
        <w:pStyle w:val="Body"/>
        <w:spacing w:after="0"/>
        <w:rPr>
          <w:rFonts w:ascii="Arial" w:hAnsi="Arial" w:cs="Arial"/>
        </w:rPr>
      </w:pPr>
      <w:r w:rsidRPr="0044099A">
        <w:rPr>
          <w:rFonts w:ascii="Arial" w:hAnsi="Arial" w:cs="Arial"/>
        </w:rPr>
        <w:t xml:space="preserve">In multivariable analysis after adjusting to other factors, patients with DPP between 0-56 had 58% higher odds of having NTG as compared to patients with DPP above 56 (AOR:1.58; 95%CI:1.08, 2.32). </w:t>
      </w:r>
      <w:r w:rsidRPr="0044099A">
        <w:rPr>
          <w:rFonts w:ascii="Arial" w:hAnsi="Arial" w:cs="Arial"/>
          <w:bCs/>
        </w:rPr>
        <w:t>(Table 5).</w:t>
      </w:r>
    </w:p>
    <w:p w14:paraId="45EC6F2B" w14:textId="77777777" w:rsidR="001277C6" w:rsidRPr="001277C6" w:rsidRDefault="001277C6" w:rsidP="001277C6">
      <w:pPr>
        <w:pStyle w:val="Body"/>
        <w:spacing w:after="0"/>
        <w:rPr>
          <w:rFonts w:ascii="Arial" w:hAnsi="Arial" w:cs="Arial"/>
          <w:b/>
        </w:rPr>
      </w:pPr>
      <w:bookmarkStart w:id="18" w:name="_Toc201923088"/>
      <w:r w:rsidRPr="001277C6">
        <w:rPr>
          <w:rFonts w:ascii="Arial" w:hAnsi="Arial" w:cs="Arial"/>
          <w:b/>
        </w:rPr>
        <w:t xml:space="preserve">Table </w:t>
      </w:r>
      <w:r w:rsidRPr="001277C6">
        <w:rPr>
          <w:rFonts w:ascii="Arial" w:hAnsi="Arial" w:cs="Arial"/>
          <w:b/>
        </w:rPr>
        <w:fldChar w:fldCharType="begin"/>
      </w:r>
      <w:r w:rsidRPr="001277C6">
        <w:rPr>
          <w:rFonts w:ascii="Arial" w:hAnsi="Arial" w:cs="Arial"/>
          <w:b/>
        </w:rPr>
        <w:instrText xml:space="preserve"> SEQ Table \* ARABIC </w:instrText>
      </w:r>
      <w:r w:rsidRPr="001277C6">
        <w:rPr>
          <w:rFonts w:ascii="Arial" w:hAnsi="Arial" w:cs="Arial"/>
          <w:b/>
        </w:rPr>
        <w:fldChar w:fldCharType="separate"/>
      </w:r>
      <w:r w:rsidRPr="001277C6">
        <w:rPr>
          <w:rFonts w:ascii="Arial" w:hAnsi="Arial" w:cs="Arial"/>
          <w:b/>
        </w:rPr>
        <w:t>5</w:t>
      </w:r>
      <w:r w:rsidRPr="001277C6">
        <w:rPr>
          <w:rFonts w:ascii="Arial" w:hAnsi="Arial" w:cs="Arial"/>
        </w:rPr>
        <w:fldChar w:fldCharType="end"/>
      </w:r>
      <w:r w:rsidRPr="001277C6">
        <w:rPr>
          <w:rFonts w:ascii="Arial" w:hAnsi="Arial" w:cs="Arial"/>
          <w:b/>
        </w:rPr>
        <w:t>: Association between DPP, SPP, MOPP, and Normal Tension Glaucoma (NTG)</w:t>
      </w:r>
      <w:bookmarkEnd w:id="18"/>
    </w:p>
    <w:tbl>
      <w:tblPr>
        <w:tblStyle w:val="TableGrid"/>
        <w:tblW w:w="9493" w:type="dxa"/>
        <w:tblBorders>
          <w:top w:val="single" w:sz="12"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1984"/>
        <w:gridCol w:w="1276"/>
        <w:gridCol w:w="1985"/>
        <w:gridCol w:w="1134"/>
      </w:tblGrid>
      <w:tr w:rsidR="001277C6" w:rsidRPr="001277C6" w14:paraId="5185449F" w14:textId="77777777" w:rsidTr="005A04ED">
        <w:tc>
          <w:tcPr>
            <w:tcW w:w="3114" w:type="dxa"/>
            <w:tcBorders>
              <w:top w:val="single" w:sz="12" w:space="0" w:color="auto"/>
              <w:bottom w:val="single" w:sz="4" w:space="0" w:color="auto"/>
            </w:tcBorders>
          </w:tcPr>
          <w:p w14:paraId="1A719E2A" w14:textId="77777777" w:rsidR="001277C6" w:rsidRPr="001277C6" w:rsidRDefault="001277C6" w:rsidP="001277C6">
            <w:pPr>
              <w:pStyle w:val="Body"/>
              <w:spacing w:after="0"/>
              <w:rPr>
                <w:rFonts w:ascii="Arial" w:eastAsia="Times New Roman" w:hAnsi="Arial" w:cs="Arial"/>
                <w:b/>
                <w:bCs/>
                <w:sz w:val="20"/>
              </w:rPr>
            </w:pPr>
            <w:r w:rsidRPr="001277C6">
              <w:rPr>
                <w:rFonts w:ascii="Arial" w:eastAsia="Times New Roman" w:hAnsi="Arial" w:cs="Arial"/>
                <w:b/>
                <w:bCs/>
                <w:sz w:val="20"/>
              </w:rPr>
              <w:t>Variable</w:t>
            </w:r>
          </w:p>
        </w:tc>
        <w:tc>
          <w:tcPr>
            <w:tcW w:w="1984" w:type="dxa"/>
            <w:tcBorders>
              <w:top w:val="single" w:sz="12" w:space="0" w:color="auto"/>
              <w:bottom w:val="single" w:sz="4" w:space="0" w:color="auto"/>
            </w:tcBorders>
          </w:tcPr>
          <w:p w14:paraId="13CD670F" w14:textId="77777777" w:rsidR="001277C6" w:rsidRPr="001277C6" w:rsidRDefault="001277C6" w:rsidP="001277C6">
            <w:pPr>
              <w:pStyle w:val="Body"/>
              <w:spacing w:after="0"/>
              <w:rPr>
                <w:rFonts w:ascii="Arial" w:eastAsia="Times New Roman" w:hAnsi="Arial" w:cs="Arial"/>
                <w:b/>
                <w:bCs/>
                <w:sz w:val="20"/>
              </w:rPr>
            </w:pPr>
            <w:r w:rsidRPr="001277C6">
              <w:rPr>
                <w:rFonts w:ascii="Arial" w:eastAsia="Times New Roman" w:hAnsi="Arial" w:cs="Arial"/>
                <w:b/>
                <w:bCs/>
                <w:sz w:val="20"/>
              </w:rPr>
              <w:t>COR (95%CI)</w:t>
            </w:r>
          </w:p>
        </w:tc>
        <w:tc>
          <w:tcPr>
            <w:tcW w:w="1276" w:type="dxa"/>
            <w:tcBorders>
              <w:top w:val="single" w:sz="12" w:space="0" w:color="auto"/>
              <w:bottom w:val="single" w:sz="4" w:space="0" w:color="auto"/>
            </w:tcBorders>
          </w:tcPr>
          <w:p w14:paraId="49F76DF6" w14:textId="77777777" w:rsidR="001277C6" w:rsidRPr="001277C6" w:rsidRDefault="001277C6" w:rsidP="001277C6">
            <w:pPr>
              <w:pStyle w:val="Body"/>
              <w:spacing w:after="0"/>
              <w:rPr>
                <w:rFonts w:ascii="Arial" w:eastAsia="Times New Roman" w:hAnsi="Arial" w:cs="Arial"/>
                <w:b/>
                <w:bCs/>
                <w:sz w:val="20"/>
              </w:rPr>
            </w:pPr>
            <w:r w:rsidRPr="001277C6">
              <w:rPr>
                <w:rFonts w:ascii="Arial" w:eastAsia="Times New Roman" w:hAnsi="Arial" w:cs="Arial"/>
                <w:b/>
                <w:bCs/>
                <w:i/>
                <w:iCs/>
                <w:sz w:val="20"/>
              </w:rPr>
              <w:t>p</w:t>
            </w:r>
            <w:r w:rsidRPr="001277C6">
              <w:rPr>
                <w:rFonts w:ascii="Arial" w:eastAsia="Times New Roman" w:hAnsi="Arial" w:cs="Arial"/>
                <w:b/>
                <w:bCs/>
                <w:sz w:val="20"/>
              </w:rPr>
              <w:t>-value</w:t>
            </w:r>
          </w:p>
        </w:tc>
        <w:tc>
          <w:tcPr>
            <w:tcW w:w="1985" w:type="dxa"/>
            <w:tcBorders>
              <w:top w:val="single" w:sz="12" w:space="0" w:color="auto"/>
              <w:bottom w:val="single" w:sz="4" w:space="0" w:color="auto"/>
            </w:tcBorders>
          </w:tcPr>
          <w:p w14:paraId="34424318" w14:textId="77777777" w:rsidR="001277C6" w:rsidRPr="001277C6" w:rsidRDefault="001277C6" w:rsidP="001277C6">
            <w:pPr>
              <w:pStyle w:val="Body"/>
              <w:spacing w:after="0"/>
              <w:rPr>
                <w:rFonts w:ascii="Arial" w:eastAsia="Times New Roman" w:hAnsi="Arial" w:cs="Arial"/>
                <w:b/>
                <w:bCs/>
                <w:sz w:val="20"/>
              </w:rPr>
            </w:pPr>
            <w:r w:rsidRPr="001277C6">
              <w:rPr>
                <w:rFonts w:ascii="Arial" w:eastAsia="Times New Roman" w:hAnsi="Arial" w:cs="Arial"/>
                <w:b/>
                <w:bCs/>
                <w:sz w:val="20"/>
              </w:rPr>
              <w:t>AOR (95%CI)</w:t>
            </w:r>
          </w:p>
        </w:tc>
        <w:tc>
          <w:tcPr>
            <w:tcW w:w="1134" w:type="dxa"/>
            <w:tcBorders>
              <w:top w:val="single" w:sz="12" w:space="0" w:color="auto"/>
              <w:bottom w:val="single" w:sz="4" w:space="0" w:color="auto"/>
            </w:tcBorders>
          </w:tcPr>
          <w:p w14:paraId="6D14C98E" w14:textId="77777777" w:rsidR="001277C6" w:rsidRPr="001277C6" w:rsidRDefault="001277C6" w:rsidP="001277C6">
            <w:pPr>
              <w:pStyle w:val="Body"/>
              <w:spacing w:after="0"/>
              <w:rPr>
                <w:rFonts w:ascii="Arial" w:eastAsia="Times New Roman" w:hAnsi="Arial" w:cs="Arial"/>
                <w:b/>
                <w:bCs/>
                <w:i/>
                <w:iCs/>
                <w:sz w:val="20"/>
              </w:rPr>
            </w:pPr>
            <w:r w:rsidRPr="001277C6">
              <w:rPr>
                <w:rFonts w:ascii="Arial" w:eastAsia="Times New Roman" w:hAnsi="Arial" w:cs="Arial"/>
                <w:b/>
                <w:bCs/>
                <w:i/>
                <w:iCs/>
                <w:sz w:val="20"/>
              </w:rPr>
              <w:t>p</w:t>
            </w:r>
            <w:r w:rsidRPr="001277C6">
              <w:rPr>
                <w:rFonts w:ascii="Arial" w:eastAsia="Times New Roman" w:hAnsi="Arial" w:cs="Arial"/>
                <w:b/>
                <w:bCs/>
                <w:sz w:val="20"/>
              </w:rPr>
              <w:t>-value</w:t>
            </w:r>
          </w:p>
        </w:tc>
      </w:tr>
      <w:tr w:rsidR="001277C6" w:rsidRPr="001277C6" w14:paraId="155B6B62" w14:textId="77777777" w:rsidTr="005A04ED">
        <w:tc>
          <w:tcPr>
            <w:tcW w:w="3114" w:type="dxa"/>
          </w:tcPr>
          <w:p w14:paraId="00A6614E" w14:textId="77777777" w:rsidR="001277C6" w:rsidRPr="001277C6" w:rsidRDefault="001277C6" w:rsidP="001277C6">
            <w:pPr>
              <w:pStyle w:val="Body"/>
              <w:spacing w:after="0"/>
              <w:rPr>
                <w:rFonts w:ascii="Arial" w:eastAsia="Times New Roman" w:hAnsi="Arial" w:cs="Arial"/>
                <w:b/>
                <w:bCs/>
                <w:sz w:val="20"/>
              </w:rPr>
            </w:pPr>
            <w:proofErr w:type="gramStart"/>
            <w:r w:rsidRPr="001277C6">
              <w:rPr>
                <w:rFonts w:ascii="Arial" w:eastAsia="Times New Roman" w:hAnsi="Arial" w:cs="Arial"/>
                <w:b/>
                <w:bCs/>
                <w:sz w:val="20"/>
              </w:rPr>
              <w:t>DPP(</w:t>
            </w:r>
            <w:proofErr w:type="gramEnd"/>
            <w:r w:rsidRPr="001277C6">
              <w:rPr>
                <w:rFonts w:ascii="Arial" w:eastAsia="Times New Roman" w:hAnsi="Arial" w:cs="Arial"/>
                <w:b/>
                <w:bCs/>
                <w:sz w:val="20"/>
              </w:rPr>
              <w:t>mmHg)</w:t>
            </w:r>
          </w:p>
        </w:tc>
        <w:tc>
          <w:tcPr>
            <w:tcW w:w="1984" w:type="dxa"/>
          </w:tcPr>
          <w:p w14:paraId="09EFA323" w14:textId="77777777" w:rsidR="001277C6" w:rsidRPr="001277C6" w:rsidRDefault="001277C6" w:rsidP="001277C6">
            <w:pPr>
              <w:pStyle w:val="Body"/>
              <w:spacing w:after="0"/>
              <w:rPr>
                <w:rFonts w:ascii="Arial" w:eastAsia="Times New Roman" w:hAnsi="Arial" w:cs="Arial"/>
                <w:sz w:val="20"/>
              </w:rPr>
            </w:pPr>
          </w:p>
        </w:tc>
        <w:tc>
          <w:tcPr>
            <w:tcW w:w="1276" w:type="dxa"/>
          </w:tcPr>
          <w:p w14:paraId="4952393A" w14:textId="77777777" w:rsidR="001277C6" w:rsidRPr="001277C6" w:rsidRDefault="001277C6" w:rsidP="001277C6">
            <w:pPr>
              <w:pStyle w:val="Body"/>
              <w:spacing w:after="0"/>
              <w:rPr>
                <w:rFonts w:ascii="Arial" w:eastAsia="Times New Roman" w:hAnsi="Arial" w:cs="Arial"/>
                <w:sz w:val="20"/>
              </w:rPr>
            </w:pPr>
          </w:p>
        </w:tc>
        <w:tc>
          <w:tcPr>
            <w:tcW w:w="1985" w:type="dxa"/>
          </w:tcPr>
          <w:p w14:paraId="726A3E4C" w14:textId="77777777" w:rsidR="001277C6" w:rsidRPr="001277C6" w:rsidRDefault="001277C6" w:rsidP="001277C6">
            <w:pPr>
              <w:pStyle w:val="Body"/>
              <w:spacing w:after="0"/>
              <w:rPr>
                <w:rFonts w:ascii="Arial" w:eastAsia="Times New Roman" w:hAnsi="Arial" w:cs="Arial"/>
                <w:sz w:val="20"/>
              </w:rPr>
            </w:pPr>
          </w:p>
        </w:tc>
        <w:tc>
          <w:tcPr>
            <w:tcW w:w="1134" w:type="dxa"/>
          </w:tcPr>
          <w:p w14:paraId="70E4D20F" w14:textId="77777777" w:rsidR="001277C6" w:rsidRPr="001277C6" w:rsidRDefault="001277C6" w:rsidP="001277C6">
            <w:pPr>
              <w:pStyle w:val="Body"/>
              <w:spacing w:after="0"/>
              <w:rPr>
                <w:rFonts w:ascii="Arial" w:eastAsia="Times New Roman" w:hAnsi="Arial" w:cs="Arial"/>
                <w:sz w:val="20"/>
              </w:rPr>
            </w:pPr>
          </w:p>
        </w:tc>
      </w:tr>
      <w:tr w:rsidR="001277C6" w:rsidRPr="001277C6" w14:paraId="4B9DCE77" w14:textId="77777777" w:rsidTr="005A04ED">
        <w:tc>
          <w:tcPr>
            <w:tcW w:w="3114" w:type="dxa"/>
          </w:tcPr>
          <w:p w14:paraId="6F3351A9" w14:textId="77777777" w:rsidR="001277C6" w:rsidRPr="001277C6" w:rsidRDefault="001277C6" w:rsidP="001277C6">
            <w:pPr>
              <w:pStyle w:val="Body"/>
              <w:spacing w:after="0"/>
              <w:rPr>
                <w:rFonts w:ascii="Arial" w:eastAsia="Times New Roman" w:hAnsi="Arial" w:cs="Arial"/>
                <w:bCs/>
                <w:sz w:val="20"/>
              </w:rPr>
            </w:pPr>
            <w:bookmarkStart w:id="19" w:name="_Hlk199318049"/>
            <w:r w:rsidRPr="001277C6">
              <w:rPr>
                <w:rFonts w:ascii="Arial" w:eastAsia="Times New Roman" w:hAnsi="Arial" w:cs="Arial"/>
                <w:bCs/>
                <w:sz w:val="20"/>
              </w:rPr>
              <w:t>0-56</w:t>
            </w:r>
          </w:p>
        </w:tc>
        <w:tc>
          <w:tcPr>
            <w:tcW w:w="1984" w:type="dxa"/>
          </w:tcPr>
          <w:p w14:paraId="1ED0B00A" w14:textId="77777777" w:rsidR="001277C6" w:rsidRPr="001277C6" w:rsidRDefault="001277C6" w:rsidP="001277C6">
            <w:pPr>
              <w:pStyle w:val="Body"/>
              <w:spacing w:after="0"/>
              <w:rPr>
                <w:rFonts w:ascii="Arial" w:eastAsia="Times New Roman" w:hAnsi="Arial" w:cs="Arial"/>
                <w:sz w:val="20"/>
              </w:rPr>
            </w:pPr>
            <w:r w:rsidRPr="001277C6">
              <w:rPr>
                <w:rFonts w:ascii="Arial" w:eastAsia="Times New Roman" w:hAnsi="Arial" w:cs="Arial"/>
                <w:sz w:val="20"/>
              </w:rPr>
              <w:t>1.67 (1.08, 2.58)</w:t>
            </w:r>
          </w:p>
        </w:tc>
        <w:tc>
          <w:tcPr>
            <w:tcW w:w="1276" w:type="dxa"/>
          </w:tcPr>
          <w:p w14:paraId="46FE3BFC" w14:textId="77777777" w:rsidR="001277C6" w:rsidRPr="001277C6" w:rsidRDefault="001277C6" w:rsidP="001277C6">
            <w:pPr>
              <w:pStyle w:val="Body"/>
              <w:spacing w:after="0"/>
              <w:rPr>
                <w:rFonts w:ascii="Arial" w:eastAsia="Times New Roman" w:hAnsi="Arial" w:cs="Arial"/>
                <w:sz w:val="20"/>
              </w:rPr>
            </w:pPr>
            <w:r w:rsidRPr="001277C6">
              <w:rPr>
                <w:rFonts w:ascii="Arial" w:eastAsia="Times New Roman" w:hAnsi="Arial" w:cs="Arial"/>
                <w:sz w:val="20"/>
              </w:rPr>
              <w:t>0.021</w:t>
            </w:r>
          </w:p>
        </w:tc>
        <w:tc>
          <w:tcPr>
            <w:tcW w:w="1985" w:type="dxa"/>
          </w:tcPr>
          <w:p w14:paraId="22500FE9" w14:textId="77777777" w:rsidR="001277C6" w:rsidRPr="001277C6" w:rsidRDefault="001277C6" w:rsidP="001277C6">
            <w:pPr>
              <w:pStyle w:val="Body"/>
              <w:spacing w:after="0"/>
              <w:rPr>
                <w:rFonts w:ascii="Arial" w:eastAsia="Times New Roman" w:hAnsi="Arial" w:cs="Arial"/>
                <w:sz w:val="20"/>
              </w:rPr>
            </w:pPr>
            <w:r w:rsidRPr="001277C6">
              <w:rPr>
                <w:rFonts w:ascii="Arial" w:eastAsia="Times New Roman" w:hAnsi="Arial" w:cs="Arial"/>
                <w:sz w:val="20"/>
              </w:rPr>
              <w:t>1.58 (1.08, 2.32)</w:t>
            </w:r>
          </w:p>
        </w:tc>
        <w:tc>
          <w:tcPr>
            <w:tcW w:w="1134" w:type="dxa"/>
          </w:tcPr>
          <w:p w14:paraId="747F1D8E" w14:textId="77777777" w:rsidR="001277C6" w:rsidRPr="001277C6" w:rsidRDefault="001277C6" w:rsidP="001277C6">
            <w:pPr>
              <w:pStyle w:val="Body"/>
              <w:spacing w:after="0"/>
              <w:rPr>
                <w:rFonts w:ascii="Arial" w:eastAsia="Times New Roman" w:hAnsi="Arial" w:cs="Arial"/>
                <w:sz w:val="20"/>
              </w:rPr>
            </w:pPr>
            <w:r w:rsidRPr="001277C6">
              <w:rPr>
                <w:rFonts w:ascii="Arial" w:eastAsia="Times New Roman" w:hAnsi="Arial" w:cs="Arial"/>
                <w:sz w:val="20"/>
              </w:rPr>
              <w:t>0.019</w:t>
            </w:r>
          </w:p>
        </w:tc>
      </w:tr>
      <w:bookmarkEnd w:id="19"/>
      <w:tr w:rsidR="001277C6" w:rsidRPr="001277C6" w14:paraId="52EF71CA" w14:textId="77777777" w:rsidTr="005A04ED">
        <w:tc>
          <w:tcPr>
            <w:tcW w:w="3114" w:type="dxa"/>
          </w:tcPr>
          <w:p w14:paraId="00068B11" w14:textId="77777777" w:rsidR="001277C6" w:rsidRPr="001277C6" w:rsidRDefault="001277C6" w:rsidP="001277C6">
            <w:pPr>
              <w:pStyle w:val="Body"/>
              <w:spacing w:after="0"/>
              <w:rPr>
                <w:rFonts w:ascii="Arial" w:eastAsia="Times New Roman" w:hAnsi="Arial" w:cs="Arial"/>
                <w:bCs/>
                <w:sz w:val="20"/>
              </w:rPr>
            </w:pPr>
            <w:r w:rsidRPr="001277C6">
              <w:rPr>
                <w:rFonts w:ascii="Arial" w:eastAsia="Times New Roman" w:hAnsi="Arial" w:cs="Arial"/>
                <w:bCs/>
                <w:sz w:val="20"/>
              </w:rPr>
              <w:t>&gt;56</w:t>
            </w:r>
          </w:p>
        </w:tc>
        <w:tc>
          <w:tcPr>
            <w:tcW w:w="1984" w:type="dxa"/>
          </w:tcPr>
          <w:p w14:paraId="1611CADE" w14:textId="77777777" w:rsidR="001277C6" w:rsidRPr="001277C6" w:rsidRDefault="001277C6" w:rsidP="001277C6">
            <w:pPr>
              <w:pStyle w:val="Body"/>
              <w:spacing w:after="0"/>
              <w:rPr>
                <w:rFonts w:ascii="Arial" w:eastAsia="Times New Roman" w:hAnsi="Arial" w:cs="Arial"/>
                <w:sz w:val="20"/>
              </w:rPr>
            </w:pPr>
            <w:r w:rsidRPr="001277C6">
              <w:rPr>
                <w:rFonts w:ascii="Arial" w:eastAsia="Times New Roman" w:hAnsi="Arial" w:cs="Arial"/>
                <w:sz w:val="20"/>
              </w:rPr>
              <w:t>1</w:t>
            </w:r>
          </w:p>
        </w:tc>
        <w:tc>
          <w:tcPr>
            <w:tcW w:w="1276" w:type="dxa"/>
          </w:tcPr>
          <w:p w14:paraId="43A06943" w14:textId="77777777" w:rsidR="001277C6" w:rsidRPr="001277C6" w:rsidRDefault="001277C6" w:rsidP="001277C6">
            <w:pPr>
              <w:pStyle w:val="Body"/>
              <w:spacing w:after="0"/>
              <w:rPr>
                <w:rFonts w:ascii="Arial" w:eastAsia="Times New Roman" w:hAnsi="Arial" w:cs="Arial"/>
                <w:sz w:val="20"/>
              </w:rPr>
            </w:pPr>
          </w:p>
        </w:tc>
        <w:tc>
          <w:tcPr>
            <w:tcW w:w="1985" w:type="dxa"/>
          </w:tcPr>
          <w:p w14:paraId="7BF302D3" w14:textId="77777777" w:rsidR="001277C6" w:rsidRPr="001277C6" w:rsidRDefault="001277C6" w:rsidP="001277C6">
            <w:pPr>
              <w:pStyle w:val="Body"/>
              <w:spacing w:after="0"/>
              <w:rPr>
                <w:rFonts w:ascii="Arial" w:eastAsia="Times New Roman" w:hAnsi="Arial" w:cs="Arial"/>
                <w:sz w:val="20"/>
              </w:rPr>
            </w:pPr>
            <w:r w:rsidRPr="001277C6">
              <w:rPr>
                <w:rFonts w:ascii="Arial" w:eastAsia="Times New Roman" w:hAnsi="Arial" w:cs="Arial"/>
                <w:sz w:val="20"/>
              </w:rPr>
              <w:t>1</w:t>
            </w:r>
          </w:p>
        </w:tc>
        <w:tc>
          <w:tcPr>
            <w:tcW w:w="1134" w:type="dxa"/>
          </w:tcPr>
          <w:p w14:paraId="34C05E53" w14:textId="77777777" w:rsidR="001277C6" w:rsidRPr="001277C6" w:rsidRDefault="001277C6" w:rsidP="001277C6">
            <w:pPr>
              <w:pStyle w:val="Body"/>
              <w:spacing w:after="0"/>
              <w:rPr>
                <w:rFonts w:ascii="Arial" w:eastAsia="Times New Roman" w:hAnsi="Arial" w:cs="Arial"/>
                <w:sz w:val="20"/>
              </w:rPr>
            </w:pPr>
          </w:p>
        </w:tc>
      </w:tr>
      <w:tr w:rsidR="001277C6" w:rsidRPr="001277C6" w14:paraId="711B5BC1" w14:textId="77777777" w:rsidTr="005A04ED">
        <w:tc>
          <w:tcPr>
            <w:tcW w:w="3114" w:type="dxa"/>
          </w:tcPr>
          <w:p w14:paraId="46ED31D7" w14:textId="77777777" w:rsidR="001277C6" w:rsidRPr="001277C6" w:rsidRDefault="001277C6" w:rsidP="001277C6">
            <w:pPr>
              <w:pStyle w:val="Body"/>
              <w:spacing w:after="0"/>
              <w:rPr>
                <w:rFonts w:ascii="Arial" w:eastAsia="Times New Roman" w:hAnsi="Arial" w:cs="Arial"/>
                <w:b/>
                <w:bCs/>
                <w:sz w:val="20"/>
              </w:rPr>
            </w:pPr>
            <w:proofErr w:type="gramStart"/>
            <w:r w:rsidRPr="001277C6">
              <w:rPr>
                <w:rFonts w:ascii="Arial" w:eastAsia="Times New Roman" w:hAnsi="Arial" w:cs="Arial"/>
                <w:b/>
                <w:bCs/>
                <w:sz w:val="20"/>
              </w:rPr>
              <w:t>SPP(</w:t>
            </w:r>
            <w:proofErr w:type="gramEnd"/>
            <w:r w:rsidRPr="001277C6">
              <w:rPr>
                <w:rFonts w:ascii="Arial" w:eastAsia="Times New Roman" w:hAnsi="Arial" w:cs="Arial"/>
                <w:b/>
                <w:bCs/>
                <w:sz w:val="20"/>
              </w:rPr>
              <w:t>mmHg)</w:t>
            </w:r>
          </w:p>
        </w:tc>
        <w:tc>
          <w:tcPr>
            <w:tcW w:w="1984" w:type="dxa"/>
          </w:tcPr>
          <w:p w14:paraId="149DEEAF" w14:textId="77777777" w:rsidR="001277C6" w:rsidRPr="001277C6" w:rsidRDefault="001277C6" w:rsidP="001277C6">
            <w:pPr>
              <w:pStyle w:val="Body"/>
              <w:spacing w:after="0"/>
              <w:rPr>
                <w:rFonts w:ascii="Arial" w:eastAsia="Times New Roman" w:hAnsi="Arial" w:cs="Arial"/>
                <w:sz w:val="20"/>
              </w:rPr>
            </w:pPr>
          </w:p>
        </w:tc>
        <w:tc>
          <w:tcPr>
            <w:tcW w:w="1276" w:type="dxa"/>
          </w:tcPr>
          <w:p w14:paraId="09DA606E" w14:textId="77777777" w:rsidR="001277C6" w:rsidRPr="001277C6" w:rsidRDefault="001277C6" w:rsidP="001277C6">
            <w:pPr>
              <w:pStyle w:val="Body"/>
              <w:spacing w:after="0"/>
              <w:rPr>
                <w:rFonts w:ascii="Arial" w:eastAsia="Times New Roman" w:hAnsi="Arial" w:cs="Arial"/>
                <w:sz w:val="20"/>
              </w:rPr>
            </w:pPr>
          </w:p>
        </w:tc>
        <w:tc>
          <w:tcPr>
            <w:tcW w:w="1985" w:type="dxa"/>
          </w:tcPr>
          <w:p w14:paraId="19B21FEC" w14:textId="77777777" w:rsidR="001277C6" w:rsidRPr="001277C6" w:rsidRDefault="001277C6" w:rsidP="001277C6">
            <w:pPr>
              <w:pStyle w:val="Body"/>
              <w:spacing w:after="0"/>
              <w:rPr>
                <w:rFonts w:ascii="Arial" w:eastAsia="Times New Roman" w:hAnsi="Arial" w:cs="Arial"/>
                <w:sz w:val="20"/>
              </w:rPr>
            </w:pPr>
          </w:p>
        </w:tc>
        <w:tc>
          <w:tcPr>
            <w:tcW w:w="1134" w:type="dxa"/>
          </w:tcPr>
          <w:p w14:paraId="617F70E8" w14:textId="77777777" w:rsidR="001277C6" w:rsidRPr="001277C6" w:rsidRDefault="001277C6" w:rsidP="001277C6">
            <w:pPr>
              <w:pStyle w:val="Body"/>
              <w:spacing w:after="0"/>
              <w:rPr>
                <w:rFonts w:ascii="Arial" w:eastAsia="Times New Roman" w:hAnsi="Arial" w:cs="Arial"/>
                <w:sz w:val="20"/>
              </w:rPr>
            </w:pPr>
          </w:p>
        </w:tc>
      </w:tr>
      <w:tr w:rsidR="001277C6" w:rsidRPr="001277C6" w14:paraId="31D27563" w14:textId="77777777" w:rsidTr="005A04ED">
        <w:tc>
          <w:tcPr>
            <w:tcW w:w="3114" w:type="dxa"/>
          </w:tcPr>
          <w:p w14:paraId="419BF565" w14:textId="77777777" w:rsidR="001277C6" w:rsidRPr="001277C6" w:rsidRDefault="001277C6" w:rsidP="001277C6">
            <w:pPr>
              <w:pStyle w:val="Body"/>
              <w:spacing w:after="0"/>
              <w:rPr>
                <w:rFonts w:ascii="Arial" w:eastAsia="Times New Roman" w:hAnsi="Arial" w:cs="Arial"/>
                <w:bCs/>
                <w:sz w:val="20"/>
              </w:rPr>
            </w:pPr>
            <w:r w:rsidRPr="001277C6">
              <w:rPr>
                <w:rFonts w:ascii="Arial" w:eastAsia="Times New Roman" w:hAnsi="Arial" w:cs="Arial"/>
                <w:bCs/>
                <w:sz w:val="20"/>
              </w:rPr>
              <w:t>≤101</w:t>
            </w:r>
          </w:p>
        </w:tc>
        <w:tc>
          <w:tcPr>
            <w:tcW w:w="1984" w:type="dxa"/>
          </w:tcPr>
          <w:p w14:paraId="17220E51" w14:textId="77777777" w:rsidR="001277C6" w:rsidRPr="001277C6" w:rsidRDefault="001277C6" w:rsidP="001277C6">
            <w:pPr>
              <w:pStyle w:val="Body"/>
              <w:spacing w:after="0"/>
              <w:rPr>
                <w:rFonts w:ascii="Arial" w:eastAsia="Times New Roman" w:hAnsi="Arial" w:cs="Arial"/>
                <w:sz w:val="20"/>
              </w:rPr>
            </w:pPr>
            <w:bookmarkStart w:id="20" w:name="_Hlk199317301"/>
            <w:r w:rsidRPr="001277C6">
              <w:rPr>
                <w:rFonts w:ascii="Arial" w:eastAsia="Times New Roman" w:hAnsi="Arial" w:cs="Arial"/>
                <w:sz w:val="20"/>
              </w:rPr>
              <w:t>1.12 (1.02, 1.23)</w:t>
            </w:r>
            <w:bookmarkEnd w:id="20"/>
          </w:p>
        </w:tc>
        <w:tc>
          <w:tcPr>
            <w:tcW w:w="1276" w:type="dxa"/>
          </w:tcPr>
          <w:p w14:paraId="108BFF1D" w14:textId="77777777" w:rsidR="001277C6" w:rsidRPr="001277C6" w:rsidRDefault="001277C6" w:rsidP="001277C6">
            <w:pPr>
              <w:pStyle w:val="Body"/>
              <w:spacing w:after="0"/>
              <w:rPr>
                <w:rFonts w:ascii="Arial" w:eastAsia="Times New Roman" w:hAnsi="Arial" w:cs="Arial"/>
                <w:sz w:val="20"/>
              </w:rPr>
            </w:pPr>
            <w:r w:rsidRPr="001277C6">
              <w:rPr>
                <w:rFonts w:ascii="Arial" w:eastAsia="Times New Roman" w:hAnsi="Arial" w:cs="Arial"/>
                <w:sz w:val="20"/>
              </w:rPr>
              <w:t>0.017</w:t>
            </w:r>
          </w:p>
        </w:tc>
        <w:tc>
          <w:tcPr>
            <w:tcW w:w="1985" w:type="dxa"/>
          </w:tcPr>
          <w:p w14:paraId="65C6AC29" w14:textId="77777777" w:rsidR="001277C6" w:rsidRPr="001277C6" w:rsidRDefault="001277C6" w:rsidP="001277C6">
            <w:pPr>
              <w:pStyle w:val="Body"/>
              <w:spacing w:after="0"/>
              <w:rPr>
                <w:rFonts w:ascii="Arial" w:eastAsia="Times New Roman" w:hAnsi="Arial" w:cs="Arial"/>
                <w:sz w:val="20"/>
              </w:rPr>
            </w:pPr>
            <w:r w:rsidRPr="001277C6">
              <w:rPr>
                <w:rFonts w:ascii="Arial" w:eastAsia="Times New Roman" w:hAnsi="Arial" w:cs="Arial"/>
                <w:sz w:val="20"/>
              </w:rPr>
              <w:t>1.14 (0.85, 1.53)</w:t>
            </w:r>
          </w:p>
        </w:tc>
        <w:tc>
          <w:tcPr>
            <w:tcW w:w="1134" w:type="dxa"/>
          </w:tcPr>
          <w:p w14:paraId="11C79CAE" w14:textId="77777777" w:rsidR="001277C6" w:rsidRPr="001277C6" w:rsidRDefault="001277C6" w:rsidP="001277C6">
            <w:pPr>
              <w:pStyle w:val="Body"/>
              <w:spacing w:after="0"/>
              <w:rPr>
                <w:rFonts w:ascii="Arial" w:eastAsia="Times New Roman" w:hAnsi="Arial" w:cs="Arial"/>
                <w:sz w:val="20"/>
              </w:rPr>
            </w:pPr>
            <w:r w:rsidRPr="001277C6">
              <w:rPr>
                <w:rFonts w:ascii="Arial" w:eastAsia="Times New Roman" w:hAnsi="Arial" w:cs="Arial"/>
                <w:sz w:val="20"/>
              </w:rPr>
              <w:t>0.387</w:t>
            </w:r>
          </w:p>
        </w:tc>
      </w:tr>
      <w:tr w:rsidR="001277C6" w:rsidRPr="001277C6" w14:paraId="2E369133" w14:textId="77777777" w:rsidTr="005A04ED">
        <w:tc>
          <w:tcPr>
            <w:tcW w:w="3114" w:type="dxa"/>
          </w:tcPr>
          <w:p w14:paraId="71EE16F3" w14:textId="77777777" w:rsidR="001277C6" w:rsidRPr="001277C6" w:rsidRDefault="001277C6" w:rsidP="001277C6">
            <w:pPr>
              <w:pStyle w:val="Body"/>
              <w:spacing w:after="0"/>
              <w:rPr>
                <w:rFonts w:ascii="Arial" w:eastAsia="Times New Roman" w:hAnsi="Arial" w:cs="Arial"/>
                <w:bCs/>
                <w:sz w:val="20"/>
              </w:rPr>
            </w:pPr>
            <w:r w:rsidRPr="001277C6">
              <w:rPr>
                <w:rFonts w:ascii="Arial" w:eastAsia="Times New Roman" w:hAnsi="Arial" w:cs="Arial"/>
                <w:bCs/>
                <w:sz w:val="20"/>
              </w:rPr>
              <w:t>&gt;101</w:t>
            </w:r>
          </w:p>
        </w:tc>
        <w:tc>
          <w:tcPr>
            <w:tcW w:w="1984" w:type="dxa"/>
          </w:tcPr>
          <w:p w14:paraId="55F36D20" w14:textId="77777777" w:rsidR="001277C6" w:rsidRPr="001277C6" w:rsidRDefault="001277C6" w:rsidP="001277C6">
            <w:pPr>
              <w:pStyle w:val="Body"/>
              <w:spacing w:after="0"/>
              <w:rPr>
                <w:rFonts w:ascii="Arial" w:eastAsia="Times New Roman" w:hAnsi="Arial" w:cs="Arial"/>
                <w:sz w:val="20"/>
              </w:rPr>
            </w:pPr>
            <w:r w:rsidRPr="001277C6">
              <w:rPr>
                <w:rFonts w:ascii="Arial" w:eastAsia="Times New Roman" w:hAnsi="Arial" w:cs="Arial"/>
                <w:sz w:val="20"/>
              </w:rPr>
              <w:t>1</w:t>
            </w:r>
          </w:p>
        </w:tc>
        <w:tc>
          <w:tcPr>
            <w:tcW w:w="1276" w:type="dxa"/>
          </w:tcPr>
          <w:p w14:paraId="76AE4069" w14:textId="77777777" w:rsidR="001277C6" w:rsidRPr="001277C6" w:rsidRDefault="001277C6" w:rsidP="001277C6">
            <w:pPr>
              <w:pStyle w:val="Body"/>
              <w:spacing w:after="0"/>
              <w:rPr>
                <w:rFonts w:ascii="Arial" w:eastAsia="Times New Roman" w:hAnsi="Arial" w:cs="Arial"/>
                <w:sz w:val="20"/>
              </w:rPr>
            </w:pPr>
          </w:p>
        </w:tc>
        <w:tc>
          <w:tcPr>
            <w:tcW w:w="1985" w:type="dxa"/>
          </w:tcPr>
          <w:p w14:paraId="15E9E98B" w14:textId="77777777" w:rsidR="001277C6" w:rsidRPr="001277C6" w:rsidRDefault="001277C6" w:rsidP="001277C6">
            <w:pPr>
              <w:pStyle w:val="Body"/>
              <w:spacing w:after="0"/>
              <w:rPr>
                <w:rFonts w:ascii="Arial" w:eastAsia="Times New Roman" w:hAnsi="Arial" w:cs="Arial"/>
                <w:sz w:val="20"/>
              </w:rPr>
            </w:pPr>
            <w:r w:rsidRPr="001277C6">
              <w:rPr>
                <w:rFonts w:ascii="Arial" w:eastAsia="Times New Roman" w:hAnsi="Arial" w:cs="Arial"/>
                <w:sz w:val="20"/>
              </w:rPr>
              <w:t>1</w:t>
            </w:r>
          </w:p>
        </w:tc>
        <w:tc>
          <w:tcPr>
            <w:tcW w:w="1134" w:type="dxa"/>
          </w:tcPr>
          <w:p w14:paraId="49B13477" w14:textId="77777777" w:rsidR="001277C6" w:rsidRPr="001277C6" w:rsidRDefault="001277C6" w:rsidP="001277C6">
            <w:pPr>
              <w:pStyle w:val="Body"/>
              <w:spacing w:after="0"/>
              <w:rPr>
                <w:rFonts w:ascii="Arial" w:eastAsia="Times New Roman" w:hAnsi="Arial" w:cs="Arial"/>
                <w:sz w:val="20"/>
              </w:rPr>
            </w:pPr>
          </w:p>
        </w:tc>
      </w:tr>
      <w:tr w:rsidR="001277C6" w:rsidRPr="001277C6" w14:paraId="41F94124" w14:textId="77777777" w:rsidTr="005A04ED">
        <w:tc>
          <w:tcPr>
            <w:tcW w:w="3114" w:type="dxa"/>
          </w:tcPr>
          <w:p w14:paraId="7E6D0E71" w14:textId="77777777" w:rsidR="001277C6" w:rsidRPr="001277C6" w:rsidRDefault="001277C6" w:rsidP="001277C6">
            <w:pPr>
              <w:pStyle w:val="Body"/>
              <w:spacing w:after="0"/>
              <w:rPr>
                <w:rFonts w:ascii="Arial" w:eastAsia="Times New Roman" w:hAnsi="Arial" w:cs="Arial"/>
                <w:b/>
                <w:bCs/>
                <w:sz w:val="20"/>
              </w:rPr>
            </w:pPr>
            <w:proofErr w:type="gramStart"/>
            <w:r w:rsidRPr="001277C6">
              <w:rPr>
                <w:rFonts w:ascii="Arial" w:eastAsia="Times New Roman" w:hAnsi="Arial" w:cs="Arial"/>
                <w:b/>
                <w:bCs/>
                <w:sz w:val="20"/>
              </w:rPr>
              <w:t>MOPP(</w:t>
            </w:r>
            <w:proofErr w:type="gramEnd"/>
            <w:r w:rsidRPr="001277C6">
              <w:rPr>
                <w:rFonts w:ascii="Arial" w:eastAsia="Times New Roman" w:hAnsi="Arial" w:cs="Arial"/>
                <w:b/>
                <w:bCs/>
                <w:sz w:val="20"/>
              </w:rPr>
              <w:t>mmHg)</w:t>
            </w:r>
          </w:p>
        </w:tc>
        <w:tc>
          <w:tcPr>
            <w:tcW w:w="1984" w:type="dxa"/>
          </w:tcPr>
          <w:p w14:paraId="38CFF8BE" w14:textId="77777777" w:rsidR="001277C6" w:rsidRPr="001277C6" w:rsidRDefault="001277C6" w:rsidP="001277C6">
            <w:pPr>
              <w:pStyle w:val="Body"/>
              <w:spacing w:after="0"/>
              <w:rPr>
                <w:rFonts w:ascii="Arial" w:eastAsia="Times New Roman" w:hAnsi="Arial" w:cs="Arial"/>
                <w:sz w:val="20"/>
              </w:rPr>
            </w:pPr>
          </w:p>
        </w:tc>
        <w:tc>
          <w:tcPr>
            <w:tcW w:w="1276" w:type="dxa"/>
          </w:tcPr>
          <w:p w14:paraId="1D8655E3" w14:textId="77777777" w:rsidR="001277C6" w:rsidRPr="001277C6" w:rsidRDefault="001277C6" w:rsidP="001277C6">
            <w:pPr>
              <w:pStyle w:val="Body"/>
              <w:spacing w:after="0"/>
              <w:rPr>
                <w:rFonts w:ascii="Arial" w:eastAsia="Times New Roman" w:hAnsi="Arial" w:cs="Arial"/>
                <w:sz w:val="20"/>
              </w:rPr>
            </w:pPr>
          </w:p>
        </w:tc>
        <w:tc>
          <w:tcPr>
            <w:tcW w:w="1985" w:type="dxa"/>
          </w:tcPr>
          <w:p w14:paraId="4599962B" w14:textId="77777777" w:rsidR="001277C6" w:rsidRPr="001277C6" w:rsidRDefault="001277C6" w:rsidP="001277C6">
            <w:pPr>
              <w:pStyle w:val="Body"/>
              <w:spacing w:after="0"/>
              <w:rPr>
                <w:rFonts w:ascii="Arial" w:eastAsia="Times New Roman" w:hAnsi="Arial" w:cs="Arial"/>
                <w:sz w:val="20"/>
              </w:rPr>
            </w:pPr>
          </w:p>
        </w:tc>
        <w:tc>
          <w:tcPr>
            <w:tcW w:w="1134" w:type="dxa"/>
          </w:tcPr>
          <w:p w14:paraId="3022CC02" w14:textId="77777777" w:rsidR="001277C6" w:rsidRPr="001277C6" w:rsidRDefault="001277C6" w:rsidP="001277C6">
            <w:pPr>
              <w:pStyle w:val="Body"/>
              <w:spacing w:after="0"/>
              <w:rPr>
                <w:rFonts w:ascii="Arial" w:eastAsia="Times New Roman" w:hAnsi="Arial" w:cs="Arial"/>
                <w:sz w:val="20"/>
              </w:rPr>
            </w:pPr>
          </w:p>
        </w:tc>
      </w:tr>
      <w:tr w:rsidR="001277C6" w:rsidRPr="001277C6" w14:paraId="10517F5D" w14:textId="77777777" w:rsidTr="005A04ED">
        <w:tc>
          <w:tcPr>
            <w:tcW w:w="3114" w:type="dxa"/>
          </w:tcPr>
          <w:p w14:paraId="1244E8CF" w14:textId="77777777" w:rsidR="001277C6" w:rsidRPr="001277C6" w:rsidRDefault="001277C6" w:rsidP="001277C6">
            <w:pPr>
              <w:pStyle w:val="Body"/>
              <w:spacing w:after="0"/>
              <w:rPr>
                <w:rFonts w:ascii="Arial" w:eastAsia="Times New Roman" w:hAnsi="Arial" w:cs="Arial"/>
                <w:bCs/>
                <w:sz w:val="20"/>
              </w:rPr>
            </w:pPr>
            <w:r w:rsidRPr="001277C6">
              <w:rPr>
                <w:rFonts w:ascii="Arial" w:eastAsia="Times New Roman" w:hAnsi="Arial" w:cs="Arial"/>
                <w:bCs/>
                <w:sz w:val="20"/>
              </w:rPr>
              <w:t>0-53</w:t>
            </w:r>
          </w:p>
        </w:tc>
        <w:tc>
          <w:tcPr>
            <w:tcW w:w="1984" w:type="dxa"/>
          </w:tcPr>
          <w:p w14:paraId="78A401CC" w14:textId="77777777" w:rsidR="001277C6" w:rsidRPr="001277C6" w:rsidRDefault="001277C6" w:rsidP="001277C6">
            <w:pPr>
              <w:pStyle w:val="Body"/>
              <w:spacing w:after="0"/>
              <w:rPr>
                <w:rFonts w:ascii="Arial" w:eastAsia="Times New Roman" w:hAnsi="Arial" w:cs="Arial"/>
                <w:sz w:val="20"/>
              </w:rPr>
            </w:pPr>
            <w:bookmarkStart w:id="21" w:name="_Hlk199317546"/>
            <w:r w:rsidRPr="001277C6">
              <w:rPr>
                <w:rFonts w:ascii="Arial" w:eastAsia="Times New Roman" w:hAnsi="Arial" w:cs="Arial"/>
                <w:sz w:val="20"/>
              </w:rPr>
              <w:t>1.32 (0.45, 3.85)</w:t>
            </w:r>
            <w:bookmarkEnd w:id="21"/>
          </w:p>
        </w:tc>
        <w:tc>
          <w:tcPr>
            <w:tcW w:w="1276" w:type="dxa"/>
          </w:tcPr>
          <w:p w14:paraId="46E5DC94" w14:textId="77777777" w:rsidR="001277C6" w:rsidRPr="001277C6" w:rsidRDefault="001277C6" w:rsidP="001277C6">
            <w:pPr>
              <w:pStyle w:val="Body"/>
              <w:spacing w:after="0"/>
              <w:rPr>
                <w:rFonts w:ascii="Arial" w:eastAsia="Times New Roman" w:hAnsi="Arial" w:cs="Arial"/>
                <w:sz w:val="20"/>
              </w:rPr>
            </w:pPr>
            <w:r w:rsidRPr="001277C6">
              <w:rPr>
                <w:rFonts w:ascii="Arial" w:eastAsia="Times New Roman" w:hAnsi="Arial" w:cs="Arial"/>
                <w:sz w:val="20"/>
              </w:rPr>
              <w:t>0.609</w:t>
            </w:r>
          </w:p>
        </w:tc>
        <w:tc>
          <w:tcPr>
            <w:tcW w:w="1985" w:type="dxa"/>
          </w:tcPr>
          <w:p w14:paraId="7B4C0223" w14:textId="77777777" w:rsidR="001277C6" w:rsidRPr="001277C6" w:rsidRDefault="001277C6" w:rsidP="001277C6">
            <w:pPr>
              <w:pStyle w:val="Body"/>
              <w:spacing w:after="0"/>
              <w:rPr>
                <w:rFonts w:ascii="Arial" w:eastAsia="Times New Roman" w:hAnsi="Arial" w:cs="Arial"/>
                <w:sz w:val="20"/>
              </w:rPr>
            </w:pPr>
            <w:r w:rsidRPr="001277C6">
              <w:rPr>
                <w:rFonts w:ascii="Arial" w:eastAsia="Times New Roman" w:hAnsi="Arial" w:cs="Arial"/>
                <w:sz w:val="20"/>
              </w:rPr>
              <w:t>1.23 (1.01, 1.51)</w:t>
            </w:r>
          </w:p>
        </w:tc>
        <w:tc>
          <w:tcPr>
            <w:tcW w:w="1134" w:type="dxa"/>
          </w:tcPr>
          <w:p w14:paraId="2DFAF9E5" w14:textId="77777777" w:rsidR="001277C6" w:rsidRPr="001277C6" w:rsidRDefault="001277C6" w:rsidP="001277C6">
            <w:pPr>
              <w:pStyle w:val="Body"/>
              <w:spacing w:after="0"/>
              <w:rPr>
                <w:rFonts w:ascii="Arial" w:eastAsia="Times New Roman" w:hAnsi="Arial" w:cs="Arial"/>
                <w:sz w:val="20"/>
              </w:rPr>
            </w:pPr>
            <w:r w:rsidRPr="001277C6">
              <w:rPr>
                <w:rFonts w:ascii="Arial" w:eastAsia="Times New Roman" w:hAnsi="Arial" w:cs="Arial"/>
                <w:sz w:val="20"/>
              </w:rPr>
              <w:t>0.740</w:t>
            </w:r>
          </w:p>
        </w:tc>
      </w:tr>
      <w:tr w:rsidR="001277C6" w:rsidRPr="001277C6" w14:paraId="7AA2E5AE" w14:textId="77777777" w:rsidTr="005A04ED">
        <w:tc>
          <w:tcPr>
            <w:tcW w:w="3114" w:type="dxa"/>
          </w:tcPr>
          <w:p w14:paraId="218FDCF7" w14:textId="77777777" w:rsidR="001277C6" w:rsidRPr="001277C6" w:rsidRDefault="001277C6" w:rsidP="001277C6">
            <w:pPr>
              <w:pStyle w:val="Body"/>
              <w:spacing w:after="0"/>
              <w:rPr>
                <w:rFonts w:ascii="Arial" w:eastAsia="Times New Roman" w:hAnsi="Arial" w:cs="Arial"/>
                <w:bCs/>
                <w:sz w:val="20"/>
              </w:rPr>
            </w:pPr>
            <w:r w:rsidRPr="001277C6">
              <w:rPr>
                <w:rFonts w:ascii="Arial" w:eastAsia="Times New Roman" w:hAnsi="Arial" w:cs="Arial"/>
                <w:bCs/>
                <w:sz w:val="20"/>
              </w:rPr>
              <w:t>&gt;53</w:t>
            </w:r>
          </w:p>
        </w:tc>
        <w:tc>
          <w:tcPr>
            <w:tcW w:w="1984" w:type="dxa"/>
          </w:tcPr>
          <w:p w14:paraId="271CC2D4" w14:textId="77777777" w:rsidR="001277C6" w:rsidRPr="001277C6" w:rsidRDefault="001277C6" w:rsidP="001277C6">
            <w:pPr>
              <w:pStyle w:val="Body"/>
              <w:spacing w:after="0"/>
              <w:rPr>
                <w:rFonts w:ascii="Arial" w:eastAsia="Times New Roman" w:hAnsi="Arial" w:cs="Arial"/>
                <w:sz w:val="20"/>
              </w:rPr>
            </w:pPr>
            <w:r w:rsidRPr="001277C6">
              <w:rPr>
                <w:rFonts w:ascii="Arial" w:eastAsia="Times New Roman" w:hAnsi="Arial" w:cs="Arial"/>
                <w:sz w:val="20"/>
              </w:rPr>
              <w:t>1</w:t>
            </w:r>
          </w:p>
        </w:tc>
        <w:tc>
          <w:tcPr>
            <w:tcW w:w="1276" w:type="dxa"/>
          </w:tcPr>
          <w:p w14:paraId="156B035A" w14:textId="77777777" w:rsidR="001277C6" w:rsidRPr="001277C6" w:rsidRDefault="001277C6" w:rsidP="001277C6">
            <w:pPr>
              <w:pStyle w:val="Body"/>
              <w:spacing w:after="0"/>
              <w:rPr>
                <w:rFonts w:ascii="Arial" w:eastAsia="Times New Roman" w:hAnsi="Arial" w:cs="Arial"/>
                <w:sz w:val="20"/>
              </w:rPr>
            </w:pPr>
          </w:p>
        </w:tc>
        <w:tc>
          <w:tcPr>
            <w:tcW w:w="1985" w:type="dxa"/>
          </w:tcPr>
          <w:p w14:paraId="456C6059" w14:textId="77777777" w:rsidR="001277C6" w:rsidRPr="001277C6" w:rsidRDefault="001277C6" w:rsidP="001277C6">
            <w:pPr>
              <w:pStyle w:val="Body"/>
              <w:spacing w:after="0"/>
              <w:rPr>
                <w:rFonts w:ascii="Arial" w:eastAsia="Times New Roman" w:hAnsi="Arial" w:cs="Arial"/>
                <w:sz w:val="20"/>
              </w:rPr>
            </w:pPr>
            <w:r w:rsidRPr="001277C6">
              <w:rPr>
                <w:rFonts w:ascii="Arial" w:eastAsia="Times New Roman" w:hAnsi="Arial" w:cs="Arial"/>
                <w:sz w:val="20"/>
              </w:rPr>
              <w:t>1</w:t>
            </w:r>
          </w:p>
        </w:tc>
        <w:tc>
          <w:tcPr>
            <w:tcW w:w="1134" w:type="dxa"/>
          </w:tcPr>
          <w:p w14:paraId="69B90933" w14:textId="77777777" w:rsidR="001277C6" w:rsidRPr="001277C6" w:rsidRDefault="001277C6" w:rsidP="001277C6">
            <w:pPr>
              <w:pStyle w:val="Body"/>
              <w:spacing w:after="0"/>
              <w:rPr>
                <w:rFonts w:ascii="Arial" w:eastAsia="Times New Roman" w:hAnsi="Arial" w:cs="Arial"/>
                <w:sz w:val="20"/>
              </w:rPr>
            </w:pPr>
          </w:p>
        </w:tc>
      </w:tr>
    </w:tbl>
    <w:p w14:paraId="56524397" w14:textId="77777777" w:rsidR="009D4714" w:rsidRPr="00C70B56" w:rsidRDefault="009D4714" w:rsidP="009D4714">
      <w:pPr>
        <w:jc w:val="both"/>
        <w:rPr>
          <w:rFonts w:ascii="Times New Roman" w:eastAsiaTheme="majorEastAsia" w:hAnsi="Times New Roman"/>
          <w:b/>
          <w:sz w:val="24"/>
          <w:szCs w:val="24"/>
        </w:rPr>
      </w:pPr>
      <w:r w:rsidRPr="00C70B56">
        <w:rPr>
          <w:rFonts w:ascii="Times New Roman" w:hAnsi="Times New Roman"/>
          <w:sz w:val="24"/>
          <w:szCs w:val="24"/>
        </w:rPr>
        <w:t>(</w:t>
      </w:r>
      <w:r w:rsidRPr="00C70B56">
        <w:rPr>
          <w:rFonts w:ascii="Times New Roman" w:hAnsi="Times New Roman"/>
          <w:i/>
          <w:sz w:val="24"/>
          <w:szCs w:val="24"/>
        </w:rPr>
        <w:t>Abbreviations: DPP – Diastolic Perfusion Pressure; SPP – Systolic Perfusion Pressure; MOPP – Mean Ocular Perfusion Pressure)</w:t>
      </w:r>
    </w:p>
    <w:p w14:paraId="2CF7C99B" w14:textId="77777777" w:rsidR="009D4714" w:rsidRPr="009D4714" w:rsidRDefault="009D4714" w:rsidP="009D4714">
      <w:pPr>
        <w:pStyle w:val="Body"/>
        <w:spacing w:after="0"/>
        <w:rPr>
          <w:rFonts w:ascii="Arial" w:hAnsi="Arial" w:cs="Arial"/>
          <w:b/>
        </w:rPr>
      </w:pPr>
      <w:r w:rsidRPr="009D4714">
        <w:rPr>
          <w:rFonts w:ascii="Arial" w:hAnsi="Arial" w:cs="Arial"/>
          <w:b/>
        </w:rPr>
        <w:t>3. DISCUSSION</w:t>
      </w:r>
    </w:p>
    <w:p w14:paraId="38FDF94E" w14:textId="77777777" w:rsidR="009D4714" w:rsidRPr="009D4714" w:rsidRDefault="009D4714" w:rsidP="009D4714">
      <w:pPr>
        <w:pStyle w:val="Body"/>
        <w:spacing w:after="0"/>
        <w:rPr>
          <w:rFonts w:ascii="Arial" w:hAnsi="Arial" w:cs="Arial"/>
        </w:rPr>
      </w:pPr>
      <w:r w:rsidRPr="009D4714">
        <w:rPr>
          <w:rFonts w:ascii="Arial" w:hAnsi="Arial" w:cs="Arial"/>
        </w:rPr>
        <w:t xml:space="preserve">This study evaluated the </w:t>
      </w:r>
      <w:r w:rsidRPr="009D4714">
        <w:rPr>
          <w:rFonts w:ascii="Arial" w:hAnsi="Arial" w:cs="Arial"/>
          <w:bCs/>
        </w:rPr>
        <w:t xml:space="preserve">distribution of ocular perfusion pressure and its effect on primary open-angle glaucoma among adult patients attending at KCMC referral hospital. A total of </w:t>
      </w:r>
      <w:r w:rsidRPr="009D4714">
        <w:rPr>
          <w:rFonts w:ascii="Arial" w:hAnsi="Arial" w:cs="Arial"/>
        </w:rPr>
        <w:t>179 participants (89 with POAG and 90 healthy participants) were included in the study. Among the POAG, 30 had normal tension glaucoma (NTG) and 59 had high tension glaucoma (HTG).</w:t>
      </w:r>
    </w:p>
    <w:p w14:paraId="0251EF72" w14:textId="77777777" w:rsidR="009D4714" w:rsidRPr="009D4714" w:rsidRDefault="009D4714" w:rsidP="009D4714">
      <w:pPr>
        <w:pStyle w:val="Body"/>
        <w:spacing w:after="0"/>
        <w:rPr>
          <w:rFonts w:ascii="Arial" w:hAnsi="Arial" w:cs="Arial"/>
        </w:rPr>
      </w:pPr>
      <w:r w:rsidRPr="009D4714">
        <w:rPr>
          <w:rFonts w:ascii="Arial" w:hAnsi="Arial" w:cs="Arial"/>
        </w:rPr>
        <w:t>The high-tension glaucoma patients were significantly older than 65 years, whereas a significantly larger proportion of normal tension glaucoma patients were aged between 40 and 64 years (</w:t>
      </w:r>
      <w:r w:rsidRPr="009D4714">
        <w:rPr>
          <w:rFonts w:ascii="Arial" w:hAnsi="Arial" w:cs="Arial"/>
          <w:b/>
          <w:bCs/>
          <w:i/>
          <w:iCs/>
        </w:rPr>
        <w:t>x</w:t>
      </w:r>
      <w:r w:rsidRPr="009D4714">
        <w:rPr>
          <w:rFonts w:ascii="Arial" w:hAnsi="Arial" w:cs="Arial"/>
          <w:b/>
          <w:bCs/>
          <w:i/>
          <w:iCs/>
          <w:vertAlign w:val="superscript"/>
        </w:rPr>
        <w:t>2</w:t>
      </w:r>
      <w:r w:rsidRPr="009D4714">
        <w:rPr>
          <w:rFonts w:ascii="Arial" w:hAnsi="Arial" w:cs="Arial"/>
          <w:vertAlign w:val="superscript"/>
        </w:rPr>
        <w:t xml:space="preserve"> </w:t>
      </w:r>
      <w:r w:rsidRPr="009D4714">
        <w:rPr>
          <w:rFonts w:ascii="Arial" w:hAnsi="Arial" w:cs="Arial"/>
        </w:rPr>
        <w:t xml:space="preserve">= 8.92, p = 0.003). The occurrence of normal tension glaucoma at a younger age than in high tension glaucoma, may mean that the pathophysiology of NTG may not be predominantly age-related. These findings are consistent with a study done in Japan, which reported a mean age of 58.8 among NTG patients </w:t>
      </w:r>
      <w:r w:rsidRPr="009D4714">
        <w:rPr>
          <w:rFonts w:ascii="Arial" w:hAnsi="Arial" w:cs="Arial"/>
        </w:rPr>
        <w:fldChar w:fldCharType="begin" w:fldLock="1"/>
      </w:r>
      <w:r w:rsidRPr="009D4714">
        <w:rPr>
          <w:rFonts w:ascii="Arial" w:hAnsi="Arial" w:cs="Arial"/>
        </w:rPr>
        <w:instrText>ADDIN CSL_CITATION {"citationItems":[{"id":"ITEM-1","itemData":{"author":[{"dropping-particle":"","family":"Press","given":"Dove","non-dropping-particle":"","parse-names":false,"suffix":""}],"id":"ITEM-1","issued":{"date-parts":[["2018"]]},"page":"1511-1517","title":"Blood pressure , ocular perfusion pressure and open-angle glaucoma in patients with systemic hypertension","type":"article-journal"},"uris":["http://www.mendeley.com/documents/?uuid=c59daae1-b8ba-49aa-8059-62605030802e"]}],"mendeley":{"formattedCitation":"(Press, 2018)","plainTextFormattedCitation":"(Press, 2018)","previouslyFormattedCitation":"(16)"},"properties":{"noteIndex":0},"schema":"https://github.com/citation-style-language/schema/raw/master/csl-citation.json"}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(Press, 2018)</w:t>
      </w:r>
      <w:r w:rsidRPr="009D4714">
        <w:rPr>
          <w:rFonts w:ascii="Arial" w:hAnsi="Arial" w:cs="Arial"/>
        </w:rPr>
        <w:fldChar w:fldCharType="end"/>
      </w:r>
      <w:r w:rsidRPr="009D4714">
        <w:rPr>
          <w:rFonts w:ascii="Arial" w:hAnsi="Arial" w:cs="Arial"/>
        </w:rPr>
        <w:t xml:space="preserve">, and with a study from Edinburgh, where HTG patients were significantly older, with a mean age of 76.8 years </w:t>
      </w:r>
      <w:r w:rsidRPr="009D4714">
        <w:rPr>
          <w:rFonts w:ascii="Arial" w:hAnsi="Arial" w:cs="Arial"/>
        </w:rPr>
        <w:fldChar w:fldCharType="begin" w:fldLock="1"/>
      </w:r>
      <w:r w:rsidRPr="009D4714">
        <w:rPr>
          <w:rFonts w:ascii="Arial" w:hAnsi="Arial" w:cs="Arial"/>
        </w:rPr>
        <w:instrText>ADDIN CSL_CITATION {"citationItems":[{"id":"ITEM-1","itemData":{"DOI":"10.1097/IJG.0000000000001768","ISBN":"0000000000","ISSN":"1536481X","PMID":"33394843","abstract":"Précis: Ambulatory blood pressure (BP) and intraocular pressure (IOP) monitoring of patients with normal tension glaucoma (NTG) revealed features of vascular dysregulation including hypertension, blunted nocturnal BP dipping, and morning BP surge. Purpose: The aim was to examine ambulatory fluctuations in IOP and BP in patients with NTG. Methods: A prospective study of 45 participants with NTG and 10 controls. All participants had a comprehensive ophthalmological examination followed by glaucoma medication washout. Patients using systemic antihypertensives were excluded. IOP and BP were recorded using home monitoring over 48 hours using a self-rebound tonometer and ambulatory blood pressure monitor. BP was recorded every 30 minutes by day and every 60 minutes overnight. IOP was recorded at 09:00, 11:00, 13:00, 16:00, 20:00, and 04:00. Results: Participants with NTG had a median mean deviation (MD) of -4.66 dB (interquartile range: -7.16 to -2.81 dB) in the worse eye. Among those with glaucoma, 18 of 45 (40%) had normal nocturnal BP dipping, 24 (53%) blunted dipping and 3 (6.7%) exaggerated dipping. Each 10 mm Hg lower minimum sleeping systolic BP was associated with a 0.9 dB (95% confidence interval: 0.1-1.6 dB) worse MD. Sixteen of 45 participants with glaucoma (35.6%) and 1 of 10 controls (10%) were found to have systemic hypertension on ambulatory blood pressure monitoring and 32 of those with glaucoma (71%) had a surge in morning BP, compared with 5 controls (50%). There was no difference in MD between patients with normal, exaggerated and blunted dipping (P=0.813). Conclusions: Though glaucoma has been associated with exaggerated nocturnal BP dipping, we found a higher proportion of patients had systemic hypertension, blunted nocturnal BP dipping, and a morning BP surge, measures also associated with vascular dysregulation.","author":[{"dropping-particle":"","family":"Tan","given":"Boo Hui","non-dropping-particle":"","parse-names":false,"suffix":""},{"dropping-particle":"","family":"Young","given":"Alexandra","non-dropping-particle":"","parse-names":false,"suffix":""},{"dropping-particle":"","family":"Bianchi","given":"Eleonora","non-dropping-particle":"","parse-names":false,"suffix":""},{"dropping-particle":"","family":"Brown","given":"Lyndsay","non-dropping-particle":"","parse-names":false,"suffix":""},{"dropping-particle":"","family":"Tatham","given":"Andrew J.","non-dropping-particle":"","parse-names":false,"suffix":""}],"container-title":"Journal of Glaucoma","id":"ITEM-1","issue":"4","issued":{"date-parts":[["2021"]]},"page":"304-311","title":"Fluctuation in Blood Pressure and Intraocular Pressure in Normal Tension Glaucoma Using Ambulatory Monitoring","type":"article-journal","volume":"30"},"uris":["http://www.mendeley.com/documents/?uuid=a48682a8-021c-44dd-bb7c-00ac3bc52173"]}],"mendeley":{"formattedCitation":"(Tan &lt;i&gt;et al.&lt;/i&gt;, 2021)","plainTextFormattedCitation":"(Tan et al., 2021)","previouslyFormattedCitation":"(9)"},"properties":{"noteIndex":0},"schema":"https://github.com/citation-style-language/schema/raw/master/csl-citation.json"}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 xml:space="preserve">(Tan </w:t>
      </w:r>
      <w:r w:rsidRPr="009D4714">
        <w:rPr>
          <w:rFonts w:ascii="Arial" w:hAnsi="Arial" w:cs="Arial"/>
          <w:i/>
        </w:rPr>
        <w:t>et al.</w:t>
      </w:r>
      <w:r w:rsidRPr="009D4714">
        <w:rPr>
          <w:rFonts w:ascii="Arial" w:hAnsi="Arial" w:cs="Arial"/>
        </w:rPr>
        <w:t>, 2021)</w:t>
      </w:r>
      <w:r w:rsidRPr="009D4714">
        <w:rPr>
          <w:rFonts w:ascii="Arial" w:hAnsi="Arial" w:cs="Arial"/>
        </w:rPr>
        <w:fldChar w:fldCharType="end"/>
      </w:r>
      <w:r w:rsidRPr="009D4714">
        <w:rPr>
          <w:rFonts w:ascii="Arial" w:hAnsi="Arial" w:cs="Arial"/>
        </w:rPr>
        <w:t>.</w:t>
      </w:r>
    </w:p>
    <w:p w14:paraId="1C5B8E2E" w14:textId="77777777" w:rsidR="009D4714" w:rsidRPr="009D4714" w:rsidRDefault="009D4714" w:rsidP="009D4714">
      <w:pPr>
        <w:pStyle w:val="Body"/>
        <w:spacing w:after="0"/>
        <w:rPr>
          <w:rFonts w:ascii="Arial" w:hAnsi="Arial" w:cs="Arial"/>
        </w:rPr>
      </w:pPr>
      <w:r w:rsidRPr="009D4714">
        <w:rPr>
          <w:rFonts w:ascii="Arial" w:hAnsi="Arial" w:cs="Arial"/>
        </w:rPr>
        <w:t>Regarding risk factors, smoking (</w:t>
      </w:r>
      <w:r w:rsidRPr="009D4714">
        <w:rPr>
          <w:rFonts w:ascii="Arial" w:hAnsi="Arial" w:cs="Arial"/>
          <w:b/>
          <w:bCs/>
          <w:i/>
          <w:iCs/>
        </w:rPr>
        <w:t>x</w:t>
      </w:r>
      <w:r w:rsidRPr="009D4714">
        <w:rPr>
          <w:rFonts w:ascii="Arial" w:hAnsi="Arial" w:cs="Arial"/>
          <w:b/>
          <w:bCs/>
          <w:i/>
          <w:iCs/>
          <w:vertAlign w:val="superscript"/>
        </w:rPr>
        <w:t>2</w:t>
      </w:r>
      <w:r w:rsidRPr="009D4714">
        <w:rPr>
          <w:rFonts w:ascii="Arial" w:hAnsi="Arial" w:cs="Arial"/>
          <w:vertAlign w:val="superscript"/>
        </w:rPr>
        <w:t xml:space="preserve"> </w:t>
      </w:r>
      <w:r w:rsidRPr="009D4714">
        <w:rPr>
          <w:rFonts w:ascii="Arial" w:hAnsi="Arial" w:cs="Arial"/>
        </w:rPr>
        <w:t xml:space="preserve">= 3.85, p = 0.047) was significantly more prevalent among NTG patients than HTG patients in our study. This suggests vascular contributions in NTG pathogenesis, possibly exacerbated by smoking-induced microvascular dysfunction. This finding differs from results from Nigeria and Korea, which reported no statistically significant association between smoking and POAG </w:t>
      </w:r>
      <w:r w:rsidRPr="009D4714">
        <w:rPr>
          <w:rFonts w:ascii="Arial" w:hAnsi="Arial" w:cs="Arial"/>
        </w:rPr>
        <w:fldChar w:fldCharType="begin" w:fldLock="1"/>
      </w:r>
      <w:r w:rsidRPr="009D4714">
        <w:rPr>
          <w:rFonts w:ascii="Arial" w:hAnsi="Arial" w:cs="Arial"/>
        </w:rPr>
        <w:instrText>ADDIN CSL_CITATION {"citationItems":[{"id":"ITEM-1","itemData":{"DOI":"10.4103/njcp.njcp","ISSN":"0772634726","abstract":"In British Columbia, colonial-nesting freshwater birds are familiar and important parts of our avifauna. Five species of colonial-nesting birds are discussed in this manual: Red-necked Grebe (B-RNGR, Podiceps grisegena), Eared Grebe (B-EAGR, Podiceps nigricollis), Western Grebe (B-WEGR, Aechmophorus occidentalis), American White Pelican (B-AWPE, Pelecanus erythrorhynchos), and Great Blue Heron (B-GBHE, Ardea herodias). Red-necked Grebes are widespread breeders in the interior and common along the coast during winter. Eared Grebes are relatively inconspicuous birds that breed in shallow interior marshes, in very large colonies at some sites, and winter mainly in the United States. Western Grebes breed at four sites in British Columbia, but are very abundant in the southern Strait of Georgia during winter. The American White Pelican, a highly recognizable species, is seldom seen in British Columbia, except in the Chilcotin where it breeds. The Great Blue Heron nests in trees and forages mainly along intertidal areas, edges of freshwater marshes, ditches, and grassy fields. It is a highly recognizable species and most populations exist in areas with high levels of human development (e.g., in valley bottoms and along lake, river, and marine shorelines). Disturbance by human activities poses a significant threat to these species, especially during the breeding season. Because of the concentration of nests at one site, a single event can affect an entire population at one time. Untimely visits to colonies can allow predation of eggs or young by gulls and corvids, or chilling or overheating of eggs which reduces hatching success. Severe disturbances can result in complete reproductive failure. In addition, habitats of colonial nesters are threatened by development, disturbance, and pollution. Wetlands near cities and towns continue to be drained for residential, industrial, or agricultural expansion. Other wetlands can be so heavily used for recreational purposes as to discourage use by these species. Stands of mature trees used for nesting by Great Blue Herons are often as attractive to loggers and developers as they are to herons. The species in this manual are all at, or near, the top of the food chain, and can suffer from concentration of organochlorines and heavy metals, which may reduce reproductive success. All three grebes, especially the Western Grebe, and the Great Blue Heron are vulnerable to marine oil spills. Because of threats to their habitat, t…","author":[{"dropping-particle":"","family":"Yılmaz","given":"S","non-dropping-particle":"","parse-names":false,"suffix":""},{"dropping-particle":"","family":"Calikoglu","given":"E. O.","non-dropping-particle":"","parse-names":false,"suffix":""},{"dropping-particle":"","family":"Kosan","given":"Z.","non-dropping-particle":"","parse-names":false,"suffix":""}],"container-title":"Nigerian Journal of Clinical Practice","id":"ITEM-1","issued":{"date-parts":[["2019"]]},"page":"1070-1077","title":"for an Uncommon Neurosurgical Emergency in a Developing Country","type":"article-journal","volume":"22"},"uris":["http://www.mendeley.com/documents/?uuid=47ed04ab-c0f2-4577-ab92-fa0257fb63da"]}],"mendeley":{"formattedCitation":"(Yılmaz, Calikoglu and Kosan, 2019)","plainTextFormattedCitation":"(Yılmaz, Calikoglu and Kosan, 2019)","previouslyFormattedCitation":"(15)"},"properties":{"noteIndex":0},"schema":"https://github.com/citation-style-language/schema/raw/master/csl-citation.json"}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(Yılmaz, Calikoglu and Kosan, 2019)</w:t>
      </w:r>
      <w:r w:rsidRPr="009D4714">
        <w:rPr>
          <w:rFonts w:ascii="Arial" w:hAnsi="Arial" w:cs="Arial"/>
        </w:rPr>
        <w:fldChar w:fldCharType="end"/>
      </w:r>
      <w:r w:rsidRPr="009D4714">
        <w:rPr>
          <w:rFonts w:ascii="Arial" w:hAnsi="Arial" w:cs="Arial"/>
        </w:rPr>
        <w:t xml:space="preserve"> </w:t>
      </w:r>
      <w:r w:rsidRPr="009D4714">
        <w:rPr>
          <w:rFonts w:ascii="Arial" w:hAnsi="Arial" w:cs="Arial"/>
        </w:rPr>
        <w:fldChar w:fldCharType="begin" w:fldLock="1"/>
      </w:r>
      <w:r w:rsidRPr="009D4714">
        <w:rPr>
          <w:rFonts w:ascii="Arial" w:hAnsi="Arial" w:cs="Arial"/>
        </w:rPr>
        <w:instrText>ADDIN CSL_CITATION {"citationItems":[{"id":"ITEM-1","itemData":{"ISBN":"1111111111","author":[{"dropping-particle":"","family":"Baek","given":"Sung Uk","non-dropping-particle":"","parse-names":false,"suffix":""},{"dropping-particle":"","family":"Kim","given":"Young Kook","non-dropping-particle":"","parse-names":false,"suffix":""},{"dropping-particle":"","family":"Ha","given":"Ahnul","non-dropping-particle":"","parse-names":false,"suffix":""},{"dropping-particle":"","family":"Kim","given":"Yong Woo","non-dropping-particle":"","parse-names":false,"suffix":""},{"dropping-particle":"","family":"Lee","given":"Jinho","non-dropping-particle":"","parse-names":false,"suffix":""},{"dropping-particle":"","family":"Kim","given":"Soo","non-dropping-particle":"","parse-names":false,"suffix":""},{"dropping-particle":"","family":"Jeoung","given":"Jin Wook","non-dropping-particle":"","parse-names":false,"suffix":""},{"dropping-particle":"","family":"Ho","given":"Ki","non-dropping-particle":"","parse-names":false,"suffix":""},{"dropping-particle":"","family":"Id","given":"Park","non-dropping-particle":"","parse-names":false,"suffix":""}],"id":"ITEM-1","issued":{"date-parts":[["2019"]]},"page":"1-15","title":"Diurnal change of retinal vessel density and mean ocular perfusion pressure in patients with open-angle glaucoma","type":"article-journal"},"uris":["http://www.mendeley.com/documents/?uuid=c1c9db89-6775-444e-9d72-dc734c6a2326"]}],"mendeley":{"formattedCitation":"(Baek &lt;i&gt;et al.&lt;/i&gt;, 2019)","plainTextFormattedCitation":"(Baek et al., 2019)","previouslyFormattedCitation":"(17)"},"properties":{"noteIndex":0},"schema":"https://github.com/citation-style-language/schema/raw/master/csl-citation.json"}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 xml:space="preserve">(Baek </w:t>
      </w:r>
      <w:r w:rsidRPr="009D4714">
        <w:rPr>
          <w:rFonts w:ascii="Arial" w:hAnsi="Arial" w:cs="Arial"/>
          <w:i/>
        </w:rPr>
        <w:t>et al.</w:t>
      </w:r>
      <w:r w:rsidRPr="009D4714">
        <w:rPr>
          <w:rFonts w:ascii="Arial" w:hAnsi="Arial" w:cs="Arial"/>
        </w:rPr>
        <w:t>, 2019)</w:t>
      </w:r>
      <w:r w:rsidRPr="009D4714">
        <w:rPr>
          <w:rFonts w:ascii="Arial" w:hAnsi="Arial" w:cs="Arial"/>
        </w:rPr>
        <w:fldChar w:fldCharType="end"/>
      </w:r>
      <w:r w:rsidRPr="009D4714">
        <w:rPr>
          <w:rFonts w:ascii="Arial" w:hAnsi="Arial" w:cs="Arial"/>
        </w:rPr>
        <w:t xml:space="preserve">. These differences may be due to different smoking rates among countries. For example, according to Tobacco Atlas, the adult smoking prevalence in Tanzania is 11.1%, while in Nigeria it is 2.9% </w:t>
      </w:r>
      <w:r w:rsidRPr="009D4714">
        <w:rPr>
          <w:rFonts w:ascii="Arial" w:hAnsi="Arial" w:cs="Arial"/>
        </w:rPr>
        <w:fldChar w:fldCharType="begin" w:fldLock="1"/>
      </w:r>
      <w:r w:rsidRPr="009D4714">
        <w:rPr>
          <w:rFonts w:ascii="Arial" w:hAnsi="Arial" w:cs="Arial"/>
        </w:rPr>
        <w:instrText>ADDIN CSL_CITATION {"citationItems":[{"id":"ITEM-1","itemData":{"abstract":"Tanzania is coastal country of Eastern Africa endowed with important land and water resources that has a high agricultural potential. Agriculture is a key sector of Tanzanias economy, as it accounts for 45% of GDP and is the source of livelihood for more than three-quarters of the population. The majority of the population is still rural although urbanization increased in the last three decades to reach 38%. Currently the rate of urbanization is slowing down. The population is very young, as 43% of Tanzanians are below 15 years of age. Life expectancy, now 46 years on average, has decreased in the past 20 years, probably due to increasing HIV/AIDS prevalence, which affects around 7% of the adult population. Although improvement was observed during the last decade, infant and underfive mortality rates remain high. Eighty percent of the population has physical access to health facilities, but user fees and poor quality of services, mainly due to lack of skilled health personnel, reduce the effectiveness of the health system. However, immunization coverage among infants is very high. Poor sanitation conditions are common both in the rural and urban areas, while access to safe water is a problem mainly for rural inhabitants. In the rural population, poverty is widespread, as approximately 40% of the population are below the basic needs poverty line, while in the urban areas approximately a quarter of the population is poor. The diet is based on cereals (maize and sorghum), starchy roots (cassava) and pulses (mainly beans). Consumption of micronutrient dense foods such as animal products and fruits and vegetables is low and subsequently micronutrient deficiencies are widespread. At national level, the dietary energy supply does not fulfill average energy requirements of the population. The Dietary diversification index is very low, as starchy foods provide almost three quarters of the total energy supply, despite the wide variety of food produced in the country. Rapid urbanization and lower prices of imported foods have made imports of cereals rise. Undernutrition is still highly prevalent in Tanzania. More than a third of children underfive years are affected by chronic malnutrition (stunting). In the Southern zone prevalence surpasses 50%. Stunting is due to a combination of factors including maternal malnutrition, inadequate infant feeding practices, low quality of health care and poor hygiene. Breastfeeding is widely practiced but exclusive breastfeeding…","author":[{"dropping-particle":"","family":"Affairs","given":"Social","non-dropping-particle":"","parse-names":false,"suffix":""},{"dropping-particle":"","family":"Division","given":"Population","non-dropping-particle":"","parse-names":false,"suffix":""}],"id":"ITEM-1","issue":"October","issued":{"date-parts":[["2010"]]},"page":"1-73","title":"United Republic of Tanzania United Republic of Tanzania","type":"article-journal","volume":"II"},"uris":["http://www.mendeley.com/documents/?uuid=9127a25b-7998-484f-bafb-8f0f27f0387d"]}],"mendeley":{"formattedCitation":"(Affairs and Division, 2010)","plainTextFormattedCitation":"(Affairs and Division, 2010)","previouslyFormattedCitation":"(18)"},"properties":{"noteIndex":0},"schema":"https://github.com/citation-style-language/schema/raw/master/csl-citation.json"}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(Affairs and Division, 2010)</w:t>
      </w:r>
      <w:r w:rsidRPr="009D4714">
        <w:rPr>
          <w:rFonts w:ascii="Arial" w:hAnsi="Arial" w:cs="Arial"/>
        </w:rPr>
        <w:fldChar w:fldCharType="end"/>
      </w:r>
      <w:r w:rsidRPr="009D4714">
        <w:rPr>
          <w:rFonts w:ascii="Arial" w:hAnsi="Arial" w:cs="Arial"/>
        </w:rPr>
        <w:t>.</w:t>
      </w:r>
    </w:p>
    <w:p w14:paraId="7F6A432A" w14:textId="77777777" w:rsidR="009D4714" w:rsidRPr="009D4714" w:rsidRDefault="009D4714" w:rsidP="009D4714">
      <w:pPr>
        <w:pStyle w:val="Body"/>
        <w:spacing w:after="0"/>
        <w:rPr>
          <w:rFonts w:ascii="Arial" w:hAnsi="Arial" w:cs="Arial"/>
        </w:rPr>
      </w:pPr>
      <w:r w:rsidRPr="009D4714">
        <w:rPr>
          <w:rFonts w:ascii="Arial" w:hAnsi="Arial" w:cs="Arial"/>
        </w:rPr>
        <w:lastRenderedPageBreak/>
        <w:t>A significant association between diabetes mellitus (</w:t>
      </w:r>
      <w:r w:rsidRPr="009D4714">
        <w:rPr>
          <w:rFonts w:ascii="Arial" w:hAnsi="Arial" w:cs="Arial"/>
          <w:b/>
          <w:bCs/>
          <w:i/>
          <w:iCs/>
        </w:rPr>
        <w:t>x</w:t>
      </w:r>
      <w:r w:rsidRPr="009D4714">
        <w:rPr>
          <w:rFonts w:ascii="Arial" w:hAnsi="Arial" w:cs="Arial"/>
          <w:b/>
          <w:bCs/>
          <w:i/>
          <w:iCs/>
          <w:vertAlign w:val="superscript"/>
        </w:rPr>
        <w:t xml:space="preserve">2 </w:t>
      </w:r>
      <w:r w:rsidRPr="009D4714">
        <w:rPr>
          <w:rFonts w:ascii="Arial" w:hAnsi="Arial" w:cs="Arial"/>
        </w:rPr>
        <w:t xml:space="preserve">= 3.23, p = 0.042) and NTG was also found in our study, consistent with findings from Belagavi, India </w:t>
      </w:r>
      <w:r w:rsidRPr="009D4714">
        <w:rPr>
          <w:rFonts w:ascii="Arial" w:hAnsi="Arial" w:cs="Arial"/>
        </w:rPr>
        <w:fldChar w:fldCharType="begin" w:fldLock="1"/>
      </w:r>
      <w:r w:rsidRPr="009D4714">
        <w:rPr>
          <w:rFonts w:ascii="Arial" w:hAnsi="Arial" w:cs="Arial"/>
        </w:rPr>
        <w:instrText>ADDIN CSL_CITATION {"citationItems":[{"id":"ITEM-1","itemData":{"author":[{"dropping-particle":"","family":"Rekha Mudhol* Manjushree KS","given":"Tanmay Gupta","non-dropping-particle":"","parse-names":false,"suffix":""},{"dropping-particle":"","family":"Yakkundi","given":"Arvind Y","non-dropping-particle":"","parse-names":false,"suffix":""}],"container-title":"Al Ameen Journal of Medical Sciences","id":"ITEM-1","issue":"4","issued":{"date-parts":[["2021"]]},"page":"318-325","title":"Ocular perfusion pressure: distribution and its relationship with glaucoma","type":"article-journal","volume":"14"},"uris":["http://www.mendeley.com/documents/?uuid=d4486253-5be8-4fae-891f-4238e043e55b"]}],"mendeley":{"formattedCitation":"(Rekha Mudhol* Manjushree KS and Yakkundi, 2021)","plainTextFormattedCitation":"(Rekha Mudhol* Manjushree KS and Yakkundi, 2021)","previouslyFormattedCitation":"(5)"},"properties":{"noteIndex":0},"schema":"https://github.com/citation-style-language/schema/raw/master/csl-citation.json"}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(Rekha Mudhol* Manjushree KS and Yakkundi, 2021)</w:t>
      </w:r>
      <w:r w:rsidRPr="009D4714">
        <w:rPr>
          <w:rFonts w:ascii="Arial" w:hAnsi="Arial" w:cs="Arial"/>
        </w:rPr>
        <w:fldChar w:fldCharType="end"/>
      </w:r>
      <w:r w:rsidRPr="009D4714">
        <w:rPr>
          <w:rFonts w:ascii="Arial" w:hAnsi="Arial" w:cs="Arial"/>
        </w:rPr>
        <w:t xml:space="preserve">. But differ with studies from Malaysia, Japan, and Colombia which found no significant association between diabetes and POAG </w:t>
      </w:r>
      <w:r w:rsidRPr="009D4714">
        <w:rPr>
          <w:rFonts w:ascii="Arial" w:hAnsi="Arial" w:cs="Arial"/>
        </w:rPr>
        <w:fldChar w:fldCharType="begin" w:fldLock="1"/>
      </w:r>
      <w:r w:rsidRPr="009D4714">
        <w:rPr>
          <w:rFonts w:ascii="Arial" w:hAnsi="Arial" w:cs="Arial"/>
        </w:rPr>
        <w:instrText>ADDIN CSL_CITATION {"citationItems":[{"id":"ITEM-1","itemData":{"author":[{"dropping-particle":"","family":"Press","given":"Dove","non-dropping-particle":"","parse-names":false,"suffix":""}],"id":"ITEM-1","issued":{"date-parts":[["2018"]]},"page":"1511-1517","title":"Blood pressure , ocular perfusion pressure and open-angle glaucoma in patients with systemic hypertension","type":"article-journal"},"uris":["http://www.mendeley.com/documents/?uuid=c59daae1-b8ba-49aa-8059-62605030802e"]}],"mendeley":{"formattedCitation":"(Press, 2018)","plainTextFormattedCitation":"(Press, 2018)","previouslyFormattedCitation":"(16)"},"properties":{"noteIndex":0},"schema":"https://github.com/citation-style-language/schema/raw/master/csl-citation.json"}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(Press, 2018)</w:t>
      </w:r>
      <w:r w:rsidRPr="009D4714">
        <w:rPr>
          <w:rFonts w:ascii="Arial" w:hAnsi="Arial" w:cs="Arial"/>
        </w:rPr>
        <w:fldChar w:fldCharType="end"/>
      </w:r>
      <w:r w:rsidRPr="009D4714">
        <w:rPr>
          <w:rFonts w:ascii="Arial" w:hAnsi="Arial" w:cs="Arial"/>
        </w:rPr>
        <w:t xml:space="preserve"> </w:t>
      </w:r>
      <w:r w:rsidRPr="009D4714">
        <w:rPr>
          <w:rFonts w:ascii="Arial" w:hAnsi="Arial" w:cs="Arial"/>
        </w:rPr>
        <w:fldChar w:fldCharType="begin" w:fldLock="1"/>
      </w:r>
      <w:r w:rsidRPr="009D4714">
        <w:rPr>
          <w:rFonts w:ascii="Arial" w:hAnsi="Arial" w:cs="Arial"/>
        </w:rPr>
        <w:instrText>ADDIN CSL_CITATION {"citationItems":[{"id":"ITEM-1","itemData":{"author":[{"dropping-particle":"","family":"Press","given":"Dove","non-dropping-particle":"","parse-names":false,"suffix":""}],"id":"ITEM-1","issued":{"date-parts":[["2011"]]},"page":"1531-1537","title":"Risk factors for primary open-angle glaucoma in Japanese subjects attending community health screenings","type":"article-journal"},"uris":["http://www.mendeley.com/documents/?uuid=3f87dd43-3e8d-422c-89bd-c85886fd2c58"]}],"mendeley":{"formattedCitation":"(Press, 2011)","plainTextFormattedCitation":"(Press, 2011)","previouslyFormattedCitation":"(19)"},"properties":{"noteIndex":0},"schema":"https://github.com/citation-style-language/schema/raw/master/csl-citation.json"}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(Press, 2011)</w:t>
      </w:r>
      <w:r w:rsidRPr="009D4714">
        <w:rPr>
          <w:rFonts w:ascii="Arial" w:hAnsi="Arial" w:cs="Arial"/>
        </w:rPr>
        <w:fldChar w:fldCharType="end"/>
      </w:r>
      <w:r w:rsidRPr="009D4714">
        <w:rPr>
          <w:rFonts w:ascii="Arial" w:hAnsi="Arial" w:cs="Arial"/>
        </w:rPr>
        <w:t xml:space="preserve"> </w:t>
      </w:r>
      <w:r w:rsidRPr="009D4714">
        <w:rPr>
          <w:rFonts w:ascii="Arial" w:hAnsi="Arial" w:cs="Arial"/>
        </w:rPr>
        <w:fldChar w:fldCharType="begin" w:fldLock="1"/>
      </w:r>
      <w:r w:rsidRPr="009D4714">
        <w:rPr>
          <w:rFonts w:ascii="Arial" w:hAnsi="Arial" w:cs="Arial"/>
        </w:rPr>
        <w:instrText>ADDIN CSL_CITATION {"citationItems":[{"id":"ITEM-1","itemData":{"DOI":"10.1186/s12886-016-0215-3","ISSN":"14712415","PMID":"27079202","abstract":"Background: Vascular insufficiency has been reported to be a cause of normal tension glaucoma (NTG). The aim of this study was to compare ocular perfusion pressure (OPP) and ophthalmic artery flow (OAF) between patients with NTG and those without glaucoma. Methods: We considered one eye each from 31 NTG and 15 non-glaucoma control patients. Blood pressure and intraocular pressure (IOP) were measured in the sitting position, for calculation of OPP. Humphrey visual field (HVF) assessment was then carried out on NTG patients. All patients then underwent Transcranial Doppler ultrasound measurements of OAF parameters, including mean flow velocity (MFV), end diastolic velocity (EDV), peak systolic velocity (PSV) and resistive index (RI). We looked at differences in OPP and OAF parameters between the two groups, and their correlations in NTG patients. T-tests, χ 2, ANOVA and Pearson Correlation tests were performed, with p &lt; 0.05 considered statistically significant. Results: There were no statistically significant differences in OPP between the NTG and control groups (60.5+/-8.7 mmHg and 62.9+/-10.2 mmHg respectively, p = 0.393), and also no statistically significant differences in MFV, EDV, PSV and RI (all p &gt; 0.05). In the NTG group, there were positive correlations between OPP and both MFV (r = 0.416, p = 0.020) and EDV (r = 0.369, p = 0.041). There were no statistically significant correlations between HVF mean deviation and OPP or OAF parameters (all p &gt; 0.05). Conclusion: There is no difference in OPP and OAF parameters between patients with NTG and non-glaucoma controls, suggesting that vascular insufficiency or dysregulation by themselves may not account for the pathogenesis of NTG.","author":[{"dropping-particle":"","family":"Samsudin","given":"Amir","non-dropping-particle":"","parse-names":false,"suffix":""},{"dropping-particle":"","family":"Isaacs","given":"Nadine","non-dropping-particle":"","parse-names":false,"suffix":""},{"dropping-particle":"","family":"Tai","given":"Mei Ling Sharon","non-dropping-particle":"","parse-names":false,"suffix":""},{"dropping-particle":"","family":"Ramli","given":"Norlina","non-dropping-particle":"","parse-names":false,"suffix":""},{"dropping-particle":"","family":"Mimiwati","given":"Zahari","non-dropping-particle":"","parse-names":false,"suffix":""},{"dropping-particle":"","family":"Choo","given":"May May","non-dropping-particle":"","parse-names":false,"suffix":""}],"container-title":"BMC Ophthalmology","id":"ITEM-1","issue":"1","issued":{"date-parts":[["2016"]]},"page":"1-5","publisher":"BMC Ophthalmology","title":"Ocular perfusion pressure and ophthalmic artery flow in patients with normal tension glaucoma","type":"article-journal","volume":"16"},"uris":["http://www.mendeley.com/documents/?uuid=b3011bce-51ec-4aeb-9d55-eea0260b4ba2"]}],"mendeley":{"formattedCitation":"(Samsudin &lt;i&gt;et al.&lt;/i&gt;, 2016)","plainTextFormattedCitation":"(Samsudin et al., 2016)","previouslyFormattedCitation":"(11)"},"properties":{"noteIndex":0},"schema":"https://github.com/citation-style-language/schema/raw/master/csl-citation.json"}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 xml:space="preserve">(Samsudin </w:t>
      </w:r>
      <w:r w:rsidRPr="009D4714">
        <w:rPr>
          <w:rFonts w:ascii="Arial" w:hAnsi="Arial" w:cs="Arial"/>
          <w:i/>
        </w:rPr>
        <w:t>et al.</w:t>
      </w:r>
      <w:r w:rsidRPr="009D4714">
        <w:rPr>
          <w:rFonts w:ascii="Arial" w:hAnsi="Arial" w:cs="Arial"/>
        </w:rPr>
        <w:t>, 2016)</w:t>
      </w:r>
      <w:r w:rsidRPr="009D4714">
        <w:rPr>
          <w:rFonts w:ascii="Arial" w:hAnsi="Arial" w:cs="Arial"/>
        </w:rPr>
        <w:fldChar w:fldCharType="end"/>
      </w:r>
      <w:r w:rsidRPr="009D4714">
        <w:rPr>
          <w:rFonts w:ascii="Arial" w:hAnsi="Arial" w:cs="Arial"/>
        </w:rPr>
        <w:t>. This difference may be explained by glycemic control variability among study populations.</w:t>
      </w:r>
    </w:p>
    <w:p w14:paraId="2A9FABE7" w14:textId="77777777" w:rsidR="009D4714" w:rsidRPr="009D4714" w:rsidRDefault="009D4714" w:rsidP="009D4714">
      <w:pPr>
        <w:pStyle w:val="Body"/>
        <w:spacing w:after="0"/>
        <w:rPr>
          <w:rFonts w:ascii="Arial" w:hAnsi="Arial" w:cs="Arial"/>
        </w:rPr>
      </w:pPr>
      <w:r w:rsidRPr="009D4714">
        <w:rPr>
          <w:rFonts w:ascii="Arial" w:hAnsi="Arial" w:cs="Arial"/>
        </w:rPr>
        <w:t>In our study, HTG patients had a significantly higher prevalence of hypertension (</w:t>
      </w:r>
      <w:r w:rsidRPr="009D4714">
        <w:rPr>
          <w:rFonts w:ascii="Arial" w:hAnsi="Arial" w:cs="Arial"/>
          <w:b/>
          <w:bCs/>
          <w:i/>
          <w:iCs/>
        </w:rPr>
        <w:t>x</w:t>
      </w:r>
      <w:r w:rsidRPr="009D4714">
        <w:rPr>
          <w:rFonts w:ascii="Arial" w:hAnsi="Arial" w:cs="Arial"/>
          <w:b/>
          <w:bCs/>
          <w:i/>
          <w:iCs/>
          <w:vertAlign w:val="superscript"/>
        </w:rPr>
        <w:t>2</w:t>
      </w:r>
      <w:r w:rsidRPr="009D4714">
        <w:rPr>
          <w:rFonts w:ascii="Arial" w:hAnsi="Arial" w:cs="Arial"/>
        </w:rPr>
        <w:t xml:space="preserve">= 3.32, p = 0.038). This can be explained that elevated systemic blood pressure may increase aqueous production, hence contributing to raising IOP, which may lead to HTG. This finding was consistent with results from Belagavi, which indicated that hypertension had an association with HTG only but was not associated with POAG overall </w:t>
      </w:r>
      <w:r w:rsidRPr="009D4714">
        <w:rPr>
          <w:rFonts w:ascii="Arial" w:hAnsi="Arial" w:cs="Arial"/>
        </w:rPr>
        <w:fldChar w:fldCharType="begin" w:fldLock="1"/>
      </w:r>
      <w:r w:rsidRPr="009D4714">
        <w:rPr>
          <w:rFonts w:ascii="Arial" w:hAnsi="Arial" w:cs="Arial"/>
        </w:rPr>
        <w:instrText>ADDIN CSL_CITATION {"citationItems":[{"id":"ITEM-1","itemData":{"author":[{"dropping-particle":"","family":"Rekha Mudhol* Manjushree KS","given":"Tanmay Gupta","non-dropping-particle":"","parse-names":false,"suffix":""},{"dropping-particle":"","family":"Yakkundi","given":"Arvind Y","non-dropping-particle":"","parse-names":false,"suffix":""}],"container-title":"Al Ameen Journal of Medical Sciences","id":"ITEM-1","issue":"4","issued":{"date-parts":[["2021"]]},"page":"318-325","title":"Ocular perfusion pressure: distribution and its relationship with glaucoma","type":"article-journal","volume":"14"},"uris":["http://www.mendeley.com/documents/?uuid=d4486253-5be8-4fae-891f-4238e043e55b"]}],"mendeley":{"formattedCitation":"(Rekha Mudhol* Manjushree KS and Yakkundi, 2021)","plainTextFormattedCitation":"(Rekha Mudhol* Manjushree KS and Yakkundi, 2021)","previouslyFormattedCitation":"(5)"},"properties":{"noteIndex":0},"schema":"https://github.com/citation-style-language/schema/raw/master/csl-citation.json"}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(Rekha Mudhol* Manjushree KS and Yakkundi, 2021)</w:t>
      </w:r>
      <w:r w:rsidRPr="009D4714">
        <w:rPr>
          <w:rFonts w:ascii="Arial" w:hAnsi="Arial" w:cs="Arial"/>
        </w:rPr>
        <w:fldChar w:fldCharType="end"/>
      </w:r>
      <w:r w:rsidRPr="009D4714">
        <w:rPr>
          <w:rFonts w:ascii="Arial" w:hAnsi="Arial" w:cs="Arial"/>
        </w:rPr>
        <w:t xml:space="preserve">. Conversely, studies from Korea and Japan found no significant difference in hypertension prevalence between POAG and healthy people </w:t>
      </w:r>
      <w:r w:rsidRPr="009D4714">
        <w:rPr>
          <w:rFonts w:ascii="Arial" w:hAnsi="Arial" w:cs="Arial"/>
        </w:rPr>
        <w:fldChar w:fldCharType="begin" w:fldLock="1"/>
      </w:r>
      <w:r w:rsidRPr="009D4714">
        <w:rPr>
          <w:rFonts w:ascii="Arial" w:hAnsi="Arial" w:cs="Arial"/>
        </w:rPr>
        <w:instrText>ADDIN CSL_CITATION {"citationItems":[{"id":"ITEM-1","itemData":{"ISBN":"1111111111","author":[{"dropping-particle":"","family":"Baek","given":"Sung Uk","non-dropping-particle":"","parse-names":false,"suffix":""},{"dropping-particle":"","family":"Kim","given":"Young Kook","non-dropping-particle":"","parse-names":false,"suffix":""},{"dropping-particle":"","family":"Ha","given":"Ahnul","non-dropping-particle":"","parse-names":false,"suffix":""},{"dropping-particle":"","family":"Kim","given":"Yong Woo","non-dropping-particle":"","parse-names":false,"suffix":""},{"dropping-particle":"","family":"Lee","given":"Jinho","non-dropping-particle":"","parse-names":false,"suffix":""},{"dropping-particle":"","family":"Kim","given":"Soo","non-dropping-particle":"","parse-names":false,"suffix":""},{"dropping-particle":"","family":"Jeoung","given":"Jin Wook","non-dropping-particle":"","parse-names":false,"suffix":""},{"dropping-particle":"","family":"Ho","given":"Ki","non-dropping-particle":"","parse-names":false,"suffix":""},{"dropping-particle":"","family":"Id","given":"Park","non-dropping-particle":"","parse-names":false,"suffix":""}],"id":"ITEM-1","issued":{"date-parts":[["2019"]]},"page":"1-15","title":"Diurnal change of retinal vessel density and mean ocular perfusion pressure in patients with open-angle glaucoma","type":"article-journal"},"uris":["http://www.mendeley.com/documents/?uuid=c1c9db89-6775-444e-9d72-dc734c6a2326"]}],"mendeley":{"formattedCitation":"(Baek &lt;i&gt;et al.&lt;/i&gt;, 2019)","plainTextFormattedCitation":"(Baek et al., 2019)","previouslyFormattedCitation":"(17)"},"properties":{"noteIndex":0},"schema":"https://github.com/citation-style-language/schema/raw/master/csl-citation.json"}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 xml:space="preserve">(Baek </w:t>
      </w:r>
      <w:r w:rsidRPr="009D4714">
        <w:rPr>
          <w:rFonts w:ascii="Arial" w:hAnsi="Arial" w:cs="Arial"/>
          <w:i/>
        </w:rPr>
        <w:t>et al.</w:t>
      </w:r>
      <w:r w:rsidRPr="009D4714">
        <w:rPr>
          <w:rFonts w:ascii="Arial" w:hAnsi="Arial" w:cs="Arial"/>
        </w:rPr>
        <w:t>, 2019)</w:t>
      </w:r>
      <w:r w:rsidRPr="009D4714">
        <w:rPr>
          <w:rFonts w:ascii="Arial" w:hAnsi="Arial" w:cs="Arial"/>
        </w:rPr>
        <w:fldChar w:fldCharType="end"/>
      </w:r>
      <w:r w:rsidRPr="009D4714">
        <w:rPr>
          <w:rFonts w:ascii="Arial" w:hAnsi="Arial" w:cs="Arial"/>
        </w:rPr>
        <w:t xml:space="preserve"> </w:t>
      </w:r>
      <w:r w:rsidRPr="009D4714">
        <w:rPr>
          <w:rFonts w:ascii="Arial" w:hAnsi="Arial" w:cs="Arial"/>
        </w:rPr>
        <w:fldChar w:fldCharType="begin" w:fldLock="1"/>
      </w:r>
      <w:r w:rsidRPr="009D4714">
        <w:rPr>
          <w:rFonts w:ascii="Arial" w:hAnsi="Arial" w:cs="Arial"/>
        </w:rPr>
        <w:instrText>ADDIN CSL_CITATION {"citationItems":[{"id":"ITEM-1","itemData":{"author":[{"dropping-particle":"","family":"Press","given":"Dove","non-dropping-particle":"","parse-names":false,"suffix":""}],"id":"ITEM-1","issued":{"date-parts":[["2011"]]},"page":"1531-1537","title":"Risk factors for primary open-angle glaucoma in Japanese subjects attending community health screenings","type":"article-journal"},"uris":["http://www.mendeley.com/documents/?uuid=3f87dd43-3e8d-422c-89bd-c85886fd2c58"]}],"mendeley":{"formattedCitation":"(Press, 2011)","plainTextFormattedCitation":"(Press, 2011)","previouslyFormattedCitation":"(19)"},"properties":{"noteIndex":0},"schema":"https://github.com/citation-style-language/schema/raw/master/csl-citation.json"}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(Press, 2011)</w:t>
      </w:r>
      <w:r w:rsidRPr="009D4714">
        <w:rPr>
          <w:rFonts w:ascii="Arial" w:hAnsi="Arial" w:cs="Arial"/>
        </w:rPr>
        <w:fldChar w:fldCharType="end"/>
      </w:r>
      <w:r w:rsidRPr="009D4714">
        <w:rPr>
          <w:rFonts w:ascii="Arial" w:hAnsi="Arial" w:cs="Arial"/>
        </w:rPr>
        <w:t>. This difference could be explained by the fact that our study and Belagavi analyzed POAG subgroups (HTG and NTG) independently, whereas other studies evaluated POAG as a single entity.</w:t>
      </w:r>
    </w:p>
    <w:p w14:paraId="4A928A52" w14:textId="77777777" w:rsidR="009D4714" w:rsidRPr="009D4714" w:rsidRDefault="009D4714" w:rsidP="009D4714">
      <w:pPr>
        <w:pStyle w:val="Body"/>
        <w:spacing w:after="0"/>
        <w:rPr>
          <w:rFonts w:ascii="Arial" w:hAnsi="Arial" w:cs="Arial"/>
        </w:rPr>
      </w:pPr>
      <w:r w:rsidRPr="009D4714">
        <w:rPr>
          <w:rFonts w:ascii="Arial" w:hAnsi="Arial" w:cs="Arial"/>
        </w:rPr>
        <w:t xml:space="preserve">Furthermore, our study found no statistically significant differences between HTG and NTG patients regarding sex, alcohol use, migraines, combined hypertension and diabetes, or cold sensitivity. These findings are consistent with studies from Nigeria, Bangladesh, and Korea </w:t>
      </w:r>
      <w:r w:rsidRPr="009D4714">
        <w:rPr>
          <w:rFonts w:ascii="Arial" w:hAnsi="Arial" w:cs="Arial"/>
        </w:rPr>
        <w:fldChar w:fldCharType="begin" w:fldLock="1"/>
      </w:r>
      <w:r w:rsidRPr="009D4714">
        <w:rPr>
          <w:rFonts w:ascii="Arial" w:hAnsi="Arial" w:cs="Arial"/>
        </w:rPr>
        <w:instrText>ADDIN CSL_CITATION {"citationItems":[{"id":"ITEM-1","itemData":{"DOI":"10.4103/njcp.njcp","ISSN":"0772634726","abstract":"In British Columbia, colonial-nesting freshwater birds are familiar and important parts of our avifauna. Five species of colonial-nesting birds are discussed in this manual: Red-necked Grebe (B-RNGR, Podiceps grisegena), Eared Grebe (B-EAGR, Podiceps nigricollis), Western Grebe (B-WEGR, Aechmophorus occidentalis), American White Pelican (B-AWPE, Pelecanus erythrorhynchos), and Great Blue Heron (B-GBHE, Ardea herodias). Red-necked Grebes are widespread breeders in the interior and common along the coast during winter. Eared Grebes are relatively inconspicuous birds that breed in shallow interior marshes, in very large colonies at some sites, and winter mainly in the United States. Western Grebes breed at four sites in British Columbia, but are very abundant in the southern Strait of Georgia during winter. The American White Pelican, a highly recognizable species, is seldom seen in British Columbia, except in the Chilcotin where it breeds. The Great Blue Heron nests in trees and forages mainly along intertidal areas, edges of freshwater marshes, ditches, and grassy fields. It is a highly recognizable species and most populations exist in areas with high levels of human development (e.g., in valley bottoms and along lake, river, and marine shorelines). Disturbance by human activities poses a significant threat to these species, especially during the breeding season. Because of the concentration of nests at one site, a single event can affect an entire population at one time. Untimely visits to colonies can allow predation of eggs or young by gulls and corvids, or chilling or overheating of eggs which reduces hatching success. Severe disturbances can result in complete reproductive failure. In addition, habitats of colonial nesters are threatened by development, disturbance, and pollution. Wetlands near cities and towns continue to be drained for residential, industrial, or agricultural expansion. Other wetlands can be so heavily used for recreational purposes as to discourage use by these species. Stands of mature trees used for nesting by Great Blue Herons are often as attractive to loggers and developers as they are to herons. The species in this manual are all at, or near, the top of the food chain, and can suffer from concentration of organochlorines and heavy metals, which may reduce reproductive success. All three grebes, especially the Western Grebe, and the Great Blue Heron are vulnerable to marine oil spills. Because of threats to their habitat, t…","author":[{"dropping-particle":"","family":"Yılmaz","given":"S","non-dropping-particle":"","parse-names":false,"suffix":""},{"dropping-particle":"","family":"Calikoglu","given":"E. O.","non-dropping-particle":"","parse-names":false,"suffix":""},{"dropping-particle":"","family":"Kosan","given":"Z.","non-dropping-particle":"","parse-names":false,"suffix":""}],"container-title":"Nigerian Journal of Clinical Practice","id":"ITEM-1","issued":{"date-parts":[["2019"]]},"page":"1070-1077","title":"for an Uncommon Neurosurgical Emergency in a Developing Country","type":"article-journal","volume":"22"},"uris":["http://www.mendeley.com/documents/?uuid=47ed04ab-c0f2-4577-ab92-fa0257fb63da"]}],"mendeley":{"formattedCitation":"(Yılmaz, Calikoglu and Kosan, 2019)","plainTextFormattedCitation":"(Yılmaz, Calikoglu and Kosan, 2019)","previouslyFormattedCitation":"(15)"},"properties":{"noteIndex":0},"schema":"https://github.com/citation-style-language/schema/raw/master/csl-citation.json"}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(Yılmaz, Calikoglu and Kosan, 2019)</w:t>
      </w:r>
      <w:r w:rsidRPr="009D4714">
        <w:rPr>
          <w:rFonts w:ascii="Arial" w:hAnsi="Arial" w:cs="Arial"/>
        </w:rPr>
        <w:fldChar w:fldCharType="end"/>
      </w:r>
      <w:r w:rsidRPr="009D4714">
        <w:rPr>
          <w:rFonts w:ascii="Arial" w:hAnsi="Arial" w:cs="Arial"/>
        </w:rPr>
        <w:fldChar w:fldCharType="begin" w:fldLock="1"/>
      </w:r>
      <w:r w:rsidRPr="009D4714">
        <w:rPr>
          <w:rFonts w:ascii="Arial" w:hAnsi="Arial" w:cs="Arial"/>
        </w:rPr>
        <w:instrText>ADDIN CSL_CITATION {"citationItems":[{"id":"ITEM-1","itemData":{"DOI":"10.3329/bsmmuj.v11i4.38618","ISSN":"2074-2908","abstract":"Primary open angle glaucoma is the most common form of glaucoma and it remains asymptomatic until the late stage of the disease. The purpose of this study is to compare the mean ocular perfusion pressure with the primary open angle glaucoma. A total of 60 study subjects were divided into two following groups: a) newly diagnosed patients with primary open angle glaucoma (case) and b) age and sex-matched healthy volunteers (control). The intraocular pressure and blood pressure were measured 3 hourly from 8:00 am to 11:00 pm. The mean ocular perfusion pressure of the right eyes in untreated primary open angle glaucoma was 39.9 ± 7.5 mm Hg whereas it was 47.7 ± 7.7 mm Hg in the control. The odds ratio was 6.6 (95% CI, 2.1-20.5; p=0.002). The right eyes of untreated primary open angle glaucoma had 6.6 times more risk compared to the control group. The mean ocular perfusion pressure of left eyes in untreated primary open angle glaucoma was 39.9 ± 7.5 mm Hg and 48.6 ± 4.0 mm Hg in the control group. The odds ratio was 5.7 (95% CI, 1.8-17.5; p=0.004). The left eyes of untreated primary open angle glaucoma had 5.7 times more risk compared to control group. The findings revealed the evidence of vascular mechanism in glaucoma pathogenesis: Reduction of mean ocular perfusion pressure ≤48 mm Hg, may lead to daily repetitive ischemic insult to the optic nerve.","author":[{"dropping-particle":"","family":"Sen","given":"Pallab Kumar","non-dropping-particle":"","parse-names":false,"suffix":""},{"dropping-particle":"","family":"Khan","given":"Nazneen","non-dropping-particle":"","parse-names":false,"suffix":""},{"dropping-particle":"","family":"Islam","given":"Md. Shafiqul","non-dropping-particle":"","parse-names":false,"suffix":""}],"container-title":"Bangabandhu Sheikh Mujib Medical University Journal","id":"ITEM-1","issue":"4","issued":{"date-parts":[["2018"]]},"page":"286-290","title":"Effect of mean ocular perfusion pressure on primary open angle glaucoma","type":"article-journal","volume":"11"},"uris":["http://www.mendeley.com/documents/?uuid=ea89bd07-16a2-4ced-83aa-ee94d9c4613d"]}],"mendeley":{"formattedCitation":"(Sen, Khan and Islam, 2018)","plainTextFormattedCitation":"(Sen, Khan and Islam, 2018)","previouslyFormattedCitation":"(7)"},"properties":{"noteIndex":0},"schema":"https://github.com/citation-style-language/schema/raw/master/csl-citation.json"}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(Sen, Khan and Islam, 2018)</w:t>
      </w:r>
      <w:r w:rsidRPr="009D4714">
        <w:rPr>
          <w:rFonts w:ascii="Arial" w:hAnsi="Arial" w:cs="Arial"/>
        </w:rPr>
        <w:fldChar w:fldCharType="end"/>
      </w:r>
      <w:r w:rsidRPr="009D4714">
        <w:rPr>
          <w:rFonts w:ascii="Arial" w:hAnsi="Arial" w:cs="Arial"/>
        </w:rPr>
        <w:fldChar w:fldCharType="begin" w:fldLock="1"/>
      </w:r>
      <w:r w:rsidRPr="009D4714">
        <w:rPr>
          <w:rFonts w:ascii="Arial" w:hAnsi="Arial" w:cs="Arial"/>
        </w:rPr>
        <w:instrText>ADDIN CSL_CITATION {"citationItems":[{"id":"ITEM-1","itemData":{"ISBN":"1111111111","author":[{"dropping-particle":"","family":"Baek","given":"Sung Uk","non-dropping-particle":"","parse-names":false,"suffix":""},{"dropping-particle":"","family":"Kim","given":"Young Kook","non-dropping-particle":"","parse-names":false,"suffix":""},{"dropping-particle":"","family":"Ha","given":"Ahnul","non-dropping-particle":"","parse-names":false,"suffix":""},{"dropping-particle":"","family":"Kim","given":"Yong Woo","non-dropping-particle":"","parse-names":false,"suffix":""},{"dropping-particle":"","family":"Lee","given":"Jinho","non-dropping-particle":"","parse-names":false,"suffix":""},{"dropping-particle":"","family":"Kim","given":"Soo","non-dropping-particle":"","parse-names":false,"suffix":""},{"dropping-particle":"","family":"Jeoung","given":"Jin Wook","non-dropping-particle":"","parse-names":false,"suffix":""},{"dropping-particle":"","family":"Ho","given":"Ki","non-dropping-particle":"","parse-names":false,"suffix":""},{"dropping-particle":"","family":"Id","given":"Park","non-dropping-particle":"","parse-names":false,"suffix":""}],"id":"ITEM-1","issued":{"date-parts":[["2019"]]},"page":"1-15","title":"Diurnal change of retinal vessel density and mean ocular perfusion pressure in patients with open-angle glaucoma","type":"article-journal"},"uris":["http://www.mendeley.com/documents/?uuid=c1c9db89-6775-444e-9d72-dc734c6a2326"]}],"mendeley":{"formattedCitation":"(Baek &lt;i&gt;et al.&lt;/i&gt;, 2019)","plainTextFormattedCitation":"(Baek et al., 2019)","previouslyFormattedCitation":"(17)"},"properties":{"noteIndex":0},"schema":"https://github.com/citation-style-language/schema/raw/master/csl-citation.json"}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 xml:space="preserve">(Baek </w:t>
      </w:r>
      <w:r w:rsidRPr="009D4714">
        <w:rPr>
          <w:rFonts w:ascii="Arial" w:hAnsi="Arial" w:cs="Arial"/>
          <w:i/>
        </w:rPr>
        <w:t>et al.</w:t>
      </w:r>
      <w:r w:rsidRPr="009D4714">
        <w:rPr>
          <w:rFonts w:ascii="Arial" w:hAnsi="Arial" w:cs="Arial"/>
        </w:rPr>
        <w:t>, 2019)</w:t>
      </w:r>
      <w:r w:rsidRPr="009D4714">
        <w:rPr>
          <w:rFonts w:ascii="Arial" w:hAnsi="Arial" w:cs="Arial"/>
        </w:rPr>
        <w:fldChar w:fldCharType="end"/>
      </w:r>
      <w:r w:rsidRPr="009D4714">
        <w:rPr>
          <w:rFonts w:ascii="Arial" w:hAnsi="Arial" w:cs="Arial"/>
        </w:rPr>
        <w:t xml:space="preserve">. However, studies from India and Malaysia indicated a male predominance in POAG </w:t>
      </w:r>
      <w:r w:rsidRPr="009D4714">
        <w:rPr>
          <w:rFonts w:ascii="Arial" w:hAnsi="Arial" w:cs="Arial"/>
        </w:rPr>
        <w:fldChar w:fldCharType="begin" w:fldLock="1"/>
      </w:r>
      <w:r w:rsidRPr="009D4714">
        <w:rPr>
          <w:rFonts w:ascii="Arial" w:hAnsi="Arial" w:cs="Arial"/>
        </w:rPr>
        <w:instrText>ADDIN CSL_CITATION {"citationItems":[{"id":"ITEM-1","itemData":{"author":[{"dropping-particle":"","family":"Rekha Mudhol* Manjushree KS","given":"Tanmay Gupta","non-dropping-particle":"","parse-names":false,"suffix":""},{"dropping-particle":"","family":"Yakkundi","given":"Arvind Y","non-dropping-particle":"","parse-names":false,"suffix":""}],"container-title":"Al Ameen Journal of Medical Sciences","id":"ITEM-1","issue":"4","issued":{"date-parts":[["2021"]]},"page":"318-325","title":"Ocular perfusion pressure: distribution and its relationship with glaucoma","type":"article-journal","volume":"14"},"uris":["http://www.mendeley.com/documents/?uuid=d4486253-5be8-4fae-891f-4238e043e55b"]}],"mendeley":{"formattedCitation":"(Rekha Mudhol* Manjushree KS and Yakkundi, 2021)","plainTextFormattedCitation":"(Rekha Mudhol* Manjushree KS and Yakkundi, 2021)","previouslyFormattedCitation":"(5)"},"properties":{"noteIndex":0},"schema":"https://github.com/citation-style-language/schema/raw/master/csl-citation.json"}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(Rekha Mudhol* Manjushree KS and Yakkundi, 2021)</w:t>
      </w:r>
      <w:r w:rsidRPr="009D4714">
        <w:rPr>
          <w:rFonts w:ascii="Arial" w:hAnsi="Arial" w:cs="Arial"/>
        </w:rPr>
        <w:fldChar w:fldCharType="end"/>
      </w:r>
      <w:r w:rsidRPr="009D4714">
        <w:rPr>
          <w:rFonts w:ascii="Arial" w:hAnsi="Arial" w:cs="Arial"/>
        </w:rPr>
        <w:fldChar w:fldCharType="begin" w:fldLock="1"/>
      </w:r>
      <w:r w:rsidRPr="009D4714">
        <w:rPr>
          <w:rFonts w:ascii="Arial" w:hAnsi="Arial" w:cs="Arial"/>
        </w:rPr>
        <w:instrText>ADDIN CSL_CITATION {"citationItems":[{"id":"ITEM-1","itemData":{"author":[{"dropping-particle":"","family":"Tw","given":"Ch","non-dropping-particle":"","parse-names":false,"suffix":""},{"dropping-particle":"","family":"Cy","given":"Chua","non-dropping-particle":"","parse-names":false,"suffix":""},{"dropping-particle":"","family":"Ma","given":"Ummi Kalsom","non-dropping-particle":"","parse-names":false,"suffix":""},{"dropping-particle":"","family":"Azhany","given":"Y","non-dropping-particle":"","parse-names":false,"suffix":""},{"dropping-particle":"","family":"Vhm","given":"Gong","non-dropping-particle":"","parse-names":false,"suffix":""},{"dropping-particle":"","family":"Ahg","given":"Rasool","non-dropping-particle":"","parse-names":false,"suffix":""},{"dropping-particle":"","family":"At","given":"Liza-sharmini","non-dropping-particle":"","parse-names":false,"suffix":""}],"id":"ITEM-1","issued":{"date-parts":[["2021"]]},"title":"Ocular Perfusion Pressure and Severity of Glaucoma : Is There a Link ?","type":"article-journal"},"uris":["http://www.mendeley.com/documents/?uuid=1d183798-dbaa-471c-8d99-5922860962cf"]}],"mendeley":{"formattedCitation":"(Tw &lt;i&gt;et al.&lt;/i&gt;, 2021)","plainTextFormattedCitation":"(Tw et al., 2021)","previouslyFormattedCitation":"(20)"},"properties":{"noteIndex":0},"schema":"https://github.com/citation-style-language/schema/raw/master/csl-citation.json"}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 xml:space="preserve">(Tw </w:t>
      </w:r>
      <w:r w:rsidRPr="009D4714">
        <w:rPr>
          <w:rFonts w:ascii="Arial" w:hAnsi="Arial" w:cs="Arial"/>
          <w:i/>
        </w:rPr>
        <w:t>et al.</w:t>
      </w:r>
      <w:r w:rsidRPr="009D4714">
        <w:rPr>
          <w:rFonts w:ascii="Arial" w:hAnsi="Arial" w:cs="Arial"/>
        </w:rPr>
        <w:t>, 2021)</w:t>
      </w:r>
      <w:r w:rsidRPr="009D4714">
        <w:rPr>
          <w:rFonts w:ascii="Arial" w:hAnsi="Arial" w:cs="Arial"/>
        </w:rPr>
        <w:fldChar w:fldCharType="end"/>
      </w:r>
      <w:r w:rsidRPr="009D4714">
        <w:rPr>
          <w:rFonts w:ascii="Arial" w:hAnsi="Arial" w:cs="Arial"/>
        </w:rPr>
        <w:t>. These differences may suggest geographic and demographic variability.</w:t>
      </w:r>
    </w:p>
    <w:p w14:paraId="72D1379D" w14:textId="77777777" w:rsidR="009D4714" w:rsidRPr="009D4714" w:rsidRDefault="009D4714" w:rsidP="009D4714">
      <w:pPr>
        <w:pStyle w:val="Body"/>
        <w:spacing w:after="0"/>
        <w:rPr>
          <w:rFonts w:ascii="Arial" w:hAnsi="Arial" w:cs="Arial"/>
        </w:rPr>
      </w:pPr>
      <w:r w:rsidRPr="009D4714">
        <w:rPr>
          <w:rFonts w:ascii="Arial" w:hAnsi="Arial" w:cs="Arial"/>
        </w:rPr>
        <w:t xml:space="preserve">In our study, the mean DPP in HTG group was 61.0 mmHg and in the control group, it was 65.5 mmHg which were higher than mean DPP of 50.9 mmHg in the NTG group. These findings are different from those mentioned in Belagavi, India, where HTG group  had a lower mean DPP of 51.85 mmHg while control group had related mean DPP of 63.25mmHg </w:t>
      </w:r>
      <w:r w:rsidRPr="009D4714">
        <w:rPr>
          <w:rFonts w:ascii="Arial" w:hAnsi="Arial" w:cs="Arial"/>
        </w:rPr>
        <w:fldChar w:fldCharType="begin" w:fldLock="1"/>
      </w:r>
      <w:r w:rsidRPr="009D4714">
        <w:rPr>
          <w:rFonts w:ascii="Arial" w:hAnsi="Arial" w:cs="Arial"/>
        </w:rPr>
        <w:instrText>ADDIN CSL_CITATION {"citationItems":[{"id":"ITEM-1","itemData":{"author":[{"dropping-particle":"","family":"Rekha Mudhol* Manjushree KS","given":"Tanmay Gupta","non-dropping-particle":"","parse-names":false,"suffix":""},{"dropping-particle":"","family":"Yakkundi","given":"Arvind Y","non-dropping-particle":"","parse-names":false,"suffix":""}],"container-title":"Al Ameen Journal of Medical Sciences","id":"ITEM-1","issue":"4","issued":{"date-parts":[["2021"]]},"page":"318-325","title":"Ocular perfusion pressure: distribution and its relationship with glaucoma","type":"article-journal","volume":"14"},"uris":["http://www.mendeley.com/documents/?uuid=d4486253-5be8-4fae-891f-4238e043e55b"]}],"mendeley":{"formattedCitation":"(Rekha Mudhol* Manjushree KS and Yakkundi, 2021)","plainTextFormattedCitation":"(Rekha Mudhol* Manjushree KS and Yakkundi, 2021)","previouslyFormattedCitation":"(5)"},"properties":{"noteIndex":0},"schema":"https://github.com/citation-style-language/schema/raw/master/csl-citation.json"}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(Rekha Mudhol* Manjushree KS and Yakkundi, 2021)</w:t>
      </w:r>
      <w:r w:rsidRPr="009D4714">
        <w:rPr>
          <w:rFonts w:ascii="Arial" w:hAnsi="Arial" w:cs="Arial"/>
        </w:rPr>
        <w:fldChar w:fldCharType="end"/>
      </w:r>
      <w:r w:rsidRPr="009D4714">
        <w:rPr>
          <w:rFonts w:ascii="Arial" w:hAnsi="Arial" w:cs="Arial"/>
        </w:rPr>
        <w:t xml:space="preserve">. Similarly, mean DPP of our NTG group was lower than that reported in Colombian study, where NTG group had a mean DPP of 60.1 mmHg, the control group in Colombia had comparable mean DPP of 62.6 mmHg </w:t>
      </w:r>
      <w:r w:rsidRPr="009D4714">
        <w:rPr>
          <w:rFonts w:ascii="Arial" w:hAnsi="Arial" w:cs="Arial"/>
        </w:rPr>
        <w:fldChar w:fldCharType="begin" w:fldLock="1"/>
      </w:r>
      <w:r w:rsidRPr="009D4714">
        <w:rPr>
          <w:rFonts w:ascii="Arial" w:hAnsi="Arial" w:cs="Arial"/>
        </w:rPr>
        <w:instrText>ADDIN CSL_CITATION {"citationItems":[{"id":"ITEM-1","itemData":{"author":[{"dropping-particle":"","family":"Press","given":"Dove","non-dropping-particle":"","parse-names":false,"suffix":""}],"id":"ITEM-1","issued":{"date-parts":[["2018"]]},"page":"1511-1517","title":"Blood pressure , ocular perfusion pressure and open-angle glaucoma in patients with systemic hypertension","type":"article-journal"},"uris":["http://www.mendeley.com/documents/?uuid=c59daae1-b8ba-49aa-8059-62605030802e"]}],"mendeley":{"formattedCitation":"(Press, 2018)","plainTextFormattedCitation":"(Press, 2018)","previouslyFormattedCitation":"(16)"},"properties":{"noteIndex":0},"schema":"https://github.com/citation-style-language/schema/raw/master/csl-citation.json"}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(Press, 2018)</w:t>
      </w:r>
      <w:r w:rsidRPr="009D4714">
        <w:rPr>
          <w:rFonts w:ascii="Arial" w:hAnsi="Arial" w:cs="Arial"/>
        </w:rPr>
        <w:fldChar w:fldCharType="end"/>
      </w:r>
      <w:r w:rsidRPr="009D4714">
        <w:rPr>
          <w:rFonts w:ascii="Arial" w:hAnsi="Arial" w:cs="Arial"/>
        </w:rPr>
        <w:t xml:space="preserve">. These differences may be explained these populations have different systemic health and vascular risk factors which affect ocular blood flow. For example, the prevalence of hypertension adults in western Tanzania was 34.6% </w:t>
      </w:r>
      <w:r w:rsidRPr="009D4714">
        <w:rPr>
          <w:rFonts w:ascii="Arial" w:hAnsi="Arial" w:cs="Arial"/>
        </w:rPr>
        <w:fldChar w:fldCharType="begin" w:fldLock="1"/>
      </w:r>
      <w:r w:rsidRPr="009D4714">
        <w:rPr>
          <w:rFonts w:ascii="Arial" w:hAnsi="Arial" w:cs="Arial"/>
        </w:rPr>
        <w:instrText>ADDIN CSL_CITATION {"citationItems":[{"id":"ITEM-1","itemData":{"author":[{"dropping-particle":"","family":"Nyangi","given":"Getera Isack","non-dropping-particle":"","parse-names":false,"suffix":""},{"dropping-particle":"","family":"Mlay","given":"Jackline Avelin","non-dropping-particle":"","parse-names":false,"suffix":""},{"dropping-particle":"","family":"Mackanja","given":"Elizabeth","non-dropping-particle":"","parse-names":false,"suffix":""}],"id":"ITEM-1","issue":"2","issued":{"date-parts":[["2025"]]},"page":"79-85","title":"Prevalence and Associated Factors of Hypertension among Motorcycle Taxi Drivers in Kakonko District , Kigoma Region , Western Tanzania","type":"article-journal","volume":"7"},"uris":["http://www.mendeley.com/documents/?uuid=3dca5339-7024-4c80-ad74-9e3aa8e85cff"]}],"mendeley":{"formattedCitation":"(Nyangi, Mlay and Mackanja, 2025)","plainTextFormattedCitation":"(Nyangi, Mlay and Mackanja, 2025)","previouslyFormattedCitation":"(21)"},"properties":{"noteIndex":0},"schema":"https://github.com/citation-style-language/schema/raw/master/csl-citation.json"}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(Nyangi, Mlay and Mackanja, 2025)</w:t>
      </w:r>
      <w:r w:rsidRPr="009D4714">
        <w:rPr>
          <w:rFonts w:ascii="Arial" w:hAnsi="Arial" w:cs="Arial"/>
        </w:rPr>
        <w:fldChar w:fldCharType="end"/>
      </w:r>
      <w:r w:rsidRPr="009D4714">
        <w:rPr>
          <w:rFonts w:ascii="Arial" w:hAnsi="Arial" w:cs="Arial"/>
        </w:rPr>
        <w:t xml:space="preserve"> and India (22.6%) </w:t>
      </w:r>
      <w:r w:rsidRPr="009D4714">
        <w:rPr>
          <w:rFonts w:ascii="Arial" w:hAnsi="Arial" w:cs="Arial"/>
        </w:rPr>
        <w:fldChar w:fldCharType="begin" w:fldLock="1"/>
      </w:r>
      <w:r w:rsidRPr="009D4714">
        <w:rPr>
          <w:rFonts w:ascii="Arial" w:hAnsi="Arial" w:cs="Arial"/>
        </w:rPr>
        <w:instrText>ADDIN CSL_CITATION {"citationItems":[{"id":"ITEM-1","itemData":{"author":[{"dropping-particle":"","family":"Access","given":"Open","non-dropping-particle":"","parse-names":false,"suffix":""}],"id":"ITEM-1","issued":{"date-parts":[["2024"]]},"title":"Hypertension in India : a gender-based study of prevalence and associated risk factors","type":"article-journal","volume":"5"},"uris":["http://www.mendeley.com/documents/?uuid=0d6b810d-790e-4ac8-aeb7-7be967e2b998"]}],"mendeley":{"formattedCitation":"(Access, 2024)","plainTextFormattedCitation":"(Access, 2024)","previouslyFormattedCitation":"(22)"},"properties":{"noteIndex":0},"schema":"https://github.com/citation-style-language/schema/raw/master/csl-citation.json"}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(Access, 2024)</w:t>
      </w:r>
      <w:r w:rsidRPr="009D4714">
        <w:rPr>
          <w:rFonts w:ascii="Arial" w:hAnsi="Arial" w:cs="Arial"/>
        </w:rPr>
        <w:fldChar w:fldCharType="end"/>
      </w:r>
      <w:r w:rsidRPr="009D4714">
        <w:rPr>
          <w:rFonts w:ascii="Arial" w:hAnsi="Arial" w:cs="Arial"/>
        </w:rPr>
        <w:t>.</w:t>
      </w:r>
    </w:p>
    <w:p w14:paraId="5F4F7B58" w14:textId="77777777" w:rsidR="009D4714" w:rsidRPr="009D4714" w:rsidRDefault="009D4714" w:rsidP="009D4714">
      <w:pPr>
        <w:pStyle w:val="Body"/>
        <w:spacing w:after="0"/>
        <w:rPr>
          <w:rFonts w:ascii="Arial" w:hAnsi="Arial" w:cs="Arial"/>
        </w:rPr>
      </w:pPr>
      <w:r w:rsidRPr="009D4714">
        <w:rPr>
          <w:rFonts w:ascii="Arial" w:hAnsi="Arial" w:cs="Arial"/>
        </w:rPr>
        <w:t xml:space="preserve">A </w:t>
      </w:r>
      <w:proofErr w:type="gramStart"/>
      <w:r w:rsidRPr="009D4714">
        <w:rPr>
          <w:rFonts w:ascii="Arial" w:hAnsi="Arial" w:cs="Arial"/>
        </w:rPr>
        <w:t>similar trends</w:t>
      </w:r>
      <w:proofErr w:type="gramEnd"/>
      <w:r w:rsidRPr="009D4714">
        <w:rPr>
          <w:rFonts w:ascii="Arial" w:hAnsi="Arial" w:cs="Arial"/>
        </w:rPr>
        <w:t xml:space="preserve"> was observed in systolic perfusion pressure (SPP), where the mean SPP in the NTG group was 112.7mmHg which was lower than in the HTG group (116.3 mmHg) and controls (119.8 mmHg).  The mean SPP value of NTG in our study was consistent with findings from Colombian study, which reported a mean SPP of 111.5 mmHg in NTG patients </w:t>
      </w:r>
      <w:r w:rsidRPr="009D4714">
        <w:rPr>
          <w:rFonts w:ascii="Arial" w:hAnsi="Arial" w:cs="Arial"/>
        </w:rPr>
        <w:fldChar w:fldCharType="begin" w:fldLock="1"/>
      </w:r>
      <w:r w:rsidRPr="009D4714">
        <w:rPr>
          <w:rFonts w:ascii="Arial" w:hAnsi="Arial" w:cs="Arial"/>
        </w:rPr>
        <w:instrText>ADDIN CSL_CITATION {"citationItems":[{"id":"ITEM-1","itemData":{"author":[{"dropping-particle":"","family":"Press","given":"Dove","non-dropping-particle":"","parse-names":false,"suffix":""}],"id":"ITEM-1","issued":{"date-parts":[["2018"]]},"page":"1511-1517","title":"Blood pressure , ocular perfusion pressure and open-angle glaucoma in patients with systemic hypertension","type":"article-journal"},"uris":["http://www.mendeley.com/documents/?uuid=c59daae1-b8ba-49aa-8059-62605030802e"]}],"mendeley":{"formattedCitation":"(Press, 2018)","plainTextFormattedCitation":"(Press, 2018)","previouslyFormattedCitation":"(16)"},"properties":{"noteIndex":0},"schema":"https://github.com/citation-style-language/schema/raw/master/csl-citation.json"}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(Press, 2018)</w:t>
      </w:r>
      <w:r w:rsidRPr="009D4714">
        <w:rPr>
          <w:rFonts w:ascii="Arial" w:hAnsi="Arial" w:cs="Arial"/>
        </w:rPr>
        <w:fldChar w:fldCharType="end"/>
      </w:r>
      <w:r w:rsidRPr="009D4714">
        <w:rPr>
          <w:rFonts w:ascii="Arial" w:hAnsi="Arial" w:cs="Arial"/>
        </w:rPr>
        <w:t xml:space="preserve">. However the study done in Belagavi, India, reported lower mean SPP values in the HTG group and control group which were 101.55 mmHg and 115.39 mmHg respectively compared to those in our study </w:t>
      </w:r>
      <w:r w:rsidRPr="009D4714">
        <w:rPr>
          <w:rFonts w:ascii="Arial" w:hAnsi="Arial" w:cs="Arial"/>
          <w:bCs/>
        </w:rPr>
        <w:fldChar w:fldCharType="begin" w:fldLock="1"/>
      </w:r>
      <w:r w:rsidRPr="009D4714">
        <w:rPr>
          <w:rFonts w:ascii="Arial" w:hAnsi="Arial" w:cs="Arial"/>
          <w:bCs/>
        </w:rPr>
        <w:instrText>ADDIN CSL_CITATION {"citationItems":[{"id":"ITEM-1","itemData":{"author":[{"dropping-particle":"","family":"Rekha Mudhol* Manjushree KS","given":"Tanmay Gupta","non-dropping-particle":"","parse-names":false,"suffix":""},{"dropping-particle":"","family":"Yakkundi","given":"Arvind Y","non-dropping-particle":"","parse-names":false,"suffix":""}],"container-title":"Al Ameen Journal of Medical Sciences","id":"ITEM-1","issue":"4","issued":{"date-parts":[["2021"]]},"page":"318-325","title":"Ocular perfusion pressure: distribution and its relationship with glaucoma","type":"article-journal","volume":"14"},"uris":["http://www.mendeley.com/documents/?uuid=d4486253-5be8-4fae-891f-4238e043e55b"]}],"mendeley":{"formattedCitation":"(Rekha Mudhol* Manjushree KS and Yakkundi, 2021)","plainTextFormattedCitation":"(Rekha Mudhol* Manjushree KS and Yakkundi, 2021)","previouslyFormattedCitation":"(5)"},"properties":{"noteIndex":0},"schema":"https://github.com/citation-style-language/schema/raw/master/csl-citation.json"}</w:instrText>
      </w:r>
      <w:r w:rsidRPr="009D4714">
        <w:rPr>
          <w:rFonts w:ascii="Arial" w:hAnsi="Arial" w:cs="Arial"/>
          <w:bCs/>
        </w:rPr>
        <w:fldChar w:fldCharType="separate"/>
      </w:r>
      <w:r w:rsidRPr="009D4714">
        <w:rPr>
          <w:rFonts w:ascii="Arial" w:hAnsi="Arial" w:cs="Arial"/>
          <w:bCs/>
        </w:rPr>
        <w:t>(Rekha Mudhol* Manjushree KS and Yakkundi, 2021)</w:t>
      </w:r>
      <w:r w:rsidRPr="009D4714">
        <w:rPr>
          <w:rFonts w:ascii="Arial" w:hAnsi="Arial" w:cs="Arial"/>
        </w:rPr>
        <w:fldChar w:fldCharType="end"/>
      </w:r>
      <w:r w:rsidRPr="009D4714">
        <w:rPr>
          <w:rFonts w:ascii="Arial" w:hAnsi="Arial" w:cs="Arial"/>
        </w:rPr>
        <w:t xml:space="preserve">. Similar differences were also observed in study done in Mumbai, where the mean SPP in HTG was 96.56 mmHg, and 109.47 mmHg in the control group </w:t>
      </w:r>
      <w:r w:rsidRPr="009D4714">
        <w:rPr>
          <w:rFonts w:ascii="Arial" w:hAnsi="Arial" w:cs="Arial"/>
        </w:rPr>
        <w:fldChar w:fldCharType="begin" w:fldLock="1"/>
      </w:r>
      <w:r w:rsidRPr="009D4714">
        <w:rPr>
          <w:rFonts w:ascii="Arial" w:hAnsi="Arial" w:cs="Arial"/>
        </w:rPr>
        <w:instrText>ADDIN CSL_CITATION {"citationItems":[{"id":"ITEM-1","itemData":{"DOI":"10.4103/ojo.OJO_112_2018","ISSN":"09747842","abstract":"AIM: To investigate the relationship between blood pressure (BP), ocular perfusion pressure (OPP), intraocular pressure (IOP) and open angle glaucoma (OAG) in Primary Open Angle Glaucoma (POAG) patients and normal population. DESIGN: Cross-sectional observation study. MATERIALS AND METHODS: Hospital-based, case control cross-sectional study conducted on 150 patients, of which 75 people were included in the control group and 75 people in the glaucoma group. The diagnosis of cases was based on disc evaluation, gonioscopy, perimetry and applanation tonometry. Systolic and diastolic blood pressure (SBP and DBP) was measured with a Mercury Sphygmomanometer. Mean ocular perfusion pressure (MOPP) = (mean arterial pressure − IOP), where mean arterial pressure (MAP) = DBP + (SBP − DBP), systolic perfusion pressure (SPP) = SBP – IOP and diastolic perfusion pressure (DPP) = DBP − IOP was calculated. RESULTS: DBP, OPP, SPP and DPP showed positive association with POAG. There is positive correlation between IOP and SBP, DBP and there is a negative correlation between IOP, OPP, SPP and DPP. Lower OPP was strongly associated with an increased risk for POAG, with a relative risk of 6.27 and the odds ratio of 0.075 for those with OPP less than 50 mmHg. Similarly, a low DPP less than 55 mmHg were also associated with increased risk for POAG with relative risk of 5.3 and the odds ratio of 0.020. CONCLUSION: Low MOPP and low DPP show strong association with increased prevalence of POAG and are independent risk factors for OAG.","author":[{"dropping-particle":"","family":"Gore","given":"Varshav","non-dropping-particle":"","parse-names":false,"suffix":""},{"dropping-particle":"","family":"Shah","given":"Parthav","non-dropping-particle":"","parse-names":false,"suffix":""},{"dropping-particle":"","family":"Kanhere","given":"Minal","non-dropping-particle":"","parse-names":false,"suffix":""},{"dropping-particle":"","family":"Gore","given":"Shalini","non-dropping-particle":"","parse-names":false,"suffix":""}],"container-title":"Oman Journal of Ophthalmology","id":"ITEM-1","issue":"3","issued":{"date-parts":[["2019"]]},"page":"150-155","title":"Relationship between optical perfusion pressure and systemic blood pressure on glaucoma: Case–control study","type":"article-journal","volume":"12"},"uris":["http://www.mendeley.com/documents/?uuid=ab5306b2-dd65-4ca6-93e1-621763612469"]}],"mendeley":{"formattedCitation":"(Gore &lt;i&gt;et al.&lt;/i&gt;, 2019)","plainTextFormattedCitation":"(Gore et al., 2019)","previouslyFormattedCitation":"(2)"},"properties":{"noteIndex":0},"schema":"https://github.com/citation-style-language/schema/raw/master/csl-citation.json"}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 xml:space="preserve">(Gore </w:t>
      </w:r>
      <w:r w:rsidRPr="009D4714">
        <w:rPr>
          <w:rFonts w:ascii="Arial" w:hAnsi="Arial" w:cs="Arial"/>
          <w:i/>
        </w:rPr>
        <w:t>et al.</w:t>
      </w:r>
      <w:r w:rsidRPr="009D4714">
        <w:rPr>
          <w:rFonts w:ascii="Arial" w:hAnsi="Arial" w:cs="Arial"/>
        </w:rPr>
        <w:t>, 2019)</w:t>
      </w:r>
      <w:r w:rsidRPr="009D4714">
        <w:rPr>
          <w:rFonts w:ascii="Arial" w:hAnsi="Arial" w:cs="Arial"/>
        </w:rPr>
        <w:fldChar w:fldCharType="end"/>
      </w:r>
      <w:r w:rsidRPr="009D4714">
        <w:rPr>
          <w:rFonts w:ascii="Arial" w:hAnsi="Arial" w:cs="Arial"/>
        </w:rPr>
        <w:t xml:space="preserve">. These differences can be explained by visit-to-visit variability of blood pressure, which usually observed more in systolic blood pressure than in diastolic blood pressure. For instance, the study conducted in Korea showed a significance difference in daytime systolic blood pressure variability among the normotensive, white coat hypertension, sustainable and masked hypertension groups (P = 0.075), whereas daytime diastolic blood pressure variability showed no significant difference across groups (P = 0.264) </w:t>
      </w:r>
      <w:r w:rsidRPr="009D4714">
        <w:rPr>
          <w:rFonts w:ascii="Arial" w:hAnsi="Arial" w:cs="Arial"/>
        </w:rPr>
        <w:fldChar w:fldCharType="begin" w:fldLock="1"/>
      </w:r>
      <w:r w:rsidRPr="009D4714">
        <w:rPr>
          <w:rFonts w:ascii="Arial" w:hAnsi="Arial" w:cs="Arial"/>
        </w:rPr>
        <w:instrText>ADDIN CSL_CITATION {"citationItems":[{"id":"ITEM-1","itemData":{"author":[{"dropping-particle":"","family":"Kang","given":"In Sook","non-dropping-particle":"","parse-names":false,"suffix":""},{"dropping-particle":"","family":"Pyun","given":"Wook Bum","non-dropping-particle":"","parse-names":false,"suffix":""},{"dropping-particle":"","family":"Shin","given":"Jinho","non-dropping-particle":"","parse-names":false,"suffix":""},{"dropping-particle":"","family":"Ihm","given":"Sang-hyun","non-dropping-particle":"","parse-names":false,"suffix":""},{"dropping-particle":"","family":"Kim","given":"Ju Han","non-dropping-particle":"","parse-names":false,"suffix":""},{"dropping-particle":"","family":"Park","given":"Sungha","non-dropping-particle":"","parse-names":false,"suffix":""},{"dropping-particle":"","family":"Kim","given":"Kwang-il","non-dropping-particle":"","parse-names":false,"suffix":""},{"dropping-particle":"","family":"Kim","given":"Woo-shik","non-dropping-particle":"","parse-names":false,"suffix":""},{"dropping-particle":"","family":"Kim","given":"Soon Gil","non-dropping-particle":"","parse-names":false,"suffix":""},{"dropping-particle":"","family":"Shin","given":"Gil Ja","non-dropping-particle":"","parse-names":false,"suffix":""}],"id":"ITEM-1","issued":{"date-parts":[["2016"]]},"page":"365-373","title":"Higher Blood Pressure Variability in White Coat Hypertension ; from the Korean Ambulatory Blood Pressure Monitoring Registry","type":"article-journal"},"uris":["http://www.mendeley.com/documents/?uuid=81ff8540-7920-4243-acad-417015dca97b"]}],"mendeley":{"formattedCitation":"(Kang &lt;i&gt;et al.&lt;/i&gt;, 2016)","plainTextFormattedCitation":"(Kang et al., 2016)","previouslyFormattedCitation":"(23)"},"properties":{"noteIndex":0},"schema":"https://github.com/citation-style-language/schema/raw/master/csl-citation.json"}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 xml:space="preserve">(Kang </w:t>
      </w:r>
      <w:r w:rsidRPr="009D4714">
        <w:rPr>
          <w:rFonts w:ascii="Arial" w:hAnsi="Arial" w:cs="Arial"/>
          <w:i/>
        </w:rPr>
        <w:t>et al.</w:t>
      </w:r>
      <w:r w:rsidRPr="009D4714">
        <w:rPr>
          <w:rFonts w:ascii="Arial" w:hAnsi="Arial" w:cs="Arial"/>
        </w:rPr>
        <w:t>, 2016)</w:t>
      </w:r>
      <w:r w:rsidRPr="009D4714">
        <w:rPr>
          <w:rFonts w:ascii="Arial" w:hAnsi="Arial" w:cs="Arial"/>
        </w:rPr>
        <w:fldChar w:fldCharType="end"/>
      </w:r>
      <w:r w:rsidRPr="009D4714">
        <w:rPr>
          <w:rFonts w:ascii="Arial" w:hAnsi="Arial" w:cs="Arial"/>
        </w:rPr>
        <w:t>.</w:t>
      </w:r>
    </w:p>
    <w:p w14:paraId="073BBBCF" w14:textId="77777777" w:rsidR="009D4714" w:rsidRPr="009D4714" w:rsidRDefault="009D4714" w:rsidP="009D4714">
      <w:pPr>
        <w:pStyle w:val="Body"/>
        <w:spacing w:after="0"/>
        <w:rPr>
          <w:rFonts w:ascii="Arial" w:hAnsi="Arial" w:cs="Arial"/>
        </w:rPr>
      </w:pPr>
      <w:r w:rsidRPr="009D4714">
        <w:rPr>
          <w:rFonts w:ascii="Arial" w:hAnsi="Arial" w:cs="Arial"/>
        </w:rPr>
        <w:t xml:space="preserve">Similarly, the MOPP in the NTG group was 71.5 mmHg, which was lower than that of the control group (83.8 mmHg) and the HTG group (79.7 mmHg). This suggests that development and progression of NTG may be associated with dysregulation ocular perfusion pressure. These findings differ from those reported in other studies. For example,  in </w:t>
      </w:r>
      <w:r w:rsidRPr="009D4714">
        <w:rPr>
          <w:rFonts w:ascii="Arial" w:hAnsi="Arial" w:cs="Arial"/>
        </w:rPr>
        <w:lastRenderedPageBreak/>
        <w:t xml:space="preserve">Colombian study, the mean MOPP in NTG group was 46.2 mmHg while in controls was  47.9 </w:t>
      </w:r>
      <w:r w:rsidRPr="009D4714">
        <w:rPr>
          <w:rFonts w:ascii="Arial" w:hAnsi="Arial" w:cs="Arial"/>
          <w:bCs/>
        </w:rPr>
        <w:t>mmHg</w:t>
      </w:r>
      <w:r w:rsidRPr="009D4714">
        <w:rPr>
          <w:rFonts w:ascii="Arial" w:hAnsi="Arial" w:cs="Arial"/>
        </w:rPr>
        <w:t xml:space="preserve"> in their cohort </w:t>
      </w:r>
      <w:r w:rsidRPr="009D4714">
        <w:rPr>
          <w:rFonts w:ascii="Arial" w:hAnsi="Arial" w:cs="Arial"/>
        </w:rPr>
        <w:fldChar w:fldCharType="begin" w:fldLock="1"/>
      </w:r>
      <w:r w:rsidRPr="009D4714">
        <w:rPr>
          <w:rFonts w:ascii="Arial" w:hAnsi="Arial" w:cs="Arial"/>
        </w:rPr>
        <w:instrText>ADDIN CSL_CITATION {"citationItems":[{"id":"ITEM-1","itemData":{"author":[{"dropping-particle":"","family":"Press","given":"Dove","non-dropping-particle":"","parse-names":false,"suffix":""}],"id":"ITEM-1","issued":{"date-parts":[["2018"]]},"page":"1511-1517","title":"Blood pressure , ocular perfusion pressure and open-angle glaucoma in patients with systemic hypertension","type":"article-journal"},"uris":["http://www.mendeley.com/documents/?uuid=c59daae1-b8ba-49aa-8059-62605030802e"]}],"mendeley":{"formattedCitation":"(Press, 2018)","plainTextFormattedCitation":"(Press, 2018)","previouslyFormattedCitation":"(16)"},"properties":{"noteIndex":0},"schema":"https://github.com/citation-style-language/schema/raw/master/csl-citation.json"}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(Press, 2018)</w:t>
      </w:r>
      <w:r w:rsidRPr="009D4714">
        <w:rPr>
          <w:rFonts w:ascii="Arial" w:hAnsi="Arial" w:cs="Arial"/>
        </w:rPr>
        <w:fldChar w:fldCharType="end"/>
      </w:r>
      <w:r w:rsidRPr="009D4714">
        <w:rPr>
          <w:rFonts w:ascii="Arial" w:hAnsi="Arial" w:cs="Arial"/>
        </w:rPr>
        <w:t xml:space="preserve">. In a study from Bangladesh, the NTG group had a MOPP of 43.3 mmHg, while the control group was </w:t>
      </w:r>
      <w:r w:rsidRPr="009D4714">
        <w:rPr>
          <w:rFonts w:ascii="Arial" w:hAnsi="Arial" w:cs="Arial"/>
          <w:bCs/>
        </w:rPr>
        <w:t>50.5 mmHg</w:t>
      </w:r>
      <w:r w:rsidRPr="009D4714">
        <w:rPr>
          <w:rFonts w:ascii="Arial" w:hAnsi="Arial" w:cs="Arial"/>
        </w:rPr>
        <w:t xml:space="preserve"> </w:t>
      </w:r>
      <w:r w:rsidRPr="009D4714">
        <w:rPr>
          <w:rFonts w:ascii="Arial" w:hAnsi="Arial" w:cs="Arial"/>
        </w:rPr>
        <w:fldChar w:fldCharType="begin" w:fldLock="1"/>
      </w:r>
      <w:r w:rsidRPr="009D4714">
        <w:rPr>
          <w:rFonts w:ascii="Arial" w:hAnsi="Arial" w:cs="Arial"/>
        </w:rPr>
        <w:instrText>ADDIN CSL_CITATION {"citationItems":[{"id":"ITEM-1","itemData":{"DOI":"10.3329/bsmmuj.v11i4.38618","ISSN":"2074-2908","abstract":"Primary open angle glaucoma is the most common form of glaucoma and it remains asymptomatic until the late stage of the disease. The purpose of this study is to compare the mean ocular perfusion pressure with the primary open angle glaucoma. A total of 60 study subjects were divided into two following groups: a) newly diagnosed patients with primary open angle glaucoma (case) and b) age and sex-matched healthy volunteers (control). The intraocular pressure and blood pressure were measured 3 hourly from 8:00 am to 11:00 pm. The mean ocular perfusion pressure of the right eyes in untreated primary open angle glaucoma was 39.9 ± 7.5 mm Hg whereas it was 47.7 ± 7.7 mm Hg in the control. The odds ratio was 6.6 (95% CI, 2.1-20.5; p=0.002). The right eyes of untreated primary open angle glaucoma had 6.6 times more risk compared to the control group. The mean ocular perfusion pressure of left eyes in untreated primary open angle glaucoma was 39.9 ± 7.5 mm Hg and 48.6 ± 4.0 mm Hg in the control group. The odds ratio was 5.7 (95% CI, 1.8-17.5; p=0.004). The left eyes of untreated primary open angle glaucoma had 5.7 times more risk compared to control group. The findings revealed the evidence of vascular mechanism in glaucoma pathogenesis: Reduction of mean ocular perfusion pressure ≤48 mm Hg, may lead to daily repetitive ischemic insult to the optic nerve.","author":[{"dropping-particle":"","family":"Sen","given":"Pallab Kumar","non-dropping-particle":"","parse-names":false,"suffix":""},{"dropping-particle":"","family":"Khan","given":"Nazneen","non-dropping-particle":"","parse-names":false,"suffix":""},{"dropping-particle":"","family":"Islam","given":"Md. Shafiqul","non-dropping-particle":"","parse-names":false,"suffix":""}],"container-title":"Bangabandhu Sheikh Mujib Medical University Journal","id":"ITEM-1","issue":"4","issued":{"date-parts":[["2018"]]},"page":"286-290","title":"Effect of mean ocular perfusion pressure on primary open angle glaucoma","type":"article-journal","volume":"11"},"uris":["http://www.mendeley.com/documents/?uuid=ea89bd07-16a2-4ced-83aa-ee94d9c4613d"]}],"mendeley":{"formattedCitation":"(Sen, Khan and Islam, 2018)","plainTextFormattedCitation":"(Sen, Khan and Islam, 2018)","previouslyFormattedCitation":"(7)"},"properties":{"noteIndex":0},"schema":"https://github.com/citation-style-language/schema/raw/master/csl-citation.json"}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(Sen, Khan and Islam, 2018)</w:t>
      </w:r>
      <w:r w:rsidRPr="009D4714">
        <w:rPr>
          <w:rFonts w:ascii="Arial" w:hAnsi="Arial" w:cs="Arial"/>
        </w:rPr>
        <w:fldChar w:fldCharType="end"/>
      </w:r>
      <w:r w:rsidRPr="009D4714">
        <w:rPr>
          <w:rFonts w:ascii="Arial" w:hAnsi="Arial" w:cs="Arial"/>
        </w:rPr>
        <w:t xml:space="preserve">. Similarly in Korean study, the NTG group the MOPP was 47.36 mmHg while the control group was 53.80 mmHg </w:t>
      </w:r>
      <w:r w:rsidRPr="009D4714">
        <w:rPr>
          <w:rFonts w:ascii="Arial" w:hAnsi="Arial" w:cs="Arial"/>
        </w:rPr>
        <w:fldChar w:fldCharType="begin" w:fldLock="1"/>
      </w:r>
      <w:r w:rsidRPr="009D4714">
        <w:rPr>
          <w:rFonts w:ascii="Arial" w:hAnsi="Arial" w:cs="Arial"/>
        </w:rPr>
        <w:instrText>ADDIN CSL_CITATION {"citationItems":[{"id":"ITEM-1","itemData":{"ISBN":"1111111111","author":[{"dropping-particle":"","family":"Baek","given":"Sung Uk","non-dropping-particle":"","parse-names":false,"suffix":""},{"dropping-particle":"","family":"Kim","given":"Young Kook","non-dropping-particle":"","parse-names":false,"suffix":""},{"dropping-particle":"","family":"Ha","given":"Ahnul","non-dropping-particle":"","parse-names":false,"suffix":""},{"dropping-particle":"","family":"Kim","given":"Yong Woo","non-dropping-particle":"","parse-names":false,"suffix":""},{"dropping-particle":"","family":"Lee","given":"Jinho","non-dropping-particle":"","parse-names":false,"suffix":""},{"dropping-particle":"","family":"Kim","given":"Soo","non-dropping-particle":"","parse-names":false,"suffix":""},{"dropping-particle":"","family":"Jeoung","given":"Jin Wook","non-dropping-particle":"","parse-names":false,"suffix":""},{"dropping-particle":"","family":"Ho","given":"Ki","non-dropping-particle":"","parse-names":false,"suffix":""},{"dropping-particle":"","family":"Id","given":"Park","non-dropping-particle":"","parse-names":false,"suffix":""}],"id":"ITEM-1","issued":{"date-parts":[["2019"]]},"page":"1-15","title":"Diurnal change of retinal vessel density and mean ocular perfusion pressure in patients with open-angle glaucoma","type":"article-journal"},"uris":["http://www.mendeley.com/documents/?uuid=c1c9db89-6775-444e-9d72-dc734c6a2326"]}],"mendeley":{"formattedCitation":"(Baek &lt;i&gt;et al.&lt;/i&gt;, 2019)","plainTextFormattedCitation":"(Baek et al., 2019)","previouslyFormattedCitation":"(17)"},"properties":{"noteIndex":0},"schema":"https://github.com/citation-style-language/schema/raw/master/csl-citation.json"}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 xml:space="preserve">(Baek </w:t>
      </w:r>
      <w:r w:rsidRPr="009D4714">
        <w:rPr>
          <w:rFonts w:ascii="Arial" w:hAnsi="Arial" w:cs="Arial"/>
          <w:i/>
        </w:rPr>
        <w:t>et al.</w:t>
      </w:r>
      <w:r w:rsidRPr="009D4714">
        <w:rPr>
          <w:rFonts w:ascii="Arial" w:hAnsi="Arial" w:cs="Arial"/>
        </w:rPr>
        <w:t>, 2019)</w:t>
      </w:r>
      <w:r w:rsidRPr="009D4714">
        <w:rPr>
          <w:rFonts w:ascii="Arial" w:hAnsi="Arial" w:cs="Arial"/>
        </w:rPr>
        <w:fldChar w:fldCharType="end"/>
      </w:r>
      <w:r w:rsidRPr="009D4714">
        <w:rPr>
          <w:rFonts w:ascii="Arial" w:hAnsi="Arial" w:cs="Arial"/>
        </w:rPr>
        <w:t xml:space="preserve">. In study done in Mumbai, India, the HTG group had a MOPP of 33.80 mmHg while the control group, the MOPP was 47.13 mmHg </w:t>
      </w:r>
      <w:r w:rsidRPr="009D4714">
        <w:rPr>
          <w:rFonts w:ascii="Arial" w:hAnsi="Arial" w:cs="Arial"/>
        </w:rPr>
        <w:fldChar w:fldCharType="begin" w:fldLock="1"/>
      </w:r>
      <w:r w:rsidRPr="009D4714">
        <w:rPr>
          <w:rFonts w:ascii="Arial" w:hAnsi="Arial" w:cs="Arial"/>
        </w:rPr>
        <w:instrText>ADDIN CSL_CITATION {"citationItems":[{"id":"ITEM-1","itemData":{"DOI":"10.4103/ojo.OJO_112_2018","ISSN":"09747842","abstract":"AIM: To investigate the relationship between blood pressure (BP), ocular perfusion pressure (OPP), intraocular pressure (IOP) and open angle glaucoma (OAG) in Primary Open Angle Glaucoma (POAG) patients and normal population. DESIGN: Cross-sectional observation study. MATERIALS AND METHODS: Hospital-based, case control cross-sectional study conducted on 150 patients, of which 75 people were included in the control group and 75 people in the glaucoma group. The diagnosis of cases was based on disc evaluation, gonioscopy, perimetry and applanation tonometry. Systolic and diastolic blood pressure (SBP and DBP) was measured with a Mercury Sphygmomanometer. Mean ocular perfusion pressure (MOPP) = (mean arterial pressure − IOP), where mean arterial pressure (MAP) = DBP + (SBP − DBP), systolic perfusion pressure (SPP) = SBP – IOP and diastolic perfusion pressure (DPP) = DBP − IOP was calculated. RESULTS: DBP, OPP, SPP and DPP showed positive association with POAG. There is positive correlation between IOP and SBP, DBP and there is a negative correlation between IOP, OPP, SPP and DPP. Lower OPP was strongly associated with an increased risk for POAG, with a relative risk of 6.27 and the odds ratio of 0.075 for those with OPP less than 50 mmHg. Similarly, a low DPP less than 55 mmHg were also associated with increased risk for POAG with relative risk of 5.3 and the odds ratio of 0.020. CONCLUSION: Low MOPP and low DPP show strong association with increased prevalence of POAG and are independent risk factors for OAG.","author":[{"dropping-particle":"","family":"Gore","given":"Varshav","non-dropping-particle":"","parse-names":false,"suffix":""},{"dropping-particle":"","family":"Shah","given":"Parthav","non-dropping-particle":"","parse-names":false,"suffix":""},{"dropping-particle":"","family":"Kanhere","given":"Minal","non-dropping-particle":"","parse-names":false,"suffix":""},{"dropping-particle":"","family":"Gore","given":"Shalini","non-dropping-particle":"","parse-names":false,"suffix":""}],"container-title":"Oman Journal of Ophthalmology","id":"ITEM-1","issue":"3","issued":{"date-parts":[["2019"]]},"page":"150-155","title":"Relationship between optical perfusion pressure and systemic blood pressure on glaucoma: Case–control study","type":"article-journal","volume":"12"},"uris":["http://www.mendeley.com/documents/?uuid=ab5306b2-dd65-4ca6-93e1-621763612469"]}],"mendeley":{"formattedCitation":"(Gore &lt;i&gt;et al.&lt;/i&gt;, 2019)","plainTextFormattedCitation":"(Gore et al., 2019)","previouslyFormattedCitation":"(2)"},"properties":{"noteIndex":0},"schema":"https://github.com/citation-style-language/schema/raw/master/csl-citation.json"}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 xml:space="preserve">(Gore </w:t>
      </w:r>
      <w:r w:rsidRPr="009D4714">
        <w:rPr>
          <w:rFonts w:ascii="Arial" w:hAnsi="Arial" w:cs="Arial"/>
          <w:i/>
        </w:rPr>
        <w:t>et al.</w:t>
      </w:r>
      <w:r w:rsidRPr="009D4714">
        <w:rPr>
          <w:rFonts w:ascii="Arial" w:hAnsi="Arial" w:cs="Arial"/>
        </w:rPr>
        <w:t>, 2019)</w:t>
      </w:r>
      <w:r w:rsidRPr="009D4714">
        <w:rPr>
          <w:rFonts w:ascii="Arial" w:hAnsi="Arial" w:cs="Arial"/>
        </w:rPr>
        <w:fldChar w:fldCharType="end"/>
      </w:r>
      <w:r w:rsidRPr="009D4714">
        <w:rPr>
          <w:rFonts w:ascii="Arial" w:hAnsi="Arial" w:cs="Arial"/>
        </w:rPr>
        <w:t xml:space="preserve">. These differences may be explained by variations in systemic blood pressure among study populations. For example the distribution of mean arterial pressure (MAP) among adults in study done in Morogoro, Tanzania was 98.07 mmHg which is higher than the MAP reported in a Korea study (90.67 mmHg) </w:t>
      </w:r>
      <w:r w:rsidRPr="009D4714">
        <w:rPr>
          <w:rFonts w:ascii="Arial" w:hAnsi="Arial" w:cs="Arial"/>
        </w:rPr>
        <w:fldChar w:fldCharType="begin" w:fldLock="1"/>
      </w:r>
      <w:r w:rsidRPr="009D4714">
        <w:rPr>
          <w:rFonts w:ascii="Arial" w:hAnsi="Arial" w:cs="Arial"/>
        </w:rPr>
        <w:instrText>ADDIN CSL_CITATION {"citationItems":[{"id":"ITEM-1","itemData":{"author":[{"dropping-particle":"","family":"Kim","given":"Hyeon Chang","non-dropping-particle":"","parse-names":false,"suffix":""},{"dropping-particle":"","family":"Cho","given":"Myeong-chan","non-dropping-particle":"","parse-names":false,"suffix":""}],"id":"ITEM-1","issued":{"date-parts":[["2018"]]},"page":"2016-2019","publisher":"Clinical Hypertension","title":"Korea hypertension fact sheet 2018","type":"article-journal"},"uris":["http://www.mendeley.com/documents/?uuid=5a31e829-9c71-47a5-bb18-1808765305a9"]}],"mendeley":{"formattedCitation":"(Kim and Cho, 2018)","plainTextFormattedCitation":"(Kim and Cho, 2018)","previouslyFormattedCitation":"(24)"},"properties":{"noteIndex":0},"schema":"https://github.com/citation-style-language/schema/raw/master/csl-citation.json"}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(Kim and Cho, 2018)</w:t>
      </w:r>
      <w:r w:rsidRPr="009D4714">
        <w:rPr>
          <w:rFonts w:ascii="Arial" w:hAnsi="Arial" w:cs="Arial"/>
        </w:rPr>
        <w:fldChar w:fldCharType="end"/>
      </w:r>
      <w:r w:rsidRPr="009D4714">
        <w:rPr>
          <w:rFonts w:ascii="Arial" w:hAnsi="Arial" w:cs="Arial"/>
        </w:rPr>
        <w:t>.</w:t>
      </w:r>
    </w:p>
    <w:p w14:paraId="19A0A9B3" w14:textId="77777777" w:rsidR="009D4714" w:rsidRPr="009D4714" w:rsidRDefault="009D4714" w:rsidP="009D4714">
      <w:pPr>
        <w:pStyle w:val="Body"/>
        <w:spacing w:after="0"/>
        <w:rPr>
          <w:rFonts w:ascii="Arial" w:hAnsi="Arial" w:cs="Arial"/>
        </w:rPr>
      </w:pPr>
      <w:r w:rsidRPr="009D4714">
        <w:rPr>
          <w:rFonts w:ascii="Arial" w:hAnsi="Arial" w:cs="Arial"/>
        </w:rPr>
        <w:t xml:space="preserve">Our study found that mean IOP in the NTG group was 20.0 mmHg, which was slightly elevated compared to control group (14.1 mmHg), while the HTG group had a mean IOP of 26 mmHg. These suggest that even mild elevated IOP may be the additional factor to vascular dysfunction to cause the optic nerve damage in NTG group. In contrast to HTG where the elevated IOP more than 21mmHg is primarily responsible for the pathophysiology of HTG. The trend of higher mean IOP in NTG patients compared to controls  was consistent with a study from Bangladesh, which reported mean IOP of 18.7 mmHg in NTG and 12.3 mmHg in controls </w:t>
      </w:r>
      <w:r w:rsidRPr="009D4714">
        <w:rPr>
          <w:rFonts w:ascii="Arial" w:hAnsi="Arial" w:cs="Arial"/>
        </w:rPr>
        <w:fldChar w:fldCharType="begin" w:fldLock="1"/>
      </w:r>
      <w:r w:rsidRPr="009D4714">
        <w:rPr>
          <w:rFonts w:ascii="Arial" w:hAnsi="Arial" w:cs="Arial"/>
        </w:rPr>
        <w:instrText>ADDIN CSL_CITATION {"citationItems":[{"id":"ITEM-1","itemData":{"DOI":"10.3329/bsmmuj.v11i4.38618","ISSN":"2074-2908","abstract":"Primary open angle glaucoma is the most common form of glaucoma and it remains asymptomatic until the late stage of the disease. The purpose of this study is to compare the mean ocular perfusion pressure with the primary open angle glaucoma. A total of 60 study subjects were divided into two following groups: a) newly diagnosed patients with primary open angle glaucoma (case) and b) age and sex-matched healthy volunteers (control). The intraocular pressure and blood pressure were measured 3 hourly from 8:00 am to 11:00 pm. The mean ocular perfusion pressure of the right eyes in untreated primary open angle glaucoma was 39.9 ± 7.5 mm Hg whereas it was 47.7 ± 7.7 mm Hg in the control. The odds ratio was 6.6 (95% CI, 2.1-20.5; p=0.002). The right eyes of untreated primary open angle glaucoma had 6.6 times more risk compared to the control group. The mean ocular perfusion pressure of left eyes in untreated primary open angle glaucoma was 39.9 ± 7.5 mm Hg and 48.6 ± 4.0 mm Hg in the control group. The odds ratio was 5.7 (95% CI, 1.8-17.5; p=0.004). The left eyes of untreated primary open angle glaucoma had 5.7 times more risk compared to control group. The findings revealed the evidence of vascular mechanism in glaucoma pathogenesis: Reduction of mean ocular perfusion pressure ≤48 mm Hg, may lead to daily repetitive ischemic insult to the optic nerve.","author":[{"dropping-particle":"","family":"Sen","given":"Pallab Kumar","non-dropping-particle":"","parse-names":false,"suffix":""},{"dropping-particle":"","family":"Khan","given":"Nazneen","non-dropping-particle":"","parse-names":false,"suffix":""},{"dropping-particle":"","family":"Islam","given":"Md. Shafiqul","non-dropping-particle":"","parse-names":false,"suffix":""}],"container-title":"Bangabandhu Sheikh Mujib Medical University Journal","id":"ITEM-1","issue":"4","issued":{"date-parts":[["2018"]]},"page":"286-290","title":"Effect of mean ocular perfusion pressure on primary open angle glaucoma","type":"article-journal","volume":"11"},"uris":["http://www.mendeley.com/documents/?uuid=ea89bd07-16a2-4ced-83aa-ee94d9c4613d"]}],"mendeley":{"formattedCitation":"(Sen, Khan and Islam, 2018)","plainTextFormattedCitation":"(Sen, Khan and Islam, 2018)","previouslyFormattedCitation":"(7)"},"properties":{"noteIndex":0},"schema":"https://github.com/citation-style-language/schema/raw/master/csl-citation.json"}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(Sen, Khan and Islam, 2018)</w:t>
      </w:r>
      <w:r w:rsidRPr="009D4714">
        <w:rPr>
          <w:rFonts w:ascii="Arial" w:hAnsi="Arial" w:cs="Arial"/>
        </w:rPr>
        <w:fldChar w:fldCharType="end"/>
      </w:r>
      <w:r w:rsidRPr="009D4714">
        <w:rPr>
          <w:rFonts w:ascii="Arial" w:hAnsi="Arial" w:cs="Arial"/>
        </w:rPr>
        <w:t xml:space="preserve">. A similar trend was observed in study conducted in Colombia, with NTG patients having a mean IOP 15.3 mmHg compared to </w:t>
      </w:r>
      <w:r w:rsidRPr="009D4714">
        <w:rPr>
          <w:rFonts w:ascii="Arial" w:hAnsi="Arial" w:cs="Arial"/>
          <w:bCs/>
        </w:rPr>
        <w:t>14.3 mmHg in controls</w:t>
      </w:r>
      <w:r w:rsidRPr="009D4714">
        <w:rPr>
          <w:rFonts w:ascii="Arial" w:hAnsi="Arial" w:cs="Arial"/>
          <w:b/>
          <w:bCs/>
        </w:rPr>
        <w:t xml:space="preserve"> </w:t>
      </w:r>
      <w:r w:rsidRPr="009D4714">
        <w:rPr>
          <w:rFonts w:ascii="Arial" w:hAnsi="Arial" w:cs="Arial"/>
        </w:rPr>
        <w:fldChar w:fldCharType="begin" w:fldLock="1"/>
      </w:r>
      <w:r w:rsidRPr="009D4714">
        <w:rPr>
          <w:rFonts w:ascii="Arial" w:hAnsi="Arial" w:cs="Arial"/>
        </w:rPr>
        <w:instrText>ADDIN CSL_CITATION {"citationItems":[{"id":"ITEM-1","itemData":{"author":[{"dropping-particle":"","family":"Press","given":"Dove","non-dropping-particle":"","parse-names":false,"suffix":""}],"id":"ITEM-1","issued":{"date-parts":[["2018"]]},"page":"1511-1517","title":"Blood pressure , ocular perfusion pressure and open-angle glaucoma in patients with systemic hypertension","type":"article-journal"},"uris":["http://www.mendeley.com/documents/?uuid=c59daae1-b8ba-49aa-8059-62605030802e"]}],"mendeley":{"formattedCitation":"(Press, 2018)","plainTextFormattedCitation":"(Press, 2018)","previouslyFormattedCitation":"(16)"},"properties":{"noteIndex":0},"schema":"https://github.com/citation-style-language/schema/raw/master/csl-citation.json"}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(Press, 2018)</w:t>
      </w:r>
      <w:r w:rsidRPr="009D4714">
        <w:rPr>
          <w:rFonts w:ascii="Arial" w:hAnsi="Arial" w:cs="Arial"/>
        </w:rPr>
        <w:fldChar w:fldCharType="end"/>
      </w:r>
      <w:r w:rsidRPr="009D4714">
        <w:rPr>
          <w:rFonts w:ascii="Arial" w:hAnsi="Arial" w:cs="Arial"/>
        </w:rPr>
        <w:t xml:space="preserve">. However, a study </w:t>
      </w:r>
      <w:proofErr w:type="spellStart"/>
      <w:r w:rsidRPr="009D4714">
        <w:rPr>
          <w:rFonts w:ascii="Arial" w:hAnsi="Arial" w:cs="Arial"/>
        </w:rPr>
        <w:t>study</w:t>
      </w:r>
      <w:proofErr w:type="spellEnd"/>
      <w:r w:rsidRPr="009D4714">
        <w:rPr>
          <w:rFonts w:ascii="Arial" w:hAnsi="Arial" w:cs="Arial"/>
        </w:rPr>
        <w:t xml:space="preserve"> done in Korea, showed no significant difference, with the mean IOP values of 15.11 mmHg in NTG and 15.0 mmHg in controls </w:t>
      </w:r>
      <w:r w:rsidRPr="009D4714">
        <w:rPr>
          <w:rFonts w:ascii="Arial" w:hAnsi="Arial" w:cs="Arial"/>
        </w:rPr>
        <w:fldChar w:fldCharType="begin" w:fldLock="1"/>
      </w:r>
      <w:r w:rsidRPr="009D4714">
        <w:rPr>
          <w:rFonts w:ascii="Arial" w:hAnsi="Arial" w:cs="Arial"/>
        </w:rPr>
        <w:instrText>ADDIN CSL_CITATION {"citationItems":[{"id":"ITEM-1","itemData":{"ISBN":"1111111111","author":[{"dropping-particle":"","family":"Baek","given":"Sung Uk","non-dropping-particle":"","parse-names":false,"suffix":""},{"dropping-particle":"","family":"Kim","given":"Young Kook","non-dropping-particle":"","parse-names":false,"suffix":""},{"dropping-particle":"","family":"Ha","given":"Ahnul","non-dropping-particle":"","parse-names":false,"suffix":""},{"dropping-particle":"","family":"Kim","given":"Yong Woo","non-dropping-particle":"","parse-names":false,"suffix":""},{"dropping-particle":"","family":"Lee","given":"Jinho","non-dropping-particle":"","parse-names":false,"suffix":""},{"dropping-particle":"","family":"Kim","given":"Soo","non-dropping-particle":"","parse-names":false,"suffix":""},{"dropping-particle":"","family":"Jeoung","given":"Jin Wook","non-dropping-particle":"","parse-names":false,"suffix":""},{"dropping-particle":"","family":"Ho","given":"Ki","non-dropping-particle":"","parse-names":false,"suffix":""},{"dropping-particle":"","family":"Id","given":"Park","non-dropping-particle":"","parse-names":false,"suffix":""}],"id":"ITEM-1","issued":{"date-parts":[["2019"]]},"page":"1-15","title":"Diurnal change of retinal vessel density and mean ocular perfusion pressure in patients with open-angle glaucoma","type":"article-journal"},"uris":["http://www.mendeley.com/documents/?uuid=c1c9db89-6775-444e-9d72-dc734c6a2326"]}],"mendeley":{"formattedCitation":"(Baek &lt;i&gt;et al.&lt;/i&gt;, 2019)","plainTextFormattedCitation":"(Baek et al., 2019)","previouslyFormattedCitation":"(17)"},"properties":{"noteIndex":0},"schema":"https://github.com/citation-style-language/schema/raw/master/csl-citation.json"}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 xml:space="preserve">(Baek </w:t>
      </w:r>
      <w:r w:rsidRPr="009D4714">
        <w:rPr>
          <w:rFonts w:ascii="Arial" w:hAnsi="Arial" w:cs="Arial"/>
          <w:i/>
        </w:rPr>
        <w:t>et al.</w:t>
      </w:r>
      <w:r w:rsidRPr="009D4714">
        <w:rPr>
          <w:rFonts w:ascii="Arial" w:hAnsi="Arial" w:cs="Arial"/>
        </w:rPr>
        <w:t>, 2019)</w:t>
      </w:r>
      <w:r w:rsidRPr="009D4714">
        <w:rPr>
          <w:rFonts w:ascii="Arial" w:hAnsi="Arial" w:cs="Arial"/>
        </w:rPr>
        <w:fldChar w:fldCharType="end"/>
      </w:r>
      <w:r w:rsidRPr="009D4714">
        <w:rPr>
          <w:rFonts w:ascii="Arial" w:hAnsi="Arial" w:cs="Arial"/>
        </w:rPr>
        <w:t xml:space="preserve">. </w:t>
      </w:r>
    </w:p>
    <w:p w14:paraId="439B0607" w14:textId="77777777" w:rsidR="009D4714" w:rsidRPr="009D4714" w:rsidRDefault="009D4714" w:rsidP="009D4714">
      <w:pPr>
        <w:pStyle w:val="Body"/>
        <w:spacing w:after="0"/>
        <w:rPr>
          <w:rFonts w:ascii="Arial" w:hAnsi="Arial" w:cs="Arial"/>
        </w:rPr>
      </w:pPr>
      <w:r w:rsidRPr="009D4714">
        <w:rPr>
          <w:rFonts w:ascii="Arial" w:hAnsi="Arial" w:cs="Arial"/>
        </w:rPr>
        <w:t>Our study found that the mean ocular perfusion pressures (MOPP ≤ 53 mmHg) (</w:t>
      </w:r>
      <w:r w:rsidRPr="009D4714">
        <w:rPr>
          <w:rFonts w:ascii="Arial" w:hAnsi="Arial" w:cs="Arial"/>
          <w:b/>
          <w:bCs/>
          <w:i/>
          <w:iCs/>
        </w:rPr>
        <w:t>x</w:t>
      </w:r>
      <w:r w:rsidRPr="009D4714">
        <w:rPr>
          <w:rFonts w:ascii="Arial" w:hAnsi="Arial" w:cs="Arial"/>
          <w:b/>
          <w:bCs/>
          <w:i/>
          <w:iCs/>
          <w:vertAlign w:val="superscript"/>
        </w:rPr>
        <w:t>2</w:t>
      </w:r>
      <w:r w:rsidRPr="009D4714">
        <w:rPr>
          <w:rFonts w:ascii="Arial" w:hAnsi="Arial" w:cs="Arial"/>
          <w:vertAlign w:val="superscript"/>
        </w:rPr>
        <w:t xml:space="preserve"> </w:t>
      </w:r>
      <w:r w:rsidRPr="009D4714">
        <w:rPr>
          <w:rFonts w:ascii="Arial" w:hAnsi="Arial" w:cs="Arial"/>
        </w:rPr>
        <w:t>=10.83, p=0.001), diastolic perfusion pressures (DPP ≤ 56 mmHg) (</w:t>
      </w:r>
      <w:r w:rsidRPr="009D4714">
        <w:rPr>
          <w:rFonts w:ascii="Arial" w:hAnsi="Arial" w:cs="Arial"/>
          <w:b/>
          <w:bCs/>
          <w:i/>
          <w:iCs/>
        </w:rPr>
        <w:t>x</w:t>
      </w:r>
      <w:r w:rsidRPr="009D4714">
        <w:rPr>
          <w:rFonts w:ascii="Arial" w:hAnsi="Arial" w:cs="Arial"/>
          <w:b/>
          <w:bCs/>
          <w:i/>
          <w:iCs/>
          <w:vertAlign w:val="superscript"/>
        </w:rPr>
        <w:t>2</w:t>
      </w:r>
      <w:r w:rsidRPr="009D4714">
        <w:rPr>
          <w:rFonts w:ascii="Arial" w:hAnsi="Arial" w:cs="Arial"/>
          <w:vertAlign w:val="superscript"/>
        </w:rPr>
        <w:t xml:space="preserve"> </w:t>
      </w:r>
      <w:r w:rsidRPr="009D4714">
        <w:rPr>
          <w:rFonts w:ascii="Arial" w:hAnsi="Arial" w:cs="Arial"/>
        </w:rPr>
        <w:t>=10.83, p&lt;0.001), and systolic perfusion pressures (SPP ≤ 101 mmHg) (</w:t>
      </w:r>
      <w:r w:rsidRPr="009D4714">
        <w:rPr>
          <w:rFonts w:ascii="Arial" w:hAnsi="Arial" w:cs="Arial"/>
          <w:b/>
          <w:bCs/>
          <w:i/>
          <w:iCs/>
        </w:rPr>
        <w:t>x</w:t>
      </w:r>
      <w:r w:rsidRPr="009D4714">
        <w:rPr>
          <w:rFonts w:ascii="Arial" w:hAnsi="Arial" w:cs="Arial"/>
          <w:b/>
          <w:bCs/>
          <w:i/>
          <w:iCs/>
          <w:vertAlign w:val="superscript"/>
        </w:rPr>
        <w:t>2</w:t>
      </w:r>
      <w:r w:rsidRPr="009D4714">
        <w:rPr>
          <w:rFonts w:ascii="Arial" w:hAnsi="Arial" w:cs="Arial"/>
          <w:vertAlign w:val="superscript"/>
        </w:rPr>
        <w:t xml:space="preserve"> </w:t>
      </w:r>
      <w:r w:rsidRPr="009D4714">
        <w:rPr>
          <w:rFonts w:ascii="Arial" w:hAnsi="Arial" w:cs="Arial"/>
        </w:rPr>
        <w:t xml:space="preserve">=3.15, p=0.020) of patients with normal-tension glaucoma (NTG) were significantly lower than those of the control group. However, after adjusting for other factors, only DPP (AOR=1.58, p=0.019) remained statistically significant. The high vascular resistance and the crucial role autoregulation plays during the diastolic phase may help to explain this. Since the optic nerve head is particularly vulnerable during this phase, the diastolic perfusion pressure (DPP) is a more accurate and significant indicator of sustained ocular perfusion </w:t>
      </w:r>
    </w:p>
    <w:p w14:paraId="2D4317C1" w14:textId="77777777" w:rsidR="009D4714" w:rsidRPr="009D4714" w:rsidRDefault="009D4714" w:rsidP="009D4714">
      <w:pPr>
        <w:pStyle w:val="Body"/>
        <w:spacing w:after="0"/>
        <w:rPr>
          <w:rFonts w:ascii="Arial" w:hAnsi="Arial" w:cs="Arial"/>
        </w:rPr>
      </w:pPr>
      <w:r w:rsidRPr="009D4714">
        <w:rPr>
          <w:rFonts w:ascii="Arial" w:hAnsi="Arial" w:cs="Arial"/>
        </w:rPr>
        <w:t xml:space="preserve">Our DPP results were consistent with in Singapore Malay Eye Study where DPP ≤ 56 mmHg was independent risk factor associated with NTG with an odds ratio (OR) of 1.75 </w:t>
      </w:r>
      <w:r w:rsidRPr="009D4714">
        <w:rPr>
          <w:rFonts w:ascii="Arial" w:hAnsi="Arial" w:cs="Arial"/>
        </w:rPr>
        <w:fldChar w:fldCharType="begin" w:fldLock="1"/>
      </w:r>
      <w:r w:rsidRPr="009D4714">
        <w:rPr>
          <w:rFonts w:ascii="Arial" w:hAnsi="Arial" w:cs="Arial"/>
        </w:rPr>
        <w:instrText>ADDIN CSL_CITATION {"citationItems":[{"id":"ITEM-1","itemData":{"DOI":"10.1167/iovs.09-4867","ISSN":"01460404","PMID":"20164462","abstract":"Purpose. To describe the distribution of ocular perfusion pressure and its relationship with open-angle glaucoma (OAG) in a Malay population. Methods. This was a population-based, cross-sectional study comprising 3280 (78.7% response) ethnic Malays. Intraocular pressure (IOP) was measured with Goldmann applanation tonometry. Systolic and diastolic blood pressure (SBP and DBP) was measured with a digital automatic blood pressure monitor. Mean ocular perfusion pressure (MOPP) = 2/3(mean arterial pressure - IOP), where mean arterial pressure (MAP) = DBP + 1/3(SBP - DBP), systolic perfusion pressure (SPP) = SBP - IOP, and diastolic perfusion pressure (DPP) = DBP - IOP, was calculated. The diagnosis of OAG was based on International Society for Geographical and Epidemiologic Ophthalmology criteria. Results. A total of 3261 persons (mean age, 58.7 ±11 years, including 131 [4.0%] cases of OAG) were available for analyses. Among persons without glaucoma, the mean ± SD IOP, MOPP, SPP, and DPP were 15.3 ± 35, 52.8 ± 93, 1315 ± 23.3, and 64.5 ± 11.3 mm Hg, respectively. Among persons with OAG, the corresponding values were 16.8 ± 5.9, 51.6 ± 10.2, 134.5 ± 24.6, and 61.4 ± 11.5 mm Hg, respectively. In multiple logistic regression models adjusting for IOP, age, sex, and IOP- and BP-lowering treatments, OAG risk was significantly higher in participants with DBP, MOPP, or DPP in the lowest quartile (Q1) than in participants in the highest quartile (Q4) (Q1 vs. Q4: odds ratio [OR], 1.71 [95% confidence interval (CI), 1.04-2.96] for DBP; OR, 1.73 [95% CI, 1.05-3.15] for MOPP; OR, 1.75 [95% CI, 1.02-3.01] for DPP). Conclusions. Low DBP, low MOPP, and low DPP are independent risk factors for OAG in ethnic Malays, providing further evidence of a vascular mechanism in glaucoma pathogenesis across different populations. © Association for Research in Vision and Ophthalmology.","author":[{"dropping-particle":"","family":"Zheng","given":"Yingfeng","non-dropping-particle":"","parse-names":false,"suffix":""},{"dropping-particle":"","family":"Wong","given":"Tien Y.","non-dropping-particle":"","parse-names":false,"suffix":""},{"dropping-particle":"","family":"Mitchell","given":"Paul","non-dropping-particle":"","parse-names":false,"suffix":""},{"dropping-particle":"","family":"Friedman","given":"David S.","non-dropping-particle":"","parse-names":false,"suffix":""},{"dropping-particle":"","family":"He","given":"Mingguang","non-dropping-particle":"","parse-names":false,"suffix":""},{"dropping-particle":"","family":"Aung","given":"Tin","non-dropping-particle":"","parse-names":false,"suffix":""}],"container-title":"Investigative Ophthalmology and Visual Science","id":"ITEM-1","issue":"7","issued":{"date-parts":[["2010"]]},"page":"3399-3404","title":"Distribution of ocular perfusion pressure and its relationship with open-angle glaucoma: The singapore malay eye study","type":"article-journal","volume":"51"},"uris":["http://www.mendeley.com/documents/?uuid=96a73bae-ef31-4d55-9eda-97b72fdaf532"]}],"mendeley":{"formattedCitation":"(Zheng &lt;i&gt;et al.&lt;/i&gt;, 2010)","plainTextFormattedCitation":"(Zheng et al., 2010)","previouslyFormattedCitation":"(25)"},"properties":{"noteIndex":0},"schema":"https://github.com/citation-style-language/schema/raw/master/csl-citation.json"}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 xml:space="preserve">(Zheng </w:t>
      </w:r>
      <w:r w:rsidRPr="009D4714">
        <w:rPr>
          <w:rFonts w:ascii="Arial" w:hAnsi="Arial" w:cs="Arial"/>
          <w:i/>
        </w:rPr>
        <w:t>et al.</w:t>
      </w:r>
      <w:r w:rsidRPr="009D4714">
        <w:rPr>
          <w:rFonts w:ascii="Arial" w:hAnsi="Arial" w:cs="Arial"/>
        </w:rPr>
        <w:t>, 2010)</w:t>
      </w:r>
      <w:r w:rsidRPr="009D4714">
        <w:rPr>
          <w:rFonts w:ascii="Arial" w:hAnsi="Arial" w:cs="Arial"/>
        </w:rPr>
        <w:fldChar w:fldCharType="end"/>
      </w:r>
      <w:r w:rsidRPr="009D4714">
        <w:rPr>
          <w:rFonts w:ascii="Arial" w:hAnsi="Arial" w:cs="Arial"/>
        </w:rPr>
        <w:t xml:space="preserve">. Also was comparable to the Colombian study </w:t>
      </w:r>
      <w:r w:rsidRPr="009D4714">
        <w:rPr>
          <w:rFonts w:ascii="Arial" w:hAnsi="Arial" w:cs="Arial"/>
        </w:rPr>
        <w:fldChar w:fldCharType="begin" w:fldLock="1"/>
      </w:r>
      <w:r w:rsidRPr="009D4714">
        <w:rPr>
          <w:rFonts w:ascii="Arial" w:hAnsi="Arial" w:cs="Arial"/>
        </w:rPr>
        <w:instrText>ADDIN CSL_CITATION {"citationItems":[{"id":"ITEM-1","itemData":{"DOI":"10.2147/OPTH.S165747","ISSN":"11775483","abstract":"Background: The aim of the study was to evaluate the relationship between blood pressure (BP), ocular perfusion pressure (OPP) and occurrence of primary open-angle glaucoma (POAG) among patients with systemic hypertension. Participants and methods: A cross-sectional study of hypertensive patients was conducted in six cities in Colombia. The participants underwent a complete ophthalmological examination. The intraocular pressure measurement was obtained by Goldmann tonometry. The diagnosis of glaucoma was confirmed by visual field and optic nerve photos. Interviews and questionnaires were used to evaluate participants’ lifestyle and other health conditions. A multinomial logistic regression was used to assess the relationship between BP, OPP and presence of suspected or confirmed POAG. Results: A total of 1,272 individuals were included in this study; 131 (10.3%) were diagnosed with suspected glaucoma and 65 (5.1%) with confirmed glaucoma. High values of diastolic BP (&gt;90 mmHg) and low values of OPP (&lt;40 mmHg) were associated to an increased risk of confirmed POAG. The type of antihypertensive treatment did not modify these relationships. Conclusion: This study suggests that there is a close relationship between OPP and confirmed glaucoma in hypertensive patients, providing further evidence of the vascular mechanism in glaucoma pathogenesis.","author":[{"dropping-particle":"","family":"Cantor","given":"Erika","non-dropping-particle":"","parse-names":false,"suffix":""},{"dropping-particle":"","family":"Méndez","given":"Fabián","non-dropping-particle":"","parse-names":false,"suffix":""},{"dropping-particle":"","family":"Rivera","given":"Carlos","non-dropping-particle":"","parse-names":false,"suffix":""},{"dropping-particle":"","family":"Castillo","given":"Andrés","non-dropping-particle":"","parse-names":false,"suffix":""},{"dropping-particle":"","family":"Martínez-Blanco","given":"Alexander","non-dropping-particle":"","parse-names":false,"suffix":""}],"container-title":"Clinical Ophthalmology","id":"ITEM-1","issued":{"date-parts":[["2018"]]},"page":"1511-1517","title":"Blood pressure, ocular perfusion pressure and open-angle glaucoma in patients with systemic hypertension","type":"article-journal","volume":"12"},"uris":["http://www.mendeley.com/documents/?uuid=9527ce82-54c8-4316-b753-46683a533d73"]}],"mendeley":{"formattedCitation":"(Cantor &lt;i&gt;et al.&lt;/i&gt;, 2018)","plainTextFormattedCitation":"(Cantor et al., 2018)","previouslyFormattedCitation":"(26)"},"properties":{"noteIndex":0},"schema":"https://github.com/citation-style-language/schema/raw/master/csl-citation.json"}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 xml:space="preserve">(Cantor </w:t>
      </w:r>
      <w:r w:rsidRPr="009D4714">
        <w:rPr>
          <w:rFonts w:ascii="Arial" w:hAnsi="Arial" w:cs="Arial"/>
          <w:i/>
        </w:rPr>
        <w:t>et al.</w:t>
      </w:r>
      <w:r w:rsidRPr="009D4714">
        <w:rPr>
          <w:rFonts w:ascii="Arial" w:hAnsi="Arial" w:cs="Arial"/>
        </w:rPr>
        <w:t>, 2018)</w:t>
      </w:r>
      <w:r w:rsidRPr="009D4714">
        <w:rPr>
          <w:rFonts w:ascii="Arial" w:hAnsi="Arial" w:cs="Arial"/>
        </w:rPr>
        <w:fldChar w:fldCharType="end"/>
      </w:r>
      <w:r w:rsidRPr="009D4714">
        <w:rPr>
          <w:rFonts w:ascii="Arial" w:hAnsi="Arial" w:cs="Arial"/>
        </w:rPr>
        <w:t>, which showed that the likelihood of receiving a NTG diagnosis was more than double for those with a DPP below 50 mmHg. These similarities support the idea that low DPP may play a major role in glaucomatous optic neuropathy in populations with normal intraocular pressure (IOP).</w:t>
      </w:r>
    </w:p>
    <w:p w14:paraId="01F31F75" w14:textId="77777777" w:rsidR="009D4714" w:rsidRPr="009D4714" w:rsidRDefault="009D4714" w:rsidP="009D4714">
      <w:pPr>
        <w:pStyle w:val="Body"/>
        <w:spacing w:after="0"/>
        <w:rPr>
          <w:rFonts w:ascii="Arial" w:hAnsi="Arial" w:cs="Arial"/>
        </w:rPr>
      </w:pPr>
      <w:r w:rsidRPr="009D4714">
        <w:rPr>
          <w:rFonts w:ascii="Arial" w:hAnsi="Arial" w:cs="Arial"/>
        </w:rPr>
        <w:t>In our study, MOPP ≤ 53mmHg (COR</w:t>
      </w:r>
      <w:r w:rsidRPr="009D4714">
        <w:rPr>
          <w:rFonts w:ascii="Arial" w:hAnsi="Arial" w:cs="Arial"/>
          <w:vertAlign w:val="superscript"/>
        </w:rPr>
        <w:t xml:space="preserve"> </w:t>
      </w:r>
      <w:r w:rsidRPr="009D4714">
        <w:rPr>
          <w:rFonts w:ascii="Arial" w:hAnsi="Arial" w:cs="Arial"/>
        </w:rPr>
        <w:t xml:space="preserve">=1.23, p=0.740) was not independently associated with NTG, this was contrast to the findings reported in Bangladesh study, the NTG group, the MOPP ≤ 60 mmHg was significantly with odds ratio 6.6 for both; p = 0.002 </w:t>
      </w:r>
      <w:r w:rsidRPr="009D4714">
        <w:rPr>
          <w:rFonts w:ascii="Arial" w:hAnsi="Arial" w:cs="Arial"/>
        </w:rPr>
        <w:fldChar w:fldCharType="begin" w:fldLock="1"/>
      </w:r>
      <w:r w:rsidRPr="009D4714">
        <w:rPr>
          <w:rFonts w:ascii="Arial" w:hAnsi="Arial" w:cs="Arial"/>
        </w:rPr>
        <w:instrText>ADDIN CSL_CITATION {"citationItems":[{"id":"ITEM-1","itemData":{"DOI":"10.3329/bsmmuj.v11i4.38618","ISSN":"2074-2908","abstract":"Primary open angle glaucoma is the most common form of glaucoma and it remains asymptomatic until the late stage of the disease. The purpose of this study is to compare the mean ocular perfusion pressure with the primary open angle glaucoma. A total of 60 study subjects were divided into two following groups: a) newly diagnosed patients with primary open angle glaucoma (case) and b) age and sex-matched healthy volunteers (control). The intraocular pressure and blood pressure were measured 3 hourly from 8:00 am to 11:00 pm. The mean ocular perfusion pressure of the right eyes in untreated primary open angle glaucoma was 39.9 ± 7.5 mm Hg whereas it was 47.7 ± 7.7 mm Hg in the control. The odds ratio was 6.6 (95% CI, 2.1-20.5; p=0.002). The right eyes of untreated primary open angle glaucoma had 6.6 times more risk compared to the control group. The mean ocular perfusion pressure of left eyes in untreated primary open angle glaucoma was 39.9 ± 7.5 mm Hg and 48.6 ± 4.0 mm Hg in the control group. The odds ratio was 5.7 (95% CI, 1.8-17.5; p=0.004). The left eyes of untreated primary open angle glaucoma had 5.7 times more risk compared to control group. The findings revealed the evidence of vascular mechanism in glaucoma pathogenesis: Reduction of mean ocular perfusion pressure ≤48 mm Hg, may lead to daily repetitive ischemic insult to the optic nerve.","author":[{"dropping-particle":"","family":"Sen","given":"Pallab Kumar","non-dropping-particle":"","parse-names":false,"suffix":""},{"dropping-particle":"","family":"Khan","given":"Nazneen","non-dropping-particle":"","parse-names":false,"suffix":""},{"dropping-particle":"","family":"Islam","given":"Md. Shafiqul","non-dropping-particle":"","parse-names":false,"suffix":""}],"container-title":"Bangabandhu Sheikh Mujib Medical University Journal","id":"ITEM-1","issue":"4","issued":{"date-parts":[["2018"]]},"page":"286-290","title":"Effect of mean ocular perfusion pressure on primary open angle glaucoma","type":"article-journal","volume":"11"},"uris":["http://www.mendeley.com/documents/?uuid=ea89bd07-16a2-4ced-83aa-ee94d9c4613d"]}],"mendeley":{"formattedCitation":"(Sen, Khan and Islam, 2018)","plainTextFormattedCitation":"(Sen, Khan and Islam, 2018)","previouslyFormattedCitation":"(7)"},"properties":{"noteIndex":0},"schema":"https://github.com/citation-style-language/schema/raw/master/csl-citation.json"}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(Sen, Khan and Islam, 2018)</w:t>
      </w:r>
      <w:r w:rsidRPr="009D4714">
        <w:rPr>
          <w:rFonts w:ascii="Arial" w:hAnsi="Arial" w:cs="Arial"/>
        </w:rPr>
        <w:fldChar w:fldCharType="end"/>
      </w:r>
      <w:r w:rsidRPr="009D4714">
        <w:rPr>
          <w:rFonts w:ascii="Arial" w:hAnsi="Arial" w:cs="Arial"/>
        </w:rPr>
        <w:t xml:space="preserve">. This difference may be contributed by smaller sample size in the Bangladesh study, which compared 30 cases to 30 controls, whereas our study 30 cases to 90 controls. </w:t>
      </w:r>
    </w:p>
    <w:p w14:paraId="670A84E6" w14:textId="77777777" w:rsidR="009D4714" w:rsidRPr="009D4714" w:rsidRDefault="009D4714" w:rsidP="009D4714">
      <w:pPr>
        <w:pStyle w:val="Body"/>
        <w:spacing w:after="0"/>
        <w:rPr>
          <w:rFonts w:ascii="Arial" w:hAnsi="Arial" w:cs="Arial"/>
        </w:rPr>
      </w:pPr>
      <w:bookmarkStart w:id="22" w:name="_Toc201227444"/>
      <w:r w:rsidRPr="009D4714">
        <w:rPr>
          <w:rFonts w:ascii="Arial" w:hAnsi="Arial" w:cs="Arial"/>
        </w:rPr>
        <w:t xml:space="preserve">Our study showed that SPP (COR =1.14, p=0.387) was not independently associated with NTG. However, a significant difference was observed between the NTG group and the control group when SPP≤ 101 </w:t>
      </w:r>
      <w:proofErr w:type="gramStart"/>
      <w:r w:rsidRPr="009D4714">
        <w:rPr>
          <w:rFonts w:ascii="Arial" w:hAnsi="Arial" w:cs="Arial"/>
        </w:rPr>
        <w:t>mmHg(</w:t>
      </w:r>
      <w:proofErr w:type="gramEnd"/>
      <w:r w:rsidRPr="009D4714">
        <w:rPr>
          <w:rFonts w:ascii="Arial" w:hAnsi="Arial" w:cs="Arial"/>
          <w:b/>
          <w:bCs/>
          <w:i/>
          <w:iCs/>
        </w:rPr>
        <w:t>x</w:t>
      </w:r>
      <w:r w:rsidRPr="009D4714">
        <w:rPr>
          <w:rFonts w:ascii="Arial" w:hAnsi="Arial" w:cs="Arial"/>
          <w:b/>
          <w:bCs/>
          <w:i/>
          <w:iCs/>
          <w:vertAlign w:val="superscript"/>
        </w:rPr>
        <w:t>2</w:t>
      </w:r>
      <w:r w:rsidRPr="009D4714">
        <w:rPr>
          <w:rFonts w:ascii="Arial" w:hAnsi="Arial" w:cs="Arial"/>
        </w:rPr>
        <w:t xml:space="preserve"> =3.15, p=0.020). This finding was consistent with a study done in Mumbai, where  a mean SPP ≤99.55 mmHg was significantly associated with glaucoma (p = 0.000), compared to mean SPP = 109.46 mmHg in non-glaucoma patients </w:t>
      </w:r>
      <w:r w:rsidRPr="009D4714">
        <w:rPr>
          <w:rFonts w:ascii="Arial" w:hAnsi="Arial" w:cs="Arial"/>
        </w:rPr>
        <w:fldChar w:fldCharType="begin" w:fldLock="1"/>
      </w:r>
      <w:r w:rsidRPr="009D4714">
        <w:rPr>
          <w:rFonts w:ascii="Arial" w:hAnsi="Arial" w:cs="Arial"/>
        </w:rPr>
        <w:instrText>ADDIN CSL_CITATION {"citationItems":[{"id":"ITEM-1","itemData":{"DOI":"10.4103/ojo.OJO_112_2018","ISSN":"09747842","abstract":"AIM: To investigate the relationship between blood pressure (BP), ocular perfusion pressure (OPP), intraocular pressure (IOP) and open angle glaucoma (OAG) in Primary Open Angle Glaucoma (POAG) patients and normal population. DESIGN: Cross-sectional observation study. MATERIALS AND METHODS: Hospital-based, case control cross-sectional study conducted on 150 patients, of which 75 people were included in the control group and 75 people in the glaucoma group. The diagnosis of cases was based on disc evaluation, gonioscopy, perimetry and applanation tonometry. Systolic and diastolic blood pressure (SBP and DBP) was measured with a Mercury Sphygmomanometer. Mean ocular perfusion pressure (MOPP) = (mean arterial pressure − IOP), where mean arterial pressure (MAP) = DBP + (SBP − DBP), systolic perfusion pressure (SPP) = SBP – IOP and diastolic perfusion pressure (DPP) = DBP − IOP was calculated. RESULTS: DBP, OPP, SPP and DPP showed positive association with POAG. There is positive correlation between IOP and SBP, DBP and there is a negative correlation between IOP, OPP, SPP and DPP. Lower OPP was strongly associated with an increased risk for POAG, with a relative risk of 6.27 and the odds ratio of 0.075 for those with OPP less than 50 mmHg. Similarly, a low DPP less than 55 mmHg were also associated with increased risk for POAG with relative risk of 5.3 and the odds ratio of 0.020. CONCLUSION: Low MOPP and low DPP show strong association with increased prevalence of POAG and are independent risk factors for OAG.","author":[{"dropping-particle":"","family":"Gore","given":"Varshav","non-dropping-particle":"","parse-names":false,"suffix":""},{"dropping-particle":"","family":"Shah","given":"Parthav","non-dropping-particle":"","parse-names":false,"suffix":""},{"dropping-particle":"","family":"Kanhere","given":"Minal","non-dropping-particle":"","parse-names":false,"suffix":""},{"dropping-particle":"","family":"Gore","given":"Shalini","non-dropping-particle":"","parse-names":false,"suffix":""}],"container-title":"Oman Journal of Ophthalmology","id":"ITEM-1","issue":"3","issued":{"date-parts":[["2019"]]},"page":"150-155","title":"Relationship between optical perfusion pressure and systemic blood pressure on glaucoma: Case–control study","type":"article-journal","volume":"12"},"uris":["http://www.mendeley.com/documents/?uuid=ab5306b2-dd65-4ca6-93e1-621763612469"]}],"mendeley":{"formattedCitation":"(Gore &lt;i&gt;et al.&lt;/i&gt;, 2019)","plainTextFormattedCitation":"(Gore et al., 2019)","previouslyFormattedCitation":"(2)"},"properties":{"noteIndex":0},"schema":"https://github.com/citation-style-language/schema/raw/master/csl-citation.json"}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 xml:space="preserve">(Gore </w:t>
      </w:r>
      <w:r w:rsidRPr="009D4714">
        <w:rPr>
          <w:rFonts w:ascii="Arial" w:hAnsi="Arial" w:cs="Arial"/>
          <w:i/>
        </w:rPr>
        <w:t>et al.</w:t>
      </w:r>
      <w:r w:rsidRPr="009D4714">
        <w:rPr>
          <w:rFonts w:ascii="Arial" w:hAnsi="Arial" w:cs="Arial"/>
        </w:rPr>
        <w:t>, 2019)</w:t>
      </w:r>
      <w:r w:rsidRPr="009D4714">
        <w:rPr>
          <w:rFonts w:ascii="Arial" w:hAnsi="Arial" w:cs="Arial"/>
        </w:rPr>
        <w:fldChar w:fldCharType="end"/>
      </w:r>
      <w:r w:rsidRPr="009D4714">
        <w:rPr>
          <w:rFonts w:ascii="Arial" w:hAnsi="Arial" w:cs="Arial"/>
        </w:rPr>
        <w:t xml:space="preserve">. A similar trend was reported in a study from Belagavi, where that the mean SPP for glaucoma patients was 101.55 ± 27.72 mmHg, significantly lower than for people without glaucoma (p = 0.0004) </w:t>
      </w:r>
      <w:r w:rsidRPr="009D4714">
        <w:rPr>
          <w:rFonts w:ascii="Arial" w:hAnsi="Arial" w:cs="Arial"/>
        </w:rPr>
        <w:fldChar w:fldCharType="begin" w:fldLock="1"/>
      </w:r>
      <w:r w:rsidRPr="009D4714">
        <w:rPr>
          <w:rFonts w:ascii="Arial" w:hAnsi="Arial" w:cs="Arial"/>
        </w:rPr>
        <w:instrText>ADDIN CSL_CITATION {"citationItems":[{"id":"ITEM-1","itemData":{"author":[{"dropping-particle":"","family":"Rekha Mudhol* Manjushree KS","given":"Tanmay Gupta","non-dropping-particle":"","parse-names":false,"suffix":""},{"dropping-particle":"","family":"Yakkundi","given":"Arvind Y","non-dropping-particle":"","parse-names":false,"suffix":""}],"container-title":"Al Ameen Journal of Medical Sciences","id":"ITEM-1","issue":"4","issued":{"date-parts":[["2021"]]},"page":"318-325","title":"Ocular perfusion pressure: distribution and its relationship with glaucoma","type":"article-journal","volume":"14"},"uris":["http://www.mendeley.com/documents/?uuid=d4486253-5be8-4fae-891f-4238e043e55b"]}],"mendeley":{"formattedCitation":"(Rekha Mudhol* Manjushree KS and Yakkundi, 2021)","plainTextFormattedCitation":"(Rekha Mudhol* Manjushree KS and Yakkundi, 2021)","previouslyFormattedCitation":"(5)"},"properties":{"noteIndex":0},"schema":"https://github.com/citation-style-language/schema/raw/master/csl-citation.json"}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(Rekha Mudhol* Manjushree KS and Yakkundi, 2021)</w:t>
      </w:r>
      <w:r w:rsidRPr="009D4714">
        <w:rPr>
          <w:rFonts w:ascii="Arial" w:hAnsi="Arial" w:cs="Arial"/>
        </w:rPr>
        <w:fldChar w:fldCharType="end"/>
      </w:r>
      <w:r w:rsidRPr="009D4714">
        <w:rPr>
          <w:rFonts w:ascii="Arial" w:hAnsi="Arial" w:cs="Arial"/>
        </w:rPr>
        <w:t xml:space="preserve">. </w:t>
      </w:r>
    </w:p>
    <w:p w14:paraId="19994AA5" w14:textId="77777777" w:rsidR="00E053D0" w:rsidRDefault="009D4714" w:rsidP="00441B6F">
      <w:pPr>
        <w:pStyle w:val="Body"/>
        <w:spacing w:after="0"/>
        <w:rPr>
          <w:rFonts w:ascii="Arial" w:hAnsi="Arial" w:cs="Arial"/>
        </w:rPr>
      </w:pPr>
      <w:r w:rsidRPr="009D4714">
        <w:rPr>
          <w:rFonts w:ascii="Arial" w:hAnsi="Arial" w:cs="Arial"/>
        </w:rPr>
        <w:lastRenderedPageBreak/>
        <w:t xml:space="preserve">In contrast, findings from a Colombian study reported a stronger association with glaucoma when SPP &gt;130 mmHg (OR = 2.7, p = 0.006) (Press, 2018). This was further supported by Los Angeles Latino Eye Study, where participants with SPP &gt; 150 mmHg had an odds ratio (OR) of 2.0 for mmHg while those with SPP ≤ 80 mmHg had an odds ratio (OR) of 2.5, both significantly associated with glaucoma </w:t>
      </w:r>
      <w:r w:rsidRPr="009D4714">
        <w:rPr>
          <w:rFonts w:ascii="Arial" w:hAnsi="Arial" w:cs="Arial"/>
        </w:rPr>
        <w:fldChar w:fldCharType="begin" w:fldLock="1"/>
      </w:r>
      <w:r w:rsidRPr="009D4714">
        <w:rPr>
          <w:rFonts w:ascii="Arial" w:hAnsi="Arial" w:cs="Arial"/>
        </w:rPr>
        <w:instrText>ADDIN CSL_CITATION {"citationItems":[{"id":"ITEM-1","itemData":{"DOI":"10.1167/iovs.08-2956","author":[{"dropping-particle":"","family":"Memarzadeh","given":"Farnaz","non-dropping-particle":"","parse-names":false,"suffix":""},{"dropping-particle":"","family":"Ying-lai","given":"Mei","non-dropping-particle":"","parse-names":false,"suffix":""},{"dropping-particle":"","family":"Chung","given":"Jessica","non-dropping-particle":"","parse-names":false,"suffix":""},{"dropping-particle":"","family":"Azen","given":"Stanley P","non-dropping-particle":"","parse-names":false,"suffix":""},{"dropping-particle":"","family":"Varma","given":"Rohit","non-dropping-particle":"","parse-names":false,"suffix":""}],"id":"ITEM-1","issue":"6","issued":{"date-parts":[["2010"]]},"page":"2872-2877","title":"Glaucoma : The Los Angeles Latino Eye Study","type":"article-journal","volume":"51"},"uris":["http://www.mendeley.com/documents/?uuid=03b55f78-c2a2-4617-900f-4b6a8d2cb51a"]}],"mendeley":{"formattedCitation":"(Memarzadeh &lt;i&gt;et al.&lt;/i&gt;, 2010)","plainTextFormattedCitation":"(Memarzadeh et al., 2010)","previouslyFormattedCitation":"(27)"},"properties":{"noteIndex":0},"schema":"https://github.com/citation-style-language/schema/raw/master/csl-citation.json"}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 xml:space="preserve">(Memarzadeh </w:t>
      </w:r>
      <w:r w:rsidRPr="009D4714">
        <w:rPr>
          <w:rFonts w:ascii="Arial" w:hAnsi="Arial" w:cs="Arial"/>
          <w:i/>
        </w:rPr>
        <w:t>et al.</w:t>
      </w:r>
      <w:r w:rsidRPr="009D4714">
        <w:rPr>
          <w:rFonts w:ascii="Arial" w:hAnsi="Arial" w:cs="Arial"/>
        </w:rPr>
        <w:t>, 2010)</w:t>
      </w:r>
      <w:r w:rsidRPr="009D4714">
        <w:rPr>
          <w:rFonts w:ascii="Arial" w:hAnsi="Arial" w:cs="Arial"/>
        </w:rPr>
        <w:fldChar w:fldCharType="end"/>
      </w:r>
      <w:r w:rsidRPr="009D4714">
        <w:rPr>
          <w:rFonts w:ascii="Arial" w:hAnsi="Arial" w:cs="Arial"/>
        </w:rPr>
        <w:t>. These different findings suggest that both hypo-perfusion and hyper-perfusion may contribute to glaucomatous optic neuropathy. Chronic hypo-perfusion can lead to ischemic stress and ganglion cell damage at the optic nerve head (ONH), while chronic hyper-perfusion may result in endothelial injury, vascular stiffness, and dysregulation of autoregulation within the optic nerve head circulation.</w:t>
      </w:r>
      <w:bookmarkEnd w:id="22"/>
    </w:p>
    <w:p w14:paraId="28D15351" w14:textId="77777777" w:rsidR="00790ADA" w:rsidRPr="00FB3A86" w:rsidRDefault="00790ADA" w:rsidP="00441B6F">
      <w:pPr>
        <w:pStyle w:val="Body"/>
        <w:spacing w:after="0"/>
        <w:rPr>
          <w:rFonts w:ascii="Arial" w:hAnsi="Arial" w:cs="Arial"/>
        </w:rPr>
      </w:pPr>
    </w:p>
    <w:p w14:paraId="017606D2" w14:textId="77777777" w:rsidR="00B01FCD" w:rsidRDefault="009D4714"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27F06934" w14:textId="77777777" w:rsidR="00790ADA" w:rsidRPr="00FB3A86" w:rsidRDefault="00790ADA" w:rsidP="00441B6F">
      <w:pPr>
        <w:pStyle w:val="ConcHead"/>
        <w:spacing w:after="0"/>
        <w:jc w:val="both"/>
        <w:rPr>
          <w:rFonts w:ascii="Arial" w:hAnsi="Arial" w:cs="Arial"/>
        </w:rPr>
      </w:pPr>
    </w:p>
    <w:p w14:paraId="4D00AB3C" w14:textId="77777777" w:rsidR="009D4714" w:rsidRPr="009D4714" w:rsidRDefault="009D4714" w:rsidP="009D4714">
      <w:pPr>
        <w:pStyle w:val="Body"/>
        <w:spacing w:after="0"/>
        <w:rPr>
          <w:rFonts w:ascii="Arial" w:hAnsi="Arial" w:cs="Arial"/>
          <w:bCs/>
        </w:rPr>
      </w:pPr>
      <w:r w:rsidRPr="009D4714">
        <w:rPr>
          <w:rFonts w:ascii="Arial" w:hAnsi="Arial" w:cs="Arial"/>
          <w:bCs/>
        </w:rPr>
        <w:t xml:space="preserve">The study found that NTG patients were younger than HTG patients. Smoking and diabetes mellitus, which are vascular factors, were significantly associated with NTG, whereas hypertension was significantly more prevalent among HTG patients. </w:t>
      </w:r>
    </w:p>
    <w:p w14:paraId="2DB5FCBE" w14:textId="77777777" w:rsidR="009D4714" w:rsidRPr="009D4714" w:rsidRDefault="009D4714" w:rsidP="009D4714">
      <w:pPr>
        <w:pStyle w:val="Body"/>
        <w:spacing w:after="0"/>
        <w:rPr>
          <w:rFonts w:ascii="Arial" w:hAnsi="Arial" w:cs="Arial"/>
        </w:rPr>
      </w:pPr>
      <w:r w:rsidRPr="009D4714">
        <w:rPr>
          <w:rFonts w:ascii="Arial" w:hAnsi="Arial" w:cs="Arial"/>
          <w:bCs/>
        </w:rPr>
        <w:t xml:space="preserve">The study also showed that NTG had significantly lower ocular perfusion pressures (MOPP ≤ 53 mmHg, SPP ≤ 101 mmHg and DPP ≤ 56 mmHg) compared to controls. Notably, only DPP ≤56 mmHg remained independently associated with NTG after adjusted analysis. This highlights the critical role of vascular dysregulation </w:t>
      </w:r>
      <w:r w:rsidRPr="009D4714">
        <w:rPr>
          <w:rFonts w:ascii="Arial" w:hAnsi="Arial" w:cs="Arial"/>
        </w:rPr>
        <w:t>in the pathogenesis of NTG.</w:t>
      </w:r>
    </w:p>
    <w:p w14:paraId="39ADE263" w14:textId="77777777" w:rsidR="009D4714" w:rsidRPr="009D4714" w:rsidRDefault="009D4714" w:rsidP="009D4714">
      <w:pPr>
        <w:pStyle w:val="Body"/>
        <w:spacing w:after="0"/>
        <w:rPr>
          <w:rFonts w:ascii="Arial" w:hAnsi="Arial" w:cs="Arial"/>
        </w:rPr>
      </w:pPr>
      <w:r w:rsidRPr="009D4714">
        <w:rPr>
          <w:rFonts w:ascii="Arial" w:hAnsi="Arial" w:cs="Arial"/>
        </w:rPr>
        <w:t>To enhance the external validity and get the findings that represent the general population, the future study should be done in a community-based design with a large sample size.</w:t>
      </w:r>
    </w:p>
    <w:p w14:paraId="5ED2AFE1" w14:textId="77777777" w:rsidR="00790ADA" w:rsidRPr="00FB3A86" w:rsidRDefault="00790ADA" w:rsidP="00441B6F">
      <w:pPr>
        <w:pStyle w:val="Body"/>
        <w:spacing w:after="0"/>
        <w:rPr>
          <w:rFonts w:ascii="Arial" w:hAnsi="Arial" w:cs="Arial"/>
        </w:rPr>
      </w:pPr>
    </w:p>
    <w:p w14:paraId="25EA3651" w14:textId="77777777" w:rsidR="00315186" w:rsidRPr="00315186" w:rsidRDefault="00315186" w:rsidP="00441B6F"/>
    <w:p w14:paraId="6DBA2E22" w14:textId="77777777" w:rsidR="002B685A" w:rsidRPr="002B685A" w:rsidRDefault="002B685A" w:rsidP="00441B6F">
      <w:pPr>
        <w:pStyle w:val="ReferHead"/>
        <w:spacing w:after="0"/>
        <w:jc w:val="both"/>
        <w:rPr>
          <w:rFonts w:ascii="Arial" w:hAnsi="Arial" w:cs="Arial"/>
          <w:bCs/>
        </w:rPr>
      </w:pPr>
      <w:r w:rsidRPr="002B685A">
        <w:rPr>
          <w:rFonts w:ascii="Arial" w:hAnsi="Arial" w:cs="Arial"/>
          <w:bCs/>
        </w:rPr>
        <w:t>Consent</w:t>
      </w:r>
    </w:p>
    <w:p w14:paraId="1A88B54E" w14:textId="77777777" w:rsidR="005C784C" w:rsidRPr="009C5D6D" w:rsidRDefault="007220E8" w:rsidP="009C5D6D">
      <w:pPr>
        <w:pStyle w:val="ReferHead"/>
        <w:rPr>
          <w:rFonts w:ascii="Arial" w:hAnsi="Arial" w:cs="Arial"/>
          <w:b w:val="0"/>
          <w:sz w:val="20"/>
        </w:rPr>
      </w:pPr>
      <w:r>
        <w:rPr>
          <w:rFonts w:ascii="Arial" w:hAnsi="Arial" w:cs="Arial"/>
          <w:b w:val="0"/>
          <w:caps w:val="0"/>
          <w:sz w:val="20"/>
        </w:rPr>
        <w:t>W</w:t>
      </w:r>
      <w:r w:rsidRPr="007220E8">
        <w:rPr>
          <w:rFonts w:ascii="Arial" w:hAnsi="Arial" w:cs="Arial"/>
          <w:b w:val="0"/>
          <w:caps w:val="0"/>
          <w:sz w:val="20"/>
        </w:rPr>
        <w:t>ritten and informed consent has been obtained from the relevant authorities in accordance with the international standard</w:t>
      </w:r>
      <w:r w:rsidR="009C5D6D">
        <w:rPr>
          <w:rFonts w:ascii="Arial" w:hAnsi="Arial" w:cs="Arial"/>
          <w:b w:val="0"/>
          <w:caps w:val="0"/>
          <w:sz w:val="20"/>
        </w:rPr>
        <w:t>.</w:t>
      </w:r>
    </w:p>
    <w:p w14:paraId="09A03AFE" w14:textId="77777777" w:rsidR="0041027F" w:rsidRPr="00BB77E0" w:rsidRDefault="005C784C" w:rsidP="00441B6F">
      <w:pPr>
        <w:pStyle w:val="ReferHead"/>
        <w:spacing w:after="0"/>
        <w:jc w:val="both"/>
        <w:rPr>
          <w:rFonts w:ascii="Arial" w:hAnsi="Arial" w:cs="Arial"/>
          <w:bCs/>
        </w:rPr>
      </w:pPr>
      <w:r>
        <w:rPr>
          <w:rFonts w:ascii="Arial" w:hAnsi="Arial" w:cs="Arial"/>
          <w:bCs/>
        </w:rPr>
        <w:t>Ethical approval</w:t>
      </w:r>
    </w:p>
    <w:p w14:paraId="6303EAF4" w14:textId="77777777" w:rsidR="00BB77E0" w:rsidRDefault="00BB77E0" w:rsidP="00BB77E0">
      <w:pPr>
        <w:pStyle w:val="ReferHead"/>
        <w:spacing w:after="0"/>
        <w:rPr>
          <w:rFonts w:ascii="Arial" w:hAnsi="Arial" w:cs="Arial"/>
          <w:b w:val="0"/>
          <w:sz w:val="20"/>
        </w:rPr>
      </w:pPr>
      <w:r>
        <w:rPr>
          <w:rFonts w:ascii="Arial" w:hAnsi="Arial" w:cs="Arial"/>
          <w:b w:val="0"/>
          <w:caps w:val="0"/>
          <w:sz w:val="20"/>
        </w:rPr>
        <w:t>E</w:t>
      </w:r>
      <w:r w:rsidRPr="00BB77E0">
        <w:rPr>
          <w:rFonts w:ascii="Arial" w:hAnsi="Arial" w:cs="Arial"/>
          <w:b w:val="0"/>
          <w:caps w:val="0"/>
          <w:sz w:val="20"/>
        </w:rPr>
        <w:t xml:space="preserve">thical consideration approval was obtained from the </w:t>
      </w:r>
      <w:r w:rsidR="00B9326F" w:rsidRPr="00BB77E0">
        <w:rPr>
          <w:rFonts w:ascii="Arial" w:hAnsi="Arial" w:cs="Arial"/>
          <w:b w:val="0"/>
          <w:caps w:val="0"/>
          <w:sz w:val="20"/>
        </w:rPr>
        <w:t>KCMC</w:t>
      </w:r>
      <w:r w:rsidRPr="00BB77E0">
        <w:rPr>
          <w:rFonts w:ascii="Arial" w:hAnsi="Arial" w:cs="Arial"/>
          <w:b w:val="0"/>
          <w:caps w:val="0"/>
          <w:sz w:val="20"/>
        </w:rPr>
        <w:t xml:space="preserve"> </w:t>
      </w:r>
      <w:r w:rsidR="00B9326F" w:rsidRPr="00BB77E0">
        <w:rPr>
          <w:rFonts w:ascii="Arial" w:hAnsi="Arial" w:cs="Arial"/>
          <w:b w:val="0"/>
          <w:caps w:val="0"/>
          <w:sz w:val="20"/>
        </w:rPr>
        <w:t xml:space="preserve">University </w:t>
      </w:r>
      <w:r w:rsidRPr="00BB77E0">
        <w:rPr>
          <w:rFonts w:ascii="Arial" w:hAnsi="Arial" w:cs="Arial"/>
          <w:b w:val="0"/>
          <w:caps w:val="0"/>
          <w:sz w:val="20"/>
        </w:rPr>
        <w:t>and research ethics rev</w:t>
      </w:r>
      <w:r>
        <w:rPr>
          <w:rFonts w:ascii="Arial" w:hAnsi="Arial" w:cs="Arial"/>
          <w:b w:val="0"/>
          <w:caps w:val="0"/>
          <w:sz w:val="20"/>
        </w:rPr>
        <w:t>iew committee (</w:t>
      </w:r>
      <w:r w:rsidR="00B9326F">
        <w:rPr>
          <w:rFonts w:ascii="Arial" w:hAnsi="Arial" w:cs="Arial"/>
          <w:b w:val="0"/>
          <w:caps w:val="0"/>
          <w:sz w:val="20"/>
        </w:rPr>
        <w:t>KCMC-RERC</w:t>
      </w:r>
      <w:r>
        <w:rPr>
          <w:rFonts w:ascii="Arial" w:hAnsi="Arial" w:cs="Arial"/>
          <w:b w:val="0"/>
          <w:caps w:val="0"/>
          <w:sz w:val="20"/>
        </w:rPr>
        <w:t>) (</w:t>
      </w:r>
      <w:proofErr w:type="spellStart"/>
      <w:r>
        <w:rPr>
          <w:rFonts w:ascii="Arial" w:hAnsi="Arial" w:cs="Arial"/>
          <w:b w:val="0"/>
          <w:caps w:val="0"/>
          <w:sz w:val="20"/>
        </w:rPr>
        <w:t>pg</w:t>
      </w:r>
      <w:proofErr w:type="spellEnd"/>
      <w:r>
        <w:rPr>
          <w:rFonts w:ascii="Arial" w:hAnsi="Arial" w:cs="Arial"/>
          <w:b w:val="0"/>
          <w:caps w:val="0"/>
          <w:sz w:val="20"/>
        </w:rPr>
        <w:t xml:space="preserve"> 18</w:t>
      </w:r>
      <w:r w:rsidRPr="00BB77E0">
        <w:rPr>
          <w:rFonts w:ascii="Arial" w:hAnsi="Arial" w:cs="Arial"/>
          <w:b w:val="0"/>
          <w:caps w:val="0"/>
          <w:sz w:val="20"/>
        </w:rPr>
        <w:t>/2024).</w:t>
      </w:r>
    </w:p>
    <w:p w14:paraId="285973D3" w14:textId="77777777" w:rsidR="00860000" w:rsidRDefault="00BB77E0" w:rsidP="00BB77E0">
      <w:pPr>
        <w:pStyle w:val="ReferHead"/>
        <w:spacing w:after="0"/>
        <w:rPr>
          <w:rFonts w:ascii="Arial" w:hAnsi="Arial" w:cs="Arial"/>
          <w:b w:val="0"/>
          <w:caps w:val="0"/>
          <w:sz w:val="20"/>
        </w:rPr>
      </w:pPr>
      <w:r>
        <w:rPr>
          <w:rFonts w:ascii="Arial" w:hAnsi="Arial" w:cs="Arial"/>
          <w:b w:val="0"/>
          <w:caps w:val="0"/>
          <w:sz w:val="20"/>
        </w:rPr>
        <w:t>D</w:t>
      </w:r>
      <w:r w:rsidRPr="00BB77E0">
        <w:rPr>
          <w:rFonts w:ascii="Arial" w:hAnsi="Arial" w:cs="Arial"/>
          <w:b w:val="0"/>
          <w:caps w:val="0"/>
          <w:sz w:val="20"/>
        </w:rPr>
        <w:t>uring the data collection process, participant’s number was used instead of names, and their information was handled with caution to safeguard confidentiality.</w:t>
      </w:r>
    </w:p>
    <w:p w14:paraId="401A1F60" w14:textId="77777777" w:rsidR="005973A2" w:rsidRDefault="005973A2" w:rsidP="00BB77E0">
      <w:pPr>
        <w:pStyle w:val="ReferHead"/>
        <w:spacing w:after="0"/>
        <w:rPr>
          <w:rFonts w:ascii="Arial" w:hAnsi="Arial" w:cs="Arial"/>
          <w:b w:val="0"/>
          <w:caps w:val="0"/>
          <w:sz w:val="20"/>
        </w:rPr>
      </w:pPr>
    </w:p>
    <w:p w14:paraId="69311226" w14:textId="77777777" w:rsidR="005973A2" w:rsidRDefault="005973A2" w:rsidP="00BB77E0">
      <w:pPr>
        <w:pStyle w:val="ReferHead"/>
        <w:spacing w:after="0"/>
        <w:rPr>
          <w:rFonts w:ascii="Arial" w:hAnsi="Arial" w:cs="Arial"/>
          <w:b w:val="0"/>
          <w:caps w:val="0"/>
          <w:sz w:val="20"/>
        </w:rPr>
      </w:pPr>
    </w:p>
    <w:p w14:paraId="7E3D24A2" w14:textId="77777777" w:rsidR="005973A2" w:rsidRPr="005973A2" w:rsidRDefault="005973A2" w:rsidP="005973A2">
      <w:pPr>
        <w:pStyle w:val="ReferHead"/>
        <w:rPr>
          <w:rFonts w:ascii="Arial" w:hAnsi="Arial" w:cs="Arial"/>
          <w:b w:val="0"/>
          <w:caps w:val="0"/>
          <w:sz w:val="20"/>
        </w:rPr>
      </w:pPr>
      <w:r w:rsidRPr="005973A2">
        <w:rPr>
          <w:rFonts w:ascii="Arial" w:hAnsi="Arial" w:cs="Arial"/>
          <w:b w:val="0"/>
          <w:caps w:val="0"/>
          <w:sz w:val="20"/>
        </w:rPr>
        <w:t>COMPETING INTERESTS DISCLAIMER:</w:t>
      </w:r>
    </w:p>
    <w:p w14:paraId="3CD3E7DC" w14:textId="0AB350A4" w:rsidR="005973A2" w:rsidRDefault="005973A2" w:rsidP="005973A2">
      <w:pPr>
        <w:pStyle w:val="ReferHead"/>
        <w:spacing w:after="0"/>
        <w:rPr>
          <w:rFonts w:ascii="Arial" w:hAnsi="Arial" w:cs="Arial"/>
          <w:b w:val="0"/>
          <w:caps w:val="0"/>
          <w:sz w:val="20"/>
        </w:rPr>
      </w:pPr>
      <w:r w:rsidRPr="005973A2">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5EAF22CD" w14:textId="77777777" w:rsidR="005973A2" w:rsidRPr="00BB77E0" w:rsidRDefault="005973A2" w:rsidP="00BB77E0">
      <w:pPr>
        <w:pStyle w:val="ReferHead"/>
        <w:spacing w:after="0"/>
        <w:rPr>
          <w:rFonts w:ascii="Arial" w:hAnsi="Arial" w:cs="Arial"/>
          <w:b w:val="0"/>
          <w:sz w:val="20"/>
        </w:rPr>
      </w:pPr>
    </w:p>
    <w:p w14:paraId="0ABD2FAF" w14:textId="77777777" w:rsidR="009C5D6D" w:rsidRDefault="009C5D6D" w:rsidP="009C5D6D">
      <w:pPr>
        <w:pStyle w:val="ReferHead"/>
        <w:spacing w:after="0"/>
        <w:jc w:val="both"/>
        <w:rPr>
          <w:rFonts w:ascii="Arial" w:hAnsi="Arial" w:cs="Arial"/>
        </w:rPr>
      </w:pPr>
    </w:p>
    <w:p w14:paraId="16DB11BC" w14:textId="77777777" w:rsidR="00790ADA" w:rsidRDefault="00B01FCD" w:rsidP="009C5D6D">
      <w:pPr>
        <w:pStyle w:val="ReferHead"/>
        <w:spacing w:after="0"/>
        <w:jc w:val="both"/>
        <w:rPr>
          <w:rFonts w:ascii="Arial" w:hAnsi="Arial" w:cs="Arial"/>
        </w:rPr>
      </w:pPr>
      <w:r w:rsidRPr="00FB3A86">
        <w:rPr>
          <w:rFonts w:ascii="Arial" w:hAnsi="Arial" w:cs="Arial"/>
        </w:rPr>
        <w:t>References</w:t>
      </w:r>
    </w:p>
    <w:p w14:paraId="6D4425DF" w14:textId="77777777" w:rsidR="009C5D6D" w:rsidRPr="009C5D6D" w:rsidRDefault="009C5D6D" w:rsidP="009C5D6D">
      <w:pPr>
        <w:pStyle w:val="Body"/>
        <w:numPr>
          <w:ilvl w:val="0"/>
          <w:numId w:val="35"/>
        </w:numPr>
        <w:rPr>
          <w:rFonts w:ascii="Arial" w:hAnsi="Arial" w:cs="Arial"/>
        </w:rPr>
      </w:pPr>
      <w:r w:rsidRPr="009C5D6D">
        <w:rPr>
          <w:rFonts w:ascii="Arial" w:hAnsi="Arial" w:cs="Arial"/>
        </w:rPr>
        <w:fldChar w:fldCharType="begin" w:fldLock="1"/>
      </w:r>
      <w:r w:rsidRPr="009C5D6D">
        <w:rPr>
          <w:rFonts w:ascii="Arial" w:hAnsi="Arial" w:cs="Arial"/>
        </w:rPr>
        <w:instrText xml:space="preserve">ADDIN Mendeley Bibliography CSL_BIBLIOGRAPHY </w:instrText>
      </w:r>
      <w:r w:rsidRPr="009C5D6D">
        <w:rPr>
          <w:rFonts w:ascii="Arial" w:hAnsi="Arial" w:cs="Arial"/>
        </w:rPr>
        <w:fldChar w:fldCharType="separate"/>
      </w:r>
      <w:r w:rsidRPr="009C5D6D">
        <w:rPr>
          <w:rFonts w:ascii="Arial" w:hAnsi="Arial" w:cs="Arial"/>
        </w:rPr>
        <w:t>Access, O. (2024) ‘Hypertension in India : a gender-based study of prevalence and associated risk factors’, 5.</w:t>
      </w:r>
    </w:p>
    <w:p w14:paraId="6A6DCE46" w14:textId="77777777" w:rsidR="009C5D6D" w:rsidRPr="009C5D6D" w:rsidRDefault="009C5D6D" w:rsidP="009C5D6D">
      <w:pPr>
        <w:pStyle w:val="Body"/>
        <w:numPr>
          <w:ilvl w:val="0"/>
          <w:numId w:val="35"/>
        </w:numPr>
        <w:rPr>
          <w:rFonts w:ascii="Arial" w:hAnsi="Arial" w:cs="Arial"/>
        </w:rPr>
      </w:pPr>
      <w:r w:rsidRPr="009C5D6D">
        <w:rPr>
          <w:rFonts w:ascii="Arial" w:hAnsi="Arial" w:cs="Arial"/>
        </w:rPr>
        <w:t>Affairs, S. and Division, P. (2010) ‘United Republic of Tanzania United Republic of Tanzania’, II(October), pp. 1–73.</w:t>
      </w:r>
    </w:p>
    <w:p w14:paraId="118F53C9" w14:textId="77777777" w:rsidR="009C5D6D" w:rsidRPr="009C5D6D" w:rsidRDefault="009C5D6D" w:rsidP="009C5D6D">
      <w:pPr>
        <w:pStyle w:val="Body"/>
        <w:numPr>
          <w:ilvl w:val="0"/>
          <w:numId w:val="35"/>
        </w:numPr>
        <w:rPr>
          <w:rFonts w:ascii="Arial" w:hAnsi="Arial" w:cs="Arial"/>
        </w:rPr>
      </w:pPr>
      <w:r w:rsidRPr="009C5D6D">
        <w:rPr>
          <w:rFonts w:ascii="Arial" w:hAnsi="Arial" w:cs="Arial"/>
        </w:rPr>
        <w:t xml:space="preserve">Baek, S.U. </w:t>
      </w:r>
      <w:r w:rsidRPr="009C5D6D">
        <w:rPr>
          <w:rFonts w:ascii="Arial" w:hAnsi="Arial" w:cs="Arial"/>
          <w:i/>
          <w:iCs/>
        </w:rPr>
        <w:t>et al.</w:t>
      </w:r>
      <w:r w:rsidRPr="009C5D6D">
        <w:rPr>
          <w:rFonts w:ascii="Arial" w:hAnsi="Arial" w:cs="Arial"/>
        </w:rPr>
        <w:t xml:space="preserve"> (2019) ‘Diurnal change of retinal vessel density and mean ocular perfusion pressure in patients with open-angle glaucoma’, pp. 1–15.</w:t>
      </w:r>
    </w:p>
    <w:p w14:paraId="428DFF44" w14:textId="77777777" w:rsidR="009C5D6D" w:rsidRPr="009C5D6D" w:rsidRDefault="009C5D6D" w:rsidP="009C5D6D">
      <w:pPr>
        <w:pStyle w:val="Body"/>
        <w:numPr>
          <w:ilvl w:val="0"/>
          <w:numId w:val="35"/>
        </w:numPr>
        <w:rPr>
          <w:rFonts w:ascii="Arial" w:hAnsi="Arial" w:cs="Arial"/>
        </w:rPr>
      </w:pPr>
      <w:r w:rsidRPr="009C5D6D">
        <w:rPr>
          <w:rFonts w:ascii="Arial" w:hAnsi="Arial" w:cs="Arial"/>
        </w:rPr>
        <w:lastRenderedPageBreak/>
        <w:t xml:space="preserve">Baisakhiya, S. and Verma, P. (2020a) ‘Association between intraocular pressure, mean blood pressure, and mean ocular perfusion pressure among normal healthy adults’, </w:t>
      </w:r>
      <w:r w:rsidRPr="009C5D6D">
        <w:rPr>
          <w:rFonts w:ascii="Arial" w:hAnsi="Arial" w:cs="Arial"/>
          <w:i/>
          <w:iCs/>
        </w:rPr>
        <w:t>National Journal of Physiology, Pharmacy and Pharmacology</w:t>
      </w:r>
      <w:r w:rsidRPr="009C5D6D">
        <w:rPr>
          <w:rFonts w:ascii="Arial" w:hAnsi="Arial" w:cs="Arial"/>
        </w:rPr>
        <w:t>, 11(0), p. 1. Available at: https://doi.org/10.5455/njppp.2021.11.09251202006102020.</w:t>
      </w:r>
    </w:p>
    <w:p w14:paraId="5C86A4D9" w14:textId="77777777" w:rsidR="009C5D6D" w:rsidRPr="009C5D6D" w:rsidRDefault="009C5D6D" w:rsidP="009C5D6D">
      <w:pPr>
        <w:pStyle w:val="Body"/>
        <w:numPr>
          <w:ilvl w:val="0"/>
          <w:numId w:val="35"/>
        </w:numPr>
        <w:rPr>
          <w:rFonts w:ascii="Arial" w:hAnsi="Arial" w:cs="Arial"/>
        </w:rPr>
      </w:pPr>
      <w:r w:rsidRPr="009C5D6D">
        <w:rPr>
          <w:rFonts w:ascii="Arial" w:hAnsi="Arial" w:cs="Arial"/>
        </w:rPr>
        <w:t xml:space="preserve">Baisakhiya, S. and Verma, P. (2020b) ‘Association between intraocular pressure, mean blood pressure, and mean ocular perfusion pressure among normal healthy adults’, </w:t>
      </w:r>
      <w:r w:rsidRPr="009C5D6D">
        <w:rPr>
          <w:rFonts w:ascii="Arial" w:hAnsi="Arial" w:cs="Arial"/>
          <w:i/>
          <w:iCs/>
        </w:rPr>
        <w:t>National Journal of Physiology, Pharmacy and Pharmacology</w:t>
      </w:r>
      <w:r w:rsidRPr="009C5D6D">
        <w:rPr>
          <w:rFonts w:ascii="Arial" w:hAnsi="Arial" w:cs="Arial"/>
        </w:rPr>
        <w:t>, 11(02), p. 1. Available at: https://doi.org/10.5455/njppp.2021.11.09251202006102020.</w:t>
      </w:r>
    </w:p>
    <w:p w14:paraId="346F0E2C" w14:textId="77777777" w:rsidR="009C5D6D" w:rsidRPr="009C5D6D" w:rsidRDefault="009C5D6D" w:rsidP="009C5D6D">
      <w:pPr>
        <w:pStyle w:val="Body"/>
        <w:numPr>
          <w:ilvl w:val="0"/>
          <w:numId w:val="35"/>
        </w:numPr>
        <w:rPr>
          <w:rFonts w:ascii="Arial" w:hAnsi="Arial" w:cs="Arial"/>
        </w:rPr>
      </w:pPr>
      <w:r w:rsidRPr="009C5D6D">
        <w:rPr>
          <w:rFonts w:ascii="Arial" w:hAnsi="Arial" w:cs="Arial"/>
        </w:rPr>
        <w:t xml:space="preserve">Cantor, E. </w:t>
      </w:r>
      <w:r w:rsidRPr="009C5D6D">
        <w:rPr>
          <w:rFonts w:ascii="Arial" w:hAnsi="Arial" w:cs="Arial"/>
          <w:i/>
          <w:iCs/>
        </w:rPr>
        <w:t>et al.</w:t>
      </w:r>
      <w:r w:rsidRPr="009C5D6D">
        <w:rPr>
          <w:rFonts w:ascii="Arial" w:hAnsi="Arial" w:cs="Arial"/>
        </w:rPr>
        <w:t xml:space="preserve"> (2018) ‘Blood pressure, ocular perfusion pressure and open-angle glaucoma in patients with systemic hypertension’, </w:t>
      </w:r>
      <w:r w:rsidRPr="009C5D6D">
        <w:rPr>
          <w:rFonts w:ascii="Arial" w:hAnsi="Arial" w:cs="Arial"/>
          <w:i/>
          <w:iCs/>
        </w:rPr>
        <w:t>Clinical Ophthalmology</w:t>
      </w:r>
      <w:r w:rsidRPr="009C5D6D">
        <w:rPr>
          <w:rFonts w:ascii="Arial" w:hAnsi="Arial" w:cs="Arial"/>
        </w:rPr>
        <w:t>, 12, pp. 1511–1517. Available at: https://doi.org/10.2147/OPTH.S165747.</w:t>
      </w:r>
    </w:p>
    <w:p w14:paraId="237F72B2" w14:textId="77777777" w:rsidR="009C5D6D" w:rsidRPr="009C5D6D" w:rsidRDefault="009C5D6D" w:rsidP="009C5D6D">
      <w:pPr>
        <w:pStyle w:val="Body"/>
        <w:numPr>
          <w:ilvl w:val="0"/>
          <w:numId w:val="35"/>
        </w:numPr>
        <w:rPr>
          <w:rFonts w:ascii="Arial" w:hAnsi="Arial" w:cs="Arial"/>
        </w:rPr>
      </w:pPr>
      <w:r w:rsidRPr="009C5D6D">
        <w:rPr>
          <w:rFonts w:ascii="Arial" w:hAnsi="Arial" w:cs="Arial"/>
        </w:rPr>
        <w:t xml:space="preserve">Gore, V. </w:t>
      </w:r>
      <w:r w:rsidRPr="009C5D6D">
        <w:rPr>
          <w:rFonts w:ascii="Arial" w:hAnsi="Arial" w:cs="Arial"/>
          <w:i/>
          <w:iCs/>
        </w:rPr>
        <w:t>et al.</w:t>
      </w:r>
      <w:r w:rsidRPr="009C5D6D">
        <w:rPr>
          <w:rFonts w:ascii="Arial" w:hAnsi="Arial" w:cs="Arial"/>
        </w:rPr>
        <w:t xml:space="preserve"> (2019) ‘Relationship between optical perfusion pressure and systemic blood pressure on glaucoma: Case–control study’, </w:t>
      </w:r>
      <w:r w:rsidRPr="009C5D6D">
        <w:rPr>
          <w:rFonts w:ascii="Arial" w:hAnsi="Arial" w:cs="Arial"/>
          <w:i/>
          <w:iCs/>
        </w:rPr>
        <w:t>Oman Journal of Ophthalmology</w:t>
      </w:r>
      <w:r w:rsidRPr="009C5D6D">
        <w:rPr>
          <w:rFonts w:ascii="Arial" w:hAnsi="Arial" w:cs="Arial"/>
        </w:rPr>
        <w:t>, 12(3), pp. 150–155. Available at: https://doi.org/10.4103/ojo.OJO_112_2018.</w:t>
      </w:r>
    </w:p>
    <w:p w14:paraId="6B5FDFCB" w14:textId="77777777" w:rsidR="009C5D6D" w:rsidRPr="009C5D6D" w:rsidRDefault="009C5D6D" w:rsidP="009C5D6D">
      <w:pPr>
        <w:pStyle w:val="Body"/>
        <w:numPr>
          <w:ilvl w:val="0"/>
          <w:numId w:val="35"/>
        </w:numPr>
        <w:rPr>
          <w:rFonts w:ascii="Arial" w:hAnsi="Arial" w:cs="Arial"/>
        </w:rPr>
      </w:pPr>
      <w:r w:rsidRPr="009C5D6D">
        <w:rPr>
          <w:rFonts w:ascii="Arial" w:hAnsi="Arial" w:cs="Arial"/>
        </w:rPr>
        <w:t xml:space="preserve">Kang, I.S. </w:t>
      </w:r>
      <w:r w:rsidRPr="009C5D6D">
        <w:rPr>
          <w:rFonts w:ascii="Arial" w:hAnsi="Arial" w:cs="Arial"/>
          <w:i/>
          <w:iCs/>
        </w:rPr>
        <w:t>et al.</w:t>
      </w:r>
      <w:r w:rsidRPr="009C5D6D">
        <w:rPr>
          <w:rFonts w:ascii="Arial" w:hAnsi="Arial" w:cs="Arial"/>
        </w:rPr>
        <w:t xml:space="preserve"> (2016) ‘Higher Blood Pressure Variability in White Coat Hypertension ; from the Korean Ambulatory Blood Pressure Monitoring Registry’, pp. 365–373.</w:t>
      </w:r>
    </w:p>
    <w:p w14:paraId="58195360" w14:textId="77777777" w:rsidR="009C5D6D" w:rsidRPr="009C5D6D" w:rsidRDefault="009C5D6D" w:rsidP="009C5D6D">
      <w:pPr>
        <w:pStyle w:val="Body"/>
        <w:numPr>
          <w:ilvl w:val="0"/>
          <w:numId w:val="35"/>
        </w:numPr>
        <w:rPr>
          <w:rFonts w:ascii="Arial" w:hAnsi="Arial" w:cs="Arial"/>
        </w:rPr>
      </w:pPr>
      <w:r w:rsidRPr="009C5D6D">
        <w:rPr>
          <w:rFonts w:ascii="Arial" w:hAnsi="Arial" w:cs="Arial"/>
        </w:rPr>
        <w:t xml:space="preserve">Khandelwal, Rekha </w:t>
      </w:r>
      <w:r w:rsidRPr="009C5D6D">
        <w:rPr>
          <w:rFonts w:ascii="Arial" w:hAnsi="Arial" w:cs="Arial"/>
          <w:i/>
          <w:iCs/>
        </w:rPr>
        <w:t>et al.</w:t>
      </w:r>
      <w:r w:rsidRPr="009C5D6D">
        <w:rPr>
          <w:rFonts w:ascii="Arial" w:hAnsi="Arial" w:cs="Arial"/>
        </w:rPr>
        <w:t xml:space="preserve"> (2020) ‘Correlation of open-angle glaucoma and ocular perfusion pressure in hypertensive individuals’, </w:t>
      </w:r>
      <w:r w:rsidRPr="009C5D6D">
        <w:rPr>
          <w:rFonts w:ascii="Arial" w:hAnsi="Arial" w:cs="Arial"/>
          <w:i/>
          <w:iCs/>
        </w:rPr>
        <w:t>Journal of Clinical Ophthalmology and Research</w:t>
      </w:r>
      <w:r w:rsidRPr="009C5D6D">
        <w:rPr>
          <w:rFonts w:ascii="Arial" w:hAnsi="Arial" w:cs="Arial"/>
        </w:rPr>
        <w:t>, 8(1), p. 5. Available at: https://doi.org/10.4103/jcor.jcor_90_18.</w:t>
      </w:r>
    </w:p>
    <w:p w14:paraId="5EA0619D" w14:textId="77777777" w:rsidR="009C5D6D" w:rsidRPr="009C5D6D" w:rsidRDefault="009C5D6D" w:rsidP="009C5D6D">
      <w:pPr>
        <w:pStyle w:val="Body"/>
        <w:numPr>
          <w:ilvl w:val="0"/>
          <w:numId w:val="35"/>
        </w:numPr>
        <w:rPr>
          <w:rFonts w:ascii="Arial" w:hAnsi="Arial" w:cs="Arial"/>
        </w:rPr>
      </w:pPr>
      <w:r w:rsidRPr="009C5D6D">
        <w:rPr>
          <w:rFonts w:ascii="Arial" w:hAnsi="Arial" w:cs="Arial"/>
        </w:rPr>
        <w:t>Kim, H.C. and Cho, M. (2018) ‘Korea hypertension fact sheet 2018’, pp. 2016–2019.</w:t>
      </w:r>
    </w:p>
    <w:p w14:paraId="49CDB8C6" w14:textId="77777777" w:rsidR="009C5D6D" w:rsidRPr="009C5D6D" w:rsidRDefault="009C5D6D" w:rsidP="009C5D6D">
      <w:pPr>
        <w:pStyle w:val="Body"/>
        <w:numPr>
          <w:ilvl w:val="0"/>
          <w:numId w:val="35"/>
        </w:numPr>
        <w:rPr>
          <w:rFonts w:ascii="Arial" w:hAnsi="Arial" w:cs="Arial"/>
        </w:rPr>
      </w:pPr>
      <w:r w:rsidRPr="009C5D6D">
        <w:rPr>
          <w:rFonts w:ascii="Arial" w:hAnsi="Arial" w:cs="Arial"/>
        </w:rPr>
        <w:t xml:space="preserve">Kim, K.E. </w:t>
      </w:r>
      <w:r w:rsidRPr="009C5D6D">
        <w:rPr>
          <w:rFonts w:ascii="Arial" w:hAnsi="Arial" w:cs="Arial"/>
          <w:i/>
          <w:iCs/>
        </w:rPr>
        <w:t>et al.</w:t>
      </w:r>
      <w:r w:rsidRPr="009C5D6D">
        <w:rPr>
          <w:rFonts w:ascii="Arial" w:hAnsi="Arial" w:cs="Arial"/>
        </w:rPr>
        <w:t xml:space="preserve"> (2020) ‘Ocular Perfusion Pressure and the Risk of Open-Angle Glaucoma : Systematic Review and Meta- analysis’, </w:t>
      </w:r>
      <w:r w:rsidRPr="009C5D6D">
        <w:rPr>
          <w:rFonts w:ascii="Arial" w:hAnsi="Arial" w:cs="Arial"/>
          <w:i/>
          <w:iCs/>
        </w:rPr>
        <w:t>Scientific Reports</w:t>
      </w:r>
      <w:r w:rsidRPr="009C5D6D">
        <w:rPr>
          <w:rFonts w:ascii="Arial" w:hAnsi="Arial" w:cs="Arial"/>
        </w:rPr>
        <w:t>, pp. 1–12. Available at: https://doi.org/10.1038/s41598-020-66914-w.</w:t>
      </w:r>
    </w:p>
    <w:p w14:paraId="74365D9E" w14:textId="77777777" w:rsidR="009C5D6D" w:rsidRPr="009C5D6D" w:rsidRDefault="009C5D6D" w:rsidP="009C5D6D">
      <w:pPr>
        <w:pStyle w:val="Body"/>
        <w:numPr>
          <w:ilvl w:val="0"/>
          <w:numId w:val="35"/>
        </w:numPr>
        <w:rPr>
          <w:rFonts w:ascii="Arial" w:hAnsi="Arial" w:cs="Arial"/>
        </w:rPr>
      </w:pPr>
      <w:r w:rsidRPr="009C5D6D">
        <w:rPr>
          <w:rFonts w:ascii="Arial" w:hAnsi="Arial" w:cs="Arial"/>
        </w:rPr>
        <w:t xml:space="preserve">Kyari, F. </w:t>
      </w:r>
      <w:r w:rsidRPr="009C5D6D">
        <w:rPr>
          <w:rFonts w:ascii="Arial" w:hAnsi="Arial" w:cs="Arial"/>
          <w:i/>
          <w:iCs/>
        </w:rPr>
        <w:t>et al.</w:t>
      </w:r>
      <w:r w:rsidRPr="009C5D6D">
        <w:rPr>
          <w:rFonts w:ascii="Arial" w:hAnsi="Arial" w:cs="Arial"/>
        </w:rPr>
        <w:t xml:space="preserve"> (2013) ‘Epidemiology of glaucoma in Sub-Saharan Africa: Prevalence, incidence and risk factors’, </w:t>
      </w:r>
      <w:r w:rsidRPr="009C5D6D">
        <w:rPr>
          <w:rFonts w:ascii="Arial" w:hAnsi="Arial" w:cs="Arial"/>
          <w:i/>
          <w:iCs/>
        </w:rPr>
        <w:t>Middle East African Journal of Ophthalmology</w:t>
      </w:r>
      <w:r w:rsidRPr="009C5D6D">
        <w:rPr>
          <w:rFonts w:ascii="Arial" w:hAnsi="Arial" w:cs="Arial"/>
        </w:rPr>
        <w:t>, 20(2), pp. 111–125. Available at: https://doi.org/10.4103/0974-9233.110605.</w:t>
      </w:r>
    </w:p>
    <w:p w14:paraId="64B2607F" w14:textId="77777777" w:rsidR="009C5D6D" w:rsidRPr="009C5D6D" w:rsidRDefault="009C5D6D" w:rsidP="009C5D6D">
      <w:pPr>
        <w:pStyle w:val="Body"/>
        <w:numPr>
          <w:ilvl w:val="0"/>
          <w:numId w:val="35"/>
        </w:numPr>
        <w:rPr>
          <w:rFonts w:ascii="Arial" w:hAnsi="Arial" w:cs="Arial"/>
        </w:rPr>
      </w:pPr>
      <w:r w:rsidRPr="009C5D6D">
        <w:rPr>
          <w:rFonts w:ascii="Arial" w:hAnsi="Arial" w:cs="Arial"/>
        </w:rPr>
        <w:t xml:space="preserve">MacIver, S., MacDonald, D. and Prokopich, C.L. (2019) ‘Screening, Diagnosis, and Management of Open Angle Glaucoma’, </w:t>
      </w:r>
      <w:r w:rsidRPr="009C5D6D">
        <w:rPr>
          <w:rFonts w:ascii="Arial" w:hAnsi="Arial" w:cs="Arial"/>
          <w:i/>
          <w:iCs/>
        </w:rPr>
        <w:t>Canadian Journal of Optometry</w:t>
      </w:r>
      <w:r w:rsidRPr="009C5D6D">
        <w:rPr>
          <w:rFonts w:ascii="Arial" w:hAnsi="Arial" w:cs="Arial"/>
        </w:rPr>
        <w:t>, 79(1), pp. 5–71. Available at: https://doi.org/10.15353/cjo.v79i1.1606.</w:t>
      </w:r>
    </w:p>
    <w:p w14:paraId="2A2CC9C5" w14:textId="77777777" w:rsidR="009C5D6D" w:rsidRPr="009C5D6D" w:rsidRDefault="009C5D6D" w:rsidP="009C5D6D">
      <w:pPr>
        <w:pStyle w:val="Body"/>
        <w:numPr>
          <w:ilvl w:val="0"/>
          <w:numId w:val="35"/>
        </w:numPr>
        <w:rPr>
          <w:rFonts w:ascii="Arial" w:hAnsi="Arial" w:cs="Arial"/>
        </w:rPr>
      </w:pPr>
      <w:r w:rsidRPr="009C5D6D">
        <w:rPr>
          <w:rFonts w:ascii="Arial" w:hAnsi="Arial" w:cs="Arial"/>
        </w:rPr>
        <w:t xml:space="preserve">Memarzadeh, F. </w:t>
      </w:r>
      <w:r w:rsidRPr="009C5D6D">
        <w:rPr>
          <w:rFonts w:ascii="Arial" w:hAnsi="Arial" w:cs="Arial"/>
          <w:i/>
          <w:iCs/>
        </w:rPr>
        <w:t>et al.</w:t>
      </w:r>
      <w:r w:rsidRPr="009C5D6D">
        <w:rPr>
          <w:rFonts w:ascii="Arial" w:hAnsi="Arial" w:cs="Arial"/>
        </w:rPr>
        <w:t xml:space="preserve"> (2010) ‘Glaucoma : The Los Angeles Latino Eye Study’, 51(6), pp. 2872–2877. Available at: https://doi.org/10.1167/iovs.08-2956.</w:t>
      </w:r>
    </w:p>
    <w:p w14:paraId="1345580C" w14:textId="77777777" w:rsidR="009C5D6D" w:rsidRPr="009C5D6D" w:rsidRDefault="009C5D6D" w:rsidP="009C5D6D">
      <w:pPr>
        <w:pStyle w:val="Body"/>
        <w:numPr>
          <w:ilvl w:val="0"/>
          <w:numId w:val="35"/>
        </w:numPr>
        <w:rPr>
          <w:rFonts w:ascii="Arial" w:hAnsi="Arial" w:cs="Arial"/>
        </w:rPr>
      </w:pPr>
      <w:r w:rsidRPr="009C5D6D">
        <w:rPr>
          <w:rFonts w:ascii="Arial" w:hAnsi="Arial" w:cs="Arial"/>
        </w:rPr>
        <w:t>Nyangi, G.I., Mlay, J.A. and Mackanja, E. (2025) ‘Prevalence and Associated Factors of Hypertension among Motorcycle Taxi Drivers in Kakonko District , Kigoma Region , Western Tanzania’, 7(2), pp. 79–85.</w:t>
      </w:r>
    </w:p>
    <w:p w14:paraId="664F70CA" w14:textId="77777777" w:rsidR="009C5D6D" w:rsidRPr="009C5D6D" w:rsidRDefault="009C5D6D" w:rsidP="009C5D6D">
      <w:pPr>
        <w:pStyle w:val="Body"/>
        <w:numPr>
          <w:ilvl w:val="0"/>
          <w:numId w:val="35"/>
        </w:numPr>
        <w:rPr>
          <w:rFonts w:ascii="Arial" w:hAnsi="Arial" w:cs="Arial"/>
        </w:rPr>
      </w:pPr>
      <w:r w:rsidRPr="009C5D6D">
        <w:rPr>
          <w:rFonts w:ascii="Arial" w:hAnsi="Arial" w:cs="Arial"/>
        </w:rPr>
        <w:t xml:space="preserve">Philippin, H. </w:t>
      </w:r>
      <w:r w:rsidRPr="009C5D6D">
        <w:rPr>
          <w:rFonts w:ascii="Arial" w:hAnsi="Arial" w:cs="Arial"/>
          <w:i/>
          <w:iCs/>
        </w:rPr>
        <w:t>et al.</w:t>
      </w:r>
      <w:r w:rsidRPr="009C5D6D">
        <w:rPr>
          <w:rFonts w:ascii="Arial" w:hAnsi="Arial" w:cs="Arial"/>
        </w:rPr>
        <w:t xml:space="preserve"> (2021) ‘Selective laser trabeculoplasty versus 0·5% timolol eye drops for the treatment of glaucoma in Tanzania: a randomised controlled trial’, </w:t>
      </w:r>
      <w:r w:rsidRPr="009C5D6D">
        <w:rPr>
          <w:rFonts w:ascii="Arial" w:hAnsi="Arial" w:cs="Arial"/>
          <w:i/>
          <w:iCs/>
        </w:rPr>
        <w:t>The Lancet Global Health</w:t>
      </w:r>
      <w:r w:rsidRPr="009C5D6D">
        <w:rPr>
          <w:rFonts w:ascii="Arial" w:hAnsi="Arial" w:cs="Arial"/>
        </w:rPr>
        <w:t>, 9(11), pp. e1589–e1599. Available at: https://doi.org/10.1016/S2214-109X(21)00348-X.</w:t>
      </w:r>
    </w:p>
    <w:p w14:paraId="10A6EA93" w14:textId="77777777" w:rsidR="009C5D6D" w:rsidRPr="009C5D6D" w:rsidRDefault="009C5D6D" w:rsidP="009C5D6D">
      <w:pPr>
        <w:pStyle w:val="Body"/>
        <w:numPr>
          <w:ilvl w:val="0"/>
          <w:numId w:val="35"/>
        </w:numPr>
        <w:rPr>
          <w:rFonts w:ascii="Arial" w:hAnsi="Arial" w:cs="Arial"/>
        </w:rPr>
      </w:pPr>
      <w:r w:rsidRPr="009C5D6D">
        <w:rPr>
          <w:rFonts w:ascii="Arial" w:hAnsi="Arial" w:cs="Arial"/>
        </w:rPr>
        <w:lastRenderedPageBreak/>
        <w:t>Press, D. (2011) ‘Risk factors for primary open-angle glaucoma in Japanese subjects attending community health screenings’, pp. 1531–1537.</w:t>
      </w:r>
    </w:p>
    <w:p w14:paraId="6E81C02C" w14:textId="77777777" w:rsidR="009C5D6D" w:rsidRPr="009C5D6D" w:rsidRDefault="009C5D6D" w:rsidP="009C5D6D">
      <w:pPr>
        <w:pStyle w:val="Body"/>
        <w:numPr>
          <w:ilvl w:val="0"/>
          <w:numId w:val="35"/>
        </w:numPr>
        <w:rPr>
          <w:rFonts w:ascii="Arial" w:hAnsi="Arial" w:cs="Arial"/>
        </w:rPr>
      </w:pPr>
      <w:r w:rsidRPr="009C5D6D">
        <w:rPr>
          <w:rFonts w:ascii="Arial" w:hAnsi="Arial" w:cs="Arial"/>
        </w:rPr>
        <w:t>Press, D. (2018) ‘Blood pressure , ocular perfusion pressure and open-angle glaucoma in patients with systemic hypertension’, pp. 1511–1517.</w:t>
      </w:r>
    </w:p>
    <w:p w14:paraId="02B64FB9" w14:textId="77777777" w:rsidR="009C5D6D" w:rsidRPr="009C5D6D" w:rsidRDefault="009C5D6D" w:rsidP="009C5D6D">
      <w:pPr>
        <w:pStyle w:val="Body"/>
        <w:numPr>
          <w:ilvl w:val="0"/>
          <w:numId w:val="35"/>
        </w:numPr>
        <w:rPr>
          <w:rFonts w:ascii="Arial" w:hAnsi="Arial" w:cs="Arial"/>
        </w:rPr>
      </w:pPr>
      <w:r w:rsidRPr="009C5D6D">
        <w:rPr>
          <w:rFonts w:ascii="Arial" w:hAnsi="Arial" w:cs="Arial"/>
        </w:rPr>
        <w:t xml:space="preserve">Rekha Mudhol* Manjushree KS, T.G. and Yakkundi, A.Y. (2021) ‘Ocular perfusion pressure: distribution and its relationship with glaucoma’, </w:t>
      </w:r>
      <w:r w:rsidRPr="009C5D6D">
        <w:rPr>
          <w:rFonts w:ascii="Arial" w:hAnsi="Arial" w:cs="Arial"/>
          <w:i/>
          <w:iCs/>
        </w:rPr>
        <w:t>Al Ameen Journal of Medical Sciences</w:t>
      </w:r>
      <w:r w:rsidRPr="009C5D6D">
        <w:rPr>
          <w:rFonts w:ascii="Arial" w:hAnsi="Arial" w:cs="Arial"/>
        </w:rPr>
        <w:t>, 14(4), pp. 318–325.</w:t>
      </w:r>
    </w:p>
    <w:p w14:paraId="271D29E0" w14:textId="77777777" w:rsidR="009C5D6D" w:rsidRPr="009C5D6D" w:rsidRDefault="009C5D6D" w:rsidP="009C5D6D">
      <w:pPr>
        <w:pStyle w:val="Body"/>
        <w:numPr>
          <w:ilvl w:val="0"/>
          <w:numId w:val="35"/>
        </w:numPr>
        <w:rPr>
          <w:rFonts w:ascii="Arial" w:hAnsi="Arial" w:cs="Arial"/>
        </w:rPr>
      </w:pPr>
      <w:r w:rsidRPr="009C5D6D">
        <w:rPr>
          <w:rFonts w:ascii="Arial" w:hAnsi="Arial" w:cs="Arial"/>
        </w:rPr>
        <w:t xml:space="preserve">Samsudin, A. </w:t>
      </w:r>
      <w:r w:rsidRPr="009C5D6D">
        <w:rPr>
          <w:rFonts w:ascii="Arial" w:hAnsi="Arial" w:cs="Arial"/>
          <w:i/>
          <w:iCs/>
        </w:rPr>
        <w:t>et al.</w:t>
      </w:r>
      <w:r w:rsidRPr="009C5D6D">
        <w:rPr>
          <w:rFonts w:ascii="Arial" w:hAnsi="Arial" w:cs="Arial"/>
        </w:rPr>
        <w:t xml:space="preserve"> (2016) ‘Ocular perfusion pressure and ophthalmic artery flow in patients with normal tension glaucoma’, </w:t>
      </w:r>
      <w:r w:rsidRPr="009C5D6D">
        <w:rPr>
          <w:rFonts w:ascii="Arial" w:hAnsi="Arial" w:cs="Arial"/>
          <w:i/>
          <w:iCs/>
        </w:rPr>
        <w:t>BMC Ophthalmology</w:t>
      </w:r>
      <w:r w:rsidRPr="009C5D6D">
        <w:rPr>
          <w:rFonts w:ascii="Arial" w:hAnsi="Arial" w:cs="Arial"/>
        </w:rPr>
        <w:t>, 16(1), pp. 1–5. Available at: https://doi.org/10.1186/s12886-016-0215-3.</w:t>
      </w:r>
    </w:p>
    <w:p w14:paraId="24DC3CA9" w14:textId="77777777" w:rsidR="009C5D6D" w:rsidRPr="009C5D6D" w:rsidRDefault="009C5D6D" w:rsidP="009C5D6D">
      <w:pPr>
        <w:pStyle w:val="Body"/>
        <w:numPr>
          <w:ilvl w:val="0"/>
          <w:numId w:val="35"/>
        </w:numPr>
        <w:rPr>
          <w:rFonts w:ascii="Arial" w:hAnsi="Arial" w:cs="Arial"/>
        </w:rPr>
      </w:pPr>
      <w:r w:rsidRPr="009C5D6D">
        <w:rPr>
          <w:rFonts w:ascii="Arial" w:hAnsi="Arial" w:cs="Arial"/>
        </w:rPr>
        <w:t xml:space="preserve">Sen, P.K., Khan, N. and Islam, M.S. (2018) ‘Effect of mean ocular perfusion pressure on primary open angle glaucoma’, </w:t>
      </w:r>
      <w:r w:rsidRPr="009C5D6D">
        <w:rPr>
          <w:rFonts w:ascii="Arial" w:hAnsi="Arial" w:cs="Arial"/>
          <w:i/>
          <w:iCs/>
        </w:rPr>
        <w:t>Bangabandhu Sheikh Mujib Medical University Journal</w:t>
      </w:r>
      <w:r w:rsidRPr="009C5D6D">
        <w:rPr>
          <w:rFonts w:ascii="Arial" w:hAnsi="Arial" w:cs="Arial"/>
        </w:rPr>
        <w:t>, 11(4), pp. 286–290. Available at: https://doi.org/10.3329/bsmmuj.v11i4.38618.</w:t>
      </w:r>
    </w:p>
    <w:p w14:paraId="300FF869" w14:textId="77777777" w:rsidR="009C5D6D" w:rsidRPr="009C5D6D" w:rsidRDefault="009C5D6D" w:rsidP="009C5D6D">
      <w:pPr>
        <w:pStyle w:val="Body"/>
        <w:numPr>
          <w:ilvl w:val="0"/>
          <w:numId w:val="35"/>
        </w:numPr>
        <w:rPr>
          <w:rFonts w:ascii="Arial" w:hAnsi="Arial" w:cs="Arial"/>
        </w:rPr>
      </w:pPr>
      <w:r w:rsidRPr="009C5D6D">
        <w:rPr>
          <w:rFonts w:ascii="Arial" w:hAnsi="Arial" w:cs="Arial"/>
        </w:rPr>
        <w:t xml:space="preserve">Tan, B.H. </w:t>
      </w:r>
      <w:r w:rsidRPr="009C5D6D">
        <w:rPr>
          <w:rFonts w:ascii="Arial" w:hAnsi="Arial" w:cs="Arial"/>
          <w:i/>
          <w:iCs/>
        </w:rPr>
        <w:t>et al.</w:t>
      </w:r>
      <w:r w:rsidRPr="009C5D6D">
        <w:rPr>
          <w:rFonts w:ascii="Arial" w:hAnsi="Arial" w:cs="Arial"/>
        </w:rPr>
        <w:t xml:space="preserve"> (2021) ‘Fluctuation in Blood Pressure and Intraocular Pressure in Normal Tension Glaucoma Using Ambulatory Monitoring’, </w:t>
      </w:r>
      <w:r w:rsidRPr="009C5D6D">
        <w:rPr>
          <w:rFonts w:ascii="Arial" w:hAnsi="Arial" w:cs="Arial"/>
          <w:i/>
          <w:iCs/>
        </w:rPr>
        <w:t>Journal of Glaucoma</w:t>
      </w:r>
      <w:r w:rsidRPr="009C5D6D">
        <w:rPr>
          <w:rFonts w:ascii="Arial" w:hAnsi="Arial" w:cs="Arial"/>
        </w:rPr>
        <w:t>, 30(4), pp. 304–311. Available at: https://doi.org/10.1097/IJG.0000000000001768.</w:t>
      </w:r>
    </w:p>
    <w:p w14:paraId="6FB9A5E4" w14:textId="77777777" w:rsidR="009C5D6D" w:rsidRPr="009C5D6D" w:rsidRDefault="009C5D6D" w:rsidP="009C5D6D">
      <w:pPr>
        <w:pStyle w:val="Body"/>
        <w:numPr>
          <w:ilvl w:val="0"/>
          <w:numId w:val="35"/>
        </w:numPr>
        <w:rPr>
          <w:rFonts w:ascii="Arial" w:hAnsi="Arial" w:cs="Arial"/>
        </w:rPr>
      </w:pPr>
      <w:r w:rsidRPr="009C5D6D">
        <w:rPr>
          <w:rFonts w:ascii="Arial" w:hAnsi="Arial" w:cs="Arial"/>
        </w:rPr>
        <w:t xml:space="preserve">Tham, Y.C. </w:t>
      </w:r>
      <w:r w:rsidRPr="009C5D6D">
        <w:rPr>
          <w:rFonts w:ascii="Arial" w:hAnsi="Arial" w:cs="Arial"/>
          <w:i/>
          <w:iCs/>
        </w:rPr>
        <w:t>et al.</w:t>
      </w:r>
      <w:r w:rsidRPr="009C5D6D">
        <w:rPr>
          <w:rFonts w:ascii="Arial" w:hAnsi="Arial" w:cs="Arial"/>
        </w:rPr>
        <w:t xml:space="preserve"> (2014) ‘Global prevalence of glaucoma and projections of glaucoma burden through 2040: A systematic review and meta-analysis’, </w:t>
      </w:r>
      <w:r w:rsidRPr="009C5D6D">
        <w:rPr>
          <w:rFonts w:ascii="Arial" w:hAnsi="Arial" w:cs="Arial"/>
          <w:i/>
          <w:iCs/>
        </w:rPr>
        <w:t>Ophthalmology</w:t>
      </w:r>
      <w:r w:rsidRPr="009C5D6D">
        <w:rPr>
          <w:rFonts w:ascii="Arial" w:hAnsi="Arial" w:cs="Arial"/>
        </w:rPr>
        <w:t>, 121(11), pp. 2081–2090. Available at: https://doi.org/10.1016/j.ophtha.2014.05.013.</w:t>
      </w:r>
    </w:p>
    <w:p w14:paraId="401DFC30" w14:textId="77777777" w:rsidR="009C5D6D" w:rsidRPr="009C5D6D" w:rsidRDefault="009C5D6D" w:rsidP="009C5D6D">
      <w:pPr>
        <w:pStyle w:val="Body"/>
        <w:numPr>
          <w:ilvl w:val="0"/>
          <w:numId w:val="35"/>
        </w:numPr>
        <w:rPr>
          <w:rFonts w:ascii="Arial" w:hAnsi="Arial" w:cs="Arial"/>
        </w:rPr>
      </w:pPr>
      <w:r w:rsidRPr="009C5D6D">
        <w:rPr>
          <w:rFonts w:ascii="Arial" w:hAnsi="Arial" w:cs="Arial"/>
        </w:rPr>
        <w:t xml:space="preserve">Tw, C. </w:t>
      </w:r>
      <w:r w:rsidRPr="009C5D6D">
        <w:rPr>
          <w:rFonts w:ascii="Arial" w:hAnsi="Arial" w:cs="Arial"/>
          <w:i/>
          <w:iCs/>
        </w:rPr>
        <w:t>et al.</w:t>
      </w:r>
      <w:r w:rsidRPr="009C5D6D">
        <w:rPr>
          <w:rFonts w:ascii="Arial" w:hAnsi="Arial" w:cs="Arial"/>
        </w:rPr>
        <w:t xml:space="preserve"> (2021) ‘Ocular Perfusion Pressure and Severity of Glaucoma : Is There a Link ?’</w:t>
      </w:r>
    </w:p>
    <w:p w14:paraId="596087B1" w14:textId="77777777" w:rsidR="009C5D6D" w:rsidRPr="009C5D6D" w:rsidRDefault="009C5D6D" w:rsidP="009C5D6D">
      <w:pPr>
        <w:pStyle w:val="Body"/>
        <w:numPr>
          <w:ilvl w:val="0"/>
          <w:numId w:val="35"/>
        </w:numPr>
        <w:rPr>
          <w:rFonts w:ascii="Arial" w:hAnsi="Arial" w:cs="Arial"/>
        </w:rPr>
      </w:pPr>
      <w:r w:rsidRPr="009C5D6D">
        <w:rPr>
          <w:rFonts w:ascii="Arial" w:hAnsi="Arial" w:cs="Arial"/>
        </w:rPr>
        <w:t xml:space="preserve">Yılmaz, S., Calikoglu, E.O. and Kosan, Z. (2019) ‘for an Uncommon Neurosurgical Emergency in a Developing Country’, </w:t>
      </w:r>
      <w:r w:rsidRPr="009C5D6D">
        <w:rPr>
          <w:rFonts w:ascii="Arial" w:hAnsi="Arial" w:cs="Arial"/>
          <w:i/>
          <w:iCs/>
        </w:rPr>
        <w:t>Nigerian Journal of Clinical Practice</w:t>
      </w:r>
      <w:r w:rsidRPr="009C5D6D">
        <w:rPr>
          <w:rFonts w:ascii="Arial" w:hAnsi="Arial" w:cs="Arial"/>
        </w:rPr>
        <w:t>, 22, pp. 1070–1077. Available at: https://doi.org/10.4103/njcp.njcp.</w:t>
      </w:r>
    </w:p>
    <w:p w14:paraId="67426B5D" w14:textId="77777777" w:rsidR="009C5D6D" w:rsidRPr="009C5D6D" w:rsidRDefault="009C5D6D" w:rsidP="009C5D6D">
      <w:pPr>
        <w:pStyle w:val="Body"/>
        <w:numPr>
          <w:ilvl w:val="0"/>
          <w:numId w:val="35"/>
        </w:numPr>
        <w:rPr>
          <w:rFonts w:ascii="Arial" w:hAnsi="Arial" w:cs="Arial"/>
        </w:rPr>
      </w:pPr>
      <w:r w:rsidRPr="009C5D6D">
        <w:rPr>
          <w:rFonts w:ascii="Arial" w:hAnsi="Arial" w:cs="Arial"/>
        </w:rPr>
        <w:t xml:space="preserve">Zheng, Y. </w:t>
      </w:r>
      <w:r w:rsidRPr="009C5D6D">
        <w:rPr>
          <w:rFonts w:ascii="Arial" w:hAnsi="Arial" w:cs="Arial"/>
          <w:i/>
          <w:iCs/>
        </w:rPr>
        <w:t>et al.</w:t>
      </w:r>
      <w:r w:rsidRPr="009C5D6D">
        <w:rPr>
          <w:rFonts w:ascii="Arial" w:hAnsi="Arial" w:cs="Arial"/>
        </w:rPr>
        <w:t xml:space="preserve"> (2010) ‘Distribution of ocular perfusion pressure and its relationship with open-angle glaucoma: The singapore malay eye study’, </w:t>
      </w:r>
      <w:r w:rsidRPr="009C5D6D">
        <w:rPr>
          <w:rFonts w:ascii="Arial" w:hAnsi="Arial" w:cs="Arial"/>
          <w:i/>
          <w:iCs/>
        </w:rPr>
        <w:t>Investigative Ophthalmology and Visual Science</w:t>
      </w:r>
      <w:r w:rsidRPr="009C5D6D">
        <w:rPr>
          <w:rFonts w:ascii="Arial" w:hAnsi="Arial" w:cs="Arial"/>
        </w:rPr>
        <w:t>, 51(7), pp. 3399–3404. Available at: https://doi.org/10.1167/iovs.09-4867.</w:t>
      </w:r>
    </w:p>
    <w:p w14:paraId="7A1DB55C" w14:textId="77777777" w:rsidR="009C5D6D" w:rsidRPr="009C5D6D" w:rsidRDefault="009C5D6D" w:rsidP="009C5D6D">
      <w:pPr>
        <w:pStyle w:val="Body"/>
        <w:numPr>
          <w:ilvl w:val="0"/>
          <w:numId w:val="35"/>
        </w:numPr>
        <w:rPr>
          <w:rFonts w:ascii="Arial" w:hAnsi="Arial" w:cs="Arial"/>
        </w:rPr>
      </w:pPr>
      <w:r w:rsidRPr="009C5D6D">
        <w:rPr>
          <w:rFonts w:ascii="Arial" w:hAnsi="Arial" w:cs="Arial"/>
        </w:rPr>
        <w:t xml:space="preserve">Zukerman, R. </w:t>
      </w:r>
      <w:r w:rsidRPr="009C5D6D">
        <w:rPr>
          <w:rFonts w:ascii="Arial" w:hAnsi="Arial" w:cs="Arial"/>
          <w:i/>
          <w:iCs/>
        </w:rPr>
        <w:t>et al.</w:t>
      </w:r>
      <w:r w:rsidRPr="009C5D6D">
        <w:rPr>
          <w:rFonts w:ascii="Arial" w:hAnsi="Arial" w:cs="Arial"/>
        </w:rPr>
        <w:t xml:space="preserve"> (2021) ‘Glaucoma heritability: Molecular mechanisms of disease’, </w:t>
      </w:r>
      <w:r w:rsidRPr="009C5D6D">
        <w:rPr>
          <w:rFonts w:ascii="Arial" w:hAnsi="Arial" w:cs="Arial"/>
          <w:i/>
          <w:iCs/>
        </w:rPr>
        <w:t>Genes</w:t>
      </w:r>
      <w:r w:rsidRPr="009C5D6D">
        <w:rPr>
          <w:rFonts w:ascii="Arial" w:hAnsi="Arial" w:cs="Arial"/>
        </w:rPr>
        <w:t>, 12(8). Available at: https://doi.org/10.3390/genes12081135.</w:t>
      </w:r>
    </w:p>
    <w:p w14:paraId="60C37DCF" w14:textId="77777777" w:rsidR="00441B6F" w:rsidRPr="009C5D6D" w:rsidRDefault="009C5D6D" w:rsidP="009C5D6D">
      <w:pPr>
        <w:pStyle w:val="Body"/>
        <w:spacing w:after="0"/>
        <w:rPr>
          <w:rFonts w:ascii="Arial" w:hAnsi="Arial" w:cs="Arial"/>
          <w:b/>
        </w:rPr>
      </w:pPr>
      <w:r w:rsidRPr="009C5D6D">
        <w:rPr>
          <w:rFonts w:ascii="Arial" w:hAnsi="Arial" w:cs="Arial"/>
        </w:rPr>
        <w:fldChar w:fldCharType="end"/>
      </w:r>
    </w:p>
    <w:p w14:paraId="46BE63E9" w14:textId="77777777" w:rsidR="00441B6F" w:rsidRDefault="00441B6F" w:rsidP="00441B6F">
      <w:pPr>
        <w:pStyle w:val="Body"/>
        <w:spacing w:after="0"/>
        <w:jc w:val="left"/>
        <w:rPr>
          <w:rFonts w:ascii="Arial" w:hAnsi="Arial" w:cs="Arial"/>
        </w:rPr>
      </w:pPr>
    </w:p>
    <w:p w14:paraId="110BC933" w14:textId="77777777" w:rsidR="009C5D6D" w:rsidRDefault="009C5D6D" w:rsidP="009C5D6D">
      <w:pPr>
        <w:pStyle w:val="Body"/>
        <w:spacing w:after="0"/>
        <w:rPr>
          <w:rFonts w:ascii="Arial" w:eastAsiaTheme="majorEastAsia" w:hAnsi="Arial" w:cs="Arial"/>
          <w:b/>
          <w:color w:val="000000" w:themeColor="text1"/>
          <w:kern w:val="24"/>
          <w:sz w:val="22"/>
          <w:szCs w:val="22"/>
        </w:rPr>
      </w:pPr>
      <w:r>
        <w:rPr>
          <w:rFonts w:ascii="Arial" w:eastAsiaTheme="majorEastAsia" w:hAnsi="Arial" w:cs="Arial"/>
          <w:b/>
          <w:color w:val="000000" w:themeColor="text1"/>
          <w:kern w:val="24"/>
          <w:sz w:val="22"/>
          <w:szCs w:val="22"/>
        </w:rPr>
        <w:t>ABBREVIATIONS</w:t>
      </w:r>
    </w:p>
    <w:p w14:paraId="0C325E0E" w14:textId="77777777" w:rsidR="009C5D6D" w:rsidRPr="009C5D6D" w:rsidRDefault="009C5D6D" w:rsidP="009C5D6D">
      <w:pPr>
        <w:pStyle w:val="Body"/>
        <w:spacing w:after="0"/>
        <w:rPr>
          <w:rFonts w:ascii="Arial" w:eastAsiaTheme="majorEastAsia" w:hAnsi="Arial" w:cs="Arial"/>
          <w:color w:val="000000" w:themeColor="text1"/>
          <w:kern w:val="24"/>
          <w:sz w:val="22"/>
          <w:szCs w:val="22"/>
        </w:rPr>
      </w:pPr>
      <w:r w:rsidRPr="009C5D6D">
        <w:rPr>
          <w:rFonts w:ascii="Arial" w:eastAsiaTheme="majorEastAsia" w:hAnsi="Arial" w:cs="Arial"/>
          <w:color w:val="000000" w:themeColor="text1"/>
          <w:kern w:val="24"/>
          <w:sz w:val="22"/>
          <w:szCs w:val="22"/>
        </w:rPr>
        <w:t>BP</w:t>
      </w:r>
      <w:r w:rsidRPr="009C5D6D">
        <w:rPr>
          <w:rFonts w:ascii="Arial" w:eastAsiaTheme="majorEastAsia" w:hAnsi="Arial" w:cs="Arial"/>
          <w:color w:val="000000" w:themeColor="text1"/>
          <w:kern w:val="24"/>
          <w:sz w:val="22"/>
          <w:szCs w:val="22"/>
        </w:rPr>
        <w:tab/>
      </w:r>
      <w:r w:rsidRPr="009C5D6D">
        <w:rPr>
          <w:rFonts w:ascii="Arial" w:eastAsiaTheme="majorEastAsia" w:hAnsi="Arial" w:cs="Arial"/>
          <w:color w:val="000000" w:themeColor="text1"/>
          <w:kern w:val="24"/>
          <w:sz w:val="22"/>
          <w:szCs w:val="22"/>
        </w:rPr>
        <w:tab/>
        <w:t>Blood Pressure</w:t>
      </w:r>
    </w:p>
    <w:p w14:paraId="034EFF3B" w14:textId="77777777" w:rsidR="009C5D6D" w:rsidRPr="009C5D6D" w:rsidRDefault="009C5D6D" w:rsidP="009C5D6D">
      <w:pPr>
        <w:pStyle w:val="Body"/>
        <w:spacing w:after="0"/>
        <w:rPr>
          <w:rFonts w:ascii="Arial" w:eastAsiaTheme="majorEastAsia" w:hAnsi="Arial" w:cs="Arial"/>
          <w:color w:val="000000" w:themeColor="text1"/>
          <w:kern w:val="24"/>
          <w:sz w:val="22"/>
          <w:szCs w:val="22"/>
        </w:rPr>
      </w:pPr>
      <w:r w:rsidRPr="009C5D6D">
        <w:rPr>
          <w:rFonts w:ascii="Arial" w:eastAsiaTheme="majorEastAsia" w:hAnsi="Arial" w:cs="Arial"/>
          <w:color w:val="000000" w:themeColor="text1"/>
          <w:kern w:val="24"/>
          <w:sz w:val="22"/>
          <w:szCs w:val="22"/>
        </w:rPr>
        <w:t>CDR</w:t>
      </w:r>
      <w:r w:rsidRPr="009C5D6D">
        <w:rPr>
          <w:rFonts w:ascii="Arial" w:eastAsiaTheme="majorEastAsia" w:hAnsi="Arial" w:cs="Arial"/>
          <w:color w:val="000000" w:themeColor="text1"/>
          <w:kern w:val="24"/>
          <w:sz w:val="22"/>
          <w:szCs w:val="22"/>
        </w:rPr>
        <w:tab/>
      </w:r>
      <w:r w:rsidRPr="009C5D6D">
        <w:rPr>
          <w:rFonts w:ascii="Arial" w:eastAsiaTheme="majorEastAsia" w:hAnsi="Arial" w:cs="Arial"/>
          <w:color w:val="000000" w:themeColor="text1"/>
          <w:kern w:val="24"/>
          <w:sz w:val="22"/>
          <w:szCs w:val="22"/>
        </w:rPr>
        <w:tab/>
        <w:t>Cup Disk Ratio</w:t>
      </w:r>
    </w:p>
    <w:p w14:paraId="08A21A22" w14:textId="77777777" w:rsidR="009C5D6D" w:rsidRPr="009C5D6D" w:rsidRDefault="009C5D6D" w:rsidP="009C5D6D">
      <w:pPr>
        <w:pStyle w:val="Body"/>
        <w:spacing w:after="0"/>
        <w:rPr>
          <w:rFonts w:ascii="Arial" w:eastAsiaTheme="majorEastAsia" w:hAnsi="Arial" w:cs="Arial"/>
          <w:color w:val="000000" w:themeColor="text1"/>
          <w:kern w:val="24"/>
          <w:sz w:val="22"/>
          <w:szCs w:val="22"/>
        </w:rPr>
      </w:pPr>
      <w:r w:rsidRPr="009C5D6D">
        <w:rPr>
          <w:rFonts w:ascii="Arial" w:eastAsiaTheme="majorEastAsia" w:hAnsi="Arial" w:cs="Arial"/>
          <w:color w:val="000000" w:themeColor="text1"/>
          <w:kern w:val="24"/>
          <w:sz w:val="22"/>
          <w:szCs w:val="22"/>
        </w:rPr>
        <w:t>CI</w:t>
      </w:r>
      <w:r w:rsidRPr="009C5D6D">
        <w:rPr>
          <w:rFonts w:ascii="Arial" w:eastAsiaTheme="majorEastAsia" w:hAnsi="Arial" w:cs="Arial"/>
          <w:color w:val="000000" w:themeColor="text1"/>
          <w:kern w:val="24"/>
          <w:sz w:val="22"/>
          <w:szCs w:val="22"/>
        </w:rPr>
        <w:tab/>
      </w:r>
      <w:r w:rsidRPr="009C5D6D">
        <w:rPr>
          <w:rFonts w:ascii="Arial" w:eastAsiaTheme="majorEastAsia" w:hAnsi="Arial" w:cs="Arial"/>
          <w:color w:val="000000" w:themeColor="text1"/>
          <w:kern w:val="24"/>
          <w:sz w:val="22"/>
          <w:szCs w:val="22"/>
        </w:rPr>
        <w:tab/>
        <w:t>Confidence Intervals</w:t>
      </w:r>
    </w:p>
    <w:p w14:paraId="4DD13776" w14:textId="77777777" w:rsidR="009C5D6D" w:rsidRPr="009C5D6D" w:rsidRDefault="009C5D6D" w:rsidP="009C5D6D">
      <w:pPr>
        <w:pStyle w:val="Body"/>
        <w:spacing w:after="0"/>
        <w:rPr>
          <w:rFonts w:ascii="Arial" w:eastAsiaTheme="majorEastAsia" w:hAnsi="Arial" w:cs="Arial"/>
          <w:color w:val="000000" w:themeColor="text1"/>
          <w:kern w:val="24"/>
          <w:sz w:val="22"/>
          <w:szCs w:val="22"/>
        </w:rPr>
      </w:pPr>
      <w:r w:rsidRPr="009C5D6D">
        <w:rPr>
          <w:rFonts w:ascii="Arial" w:eastAsiaTheme="majorEastAsia" w:hAnsi="Arial" w:cs="Arial"/>
          <w:color w:val="000000" w:themeColor="text1"/>
          <w:kern w:val="24"/>
          <w:sz w:val="22"/>
          <w:szCs w:val="22"/>
        </w:rPr>
        <w:t>DPP</w:t>
      </w:r>
      <w:r w:rsidRPr="009C5D6D">
        <w:rPr>
          <w:rFonts w:ascii="Arial" w:eastAsiaTheme="majorEastAsia" w:hAnsi="Arial" w:cs="Arial"/>
          <w:color w:val="000000" w:themeColor="text1"/>
          <w:kern w:val="24"/>
          <w:sz w:val="22"/>
          <w:szCs w:val="22"/>
        </w:rPr>
        <w:tab/>
      </w:r>
      <w:r w:rsidRPr="009C5D6D">
        <w:rPr>
          <w:rFonts w:ascii="Arial" w:eastAsiaTheme="majorEastAsia" w:hAnsi="Arial" w:cs="Arial"/>
          <w:color w:val="000000" w:themeColor="text1"/>
          <w:kern w:val="24"/>
          <w:sz w:val="22"/>
          <w:szCs w:val="22"/>
        </w:rPr>
        <w:tab/>
        <w:t>Diastolic Perfusion Pressure</w:t>
      </w:r>
    </w:p>
    <w:p w14:paraId="6E4981AC" w14:textId="77777777" w:rsidR="009C5D6D" w:rsidRPr="009C5D6D" w:rsidRDefault="009C5D6D" w:rsidP="009C5D6D">
      <w:pPr>
        <w:pStyle w:val="Body"/>
        <w:spacing w:after="0"/>
        <w:rPr>
          <w:rFonts w:ascii="Arial" w:eastAsiaTheme="majorEastAsia" w:hAnsi="Arial" w:cs="Arial"/>
          <w:color w:val="000000" w:themeColor="text1"/>
          <w:kern w:val="24"/>
          <w:sz w:val="22"/>
          <w:szCs w:val="22"/>
        </w:rPr>
      </w:pPr>
      <w:r w:rsidRPr="009C5D6D">
        <w:rPr>
          <w:rFonts w:ascii="Arial" w:eastAsiaTheme="majorEastAsia" w:hAnsi="Arial" w:cs="Arial"/>
          <w:color w:val="000000" w:themeColor="text1"/>
          <w:kern w:val="24"/>
          <w:sz w:val="22"/>
          <w:szCs w:val="22"/>
        </w:rPr>
        <w:t>GHT</w:t>
      </w:r>
      <w:r w:rsidRPr="009C5D6D">
        <w:rPr>
          <w:rFonts w:ascii="Arial" w:eastAsiaTheme="majorEastAsia" w:hAnsi="Arial" w:cs="Arial"/>
          <w:color w:val="000000" w:themeColor="text1"/>
          <w:kern w:val="24"/>
          <w:sz w:val="22"/>
          <w:szCs w:val="22"/>
        </w:rPr>
        <w:tab/>
      </w:r>
      <w:r w:rsidRPr="009C5D6D">
        <w:rPr>
          <w:rFonts w:ascii="Arial" w:eastAsiaTheme="majorEastAsia" w:hAnsi="Arial" w:cs="Arial"/>
          <w:color w:val="000000" w:themeColor="text1"/>
          <w:kern w:val="24"/>
          <w:sz w:val="22"/>
          <w:szCs w:val="22"/>
        </w:rPr>
        <w:tab/>
        <w:t>Glaucoma Hemifield Test</w:t>
      </w:r>
    </w:p>
    <w:p w14:paraId="15008FE9" w14:textId="77777777" w:rsidR="009C5D6D" w:rsidRPr="009C5D6D" w:rsidRDefault="009C5D6D" w:rsidP="009C5D6D">
      <w:pPr>
        <w:pStyle w:val="Body"/>
        <w:spacing w:after="0"/>
        <w:rPr>
          <w:rFonts w:ascii="Arial" w:eastAsiaTheme="majorEastAsia" w:hAnsi="Arial" w:cs="Arial"/>
          <w:color w:val="000000" w:themeColor="text1"/>
          <w:kern w:val="24"/>
          <w:sz w:val="22"/>
          <w:szCs w:val="22"/>
        </w:rPr>
      </w:pPr>
      <w:r w:rsidRPr="009C5D6D">
        <w:rPr>
          <w:rFonts w:ascii="Arial" w:eastAsiaTheme="majorEastAsia" w:hAnsi="Arial" w:cs="Arial"/>
          <w:color w:val="000000" w:themeColor="text1"/>
          <w:kern w:val="24"/>
          <w:sz w:val="22"/>
          <w:szCs w:val="22"/>
        </w:rPr>
        <w:t>HR</w:t>
      </w:r>
      <w:r w:rsidRPr="009C5D6D">
        <w:rPr>
          <w:rFonts w:ascii="Arial" w:eastAsiaTheme="majorEastAsia" w:hAnsi="Arial" w:cs="Arial"/>
          <w:color w:val="000000" w:themeColor="text1"/>
          <w:kern w:val="24"/>
          <w:sz w:val="22"/>
          <w:szCs w:val="22"/>
        </w:rPr>
        <w:tab/>
      </w:r>
      <w:r w:rsidRPr="009C5D6D">
        <w:rPr>
          <w:rFonts w:ascii="Arial" w:eastAsiaTheme="majorEastAsia" w:hAnsi="Arial" w:cs="Arial"/>
          <w:color w:val="000000" w:themeColor="text1"/>
          <w:kern w:val="24"/>
          <w:sz w:val="22"/>
          <w:szCs w:val="22"/>
        </w:rPr>
        <w:tab/>
        <w:t>Hazard Ratio</w:t>
      </w:r>
    </w:p>
    <w:p w14:paraId="519D8AD3" w14:textId="77777777" w:rsidR="009C5D6D" w:rsidRPr="009C5D6D" w:rsidRDefault="009C5D6D" w:rsidP="009C5D6D">
      <w:pPr>
        <w:pStyle w:val="Body"/>
        <w:spacing w:after="0"/>
        <w:rPr>
          <w:rFonts w:ascii="Arial" w:eastAsiaTheme="majorEastAsia" w:hAnsi="Arial" w:cs="Arial"/>
          <w:color w:val="000000" w:themeColor="text1"/>
          <w:kern w:val="24"/>
          <w:sz w:val="22"/>
          <w:szCs w:val="22"/>
        </w:rPr>
      </w:pPr>
      <w:r w:rsidRPr="009C5D6D">
        <w:rPr>
          <w:rFonts w:ascii="Arial" w:eastAsiaTheme="majorEastAsia" w:hAnsi="Arial" w:cs="Arial"/>
          <w:color w:val="000000" w:themeColor="text1"/>
          <w:kern w:val="24"/>
          <w:sz w:val="22"/>
          <w:szCs w:val="22"/>
        </w:rPr>
        <w:lastRenderedPageBreak/>
        <w:t>HTG</w:t>
      </w:r>
      <w:r w:rsidRPr="009C5D6D">
        <w:rPr>
          <w:rFonts w:ascii="Arial" w:eastAsiaTheme="majorEastAsia" w:hAnsi="Arial" w:cs="Arial"/>
          <w:color w:val="000000" w:themeColor="text1"/>
          <w:kern w:val="24"/>
          <w:sz w:val="22"/>
          <w:szCs w:val="22"/>
        </w:rPr>
        <w:tab/>
      </w:r>
      <w:r w:rsidRPr="009C5D6D">
        <w:rPr>
          <w:rFonts w:ascii="Arial" w:eastAsiaTheme="majorEastAsia" w:hAnsi="Arial" w:cs="Arial"/>
          <w:color w:val="000000" w:themeColor="text1"/>
          <w:kern w:val="24"/>
          <w:sz w:val="22"/>
          <w:szCs w:val="22"/>
        </w:rPr>
        <w:tab/>
        <w:t>High Tension Glaucoma</w:t>
      </w:r>
    </w:p>
    <w:p w14:paraId="23E3AECD" w14:textId="77777777" w:rsidR="009C5D6D" w:rsidRPr="009C5D6D" w:rsidRDefault="009C5D6D" w:rsidP="009C5D6D">
      <w:pPr>
        <w:pStyle w:val="Body"/>
        <w:spacing w:after="0"/>
        <w:rPr>
          <w:rFonts w:ascii="Arial" w:eastAsiaTheme="majorEastAsia" w:hAnsi="Arial" w:cs="Arial"/>
          <w:color w:val="000000" w:themeColor="text1"/>
          <w:kern w:val="24"/>
          <w:sz w:val="22"/>
          <w:szCs w:val="22"/>
        </w:rPr>
      </w:pPr>
      <w:r w:rsidRPr="009C5D6D">
        <w:rPr>
          <w:rFonts w:ascii="Arial" w:eastAsiaTheme="majorEastAsia" w:hAnsi="Arial" w:cs="Arial"/>
          <w:color w:val="000000" w:themeColor="text1"/>
          <w:kern w:val="24"/>
          <w:sz w:val="22"/>
          <w:szCs w:val="22"/>
        </w:rPr>
        <w:t>IOP</w:t>
      </w:r>
      <w:r w:rsidRPr="009C5D6D">
        <w:rPr>
          <w:rFonts w:ascii="Arial" w:eastAsiaTheme="majorEastAsia" w:hAnsi="Arial" w:cs="Arial"/>
          <w:color w:val="000000" w:themeColor="text1"/>
          <w:kern w:val="24"/>
          <w:sz w:val="22"/>
          <w:szCs w:val="22"/>
        </w:rPr>
        <w:tab/>
      </w:r>
      <w:r w:rsidRPr="009C5D6D">
        <w:rPr>
          <w:rFonts w:ascii="Arial" w:eastAsiaTheme="majorEastAsia" w:hAnsi="Arial" w:cs="Arial"/>
          <w:color w:val="000000" w:themeColor="text1"/>
          <w:kern w:val="24"/>
          <w:sz w:val="22"/>
          <w:szCs w:val="22"/>
        </w:rPr>
        <w:tab/>
        <w:t>Intraocular Pressure</w:t>
      </w:r>
    </w:p>
    <w:p w14:paraId="70B5A265" w14:textId="77777777" w:rsidR="009C5D6D" w:rsidRPr="009C5D6D" w:rsidRDefault="009C5D6D" w:rsidP="009C5D6D">
      <w:pPr>
        <w:pStyle w:val="Body"/>
        <w:spacing w:after="0"/>
        <w:rPr>
          <w:rFonts w:ascii="Arial" w:eastAsiaTheme="majorEastAsia" w:hAnsi="Arial" w:cs="Arial"/>
          <w:color w:val="000000" w:themeColor="text1"/>
          <w:kern w:val="24"/>
          <w:sz w:val="22"/>
          <w:szCs w:val="22"/>
        </w:rPr>
      </w:pPr>
      <w:r w:rsidRPr="009C5D6D">
        <w:rPr>
          <w:rFonts w:ascii="Arial" w:eastAsiaTheme="majorEastAsia" w:hAnsi="Arial" w:cs="Arial"/>
          <w:color w:val="000000" w:themeColor="text1"/>
          <w:kern w:val="24"/>
          <w:sz w:val="22"/>
          <w:szCs w:val="22"/>
        </w:rPr>
        <w:t>KCMC</w:t>
      </w:r>
      <w:r w:rsidRPr="009C5D6D">
        <w:rPr>
          <w:rFonts w:ascii="Arial" w:eastAsiaTheme="majorEastAsia" w:hAnsi="Arial" w:cs="Arial"/>
          <w:color w:val="000000" w:themeColor="text1"/>
          <w:kern w:val="24"/>
          <w:sz w:val="22"/>
          <w:szCs w:val="22"/>
        </w:rPr>
        <w:tab/>
      </w:r>
      <w:r w:rsidRPr="009C5D6D">
        <w:rPr>
          <w:rFonts w:ascii="Arial" w:eastAsiaTheme="majorEastAsia" w:hAnsi="Arial" w:cs="Arial"/>
          <w:color w:val="000000" w:themeColor="text1"/>
          <w:kern w:val="24"/>
          <w:sz w:val="22"/>
          <w:szCs w:val="22"/>
        </w:rPr>
        <w:tab/>
        <w:t>Kilimanjaro Christian Medical Center</w:t>
      </w:r>
    </w:p>
    <w:p w14:paraId="0323F82D" w14:textId="77777777" w:rsidR="009C5D6D" w:rsidRPr="009C5D6D" w:rsidRDefault="009C5D6D" w:rsidP="009C5D6D">
      <w:pPr>
        <w:pStyle w:val="Body"/>
        <w:spacing w:after="0"/>
        <w:rPr>
          <w:rFonts w:ascii="Arial" w:eastAsiaTheme="majorEastAsia" w:hAnsi="Arial" w:cs="Arial"/>
          <w:color w:val="000000" w:themeColor="text1"/>
          <w:kern w:val="24"/>
          <w:sz w:val="22"/>
          <w:szCs w:val="22"/>
        </w:rPr>
      </w:pPr>
      <w:r w:rsidRPr="009C5D6D">
        <w:rPr>
          <w:rFonts w:ascii="Arial" w:eastAsiaTheme="majorEastAsia" w:hAnsi="Arial" w:cs="Arial"/>
          <w:color w:val="000000" w:themeColor="text1"/>
          <w:kern w:val="24"/>
          <w:sz w:val="22"/>
          <w:szCs w:val="22"/>
        </w:rPr>
        <w:t>MAP</w:t>
      </w:r>
      <w:r w:rsidRPr="009C5D6D">
        <w:rPr>
          <w:rFonts w:ascii="Arial" w:eastAsiaTheme="majorEastAsia" w:hAnsi="Arial" w:cs="Arial"/>
          <w:color w:val="000000" w:themeColor="text1"/>
          <w:kern w:val="24"/>
          <w:sz w:val="22"/>
          <w:szCs w:val="22"/>
        </w:rPr>
        <w:tab/>
      </w:r>
      <w:r w:rsidRPr="009C5D6D">
        <w:rPr>
          <w:rFonts w:ascii="Arial" w:eastAsiaTheme="majorEastAsia" w:hAnsi="Arial" w:cs="Arial"/>
          <w:color w:val="000000" w:themeColor="text1"/>
          <w:kern w:val="24"/>
          <w:sz w:val="22"/>
          <w:szCs w:val="22"/>
        </w:rPr>
        <w:tab/>
        <w:t>Mean Arterial Blood Pressure</w:t>
      </w:r>
    </w:p>
    <w:p w14:paraId="15F49703" w14:textId="77777777" w:rsidR="009C5D6D" w:rsidRPr="009C5D6D" w:rsidRDefault="009C5D6D" w:rsidP="009C5D6D">
      <w:pPr>
        <w:pStyle w:val="Body"/>
        <w:spacing w:after="0"/>
        <w:rPr>
          <w:rFonts w:ascii="Arial" w:eastAsiaTheme="majorEastAsia" w:hAnsi="Arial" w:cs="Arial"/>
          <w:color w:val="000000" w:themeColor="text1"/>
          <w:kern w:val="24"/>
          <w:sz w:val="22"/>
          <w:szCs w:val="22"/>
        </w:rPr>
      </w:pPr>
      <w:r w:rsidRPr="009C5D6D">
        <w:rPr>
          <w:rFonts w:ascii="Arial" w:eastAsiaTheme="majorEastAsia" w:hAnsi="Arial" w:cs="Arial"/>
          <w:color w:val="000000" w:themeColor="text1"/>
          <w:kern w:val="24"/>
          <w:sz w:val="22"/>
          <w:szCs w:val="22"/>
        </w:rPr>
        <w:t>MOPP</w:t>
      </w:r>
      <w:r w:rsidRPr="009C5D6D">
        <w:rPr>
          <w:rFonts w:ascii="Arial" w:eastAsiaTheme="majorEastAsia" w:hAnsi="Arial" w:cs="Arial"/>
          <w:color w:val="000000" w:themeColor="text1"/>
          <w:kern w:val="24"/>
          <w:sz w:val="22"/>
          <w:szCs w:val="22"/>
        </w:rPr>
        <w:tab/>
      </w:r>
      <w:r w:rsidRPr="009C5D6D">
        <w:rPr>
          <w:rFonts w:ascii="Arial" w:eastAsiaTheme="majorEastAsia" w:hAnsi="Arial" w:cs="Arial"/>
          <w:color w:val="000000" w:themeColor="text1"/>
          <w:kern w:val="24"/>
          <w:sz w:val="22"/>
          <w:szCs w:val="22"/>
        </w:rPr>
        <w:tab/>
        <w:t>Mean Ocular Perfusion Pressure</w:t>
      </w:r>
    </w:p>
    <w:p w14:paraId="63521E90" w14:textId="77777777" w:rsidR="009C5D6D" w:rsidRPr="009C5D6D" w:rsidRDefault="009C5D6D" w:rsidP="009C5D6D">
      <w:pPr>
        <w:pStyle w:val="Body"/>
        <w:spacing w:after="0"/>
        <w:rPr>
          <w:rFonts w:ascii="Arial" w:eastAsiaTheme="majorEastAsia" w:hAnsi="Arial" w:cs="Arial"/>
          <w:color w:val="000000" w:themeColor="text1"/>
          <w:kern w:val="24"/>
          <w:sz w:val="22"/>
          <w:szCs w:val="22"/>
        </w:rPr>
      </w:pPr>
      <w:r w:rsidRPr="009C5D6D">
        <w:rPr>
          <w:rFonts w:ascii="Arial" w:eastAsiaTheme="majorEastAsia" w:hAnsi="Arial" w:cs="Arial"/>
          <w:color w:val="000000" w:themeColor="text1"/>
          <w:kern w:val="24"/>
          <w:sz w:val="22"/>
          <w:szCs w:val="22"/>
        </w:rPr>
        <w:t>NTG</w:t>
      </w:r>
      <w:r w:rsidRPr="009C5D6D">
        <w:rPr>
          <w:rFonts w:ascii="Arial" w:eastAsiaTheme="majorEastAsia" w:hAnsi="Arial" w:cs="Arial"/>
          <w:color w:val="000000" w:themeColor="text1"/>
          <w:kern w:val="24"/>
          <w:sz w:val="22"/>
          <w:szCs w:val="22"/>
        </w:rPr>
        <w:tab/>
      </w:r>
      <w:r w:rsidRPr="009C5D6D">
        <w:rPr>
          <w:rFonts w:ascii="Arial" w:eastAsiaTheme="majorEastAsia" w:hAnsi="Arial" w:cs="Arial"/>
          <w:color w:val="000000" w:themeColor="text1"/>
          <w:kern w:val="24"/>
          <w:sz w:val="22"/>
          <w:szCs w:val="22"/>
        </w:rPr>
        <w:tab/>
        <w:t>Normal Tension Glaucoma</w:t>
      </w:r>
    </w:p>
    <w:p w14:paraId="606B6E4D" w14:textId="77777777" w:rsidR="009C5D6D" w:rsidRPr="009C5D6D" w:rsidRDefault="009C5D6D" w:rsidP="009C5D6D">
      <w:pPr>
        <w:pStyle w:val="Body"/>
        <w:spacing w:after="0"/>
        <w:rPr>
          <w:rFonts w:ascii="Arial" w:eastAsiaTheme="majorEastAsia" w:hAnsi="Arial" w:cs="Arial"/>
          <w:color w:val="000000" w:themeColor="text1"/>
          <w:kern w:val="24"/>
          <w:sz w:val="22"/>
          <w:szCs w:val="22"/>
        </w:rPr>
      </w:pPr>
      <w:r w:rsidRPr="009C5D6D">
        <w:rPr>
          <w:rFonts w:ascii="Arial" w:eastAsiaTheme="majorEastAsia" w:hAnsi="Arial" w:cs="Arial"/>
          <w:color w:val="000000" w:themeColor="text1"/>
          <w:kern w:val="24"/>
          <w:sz w:val="22"/>
          <w:szCs w:val="22"/>
        </w:rPr>
        <w:t>OAG</w:t>
      </w:r>
      <w:r w:rsidRPr="009C5D6D">
        <w:rPr>
          <w:rFonts w:ascii="Arial" w:eastAsiaTheme="majorEastAsia" w:hAnsi="Arial" w:cs="Arial"/>
          <w:color w:val="000000" w:themeColor="text1"/>
          <w:kern w:val="24"/>
          <w:sz w:val="22"/>
          <w:szCs w:val="22"/>
        </w:rPr>
        <w:tab/>
      </w:r>
      <w:r w:rsidRPr="009C5D6D">
        <w:rPr>
          <w:rFonts w:ascii="Arial" w:eastAsiaTheme="majorEastAsia" w:hAnsi="Arial" w:cs="Arial"/>
          <w:color w:val="000000" w:themeColor="text1"/>
          <w:kern w:val="24"/>
          <w:sz w:val="22"/>
          <w:szCs w:val="22"/>
        </w:rPr>
        <w:tab/>
        <w:t>Open-Angle Glaucoma</w:t>
      </w:r>
    </w:p>
    <w:p w14:paraId="147360B5" w14:textId="77777777" w:rsidR="009C5D6D" w:rsidRPr="009C5D6D" w:rsidRDefault="009C5D6D" w:rsidP="009C5D6D">
      <w:pPr>
        <w:pStyle w:val="Body"/>
        <w:spacing w:after="0"/>
        <w:rPr>
          <w:rFonts w:ascii="Arial" w:eastAsiaTheme="majorEastAsia" w:hAnsi="Arial" w:cs="Arial"/>
          <w:color w:val="000000" w:themeColor="text1"/>
          <w:kern w:val="24"/>
          <w:sz w:val="22"/>
          <w:szCs w:val="22"/>
        </w:rPr>
      </w:pPr>
      <w:r w:rsidRPr="009C5D6D">
        <w:rPr>
          <w:rFonts w:ascii="Arial" w:eastAsiaTheme="majorEastAsia" w:hAnsi="Arial" w:cs="Arial"/>
          <w:color w:val="000000" w:themeColor="text1"/>
          <w:kern w:val="24"/>
          <w:sz w:val="22"/>
          <w:szCs w:val="22"/>
        </w:rPr>
        <w:t>ONH</w:t>
      </w:r>
      <w:r w:rsidRPr="009C5D6D">
        <w:rPr>
          <w:rFonts w:ascii="Arial" w:eastAsiaTheme="majorEastAsia" w:hAnsi="Arial" w:cs="Arial"/>
          <w:color w:val="000000" w:themeColor="text1"/>
          <w:kern w:val="24"/>
          <w:sz w:val="22"/>
          <w:szCs w:val="22"/>
        </w:rPr>
        <w:tab/>
      </w:r>
      <w:r w:rsidRPr="009C5D6D">
        <w:rPr>
          <w:rFonts w:ascii="Arial" w:eastAsiaTheme="majorEastAsia" w:hAnsi="Arial" w:cs="Arial"/>
          <w:color w:val="000000" w:themeColor="text1"/>
          <w:kern w:val="24"/>
          <w:sz w:val="22"/>
          <w:szCs w:val="22"/>
        </w:rPr>
        <w:tab/>
        <w:t>Optic Nerve Head</w:t>
      </w:r>
    </w:p>
    <w:p w14:paraId="2951C657" w14:textId="77777777" w:rsidR="009C5D6D" w:rsidRPr="009C5D6D" w:rsidRDefault="009C5D6D" w:rsidP="009C5D6D">
      <w:pPr>
        <w:pStyle w:val="Body"/>
        <w:spacing w:after="0"/>
        <w:rPr>
          <w:rFonts w:ascii="Arial" w:eastAsiaTheme="majorEastAsia" w:hAnsi="Arial" w:cs="Arial"/>
          <w:color w:val="000000" w:themeColor="text1"/>
          <w:kern w:val="24"/>
          <w:sz w:val="22"/>
          <w:szCs w:val="22"/>
        </w:rPr>
      </w:pPr>
      <w:r w:rsidRPr="009C5D6D">
        <w:rPr>
          <w:rFonts w:ascii="Arial" w:eastAsiaTheme="majorEastAsia" w:hAnsi="Arial" w:cs="Arial"/>
          <w:color w:val="000000" w:themeColor="text1"/>
          <w:kern w:val="24"/>
          <w:sz w:val="22"/>
          <w:szCs w:val="22"/>
        </w:rPr>
        <w:t>OPP</w:t>
      </w:r>
      <w:r w:rsidRPr="009C5D6D">
        <w:rPr>
          <w:rFonts w:ascii="Arial" w:eastAsiaTheme="majorEastAsia" w:hAnsi="Arial" w:cs="Arial"/>
          <w:color w:val="000000" w:themeColor="text1"/>
          <w:kern w:val="24"/>
          <w:sz w:val="22"/>
          <w:szCs w:val="22"/>
        </w:rPr>
        <w:tab/>
      </w:r>
      <w:r w:rsidRPr="009C5D6D">
        <w:rPr>
          <w:rFonts w:ascii="Arial" w:eastAsiaTheme="majorEastAsia" w:hAnsi="Arial" w:cs="Arial"/>
          <w:color w:val="000000" w:themeColor="text1"/>
          <w:kern w:val="24"/>
          <w:sz w:val="22"/>
          <w:szCs w:val="22"/>
        </w:rPr>
        <w:tab/>
        <w:t>Ocular Perfusion Pressure</w:t>
      </w:r>
    </w:p>
    <w:p w14:paraId="4132AF21" w14:textId="77777777" w:rsidR="009C5D6D" w:rsidRPr="009C5D6D" w:rsidRDefault="009C5D6D" w:rsidP="009C5D6D">
      <w:pPr>
        <w:pStyle w:val="Body"/>
        <w:spacing w:after="0"/>
        <w:rPr>
          <w:rFonts w:ascii="Arial" w:eastAsiaTheme="majorEastAsia" w:hAnsi="Arial" w:cs="Arial"/>
          <w:color w:val="000000" w:themeColor="text1"/>
          <w:kern w:val="24"/>
          <w:sz w:val="22"/>
          <w:szCs w:val="22"/>
        </w:rPr>
      </w:pPr>
      <w:r w:rsidRPr="009C5D6D">
        <w:rPr>
          <w:rFonts w:ascii="Arial" w:eastAsiaTheme="majorEastAsia" w:hAnsi="Arial" w:cs="Arial"/>
          <w:color w:val="000000" w:themeColor="text1"/>
          <w:kern w:val="24"/>
          <w:sz w:val="22"/>
          <w:szCs w:val="22"/>
        </w:rPr>
        <w:t>POAG</w:t>
      </w:r>
      <w:r w:rsidRPr="009C5D6D">
        <w:rPr>
          <w:rFonts w:ascii="Arial" w:eastAsiaTheme="majorEastAsia" w:hAnsi="Arial" w:cs="Arial"/>
          <w:color w:val="000000" w:themeColor="text1"/>
          <w:kern w:val="24"/>
          <w:sz w:val="22"/>
          <w:szCs w:val="22"/>
        </w:rPr>
        <w:tab/>
      </w:r>
      <w:r w:rsidRPr="009C5D6D">
        <w:rPr>
          <w:rFonts w:ascii="Arial" w:eastAsiaTheme="majorEastAsia" w:hAnsi="Arial" w:cs="Arial"/>
          <w:color w:val="000000" w:themeColor="text1"/>
          <w:kern w:val="24"/>
          <w:sz w:val="22"/>
          <w:szCs w:val="22"/>
        </w:rPr>
        <w:tab/>
        <w:t>Primary Open Angle Glaucoma</w:t>
      </w:r>
    </w:p>
    <w:p w14:paraId="50754F51" w14:textId="77777777" w:rsidR="009C5D6D" w:rsidRPr="009C5D6D" w:rsidRDefault="009C5D6D" w:rsidP="009C5D6D">
      <w:pPr>
        <w:pStyle w:val="Body"/>
        <w:spacing w:after="0"/>
        <w:rPr>
          <w:rFonts w:ascii="Arial" w:eastAsiaTheme="majorEastAsia" w:hAnsi="Arial" w:cs="Arial"/>
          <w:color w:val="000000" w:themeColor="text1"/>
          <w:kern w:val="24"/>
          <w:sz w:val="22"/>
          <w:szCs w:val="22"/>
        </w:rPr>
      </w:pPr>
      <w:r w:rsidRPr="009C5D6D">
        <w:rPr>
          <w:rFonts w:ascii="Arial" w:eastAsiaTheme="majorEastAsia" w:hAnsi="Arial" w:cs="Arial"/>
          <w:color w:val="000000" w:themeColor="text1"/>
          <w:kern w:val="24"/>
          <w:sz w:val="22"/>
          <w:szCs w:val="22"/>
        </w:rPr>
        <w:t>RGC</w:t>
      </w:r>
      <w:r w:rsidRPr="009C5D6D">
        <w:rPr>
          <w:rFonts w:ascii="Arial" w:eastAsiaTheme="majorEastAsia" w:hAnsi="Arial" w:cs="Arial"/>
          <w:color w:val="000000" w:themeColor="text1"/>
          <w:kern w:val="24"/>
          <w:sz w:val="22"/>
          <w:szCs w:val="22"/>
        </w:rPr>
        <w:tab/>
      </w:r>
      <w:r w:rsidRPr="009C5D6D">
        <w:rPr>
          <w:rFonts w:ascii="Arial" w:eastAsiaTheme="majorEastAsia" w:hAnsi="Arial" w:cs="Arial"/>
          <w:color w:val="000000" w:themeColor="text1"/>
          <w:kern w:val="24"/>
          <w:sz w:val="22"/>
          <w:szCs w:val="22"/>
        </w:rPr>
        <w:tab/>
        <w:t>Retinal Ganglion Cell</w:t>
      </w:r>
    </w:p>
    <w:p w14:paraId="3F70B775" w14:textId="77777777" w:rsidR="009C5D6D" w:rsidRPr="009C5D6D" w:rsidRDefault="009C5D6D" w:rsidP="009C5D6D">
      <w:pPr>
        <w:pStyle w:val="Body"/>
        <w:spacing w:after="0"/>
        <w:rPr>
          <w:rFonts w:ascii="Arial" w:eastAsiaTheme="majorEastAsia" w:hAnsi="Arial" w:cs="Arial"/>
          <w:color w:val="000000" w:themeColor="text1"/>
          <w:kern w:val="24"/>
          <w:sz w:val="22"/>
          <w:szCs w:val="22"/>
        </w:rPr>
      </w:pPr>
      <w:r w:rsidRPr="009C5D6D">
        <w:rPr>
          <w:rFonts w:ascii="Arial" w:eastAsiaTheme="majorEastAsia" w:hAnsi="Arial" w:cs="Arial"/>
          <w:color w:val="000000" w:themeColor="text1"/>
          <w:kern w:val="24"/>
          <w:sz w:val="22"/>
          <w:szCs w:val="22"/>
        </w:rPr>
        <w:t>SD</w:t>
      </w:r>
      <w:r w:rsidRPr="009C5D6D">
        <w:rPr>
          <w:rFonts w:ascii="Arial" w:eastAsiaTheme="majorEastAsia" w:hAnsi="Arial" w:cs="Arial"/>
          <w:color w:val="000000" w:themeColor="text1"/>
          <w:kern w:val="24"/>
          <w:sz w:val="22"/>
          <w:szCs w:val="22"/>
        </w:rPr>
        <w:tab/>
      </w:r>
      <w:r w:rsidRPr="009C5D6D">
        <w:rPr>
          <w:rFonts w:ascii="Arial" w:eastAsiaTheme="majorEastAsia" w:hAnsi="Arial" w:cs="Arial"/>
          <w:color w:val="000000" w:themeColor="text1"/>
          <w:kern w:val="24"/>
          <w:sz w:val="22"/>
          <w:szCs w:val="22"/>
        </w:rPr>
        <w:tab/>
        <w:t>Standard Deviation</w:t>
      </w:r>
    </w:p>
    <w:p w14:paraId="623AE5F5" w14:textId="77777777" w:rsidR="009C5D6D" w:rsidRPr="009C5D6D" w:rsidRDefault="009C5D6D" w:rsidP="009C5D6D">
      <w:pPr>
        <w:pStyle w:val="Body"/>
        <w:spacing w:after="0"/>
        <w:rPr>
          <w:rFonts w:ascii="Arial" w:eastAsiaTheme="majorEastAsia" w:hAnsi="Arial" w:cs="Arial"/>
          <w:color w:val="000000" w:themeColor="text1"/>
          <w:kern w:val="24"/>
          <w:sz w:val="22"/>
          <w:szCs w:val="22"/>
        </w:rPr>
      </w:pPr>
      <w:r w:rsidRPr="009C5D6D">
        <w:rPr>
          <w:rFonts w:ascii="Arial" w:eastAsiaTheme="majorEastAsia" w:hAnsi="Arial" w:cs="Arial"/>
          <w:color w:val="000000" w:themeColor="text1"/>
          <w:kern w:val="24"/>
          <w:sz w:val="22"/>
          <w:szCs w:val="22"/>
        </w:rPr>
        <w:t>SPP</w:t>
      </w:r>
      <w:r w:rsidRPr="009C5D6D">
        <w:rPr>
          <w:rFonts w:ascii="Arial" w:eastAsiaTheme="majorEastAsia" w:hAnsi="Arial" w:cs="Arial"/>
          <w:color w:val="000000" w:themeColor="text1"/>
          <w:kern w:val="24"/>
          <w:sz w:val="22"/>
          <w:szCs w:val="22"/>
        </w:rPr>
        <w:tab/>
      </w:r>
      <w:r w:rsidRPr="009C5D6D">
        <w:rPr>
          <w:rFonts w:ascii="Arial" w:eastAsiaTheme="majorEastAsia" w:hAnsi="Arial" w:cs="Arial"/>
          <w:color w:val="000000" w:themeColor="text1"/>
          <w:kern w:val="24"/>
          <w:sz w:val="22"/>
          <w:szCs w:val="22"/>
        </w:rPr>
        <w:tab/>
        <w:t>Systolic Perfusion Pressure</w:t>
      </w:r>
    </w:p>
    <w:p w14:paraId="0894DBC6" w14:textId="77777777" w:rsidR="009C5D6D" w:rsidRPr="009C5D6D" w:rsidRDefault="009C5D6D" w:rsidP="009C5D6D">
      <w:pPr>
        <w:pStyle w:val="Body"/>
        <w:spacing w:after="0"/>
        <w:rPr>
          <w:rFonts w:ascii="Arial" w:eastAsiaTheme="majorEastAsia" w:hAnsi="Arial" w:cs="Arial"/>
          <w:color w:val="000000" w:themeColor="text1"/>
          <w:kern w:val="24"/>
          <w:sz w:val="22"/>
          <w:szCs w:val="22"/>
        </w:rPr>
      </w:pPr>
      <w:r w:rsidRPr="009C5D6D">
        <w:rPr>
          <w:rFonts w:ascii="Arial" w:eastAsiaTheme="majorEastAsia" w:hAnsi="Arial" w:cs="Arial"/>
          <w:color w:val="000000" w:themeColor="text1"/>
          <w:kern w:val="24"/>
          <w:sz w:val="22"/>
          <w:szCs w:val="22"/>
        </w:rPr>
        <w:t>UK</w:t>
      </w:r>
      <w:r w:rsidRPr="009C5D6D">
        <w:rPr>
          <w:rFonts w:ascii="Arial" w:eastAsiaTheme="majorEastAsia" w:hAnsi="Arial" w:cs="Arial"/>
          <w:color w:val="000000" w:themeColor="text1"/>
          <w:kern w:val="24"/>
          <w:sz w:val="22"/>
          <w:szCs w:val="22"/>
        </w:rPr>
        <w:tab/>
      </w:r>
      <w:r w:rsidRPr="009C5D6D">
        <w:rPr>
          <w:rFonts w:ascii="Arial" w:eastAsiaTheme="majorEastAsia" w:hAnsi="Arial" w:cs="Arial"/>
          <w:color w:val="000000" w:themeColor="text1"/>
          <w:kern w:val="24"/>
          <w:sz w:val="22"/>
          <w:szCs w:val="22"/>
        </w:rPr>
        <w:tab/>
        <w:t>United Kingdom</w:t>
      </w:r>
    </w:p>
    <w:p w14:paraId="51BFE065" w14:textId="77777777" w:rsidR="009C5D6D" w:rsidRPr="009C5D6D" w:rsidRDefault="009C5D6D" w:rsidP="009C5D6D">
      <w:pPr>
        <w:pStyle w:val="Body"/>
        <w:spacing w:after="0"/>
        <w:rPr>
          <w:rFonts w:ascii="Arial" w:eastAsiaTheme="majorEastAsia" w:hAnsi="Arial" w:cs="Arial"/>
          <w:color w:val="000000" w:themeColor="text1"/>
          <w:kern w:val="24"/>
          <w:sz w:val="22"/>
          <w:szCs w:val="22"/>
        </w:rPr>
      </w:pPr>
    </w:p>
    <w:p w14:paraId="491055A3" w14:textId="77777777" w:rsidR="00B01FCD" w:rsidRDefault="00B10036" w:rsidP="00441B6F">
      <w:pPr>
        <w:pStyle w:val="DefAcrHead"/>
        <w:spacing w:after="0"/>
        <w:jc w:val="both"/>
        <w:rPr>
          <w:rFonts w:ascii="Arial" w:hAnsi="Arial" w:cs="Arial"/>
        </w:rPr>
      </w:pPr>
      <w:r>
        <w:rPr>
          <w:rFonts w:ascii="Arial" w:hAnsi="Arial" w:cs="Arial"/>
        </w:rPr>
        <w:t>Definition of key terms</w:t>
      </w:r>
    </w:p>
    <w:p w14:paraId="12B22AFB" w14:textId="77777777" w:rsidR="00B10036" w:rsidRPr="00B10036" w:rsidRDefault="00B10036" w:rsidP="00B10036">
      <w:pPr>
        <w:pStyle w:val="Body"/>
        <w:spacing w:after="0"/>
        <w:rPr>
          <w:rFonts w:ascii="Arial" w:hAnsi="Arial" w:cs="Arial"/>
        </w:rPr>
      </w:pPr>
      <w:r w:rsidRPr="00B10036">
        <w:rPr>
          <w:rFonts w:ascii="Arial" w:hAnsi="Arial" w:cs="Arial"/>
        </w:rPr>
        <w:t>Glaucoma is a degenerative disease of the optic</w:t>
      </w:r>
      <w:r w:rsidRPr="00B10036">
        <w:rPr>
          <w:rFonts w:ascii="Arial" w:hAnsi="Arial" w:cs="Arial"/>
        </w:rPr>
        <w:t> </w:t>
      </w:r>
      <w:r w:rsidRPr="00B10036">
        <w:rPr>
          <w:rFonts w:ascii="Arial" w:hAnsi="Arial" w:cs="Arial"/>
        </w:rPr>
        <w:t xml:space="preserve">nerve caused by a variety of factors </w:t>
      </w:r>
      <w:r w:rsidRPr="00B10036">
        <w:rPr>
          <w:rFonts w:ascii="Arial" w:hAnsi="Arial" w:cs="Arial"/>
        </w:rPr>
        <w:fldChar w:fldCharType="begin" w:fldLock="1"/>
      </w:r>
      <w:r w:rsidRPr="00B10036">
        <w:rPr>
          <w:rFonts w:ascii="Arial" w:hAnsi="Arial" w:cs="Arial"/>
        </w:rPr>
        <w:instrText>ADDIN CSL_CITATION {"citationItems":[{"id":"ITEM-1","itemData":{"DOI":"10.1038/s41598-020-66914-w","ISSN":"2045-2322","author":[{"dropping-particle":"","family":"Kim","given":"Ko Eun","non-dropping-particle":"","parse-names":false,"suffix":""},{"dropping-particle":"","family":"Oh","given":"Sohee","non-dropping-particle":"","parse-names":false,"suffix":""},{"dropping-particle":"","family":"Baek","given":"Sung Uk","non-dropping-particle":"","parse-names":false,"suffix":""},{"dropping-particle":"","family":"Ahn","given":"Seong Joon","non-dropping-particle":"","parse-names":false,"suffix":""},{"dropping-particle":"","family":"Park","given":"Ki Ho","non-dropping-particle":"","parse-names":false,"suffix":""},{"dropping-particle":"","family":"Jeoung","given":"Jin Wook","non-dropping-particle":"","parse-names":false,"suffix":""}],"container-title":"Scientific Reports","id":"ITEM-1","issued":{"date-parts":[["2020"]]},"page":"1-12","publisher":"Springer US","title":"Ocular Perfusion Pressure and the Risk of Open-Angle Glaucoma : Systematic Review and Meta- analysis","type":"article-journal"},"uris":["http://www.mendeley.com/documents/?uuid=1c67522e-f222-4c26-b686-b0c1186854c3"]}],"mendeley":{"formattedCitation":"(K. E. Kim et al., 2020)","plainTextFormattedCitation":"(K. E. Kim et al., 2020)","previouslyFormattedCitation":"(Kim &lt;i&gt;et al.&lt;/i&gt;, 2020)"},"properties":{"noteIndex":0},"schema":"https://github.com/citation-style-language/schema/raw/master/csl-citation.json"}</w:instrText>
      </w:r>
      <w:r w:rsidRPr="00B10036">
        <w:rPr>
          <w:rFonts w:ascii="Arial" w:hAnsi="Arial" w:cs="Arial"/>
        </w:rPr>
        <w:fldChar w:fldCharType="separate"/>
      </w:r>
      <w:r w:rsidRPr="00B10036">
        <w:rPr>
          <w:rFonts w:ascii="Arial" w:hAnsi="Arial" w:cs="Arial"/>
        </w:rPr>
        <w:t>(K. E. Kim et al., 2020)</w:t>
      </w:r>
      <w:r w:rsidRPr="00B10036">
        <w:rPr>
          <w:rFonts w:ascii="Arial" w:hAnsi="Arial" w:cs="Arial"/>
        </w:rPr>
        <w:fldChar w:fldCharType="end"/>
      </w:r>
      <w:r w:rsidRPr="00B10036">
        <w:rPr>
          <w:rFonts w:ascii="Arial" w:hAnsi="Arial" w:cs="Arial"/>
        </w:rPr>
        <w:t>.</w:t>
      </w:r>
    </w:p>
    <w:p w14:paraId="58278DB7" w14:textId="77777777" w:rsidR="00B10036" w:rsidRPr="00B10036" w:rsidRDefault="00B10036" w:rsidP="00B10036">
      <w:pPr>
        <w:pStyle w:val="Body"/>
        <w:spacing w:after="0"/>
        <w:rPr>
          <w:rFonts w:ascii="Arial" w:hAnsi="Arial" w:cs="Arial"/>
        </w:rPr>
      </w:pPr>
      <w:r w:rsidRPr="00B10036">
        <w:rPr>
          <w:rFonts w:ascii="Arial" w:hAnsi="Arial" w:cs="Arial"/>
        </w:rPr>
        <w:t>Intraocular pressure is the fluid pressure inside the eye which ranges from 9 to 21 mmHg in</w:t>
      </w:r>
      <w:r w:rsidRPr="00B10036">
        <w:rPr>
          <w:rFonts w:ascii="Arial" w:hAnsi="Arial" w:cs="Arial"/>
        </w:rPr>
        <w:t> </w:t>
      </w:r>
      <w:r w:rsidRPr="00B10036">
        <w:rPr>
          <w:rFonts w:ascii="Arial" w:hAnsi="Arial" w:cs="Arial"/>
        </w:rPr>
        <w:t xml:space="preserve">normal cases </w:t>
      </w:r>
      <w:r w:rsidRPr="00B10036">
        <w:rPr>
          <w:rFonts w:ascii="Arial" w:hAnsi="Arial" w:cs="Arial"/>
        </w:rPr>
        <w:fldChar w:fldCharType="begin" w:fldLock="1"/>
      </w:r>
      <w:r w:rsidRPr="00B10036">
        <w:rPr>
          <w:rFonts w:ascii="Arial" w:hAnsi="Arial" w:cs="Arial"/>
        </w:rPr>
        <w:instrText>ADDIN CSL_CITATION {"citationItems":[{"id":"ITEM-1","itemData":{"DOI":"10.29309/tpmj/2016.23.03.1481","ISBN":"9781444149920","ISSN":"1024-8919","author":[{"dropping-particle":"","family":"Slater","given":"Roger M.","non-dropping-particle":"","parse-names":false,"suffix":""}],"container-title":"Handbook of Clinical Anaesthesia 3E","id":"ITEM-1","issue":"May","issued":{"date-parts":[["2011"]]},"page":"347-349","title":"Intraocular pressure","type":"article-journal"},"uris":["http://www.mendeley.com/documents/?uuid=275d010c-85f8-43b5-81b2-04d1ef68ba8f"]}],"mendeley":{"formattedCitation":"(Slater, 2011)","plainTextFormattedCitation":"(Slater, 2011)","previouslyFormattedCitation":"(Slater, 2011)"},"properties":{"noteIndex":0},"schema":"https://github.com/citation-style-language/schema/raw/master/csl-citation.json"}</w:instrText>
      </w:r>
      <w:r w:rsidRPr="00B10036">
        <w:rPr>
          <w:rFonts w:ascii="Arial" w:hAnsi="Arial" w:cs="Arial"/>
        </w:rPr>
        <w:fldChar w:fldCharType="separate"/>
      </w:r>
      <w:r w:rsidRPr="00B10036">
        <w:rPr>
          <w:rFonts w:ascii="Arial" w:hAnsi="Arial" w:cs="Arial"/>
        </w:rPr>
        <w:t>(Slater, 2011)</w:t>
      </w:r>
      <w:r w:rsidRPr="00B10036">
        <w:rPr>
          <w:rFonts w:ascii="Arial" w:hAnsi="Arial" w:cs="Arial"/>
        </w:rPr>
        <w:fldChar w:fldCharType="end"/>
      </w:r>
      <w:r w:rsidRPr="00B10036">
        <w:rPr>
          <w:rFonts w:ascii="Arial" w:hAnsi="Arial" w:cs="Arial"/>
        </w:rPr>
        <w:t>.</w:t>
      </w:r>
    </w:p>
    <w:p w14:paraId="0074779B" w14:textId="77777777" w:rsidR="00B10036" w:rsidRPr="00B10036" w:rsidRDefault="00B10036" w:rsidP="00B10036">
      <w:pPr>
        <w:pStyle w:val="Body"/>
        <w:spacing w:after="0"/>
        <w:rPr>
          <w:rFonts w:ascii="Arial" w:hAnsi="Arial" w:cs="Arial"/>
        </w:rPr>
      </w:pPr>
      <w:r w:rsidRPr="00B10036">
        <w:rPr>
          <w:rFonts w:ascii="Arial" w:hAnsi="Arial" w:cs="Arial"/>
        </w:rPr>
        <w:t>Ocular perfusion pressure is the pressure at which blood is supplied</w:t>
      </w:r>
      <w:r w:rsidRPr="00B10036">
        <w:rPr>
          <w:rFonts w:ascii="Arial" w:hAnsi="Arial" w:cs="Arial"/>
        </w:rPr>
        <w:t> </w:t>
      </w:r>
      <w:r w:rsidRPr="00B10036">
        <w:rPr>
          <w:rFonts w:ascii="Arial" w:hAnsi="Arial" w:cs="Arial"/>
        </w:rPr>
        <w:t xml:space="preserve">to the eye, defined as the difference between the pressure within the arteries and veins in the ocular blood vessels </w:t>
      </w:r>
      <w:r w:rsidRPr="00B10036">
        <w:rPr>
          <w:rFonts w:ascii="Arial" w:hAnsi="Arial" w:cs="Arial"/>
        </w:rPr>
        <w:fldChar w:fldCharType="begin" w:fldLock="1"/>
      </w:r>
      <w:r w:rsidRPr="00B10036">
        <w:rPr>
          <w:rFonts w:ascii="Arial" w:hAnsi="Arial" w:cs="Arial"/>
        </w:rPr>
        <w:instrText>ADDIN CSL_CITATION {"citationItems":[{"id":"ITEM-1","itemData":{"DOI":"10.1097/ICU.0b013e32831eef82.Ocular","ISBN":"6176321972","ISSN":"15378276","PMID":"1000000221","author":[{"dropping-particle":"","family":"Bailey","given":"Jordan","non-dropping-particle":"","parse-names":false,"suffix":""},{"dropping-particle":"","family":"Oliveri","given":"Anthony","non-dropping-particle":"","parse-names":false,"suffix":""},{"dropping-particle":"","family":"Levin","given":"Edward","non-dropping-particle":"","parse-names":false,"suffix":""}],"container-title":"Bone","id":"ITEM-1","issue":"1","issued":{"date-parts":[["2013"]]},"page":"1-7","title":"</w:instrText>
      </w:r>
      <w:r w:rsidRPr="00B10036">
        <w:rPr>
          <w:rFonts w:ascii="MS Gothic" w:eastAsia="MS Gothic" w:hAnsi="MS Gothic" w:cs="MS Gothic" w:hint="eastAsia"/>
        </w:rPr>
        <w:instrText>基因的改</w:instrText>
      </w:r>
      <w:r w:rsidRPr="00B10036">
        <w:rPr>
          <w:rFonts w:ascii="Microsoft JhengHei" w:eastAsia="Microsoft JhengHei" w:hAnsi="Microsoft JhengHei" w:cs="Microsoft JhengHei" w:hint="eastAsia"/>
        </w:rPr>
        <w:instrText>变</w:instrText>
      </w:r>
      <w:r w:rsidRPr="00B10036">
        <w:rPr>
          <w:rFonts w:ascii="Arial" w:hAnsi="Arial" w:cs="Arial"/>
        </w:rPr>
        <w:instrText>NIH Public Access","type":"article-journal","volume":"23"},"uris":["http://www.mendeley.com/documents/?uuid=25233744-a1d0-4e57-ac10-d84b1afce413"]}],"mendeley":{"formattedCitation":"(Bailey et al., 2013)","plainTextFormattedCitation":"(Bailey et al., 2013)","previouslyFormattedCitation":"(Bailey, Oliveri and Levin, 2013)"},"properties":{"noteIndex":0},"schema":"https://github.com/citation-style-language/schema/raw/master/csl-citation.json"}</w:instrText>
      </w:r>
      <w:r w:rsidRPr="00B10036">
        <w:rPr>
          <w:rFonts w:ascii="Arial" w:hAnsi="Arial" w:cs="Arial"/>
        </w:rPr>
        <w:fldChar w:fldCharType="separate"/>
      </w:r>
      <w:r w:rsidRPr="00B10036">
        <w:rPr>
          <w:rFonts w:ascii="Arial" w:hAnsi="Arial" w:cs="Arial"/>
        </w:rPr>
        <w:t>(Bailey et al., 2013)</w:t>
      </w:r>
      <w:r w:rsidRPr="00B10036">
        <w:rPr>
          <w:rFonts w:ascii="Arial" w:hAnsi="Arial" w:cs="Arial"/>
        </w:rPr>
        <w:fldChar w:fldCharType="end"/>
      </w:r>
      <w:r w:rsidRPr="00B10036">
        <w:rPr>
          <w:rFonts w:ascii="Arial" w:hAnsi="Arial" w:cs="Arial"/>
        </w:rPr>
        <w:t>.</w:t>
      </w:r>
    </w:p>
    <w:p w14:paraId="0F1D2BC9" w14:textId="77777777" w:rsidR="00B10036" w:rsidRPr="00B10036" w:rsidRDefault="00B10036" w:rsidP="00B10036">
      <w:pPr>
        <w:pStyle w:val="Body"/>
        <w:spacing w:after="0"/>
        <w:rPr>
          <w:rFonts w:ascii="Arial" w:hAnsi="Arial" w:cs="Arial"/>
        </w:rPr>
      </w:pPr>
      <w:r w:rsidRPr="00B10036">
        <w:rPr>
          <w:rFonts w:ascii="Arial" w:hAnsi="Arial" w:cs="Arial"/>
        </w:rPr>
        <w:t>Blood pressure is the pressure within the body’s main arterial system, is</w:t>
      </w:r>
      <w:r w:rsidRPr="00B10036">
        <w:rPr>
          <w:rFonts w:ascii="Arial" w:hAnsi="Arial" w:cs="Arial"/>
        </w:rPr>
        <w:t> </w:t>
      </w:r>
      <w:r w:rsidRPr="00B10036">
        <w:rPr>
          <w:rFonts w:ascii="Arial" w:hAnsi="Arial" w:cs="Arial"/>
        </w:rPr>
        <w:t xml:space="preserve">expressed in millimeters of mercury (mmHg) </w:t>
      </w:r>
      <w:r w:rsidRPr="00B10036">
        <w:rPr>
          <w:rFonts w:ascii="Arial" w:hAnsi="Arial" w:cs="Arial"/>
        </w:rPr>
        <w:fldChar w:fldCharType="begin" w:fldLock="1"/>
      </w:r>
      <w:r w:rsidRPr="00B10036">
        <w:rPr>
          <w:rFonts w:ascii="Arial" w:hAnsi="Arial" w:cs="Arial"/>
        </w:rPr>
        <w:instrText>ADDIN CSL_CITATION {"citationItems":[{"id":"ITEM-1","itemData":{"ISBN":"1305401821711","ISSN":"1466609X","PMID":"30305136","abstract":"Measurement of arterial pressure is one of the most basic elements of patient management. Arterial pressure is determined by the volume ejected by the heart into the arteries, the elastance of the walls of the arteries, and the rate at which the blood flows out of the arteries. This review will discuss the three forces that determine the pressure in a vessel: elastic, kinetic, and gravitational energy. Emphasis will be placed on the importance of the distribution of arterial resistances, the elastance of the walls of the large vessels, and critical closing pressures in small arteries and arterioles. Regulation of arterial pressure occurs through changes in cardiac output and changes in vascular resistance, but these two controlled variables can sometimes be in conflict.","author":[{"dropping-particle":"","family":"Magder","given":"S.","non-dropping-particle":"","parse-names":false,"suffix":""}],"container-title":"Critical Care","id":"ITEM-1","issue":"1","issued":{"date-parts":[["2018"]]},"page":"1-10","publisher":"Critical Care","title":"The meaning of blood pressure","type":"article-journal","volume":"22"},"uris":["http://www.mendeley.com/documents/?uuid=051a5b87-6a5d-4bd7-846f-fdc0e8f1a632"]}],"mendeley":{"formattedCitation":"(Magder, 2018)","plainTextFormattedCitation":"(Magder, 2018)","previouslyFormattedCitation":"(Magder, 2018)"},"properties":{"noteIndex":0},"schema":"https://github.com/citation-style-language/schema/raw/master/csl-citation.json"}</w:instrText>
      </w:r>
      <w:r w:rsidRPr="00B10036">
        <w:rPr>
          <w:rFonts w:ascii="Arial" w:hAnsi="Arial" w:cs="Arial"/>
        </w:rPr>
        <w:fldChar w:fldCharType="separate"/>
      </w:r>
      <w:r w:rsidRPr="00B10036">
        <w:rPr>
          <w:rFonts w:ascii="Arial" w:hAnsi="Arial" w:cs="Arial"/>
        </w:rPr>
        <w:t>(Magder, 2018)</w:t>
      </w:r>
      <w:r w:rsidRPr="00B10036">
        <w:rPr>
          <w:rFonts w:ascii="Arial" w:hAnsi="Arial" w:cs="Arial"/>
        </w:rPr>
        <w:fldChar w:fldCharType="end"/>
      </w:r>
      <w:r w:rsidRPr="00B10036">
        <w:rPr>
          <w:rFonts w:ascii="Arial" w:hAnsi="Arial" w:cs="Arial"/>
        </w:rPr>
        <w:t>.</w:t>
      </w:r>
    </w:p>
    <w:p w14:paraId="50CD8ED1" w14:textId="1EDAD7F3" w:rsidR="004D4277" w:rsidRPr="00FB3A86" w:rsidRDefault="004D4277" w:rsidP="00441B6F">
      <w:pPr>
        <w:pStyle w:val="Appendix"/>
        <w:spacing w:after="0"/>
        <w:jc w:val="both"/>
        <w:rPr>
          <w:rFonts w:ascii="Arial" w:hAnsi="Arial" w:cs="Arial"/>
          <w:b w:val="0"/>
        </w:rPr>
        <w:sectPr w:rsidR="004D4277" w:rsidRPr="00FB3A86" w:rsidSect="00CE601E">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78ECD3E5" w14:textId="69B6E998" w:rsidR="00B01FCD" w:rsidRPr="00FB3A86" w:rsidRDefault="00B01FCD" w:rsidP="00B10036">
      <w:pPr>
        <w:pStyle w:val="Appendix"/>
        <w:spacing w:after="0"/>
        <w:jc w:val="both"/>
        <w:rPr>
          <w:rFonts w:ascii="Arial" w:hAnsi="Arial" w:cs="Arial"/>
          <w:b w:val="0"/>
        </w:rPr>
      </w:pPr>
      <w:bookmarkStart w:id="23" w:name="_GoBack"/>
      <w:bookmarkEnd w:id="23"/>
    </w:p>
    <w:sectPr w:rsidR="00B01FCD" w:rsidRPr="00FB3A86" w:rsidSect="00CE601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E25CD" w14:textId="77777777" w:rsidR="004C7640" w:rsidRDefault="004C7640" w:rsidP="00C37E61">
      <w:r>
        <w:separator/>
      </w:r>
    </w:p>
  </w:endnote>
  <w:endnote w:type="continuationSeparator" w:id="0">
    <w:p w14:paraId="2631345E" w14:textId="77777777" w:rsidR="004C7640" w:rsidRDefault="004C764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9AEFF" w14:textId="77777777" w:rsidR="00CE601E" w:rsidRDefault="00CE6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A0E9B" w14:textId="77777777" w:rsidR="00CE601E" w:rsidRDefault="00CE60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AF3DB" w14:textId="6047B342" w:rsidR="006C3430" w:rsidRPr="00CE601E" w:rsidRDefault="006C3430" w:rsidP="00CE60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42D14" w14:textId="77777777" w:rsidR="006C3430" w:rsidRPr="00C37E61" w:rsidRDefault="006C343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92866" w14:textId="77777777" w:rsidR="004C7640" w:rsidRDefault="004C7640" w:rsidP="00C37E61">
      <w:r>
        <w:separator/>
      </w:r>
    </w:p>
  </w:footnote>
  <w:footnote w:type="continuationSeparator" w:id="0">
    <w:p w14:paraId="0D1C71CD" w14:textId="77777777" w:rsidR="004C7640" w:rsidRDefault="004C764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CA3CE" w14:textId="36208C22" w:rsidR="00CE601E" w:rsidRDefault="00CE601E">
    <w:pPr>
      <w:pStyle w:val="Header"/>
    </w:pPr>
    <w:r>
      <w:rPr>
        <w:noProof/>
      </w:rPr>
      <w:pict w14:anchorId="0EC852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18748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AA511" w14:textId="368F39B3" w:rsidR="00CE601E" w:rsidRDefault="00CE601E">
    <w:pPr>
      <w:pStyle w:val="Header"/>
    </w:pPr>
    <w:r>
      <w:rPr>
        <w:noProof/>
      </w:rPr>
      <w:pict w14:anchorId="32CE7C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18748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E58FC" w14:textId="018FC9EA" w:rsidR="006C3430" w:rsidRPr="00296529" w:rsidRDefault="00CE601E" w:rsidP="00296529">
    <w:pPr>
      <w:ind w:left="2160"/>
      <w:jc w:val="center"/>
      <w:rPr>
        <w:rFonts w:ascii="Times New Roman" w:eastAsia="Calibri" w:hAnsi="Times New Roman"/>
        <w:i/>
        <w:sz w:val="18"/>
        <w:szCs w:val="22"/>
      </w:rPr>
    </w:pPr>
    <w:r>
      <w:rPr>
        <w:noProof/>
      </w:rPr>
      <w:pict w14:anchorId="25AD39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18748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008891A" w14:textId="77777777" w:rsidR="006C3430" w:rsidRPr="00296529" w:rsidRDefault="006C343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2805DDA" w14:textId="77777777" w:rsidR="006C3430" w:rsidRPr="00296529" w:rsidRDefault="006C343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19D188A" w14:textId="77777777" w:rsidR="006C3430" w:rsidRPr="00296529" w:rsidRDefault="006C343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C31D48" w14:textId="77777777" w:rsidR="006C3430" w:rsidRDefault="006C343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2473803" w14:textId="77777777" w:rsidR="006C3430" w:rsidRDefault="006C343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13C914D" w14:textId="77777777" w:rsidR="006C3430" w:rsidRDefault="006C343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B42B9" w14:textId="2C1D8ADB" w:rsidR="00CE601E" w:rsidRDefault="00CE601E">
    <w:pPr>
      <w:pStyle w:val="Header"/>
    </w:pPr>
    <w:r>
      <w:rPr>
        <w:noProof/>
      </w:rPr>
      <w:pict w14:anchorId="5DF21B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18748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26E50" w14:textId="5288AC52" w:rsidR="00CE601E" w:rsidRDefault="00CE601E">
    <w:pPr>
      <w:pStyle w:val="Header"/>
    </w:pPr>
    <w:r>
      <w:rPr>
        <w:noProof/>
      </w:rPr>
      <w:pict w14:anchorId="5317C9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18748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5E56C" w14:textId="0F322BE1" w:rsidR="00CE601E" w:rsidRDefault="00CE601E">
    <w:pPr>
      <w:pStyle w:val="Header"/>
    </w:pPr>
    <w:r>
      <w:rPr>
        <w:noProof/>
      </w:rPr>
      <w:pict w14:anchorId="3BADA2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18748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6086F58"/>
    <w:multiLevelType w:val="hybridMultilevel"/>
    <w:tmpl w:val="8572EC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F9B70E7"/>
    <w:multiLevelType w:val="hybridMultilevel"/>
    <w:tmpl w:val="3D289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FBD5472"/>
    <w:multiLevelType w:val="hybridMultilevel"/>
    <w:tmpl w:val="D33AD26A"/>
    <w:lvl w:ilvl="0" w:tplc="DA4EA670">
      <w:start w:val="1"/>
      <w:numFmt w:val="bullet"/>
      <w:lvlText w:val=""/>
      <w:lvlJc w:val="left"/>
      <w:pPr>
        <w:tabs>
          <w:tab w:val="num" w:pos="720"/>
        </w:tabs>
        <w:ind w:left="720" w:hanging="360"/>
      </w:pPr>
      <w:rPr>
        <w:rFonts w:ascii="Wingdings" w:hAnsi="Wingdings" w:hint="default"/>
      </w:rPr>
    </w:lvl>
    <w:lvl w:ilvl="1" w:tplc="C52A82B2" w:tentative="1">
      <w:start w:val="1"/>
      <w:numFmt w:val="bullet"/>
      <w:lvlText w:val=""/>
      <w:lvlJc w:val="left"/>
      <w:pPr>
        <w:tabs>
          <w:tab w:val="num" w:pos="1440"/>
        </w:tabs>
        <w:ind w:left="1440" w:hanging="360"/>
      </w:pPr>
      <w:rPr>
        <w:rFonts w:ascii="Wingdings" w:hAnsi="Wingdings" w:hint="default"/>
      </w:rPr>
    </w:lvl>
    <w:lvl w:ilvl="2" w:tplc="5276E426" w:tentative="1">
      <w:start w:val="1"/>
      <w:numFmt w:val="bullet"/>
      <w:lvlText w:val=""/>
      <w:lvlJc w:val="left"/>
      <w:pPr>
        <w:tabs>
          <w:tab w:val="num" w:pos="2160"/>
        </w:tabs>
        <w:ind w:left="2160" w:hanging="360"/>
      </w:pPr>
      <w:rPr>
        <w:rFonts w:ascii="Wingdings" w:hAnsi="Wingdings" w:hint="default"/>
      </w:rPr>
    </w:lvl>
    <w:lvl w:ilvl="3" w:tplc="142EA400" w:tentative="1">
      <w:start w:val="1"/>
      <w:numFmt w:val="bullet"/>
      <w:lvlText w:val=""/>
      <w:lvlJc w:val="left"/>
      <w:pPr>
        <w:tabs>
          <w:tab w:val="num" w:pos="2880"/>
        </w:tabs>
        <w:ind w:left="2880" w:hanging="360"/>
      </w:pPr>
      <w:rPr>
        <w:rFonts w:ascii="Wingdings" w:hAnsi="Wingdings" w:hint="default"/>
      </w:rPr>
    </w:lvl>
    <w:lvl w:ilvl="4" w:tplc="2CBA49A6" w:tentative="1">
      <w:start w:val="1"/>
      <w:numFmt w:val="bullet"/>
      <w:lvlText w:val=""/>
      <w:lvlJc w:val="left"/>
      <w:pPr>
        <w:tabs>
          <w:tab w:val="num" w:pos="3600"/>
        </w:tabs>
        <w:ind w:left="3600" w:hanging="360"/>
      </w:pPr>
      <w:rPr>
        <w:rFonts w:ascii="Wingdings" w:hAnsi="Wingdings" w:hint="default"/>
      </w:rPr>
    </w:lvl>
    <w:lvl w:ilvl="5" w:tplc="D5FEF708" w:tentative="1">
      <w:start w:val="1"/>
      <w:numFmt w:val="bullet"/>
      <w:lvlText w:val=""/>
      <w:lvlJc w:val="left"/>
      <w:pPr>
        <w:tabs>
          <w:tab w:val="num" w:pos="4320"/>
        </w:tabs>
        <w:ind w:left="4320" w:hanging="360"/>
      </w:pPr>
      <w:rPr>
        <w:rFonts w:ascii="Wingdings" w:hAnsi="Wingdings" w:hint="default"/>
      </w:rPr>
    </w:lvl>
    <w:lvl w:ilvl="6" w:tplc="A6F694CA" w:tentative="1">
      <w:start w:val="1"/>
      <w:numFmt w:val="bullet"/>
      <w:lvlText w:val=""/>
      <w:lvlJc w:val="left"/>
      <w:pPr>
        <w:tabs>
          <w:tab w:val="num" w:pos="5040"/>
        </w:tabs>
        <w:ind w:left="5040" w:hanging="360"/>
      </w:pPr>
      <w:rPr>
        <w:rFonts w:ascii="Wingdings" w:hAnsi="Wingdings" w:hint="default"/>
      </w:rPr>
    </w:lvl>
    <w:lvl w:ilvl="7" w:tplc="91F608E8" w:tentative="1">
      <w:start w:val="1"/>
      <w:numFmt w:val="bullet"/>
      <w:lvlText w:val=""/>
      <w:lvlJc w:val="left"/>
      <w:pPr>
        <w:tabs>
          <w:tab w:val="num" w:pos="5760"/>
        </w:tabs>
        <w:ind w:left="5760" w:hanging="360"/>
      </w:pPr>
      <w:rPr>
        <w:rFonts w:ascii="Wingdings" w:hAnsi="Wingdings" w:hint="default"/>
      </w:rPr>
    </w:lvl>
    <w:lvl w:ilvl="8" w:tplc="0AB8802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0639D4"/>
    <w:multiLevelType w:val="hybridMultilevel"/>
    <w:tmpl w:val="79120932"/>
    <w:lvl w:ilvl="0" w:tplc="0409001B">
      <w:start w:val="1"/>
      <w:numFmt w:val="lowerRoman"/>
      <w:lvlText w:val="%1."/>
      <w:lvlJc w:val="righ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8355040"/>
    <w:multiLevelType w:val="hybridMultilevel"/>
    <w:tmpl w:val="DF1A9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9"/>
  </w:num>
  <w:num w:numId="10">
    <w:abstractNumId w:val="2"/>
  </w:num>
  <w:num w:numId="11">
    <w:abstractNumId w:val="22"/>
  </w:num>
  <w:num w:numId="12">
    <w:abstractNumId w:val="3"/>
  </w:num>
  <w:num w:numId="13">
    <w:abstractNumId w:val="21"/>
  </w:num>
  <w:num w:numId="14">
    <w:abstractNumId w:val="9"/>
  </w:num>
  <w:num w:numId="15">
    <w:abstractNumId w:val="25"/>
  </w:num>
  <w:num w:numId="16">
    <w:abstractNumId w:val="5"/>
  </w:num>
  <w:num w:numId="17">
    <w:abstractNumId w:val="26"/>
  </w:num>
  <w:num w:numId="18">
    <w:abstractNumId w:val="15"/>
  </w:num>
  <w:num w:numId="19">
    <w:abstractNumId w:val="33"/>
  </w:num>
  <w:num w:numId="20">
    <w:abstractNumId w:val="12"/>
  </w:num>
  <w:num w:numId="21">
    <w:abstractNumId w:val="10"/>
  </w:num>
  <w:num w:numId="22">
    <w:abstractNumId w:val="14"/>
  </w:num>
  <w:num w:numId="23">
    <w:abstractNumId w:val="23"/>
  </w:num>
  <w:num w:numId="24">
    <w:abstractNumId w:val="31"/>
  </w:num>
  <w:num w:numId="25">
    <w:abstractNumId w:val="4"/>
  </w:num>
  <w:num w:numId="26">
    <w:abstractNumId w:val="20"/>
  </w:num>
  <w:num w:numId="27">
    <w:abstractNumId w:val="24"/>
  </w:num>
  <w:num w:numId="28">
    <w:abstractNumId w:val="32"/>
  </w:num>
  <w:num w:numId="29">
    <w:abstractNumId w:val="28"/>
  </w:num>
  <w:num w:numId="30">
    <w:abstractNumId w:val="11"/>
  </w:num>
  <w:num w:numId="31">
    <w:abstractNumId w:val="30"/>
  </w:num>
  <w:num w:numId="32">
    <w:abstractNumId w:val="18"/>
  </w:num>
  <w:num w:numId="33">
    <w:abstractNumId w:val="7"/>
  </w:num>
  <w:num w:numId="34">
    <w:abstractNumId w:val="19"/>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3EE6"/>
    <w:rsid w:val="00030174"/>
    <w:rsid w:val="00033C3C"/>
    <w:rsid w:val="0004579C"/>
    <w:rsid w:val="000A47FA"/>
    <w:rsid w:val="000A65D3"/>
    <w:rsid w:val="000B1E33"/>
    <w:rsid w:val="000D689F"/>
    <w:rsid w:val="000E7B7B"/>
    <w:rsid w:val="000E7D62"/>
    <w:rsid w:val="00103357"/>
    <w:rsid w:val="00123C9F"/>
    <w:rsid w:val="00126190"/>
    <w:rsid w:val="001277C6"/>
    <w:rsid w:val="00130F17"/>
    <w:rsid w:val="001320BF"/>
    <w:rsid w:val="00163BC4"/>
    <w:rsid w:val="00191062"/>
    <w:rsid w:val="00192B72"/>
    <w:rsid w:val="001A29D8"/>
    <w:rsid w:val="001A5CAA"/>
    <w:rsid w:val="001B0427"/>
    <w:rsid w:val="001D3A51"/>
    <w:rsid w:val="001E10D2"/>
    <w:rsid w:val="001E25B4"/>
    <w:rsid w:val="001E2E2E"/>
    <w:rsid w:val="001E44FE"/>
    <w:rsid w:val="00200595"/>
    <w:rsid w:val="00204835"/>
    <w:rsid w:val="00231920"/>
    <w:rsid w:val="0023195C"/>
    <w:rsid w:val="0024282C"/>
    <w:rsid w:val="002460DC"/>
    <w:rsid w:val="00250985"/>
    <w:rsid w:val="002556F6"/>
    <w:rsid w:val="00283105"/>
    <w:rsid w:val="00284C4C"/>
    <w:rsid w:val="0028721D"/>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99A"/>
    <w:rsid w:val="00440F43"/>
    <w:rsid w:val="00441B6F"/>
    <w:rsid w:val="00446221"/>
    <w:rsid w:val="00450E62"/>
    <w:rsid w:val="004539DB"/>
    <w:rsid w:val="00471A80"/>
    <w:rsid w:val="0047227B"/>
    <w:rsid w:val="0047396A"/>
    <w:rsid w:val="0048400D"/>
    <w:rsid w:val="004A7246"/>
    <w:rsid w:val="004C4C7B"/>
    <w:rsid w:val="004C7640"/>
    <w:rsid w:val="004D305E"/>
    <w:rsid w:val="004D4277"/>
    <w:rsid w:val="00502516"/>
    <w:rsid w:val="00505F06"/>
    <w:rsid w:val="00506828"/>
    <w:rsid w:val="00513176"/>
    <w:rsid w:val="0053056E"/>
    <w:rsid w:val="00554FDA"/>
    <w:rsid w:val="00555393"/>
    <w:rsid w:val="005803EC"/>
    <w:rsid w:val="005973A2"/>
    <w:rsid w:val="005B23E0"/>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0B70"/>
    <w:rsid w:val="006C3430"/>
    <w:rsid w:val="006D30FF"/>
    <w:rsid w:val="006D6940"/>
    <w:rsid w:val="006F11EC"/>
    <w:rsid w:val="0070082C"/>
    <w:rsid w:val="007220E8"/>
    <w:rsid w:val="007369E6"/>
    <w:rsid w:val="00746E59"/>
    <w:rsid w:val="00754C9A"/>
    <w:rsid w:val="0075599A"/>
    <w:rsid w:val="00761D52"/>
    <w:rsid w:val="0077749E"/>
    <w:rsid w:val="00790ADA"/>
    <w:rsid w:val="007A1960"/>
    <w:rsid w:val="007D2288"/>
    <w:rsid w:val="007E088F"/>
    <w:rsid w:val="007F64B4"/>
    <w:rsid w:val="007F7B32"/>
    <w:rsid w:val="00804BC2"/>
    <w:rsid w:val="00811435"/>
    <w:rsid w:val="0081431A"/>
    <w:rsid w:val="00822B2B"/>
    <w:rsid w:val="0083216F"/>
    <w:rsid w:val="00860000"/>
    <w:rsid w:val="00863BD3"/>
    <w:rsid w:val="008641ED"/>
    <w:rsid w:val="00866D66"/>
    <w:rsid w:val="008671C6"/>
    <w:rsid w:val="00875803"/>
    <w:rsid w:val="00883828"/>
    <w:rsid w:val="008B459E"/>
    <w:rsid w:val="008E13AE"/>
    <w:rsid w:val="008E1506"/>
    <w:rsid w:val="008E710C"/>
    <w:rsid w:val="008F69D6"/>
    <w:rsid w:val="00902823"/>
    <w:rsid w:val="00915CA6"/>
    <w:rsid w:val="00927834"/>
    <w:rsid w:val="00930E2C"/>
    <w:rsid w:val="0093413D"/>
    <w:rsid w:val="009500A6"/>
    <w:rsid w:val="00957C18"/>
    <w:rsid w:val="00962353"/>
    <w:rsid w:val="009659BA"/>
    <w:rsid w:val="00983040"/>
    <w:rsid w:val="009904F4"/>
    <w:rsid w:val="009B3FB9"/>
    <w:rsid w:val="009C2465"/>
    <w:rsid w:val="009C5D6D"/>
    <w:rsid w:val="009D35A0"/>
    <w:rsid w:val="009D4714"/>
    <w:rsid w:val="009D7EB7"/>
    <w:rsid w:val="009E048A"/>
    <w:rsid w:val="009E08E9"/>
    <w:rsid w:val="009E3DB9"/>
    <w:rsid w:val="009E6E35"/>
    <w:rsid w:val="009F0EDA"/>
    <w:rsid w:val="009F48B2"/>
    <w:rsid w:val="00A03B96"/>
    <w:rsid w:val="00A05B19"/>
    <w:rsid w:val="00A10E2A"/>
    <w:rsid w:val="00A10E4D"/>
    <w:rsid w:val="00A1134E"/>
    <w:rsid w:val="00A16302"/>
    <w:rsid w:val="00A24E7E"/>
    <w:rsid w:val="00A258C3"/>
    <w:rsid w:val="00A347C0"/>
    <w:rsid w:val="00A51431"/>
    <w:rsid w:val="00A539AD"/>
    <w:rsid w:val="00A840EC"/>
    <w:rsid w:val="00A94063"/>
    <w:rsid w:val="00AA6219"/>
    <w:rsid w:val="00AA74E0"/>
    <w:rsid w:val="00AB703F"/>
    <w:rsid w:val="00AC5CCF"/>
    <w:rsid w:val="00AC6BB8"/>
    <w:rsid w:val="00AD2CEA"/>
    <w:rsid w:val="00AE008F"/>
    <w:rsid w:val="00AE2A85"/>
    <w:rsid w:val="00B01FCD"/>
    <w:rsid w:val="00B10036"/>
    <w:rsid w:val="00B1776C"/>
    <w:rsid w:val="00B4107C"/>
    <w:rsid w:val="00B52583"/>
    <w:rsid w:val="00B52896"/>
    <w:rsid w:val="00B9326F"/>
    <w:rsid w:val="00B95236"/>
    <w:rsid w:val="00B96BD9"/>
    <w:rsid w:val="00BA1B01"/>
    <w:rsid w:val="00BA2641"/>
    <w:rsid w:val="00BB37AA"/>
    <w:rsid w:val="00BB77E0"/>
    <w:rsid w:val="00BC53A0"/>
    <w:rsid w:val="00BE6187"/>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601E"/>
    <w:rsid w:val="00CE793C"/>
    <w:rsid w:val="00CF193C"/>
    <w:rsid w:val="00D024DA"/>
    <w:rsid w:val="00D173F1"/>
    <w:rsid w:val="00D26E2F"/>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6FE4"/>
    <w:rsid w:val="00F17988"/>
    <w:rsid w:val="00F469F0"/>
    <w:rsid w:val="00F53273"/>
    <w:rsid w:val="00F755E4"/>
    <w:rsid w:val="00F77D02"/>
    <w:rsid w:val="00F9670E"/>
    <w:rsid w:val="00FB3A86"/>
    <w:rsid w:val="00FC2C83"/>
    <w:rsid w:val="00FD1579"/>
    <w:rsid w:val="00FD36C8"/>
    <w:rsid w:val="00FD4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9E6BAB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81143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D2CEA"/>
    <w:pPr>
      <w:spacing w:after="160" w:line="259" w:lineRule="auto"/>
      <w:ind w:left="720"/>
      <w:contextualSpacing/>
    </w:pPr>
    <w:rPr>
      <w:rFonts w:asciiTheme="minorHAnsi" w:eastAsiaTheme="minorHAnsi" w:hAnsiTheme="minorHAnsi" w:cstheme="minorBidi"/>
      <w:kern w:val="2"/>
      <w:sz w:val="22"/>
      <w:szCs w:val="22"/>
    </w:rPr>
  </w:style>
  <w:style w:type="character" w:customStyle="1" w:styleId="fadeinm1hgl8">
    <w:name w:val="_fadein_m1hgl_8"/>
    <w:basedOn w:val="DefaultParagraphFont"/>
    <w:rsid w:val="009904F4"/>
  </w:style>
  <w:style w:type="character" w:customStyle="1" w:styleId="Heading2Char">
    <w:name w:val="Heading 2 Char"/>
    <w:basedOn w:val="DefaultParagraphFont"/>
    <w:link w:val="Heading2"/>
    <w:semiHidden/>
    <w:rsid w:val="00811435"/>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semiHidden/>
    <w:unhideWhenUsed/>
    <w:rsid w:val="00811435"/>
    <w:pPr>
      <w:spacing w:after="120"/>
    </w:pPr>
  </w:style>
  <w:style w:type="character" w:customStyle="1" w:styleId="BodyTextChar">
    <w:name w:val="Body Text Char"/>
    <w:basedOn w:val="DefaultParagraphFont"/>
    <w:link w:val="BodyText"/>
    <w:semiHidden/>
    <w:rsid w:val="00811435"/>
    <w:rPr>
      <w:rFonts w:ascii="Helvetica" w:hAnsi="Helvetica"/>
    </w:rPr>
  </w:style>
  <w:style w:type="character" w:styleId="UnresolvedMention">
    <w:name w:val="Unresolved Mention"/>
    <w:basedOn w:val="DefaultParagraphFont"/>
    <w:uiPriority w:val="99"/>
    <w:semiHidden/>
    <w:unhideWhenUsed/>
    <w:rsid w:val="00FD4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9227383">
      <w:bodyDiv w:val="1"/>
      <w:marLeft w:val="0"/>
      <w:marRight w:val="0"/>
      <w:marTop w:val="0"/>
      <w:marBottom w:val="0"/>
      <w:divBdr>
        <w:top w:val="none" w:sz="0" w:space="0" w:color="auto"/>
        <w:left w:val="none" w:sz="0" w:space="0" w:color="auto"/>
        <w:bottom w:val="none" w:sz="0" w:space="0" w:color="auto"/>
        <w:right w:val="none" w:sz="0" w:space="0" w:color="auto"/>
      </w:divBdr>
      <w:divsChild>
        <w:div w:id="1434931464">
          <w:marLeft w:val="360"/>
          <w:marRight w:val="0"/>
          <w:marTop w:val="0"/>
          <w:marBottom w:val="0"/>
          <w:divBdr>
            <w:top w:val="none" w:sz="0" w:space="0" w:color="auto"/>
            <w:left w:val="none" w:sz="0" w:space="0" w:color="auto"/>
            <w:bottom w:val="none" w:sz="0" w:space="0" w:color="auto"/>
            <w:right w:val="none" w:sz="0" w:space="0" w:color="auto"/>
          </w:divBdr>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8B26B-73B9-449E-8F85-F61135F46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118</TotalTime>
  <Pages>13</Pages>
  <Words>22636</Words>
  <Characters>129027</Characters>
  <Application>Microsoft Office Word</Application>
  <DocSecurity>0</DocSecurity>
  <Lines>1075</Lines>
  <Paragraphs>302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151361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59</cp:revision>
  <cp:lastPrinted>1999-07-06T11:00:00Z</cp:lastPrinted>
  <dcterms:created xsi:type="dcterms:W3CDTF">2014-10-25T14:34:00Z</dcterms:created>
  <dcterms:modified xsi:type="dcterms:W3CDTF">2025-11-13T08:07:00Z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