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65B07" w14:textId="32406202" w:rsidR="004018DB" w:rsidRDefault="004018DB" w:rsidP="0013405D">
      <w:pPr>
        <w:spacing w:line="480" w:lineRule="auto"/>
        <w:jc w:val="center"/>
        <w:rPr>
          <w:rFonts w:ascii="Arial" w:hAnsi="Arial" w:cs="Arial"/>
          <w:b/>
          <w:bCs/>
          <w:color w:val="000000" w:themeColor="text1"/>
          <w:sz w:val="28"/>
          <w:szCs w:val="28"/>
          <w:lang w:bidi="ar-IQ"/>
        </w:rPr>
      </w:pPr>
      <w:r w:rsidRPr="004018DB">
        <w:rPr>
          <w:rFonts w:ascii="Arial" w:hAnsi="Arial" w:cs="Arial"/>
          <w:b/>
          <w:bCs/>
          <w:i/>
          <w:iCs/>
          <w:color w:val="000000" w:themeColor="text1"/>
          <w:sz w:val="28"/>
          <w:szCs w:val="28"/>
          <w:u w:val="single"/>
          <w:lang w:bidi="ar-IQ"/>
        </w:rPr>
        <w:t>Original Research Article</w:t>
      </w:r>
    </w:p>
    <w:p w14:paraId="6357631D" w14:textId="184C1460" w:rsidR="0013405D" w:rsidRDefault="0013405D" w:rsidP="0013405D">
      <w:pPr>
        <w:spacing w:line="480" w:lineRule="auto"/>
        <w:jc w:val="center"/>
        <w:rPr>
          <w:rFonts w:ascii="Arial" w:hAnsi="Arial" w:cs="Arial"/>
          <w:b/>
          <w:bCs/>
          <w:color w:val="000000" w:themeColor="text1"/>
          <w:sz w:val="28"/>
          <w:szCs w:val="28"/>
          <w:lang w:bidi="ar-IQ"/>
        </w:rPr>
      </w:pPr>
      <w:r w:rsidRPr="00CE0262">
        <w:rPr>
          <w:rFonts w:ascii="Arial" w:hAnsi="Arial" w:cs="Arial"/>
          <w:b/>
          <w:bCs/>
          <w:color w:val="000000" w:themeColor="text1"/>
          <w:sz w:val="28"/>
          <w:szCs w:val="28"/>
          <w:lang w:bidi="ar-IQ"/>
        </w:rPr>
        <w:t xml:space="preserve">Detection of Active Allergens Triggering Hypersensitivity </w:t>
      </w:r>
      <w:r w:rsidR="002E1A09">
        <w:rPr>
          <w:rFonts w:ascii="Arial" w:hAnsi="Arial" w:cs="Arial"/>
          <w:b/>
          <w:bCs/>
          <w:color w:val="000000" w:themeColor="text1"/>
          <w:sz w:val="28"/>
          <w:szCs w:val="28"/>
          <w:lang w:bidi="ar-IQ"/>
        </w:rPr>
        <w:t>Among Residen</w:t>
      </w:r>
      <w:r w:rsidR="00337691">
        <w:rPr>
          <w:rFonts w:ascii="Arial" w:hAnsi="Arial" w:cs="Arial"/>
          <w:b/>
          <w:bCs/>
          <w:color w:val="000000" w:themeColor="text1"/>
          <w:sz w:val="28"/>
          <w:szCs w:val="28"/>
          <w:lang w:bidi="ar-IQ"/>
        </w:rPr>
        <w:t>ts</w:t>
      </w:r>
      <w:r w:rsidR="002E1A09">
        <w:rPr>
          <w:rFonts w:ascii="Arial" w:hAnsi="Arial" w:cs="Arial"/>
          <w:b/>
          <w:bCs/>
          <w:color w:val="000000" w:themeColor="text1"/>
          <w:sz w:val="28"/>
          <w:szCs w:val="28"/>
          <w:lang w:bidi="ar-IQ"/>
        </w:rPr>
        <w:t xml:space="preserve"> of Basrah</w:t>
      </w:r>
    </w:p>
    <w:p w14:paraId="2A822EFF" w14:textId="77777777" w:rsidR="0013405D" w:rsidRPr="00CE0262" w:rsidRDefault="0013405D" w:rsidP="0013405D">
      <w:pPr>
        <w:spacing w:line="480" w:lineRule="auto"/>
        <w:jc w:val="center"/>
        <w:rPr>
          <w:rFonts w:ascii="Arial" w:hAnsi="Arial" w:cs="Arial"/>
          <w:b/>
          <w:bCs/>
          <w:color w:val="000000" w:themeColor="text1"/>
          <w:sz w:val="28"/>
          <w:szCs w:val="28"/>
          <w:lang w:bidi="ar-IQ"/>
        </w:rPr>
      </w:pPr>
    </w:p>
    <w:p w14:paraId="5F51AFD9" w14:textId="0E67DA4A" w:rsidR="0013405D" w:rsidRPr="00CE0262" w:rsidRDefault="009C2548" w:rsidP="0013405D">
      <w:pPr>
        <w:spacing w:line="480" w:lineRule="auto"/>
        <w:jc w:val="center"/>
        <w:rPr>
          <w:rFonts w:ascii="Arial" w:hAnsi="Arial" w:cs="Arial"/>
          <w:b/>
          <w:bCs/>
          <w:color w:val="000000" w:themeColor="text1"/>
          <w:lang w:bidi="ar-IQ"/>
        </w:rPr>
      </w:pPr>
      <w:r w:rsidRPr="00CE0262">
        <w:rPr>
          <w:rFonts w:ascii="Arial" w:hAnsi="Arial" w:cs="Arial"/>
          <w:b/>
          <w:bCs/>
          <w:color w:val="000000" w:themeColor="text1"/>
          <w:lang w:bidi="ar-IQ"/>
        </w:rPr>
        <w:t>ABSTRACT</w:t>
      </w:r>
    </w:p>
    <w:p w14:paraId="5BD3EF0C" w14:textId="2B552C47" w:rsidR="0013405D" w:rsidRPr="00CE0262" w:rsidRDefault="0013405D" w:rsidP="00C2151E">
      <w:pPr>
        <w:spacing w:line="480" w:lineRule="auto"/>
        <w:jc w:val="both"/>
        <w:rPr>
          <w:rFonts w:ascii="Arial" w:hAnsi="Arial" w:cs="Arial"/>
          <w:color w:val="000000" w:themeColor="text1"/>
          <w:lang w:bidi="ar-IQ"/>
        </w:rPr>
      </w:pPr>
      <w:r w:rsidRPr="00CE0262">
        <w:rPr>
          <w:rFonts w:ascii="Arial" w:hAnsi="Arial" w:cs="Arial"/>
          <w:b/>
          <w:bCs/>
          <w:color w:val="000000" w:themeColor="text1"/>
          <w:szCs w:val="22"/>
          <w:lang w:bidi="ar-IQ"/>
        </w:rPr>
        <w:t>Background:</w:t>
      </w:r>
      <w:r w:rsidRPr="00CE0262">
        <w:rPr>
          <w:rFonts w:ascii="Arial" w:hAnsi="Arial" w:cs="Arial"/>
          <w:color w:val="000000" w:themeColor="text1"/>
          <w:szCs w:val="22"/>
          <w:lang w:bidi="ar-IQ"/>
        </w:rPr>
        <w:t xml:space="preserve"> </w:t>
      </w:r>
      <w:r w:rsidRPr="00CE0262">
        <w:rPr>
          <w:rFonts w:ascii="Arial" w:hAnsi="Arial" w:cs="Arial"/>
          <w:color w:val="000000" w:themeColor="text1"/>
          <w:lang w:bidi="ar-IQ"/>
        </w:rPr>
        <w:t xml:space="preserve">Environmental aeroallergens and dietary allergens significantly contribute to hypersensitivity reactions worldwide, their impact in Basrah province remains unclear. </w:t>
      </w:r>
      <w:r w:rsidRPr="00CE0262">
        <w:rPr>
          <w:rFonts w:ascii="Arial" w:hAnsi="Arial" w:cs="Arial"/>
          <w:b/>
          <w:bCs/>
          <w:color w:val="000000" w:themeColor="text1"/>
          <w:lang w:bidi="ar-IQ"/>
        </w:rPr>
        <w:t>Objective:</w:t>
      </w:r>
      <w:r w:rsidRPr="00CE0262">
        <w:rPr>
          <w:rFonts w:ascii="Arial" w:hAnsi="Arial" w:cs="Arial"/>
          <w:color w:val="000000" w:themeColor="text1"/>
          <w:lang w:bidi="ar-IQ"/>
        </w:rPr>
        <w:t xml:space="preserve"> Understanding local allergen patterns is crucial for effective management and treatment of allergic reactions. </w:t>
      </w:r>
      <w:r w:rsidRPr="00CE0262">
        <w:rPr>
          <w:rFonts w:ascii="Arial" w:eastAsia="Arial" w:hAnsi="Arial" w:cs="Arial"/>
          <w:b/>
          <w:bCs/>
          <w:color w:val="000000" w:themeColor="text1"/>
        </w:rPr>
        <w:t>Materials and Methods:</w:t>
      </w:r>
      <w:r w:rsidRPr="00CE0262">
        <w:rPr>
          <w:rFonts w:ascii="Arial" w:hAnsi="Arial" w:cs="Arial"/>
          <w:color w:val="000000" w:themeColor="text1"/>
          <w:lang w:bidi="ar-IQ"/>
        </w:rPr>
        <w:t xml:space="preserve"> A total of 410 eligible participants who </w:t>
      </w:r>
      <w:r w:rsidR="00B5435B">
        <w:rPr>
          <w:rFonts w:ascii="Arial" w:hAnsi="Arial" w:cs="Arial"/>
          <w:color w:val="000000" w:themeColor="text1"/>
          <w:lang w:bidi="ar-IQ"/>
        </w:rPr>
        <w:t xml:space="preserve">were </w:t>
      </w:r>
      <w:r w:rsidRPr="00CE0262">
        <w:rPr>
          <w:rFonts w:ascii="Arial" w:hAnsi="Arial" w:cs="Arial"/>
          <w:color w:val="000000" w:themeColor="text1"/>
          <w:lang w:bidi="ar-IQ"/>
        </w:rPr>
        <w:t xml:space="preserve">clinically diagnosed </w:t>
      </w:r>
      <w:r w:rsidR="000C4892">
        <w:rPr>
          <w:rFonts w:ascii="Arial" w:hAnsi="Arial" w:cs="Arial"/>
          <w:color w:val="000000" w:themeColor="text1"/>
          <w:lang w:bidi="ar-IQ"/>
        </w:rPr>
        <w:t xml:space="preserve">with </w:t>
      </w:r>
      <w:r w:rsidRPr="00CE0262">
        <w:rPr>
          <w:rFonts w:ascii="Arial" w:hAnsi="Arial" w:cs="Arial"/>
          <w:color w:val="000000" w:themeColor="text1"/>
          <w:lang w:bidi="ar-IQ"/>
        </w:rPr>
        <w:t xml:space="preserve">allergic conditions by certified specialists in Basrah province </w:t>
      </w:r>
      <w:r w:rsidR="0021209A" w:rsidRPr="00934E25">
        <w:rPr>
          <w:rFonts w:ascii="Arial" w:hAnsi="Arial" w:cs="Arial"/>
          <w:color w:val="000000" w:themeColor="text1"/>
          <w:lang w:bidi="ar-IQ"/>
        </w:rPr>
        <w:t xml:space="preserve">were recruited using </w:t>
      </w:r>
      <w:r w:rsidR="00B5435B">
        <w:rPr>
          <w:rFonts w:ascii="Arial" w:hAnsi="Arial" w:cs="Arial"/>
          <w:color w:val="000000" w:themeColor="text1"/>
          <w:lang w:bidi="ar-IQ"/>
        </w:rPr>
        <w:t xml:space="preserve">an </w:t>
      </w:r>
      <w:r w:rsidR="0021209A" w:rsidRPr="00934E25">
        <w:rPr>
          <w:rFonts w:ascii="Arial" w:hAnsi="Arial" w:cs="Arial"/>
          <w:color w:val="000000" w:themeColor="text1"/>
          <w:lang w:bidi="ar-IQ"/>
        </w:rPr>
        <w:t xml:space="preserve">online </w:t>
      </w:r>
      <w:r w:rsidR="00B5435B">
        <w:rPr>
          <w:rFonts w:ascii="Arial" w:hAnsi="Arial" w:cs="Arial"/>
          <w:color w:val="000000" w:themeColor="text1"/>
          <w:lang w:bidi="ar-IQ"/>
        </w:rPr>
        <w:t>platform</w:t>
      </w:r>
      <w:r w:rsidR="0021209A" w:rsidRPr="00934E25">
        <w:rPr>
          <w:rFonts w:ascii="Arial" w:hAnsi="Arial" w:cs="Arial"/>
          <w:color w:val="000000" w:themeColor="text1"/>
          <w:lang w:bidi="ar-IQ"/>
        </w:rPr>
        <w:t xml:space="preserve"> </w:t>
      </w:r>
      <w:r w:rsidR="00A9407D">
        <w:rPr>
          <w:rFonts w:ascii="Arial" w:hAnsi="Arial" w:cs="Arial"/>
          <w:color w:val="000000" w:themeColor="text1"/>
          <w:lang w:bidi="ar-IQ"/>
        </w:rPr>
        <w:t>questionnaire.</w:t>
      </w:r>
      <w:r w:rsidR="00C2151E">
        <w:rPr>
          <w:rFonts w:ascii="Arial" w:hAnsi="Arial" w:cs="Arial"/>
          <w:color w:val="000000" w:themeColor="text1"/>
          <w:lang w:bidi="ar-IQ"/>
        </w:rPr>
        <w:t xml:space="preserve"> </w:t>
      </w:r>
      <w:r w:rsidRPr="00CE0262">
        <w:rPr>
          <w:rFonts w:ascii="Arial" w:hAnsi="Arial" w:cs="Arial"/>
          <w:color w:val="000000" w:themeColor="text1"/>
          <w:lang w:bidi="ar-IQ"/>
        </w:rPr>
        <w:t xml:space="preserve">This study was designed to investigate the prevalence of eight allergens: dust (house dust mites or outdoor dust), spices (hot sauce), fruits (kiwi), gluten (wheat bread), perfume (cosmetic), pollen, cleaning products (domestic hygienic products), and drug (penicillin). </w:t>
      </w:r>
      <w:r w:rsidRPr="00CE0262">
        <w:rPr>
          <w:rFonts w:ascii="Arial" w:hAnsi="Arial" w:cs="Arial"/>
          <w:b/>
          <w:bCs/>
          <w:color w:val="000000" w:themeColor="text1"/>
        </w:rPr>
        <w:t>Results:</w:t>
      </w:r>
      <w:r w:rsidRPr="00CE0262">
        <w:rPr>
          <w:rFonts w:ascii="Arial" w:hAnsi="Arial" w:cs="Arial"/>
          <w:color w:val="000000" w:themeColor="text1"/>
          <w:lang w:bidi="ar-IQ"/>
        </w:rPr>
        <w:t xml:space="preserve"> The study included 293 females and 117 males (aged 18–35 years). Immediate hypersensitivity reactions (52.9%) were more common than delayed reactions. Dust was identified as the leading allergen (30.73%), followed by spice (15.37%) and perfume (13.66%). Age-related patterns showed penicillin allergies in the oldest group</w:t>
      </w:r>
      <w:r w:rsidR="00B5435B">
        <w:rPr>
          <w:rFonts w:ascii="Arial" w:hAnsi="Arial" w:cs="Arial"/>
          <w:color w:val="000000" w:themeColor="text1"/>
          <w:lang w:bidi="ar-IQ"/>
        </w:rPr>
        <w:t>,</w:t>
      </w:r>
      <w:r w:rsidRPr="00CE0262">
        <w:rPr>
          <w:rFonts w:ascii="Arial" w:hAnsi="Arial" w:cs="Arial"/>
          <w:color w:val="000000" w:themeColor="text1"/>
          <w:lang w:bidi="ar-IQ"/>
        </w:rPr>
        <w:t xml:space="preserve"> </w:t>
      </w:r>
      <w:r w:rsidR="00B5435B">
        <w:rPr>
          <w:rFonts w:ascii="Arial" w:hAnsi="Arial" w:cs="Arial"/>
          <w:color w:val="000000" w:themeColor="text1"/>
          <w:lang w:bidi="ar-IQ"/>
        </w:rPr>
        <w:t xml:space="preserve">those </w:t>
      </w:r>
      <w:r w:rsidRPr="00CE0262">
        <w:rPr>
          <w:rFonts w:ascii="Arial" w:hAnsi="Arial" w:cs="Arial"/>
          <w:color w:val="000000" w:themeColor="text1"/>
          <w:lang w:bidi="ar-IQ"/>
        </w:rPr>
        <w:t>more than 31 years</w:t>
      </w:r>
      <w:r w:rsidR="00B5435B">
        <w:rPr>
          <w:rFonts w:ascii="Arial" w:hAnsi="Arial" w:cs="Arial"/>
          <w:color w:val="000000" w:themeColor="text1"/>
          <w:lang w:bidi="ar-IQ"/>
        </w:rPr>
        <w:t xml:space="preserve"> old,</w:t>
      </w:r>
      <w:r w:rsidRPr="00CE0262">
        <w:rPr>
          <w:rFonts w:ascii="Arial" w:hAnsi="Arial" w:cs="Arial"/>
          <w:color w:val="000000" w:themeColor="text1"/>
          <w:lang w:bidi="ar-IQ"/>
        </w:rPr>
        <w:t xml:space="preserve"> and gluten allergies in the youngest (18.7–20.7 years). Gluten triggered significantly higher symptom severity than other allergens (</w:t>
      </w:r>
      <w:r w:rsidRPr="00CE0262">
        <w:rPr>
          <w:rFonts w:ascii="Arial" w:hAnsi="Arial" w:cs="Arial"/>
          <w:i/>
          <w:iCs/>
          <w:color w:val="000000" w:themeColor="text1"/>
          <w:lang w:bidi="ar-IQ"/>
        </w:rPr>
        <w:t>p</w:t>
      </w:r>
      <w:r w:rsidRPr="00CE0262">
        <w:rPr>
          <w:rFonts w:ascii="Arial" w:hAnsi="Arial" w:cs="Arial"/>
          <w:color w:val="000000" w:themeColor="text1"/>
          <w:lang w:bidi="ar-IQ"/>
        </w:rPr>
        <w:t xml:space="preserve"> &lt; 0.001). </w:t>
      </w:r>
      <w:r w:rsidRPr="00CE0262">
        <w:rPr>
          <w:rFonts w:ascii="Arial" w:hAnsi="Arial" w:cs="Arial"/>
          <w:b/>
          <w:bCs/>
          <w:color w:val="000000" w:themeColor="text1"/>
          <w:lang w:bidi="ar-IQ"/>
        </w:rPr>
        <w:t>Conclusion:</w:t>
      </w:r>
      <w:r w:rsidRPr="00CE0262">
        <w:rPr>
          <w:rFonts w:ascii="Arial" w:hAnsi="Arial" w:cs="Arial"/>
          <w:color w:val="000000" w:themeColor="text1"/>
          <w:lang w:bidi="ar-IQ"/>
        </w:rPr>
        <w:t xml:space="preserve"> This study highlights dust as the primary allergen in Basrah. Gluten showed the highest severity despite having a low frequency </w:t>
      </w:r>
      <w:r w:rsidRPr="00CE0262">
        <w:rPr>
          <w:rFonts w:ascii="Arial" w:hAnsi="Arial" w:cs="Arial"/>
          <w:color w:val="000000" w:themeColor="text1"/>
        </w:rPr>
        <w:t>in younger individuals and is associated with symptom severity.</w:t>
      </w:r>
    </w:p>
    <w:p w14:paraId="6C8689AE" w14:textId="77777777" w:rsidR="0013405D" w:rsidRPr="00CE0262" w:rsidRDefault="0013405D" w:rsidP="0013405D">
      <w:pPr>
        <w:pStyle w:val="NormalWeb"/>
        <w:spacing w:before="0" w:beforeAutospacing="0" w:after="0" w:afterAutospacing="0" w:line="480" w:lineRule="auto"/>
        <w:jc w:val="both"/>
        <w:rPr>
          <w:rStyle w:val="Strong"/>
          <w:rFonts w:ascii="Arial" w:eastAsiaTheme="majorEastAsia" w:hAnsi="Arial" w:cs="Arial"/>
          <w:color w:val="000000" w:themeColor="text1"/>
        </w:rPr>
      </w:pPr>
    </w:p>
    <w:p w14:paraId="005CCEC0" w14:textId="77777777" w:rsidR="0013405D" w:rsidRPr="00CE0262" w:rsidRDefault="0013405D" w:rsidP="0013405D">
      <w:pPr>
        <w:pStyle w:val="NormalWeb"/>
        <w:spacing w:before="0" w:beforeAutospacing="0" w:after="0" w:afterAutospacing="0" w:line="480" w:lineRule="auto"/>
        <w:jc w:val="both"/>
        <w:rPr>
          <w:rFonts w:ascii="Arial" w:hAnsi="Arial" w:cs="Arial"/>
          <w:color w:val="000000" w:themeColor="text1"/>
          <w:rtl/>
        </w:rPr>
      </w:pPr>
      <w:r w:rsidRPr="00CE0262">
        <w:rPr>
          <w:rStyle w:val="Strong"/>
          <w:rFonts w:ascii="Arial" w:eastAsiaTheme="majorEastAsia" w:hAnsi="Arial" w:cs="Arial"/>
          <w:color w:val="000000" w:themeColor="text1"/>
        </w:rPr>
        <w:t xml:space="preserve">Keywords: </w:t>
      </w:r>
      <w:r w:rsidRPr="00CE0262">
        <w:rPr>
          <w:rFonts w:ascii="Arial" w:hAnsi="Arial" w:cs="Arial"/>
          <w:color w:val="000000" w:themeColor="text1"/>
          <w:lang w:bidi="ar-IQ"/>
        </w:rPr>
        <w:t>Allergen; Dust; Hypersensitivity; Gluten.</w:t>
      </w:r>
    </w:p>
    <w:p w14:paraId="221B5E35" w14:textId="793D04E0" w:rsidR="0013405D" w:rsidRPr="00CE0262" w:rsidRDefault="009C2548" w:rsidP="0013405D">
      <w:pPr>
        <w:spacing w:line="480" w:lineRule="auto"/>
        <w:jc w:val="center"/>
        <w:rPr>
          <w:rFonts w:ascii="Arial" w:hAnsi="Arial" w:cs="Arial"/>
          <w:b/>
          <w:bCs/>
          <w:color w:val="000000" w:themeColor="text1"/>
          <w:lang w:bidi="ar-IQ"/>
        </w:rPr>
      </w:pPr>
      <w:r w:rsidRPr="00CE0262">
        <w:rPr>
          <w:rFonts w:ascii="Arial" w:hAnsi="Arial" w:cs="Arial"/>
          <w:b/>
          <w:bCs/>
          <w:color w:val="000000" w:themeColor="text1"/>
          <w:lang w:bidi="ar-IQ"/>
        </w:rPr>
        <w:t>INTRODUCTION</w:t>
      </w:r>
    </w:p>
    <w:p w14:paraId="0EF9E9E4" w14:textId="0158045F" w:rsidR="0013405D" w:rsidRPr="00CE0262" w:rsidRDefault="0013405D" w:rsidP="0013405D">
      <w:pPr>
        <w:pStyle w:val="my-0"/>
        <w:spacing w:before="0" w:beforeAutospacing="0" w:after="0" w:afterAutospacing="0" w:line="480" w:lineRule="auto"/>
        <w:jc w:val="both"/>
        <w:rPr>
          <w:rFonts w:ascii="Arial" w:hAnsi="Arial" w:cs="Arial"/>
          <w:color w:val="000000" w:themeColor="text1"/>
          <w:lang w:val="en-US"/>
        </w:rPr>
      </w:pPr>
      <w:r w:rsidRPr="00CE0262">
        <w:rPr>
          <w:rFonts w:ascii="Arial" w:hAnsi="Arial" w:cs="Arial"/>
          <w:color w:val="000000" w:themeColor="text1"/>
          <w:lang w:val="en-US"/>
        </w:rPr>
        <w:lastRenderedPageBreak/>
        <w:t xml:space="preserve">The pathogenesis of allergic diseases is complex and influenced by a combination of genetic, epigenetic, environmental, and immunological factors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{"citationID":"a244vhdhrtl","properties":{"formattedCitation":"(J. Wang et al., 2023)","plainCitation":"(J. Wang et al., 2023)","noteIndex":0},"citationItems":[{"id":8029,"uris":["http://zotero.org/users/2543086/items/9TL7LW7A"],"itemData":{"id":8029,"type":"article-journal","abstract":"Allergic diseases such as allergic rhinitis (AR), allergic asthma (AAS), atopic dermatitis (AD), food allergy (FA), and eczema are systemic diseases caused by an impaired immune system. Accompanied by high recurrence rates, the steadily rising incidence rates of these diseases are attracting increasing attention. The pathogenesis of allergic diseases is complex and involves many factors, including maternal-fetal environment, living environment, genetics, epigenetics, and the body’s immune status. The pathogenesis of allergic diseases exhibits a marked heterogeneity, with phenotype and endotype defining visible features and associated molecular mechanisms, respectively. With the rapid development of immunology, molecular biology, and biotechnology, many new biological drugs have been designed for the treatment of allergic diseases, including anti-immunoglobulin E (IgE), anti-interleukin (IL)-5, and anti-thymic stromal lymphopoietin (TSLP)/IL-4, to control symptoms. For doctors and scientists, it is becoming more and more important to understand the influencing factors, pathogenesis, and treatment progress of allergic diseases. This review aimed to assess the epidemiology, pathogenesis, and therapeutic interventions of allergic diseases, including AR, AAS, AD, and FA. We hope to help doctors and scientists understand allergic diseases systematically.","container-title":"Signal Transduction and Targeted Therapy","DOI":"10.1038/s41392-023-01344-4","ISSN":"2059-3635","issue":"1","journalAbbreviation":"Sig Transduct Target Ther","language":"en","license":"2023 The Author(s)","note":"publisher: Nature Publishing Group","page":"1-30","source":"www.nature.com","title":"Pathogenesis of allergic diseases and implications for therapeutic interventions","volume":"8","author":[{"family":"Wang","given":"Ji"},{"family":"Zhou","given":"Yumei"},{"family":"Zhang","given":"Honglei"},{"family":"Hu","given":"Linhan"},{"family":"Liu","given":"Juntong"},{"family":"Wang","given":"Lei"},{"family":"Wang","given":"Tianyi"},{"family":"Zhang","given":"Haiyun"},{"family":"Cong","given":"Linpeng"},{"family":"Wang","given":"Qi"}],"issued":{"date-parts":[["2023",3,24]]}}}],"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(Wang et al., 2023)</w:t>
      </w:r>
      <w:r w:rsidRPr="00CE0262">
        <w:rPr>
          <w:rFonts w:ascii="Arial" w:hAnsi="Arial" w:cs="Arial"/>
          <w:color w:val="000000" w:themeColor="text1"/>
          <w:lang w:val="en-US"/>
        </w:rPr>
        <w:fldChar w:fldCharType="end"/>
      </w:r>
      <w:r w:rsidRPr="00CE0262">
        <w:rPr>
          <w:rStyle w:val="whitespace-nowrap"/>
          <w:rFonts w:ascii="Arial" w:hAnsi="Arial" w:cs="Arial"/>
          <w:color w:val="000000" w:themeColor="text1"/>
          <w:lang w:val="en-US"/>
        </w:rPr>
        <w:t>.</w:t>
      </w:r>
      <w:r w:rsidRPr="00CE0262">
        <w:rPr>
          <w:rFonts w:ascii="Arial" w:hAnsi="Arial" w:cs="Arial"/>
          <w:color w:val="000000" w:themeColor="text1"/>
          <w:lang w:val="en-US"/>
        </w:rPr>
        <w:t xml:space="preserve"> The primary role of the immune system is to protect the human body against harmful antigens, including pathogens, such as bacteria, viruses, fungi, and other foreign invaders. It contains innate immunity, which provides non-specific defense, and adaptive immunity, which develops typically targeted responses to specific pathogens over time, working together to identify and eliminate potential threats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{"citationID":"ac5h5ntale","properties":{"formattedCitation":"(R. Wang et al., 2024)","plainCitation":"(R. Wang et al., 2024)","noteIndex":0},"citationItems":[{"id":7269,"uris":["http://zotero.org/users/2543086/items/7QCWVLZW"],"itemData":{"id":7269,"type":"article-journal","abstract":"The innate immune system serves as the body's first line of defense, utilizing pattern recognition receptors like Toll-like receptors to detect pathogens and initiate rapid response mechanisms. Following this initial response, adaptive immunity provides highly specific and sustained killing of pathogens via B cells, T cells, and antibodies. Traditionally, it has been assumed that innate immunity activates adaptive immunity; however, recent studies have revealed more complex interactions. This review provides a detailed dissection of the composition and function of the innate and adaptive immune systems, emphasizing their synergistic roles in physiological and pathological contexts, providing new insights into the link between these two forms of immunity. Precise regulation of both immune systems at the same time is more beneficial in the fight against immune-related diseases, for example, the cGAS–STING pathway has been found to play an important role in infections and cancers. In addition, this paper summarizes the challenges and future directions in the field of immunity, including the latest single-cell sequencing technologies, CAR-T cell therapy, and immune checkpoint inhibitors. By summarizing these developments, this review aims to enhance our understanding of the complexity interactions between innate and adaptive immunity and provides new perspectives in understanding the immune system.","container-title":"MedComm","DOI":"10.1002/mco2.714","ISSN":"2688-2663","issue":"10","language":"en","license":"© 2024 The Author(s). MedComm published by Sichuan International Medical Exchange &amp; Promotion Association (SCIMEA) and John Wiley &amp; Sons Australia, Ltd.","note":"_eprint: https://onlinelibrary.wiley.com/doi/pdf/10.1002/mco2.714","page":"e714","source":"Wiley Online Library","title":"The interaction of innate immune and adaptive immune system","volume":"5","author":[{"family":"Wang","given":"Ruyuan"},{"family":"Lan","given":"Caini"},{"family":"Benlagha","given":"Kamel"},{"family":"Camara","given":"Niels Olsen Saraiva"},{"family":"Miller","given":"Heather"},{"family":"Kubo","given":"Masato"},{"family":"Heegaard","given":"Steffen"},{"family":"Lee","given":"Pamela"},{"family":"Yang","given":"Lu"},{"family":"Forsman","given":"Huamei"},{"family":"Li","given":"Xingrui"},{"family":"Zhai","given":"Zhimin"},{"family":"Liu","given":"Chaohong"}],"issued":{"date-parts":[["2024"]]}}}],"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(Wang et al., 2024)</w:t>
      </w:r>
      <w:r w:rsidRPr="00CE0262">
        <w:rPr>
          <w:rFonts w:ascii="Arial" w:hAnsi="Arial" w:cs="Arial"/>
          <w:color w:val="000000" w:themeColor="text1"/>
          <w:lang w:val="en-US"/>
        </w:rPr>
        <w:fldChar w:fldCharType="end"/>
      </w:r>
      <w:r w:rsidRPr="00CE0262">
        <w:rPr>
          <w:rFonts w:ascii="Arial" w:hAnsi="Arial" w:cs="Arial"/>
          <w:color w:val="000000" w:themeColor="text1"/>
          <w:lang w:val="en-US"/>
        </w:rPr>
        <w:t xml:space="preserve">. However, misdirected immune response towards allergens results in allergic disease reactions. Allergic diseases are considered a significant global health concern, affecting millions of individuals of all ages and massive substantial burdens on patients’ quality of life and healthcare systems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{"citationID":"ac60f0beub","properties":{"formattedCitation":"(Shin et al., 2023)","plainCitation":"(Shin et al., 2023)","noteIndex":0},"citationItems":[{"id":8147,"uris":["http://zotero.org/users/2543086/items/DCKSVV8Y"],"itemData":{"id":8147,"type":"article-journal","abstract":", Using data from the GBD 2019 study, we assessed the total cases and age-standardized prevalence of both asthma and atopic dermatitis in 204 countries and territories from 1990 to 2019., In 2019, there were a total of 262 million [95% UI: 224–309 million] cases of asthma and 171 million [95% UI: 165–178 million] total cases of AD globally; age-standardized prevalence rates were 3,416 [95% UI: 2,899–4,066] and 2,277 [95% UI: 2,192–2,369] per 100,000 population for asthma and atopic dermatitis, respectively, a 24.1% [95% UI: −27.2 to −20.8] decrease for asthma and a 4.3% [95% UI: 3.8–4.8] decrease for atopic dermatitis compared to baseline in 1990., Asthma and atopic dermatitis continue to cause significant morbidity worldwide, having increased in total prevalence and incidence cases worldwide, but having decreased in age-standardized prevalence rates from 1990 to 2019.","container-title":"Allergy","DOI":"10.1111/all.15807","ISSN":"0105-4538","issue":"8","journalAbbreviation":"Allergy","note":"PMID: 37431853\nPMCID: PMC10529296","page":"2232-2254","source":"PubMed Central","title":"Global, regional, and national burden of allergic disorders and their risk factors in 204 countries and territories, from 1990 to 2019: a systematic analysis for the Global Burden of Disease Study 2019","title-short":"Global, regional, and national burden of allergic disorders and their risk factors in 204 countries and territories, from 1990 to 2019","volume":"78","author":[{"family":"Shin","given":"Youn Ho"},{"family":"Hwang","given":"Jimin"},{"family":"Kwon","given":"Rosie"},{"family":"Lee","given":"Seung Won"},{"family":"Kim","given":"Min Seo"},{"family":"Shin","given":"Jae Il"},{"family":"Yon","given":"Dong Keon"}],"issued":{"date-parts":[["2023"]]}}}],"schema":"https://github.com/citation-style-language/schema/raw/master/csl-citation.json"}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(Shin et al., 2023)</w:t>
      </w:r>
      <w:r w:rsidRPr="00CE0262">
        <w:rPr>
          <w:rFonts w:ascii="Arial" w:hAnsi="Arial" w:cs="Arial"/>
          <w:color w:val="000000" w:themeColor="text1"/>
          <w:lang w:val="en-US"/>
        </w:rPr>
        <w:fldChar w:fldCharType="end"/>
      </w:r>
      <w:r w:rsidRPr="00CE0262">
        <w:rPr>
          <w:rFonts w:ascii="Arial" w:hAnsi="Arial" w:cs="Arial"/>
          <w:color w:val="000000" w:themeColor="text1"/>
          <w:lang w:val="en-US"/>
        </w:rPr>
        <w:t xml:space="preserve">. Allergens are typically harmless substances that exist in the environment, food, or medications that do not evoke an immune response. However, susceptible individuals can trigger a cascading series of immunological events, resulting in hypersensitivity reactions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{"citationID":"a75i0q6jr3","properties":{"formattedCitation":"(Ogulur et al., 2025)","plainCitation":"(Ogulur et al., 2025)","noteIndex":0},"citationItems":[{"id":8031,"uris":["http://zotero.org/users/2543086/items/7VTF4HPB"],"itemData":{"id":8031,"type":"article-journal","abstract":"Significant advancements have been made in understanding the cellular and molecular mechanisms of type 2 immunity in allergic diseases such as asthma, allergic rhinitis, chronic rhinosinusitis, eosinophilic esophagitis (EoE), food and drug allergies, and atopic dermatitis (AD). Type 2 immunity has evolved to protect against parasitic diseases and toxins, plays a role in the expulsion of parasites and larvae from inner tissues to the lumen and outside the body, maintains microbe-rich skin and mucosal epithelial barriers and counterbalances the type 1 immune response and its destructive effects. During the development of a type 2 immune response, an innate immune response initiates starting from epithelial cells and innate lymphoid cells (ILCs), including dendritic cells and macrophages, and translates to adaptive T and B-cell immunity, particularly IgE antibody production. Eosinophils, mast cells and basophils have effects on effector functions. Cytokines from ILC2s and CD4+ helper type 2 (Th2) cells, CD8 + T cells, and NK-T cells, along with myeloid cells, including IL-4, IL-5, IL-9, and IL-13, initiate and sustain allergic inflammation via T cell cells, eosinophils, and ILC2s; promote IgE class switching; and open the epithelial barrier. Epithelial cell activation, alarmin release and barrier dysfunction are key in the development of not only allergic diseases but also many other systemic diseases. Recent biologics targeting the pathways and effector functions of IL4/IL13, IL-5, and IgE have shown promising results for almost all ages, although some patients with severe allergic diseases do not respond to these therapies, highlighting the unmet need for a more detailed and personalized approach.","container-title":"Cellular &amp; Molecular Immunology","DOI":"10.1038/s41423-025-01261-2","ISSN":"2042-0226","issue":"3","journalAbbreviation":"Cell Mol Immunol","language":"en","license":"2025 The Author(s)","note":"publisher: Nature Publishing Group","page":"211-242","source":"www.nature.com","title":"Type 2 immunity in allergic diseases","volume":"22","author":[{"family":"Ogulur","given":"Ismail"},{"family":"Mitamura","given":"Yasutaka"},{"family":"Yazici","given":"Duygu"},{"family":"Pat","given":"Yagiz"},{"family":"Ardicli","given":"Sena"},{"family":"Li","given":"Manru"},{"family":"D’Avino","given":"Paolo"},{"family":"Beha","given":"Carina"},{"family":"Babayev","given":"Huseyn"},{"family":"Zhao","given":"Bingjie"},{"family":"Zeyneloglu","given":"Can"},{"family":"Giannelli Viscardi","given":"Oliva"},{"family":"Ardicli","given":"Ozge"},{"family":"Kiykim","given":"Ayca"},{"family":"Garcia-Sanchez","given":"Asuncion"},{"family":"Lopez","given":"Juan-Felipe"},{"family":"Shi","given":"Li-li"},{"family":"Yang","given":"Minglin"},{"family":"Schneider","given":"Stephan R."},{"family":"Skolnick","given":"Stephen"},{"family":"Dhir","given":"Raja"},{"family":"Radzikowska","given":"Urszula"},{"family":"Kulkarni","given":"Abhijeet J."},{"family":"Imam","given":"Manal Bel"},{"family":"Veen","given":"Willem","dropping-particle":"van de"},{"family":"Sokolowska","given":"Milena"},{"family":"Martin-Fontecha","given":"Mar"},{"family":"Palomares","given":"Oscar"},{"family":"Nadeau","given":"Kari C."},{"family":"Akdis","given":"Mubeccel"},{"family":"Akdis","given":"Cezmi A."}],"issued":{"date-parts":[["2025"]]}}}],"schema":"https://github.com/citation-style-language/schema/raw/master/csl-citation.json"}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(Ogulur et al., 2025)</w:t>
      </w:r>
      <w:r w:rsidRPr="00CE0262">
        <w:rPr>
          <w:rFonts w:ascii="Arial" w:hAnsi="Arial" w:cs="Arial"/>
          <w:color w:val="000000" w:themeColor="text1"/>
          <w:lang w:val="en-US"/>
        </w:rPr>
        <w:fldChar w:fldCharType="end"/>
      </w:r>
      <w:r w:rsidRPr="00CE0262">
        <w:rPr>
          <w:rStyle w:val="whitespace-nowrap"/>
          <w:rFonts w:ascii="Arial" w:hAnsi="Arial" w:cs="Arial"/>
          <w:color w:val="000000" w:themeColor="text1"/>
          <w:lang w:val="en-US"/>
        </w:rPr>
        <w:t>.</w:t>
      </w:r>
      <w:r w:rsidRPr="00CE0262">
        <w:rPr>
          <w:rFonts w:ascii="Arial" w:hAnsi="Arial" w:cs="Arial"/>
          <w:color w:val="000000" w:themeColor="text1"/>
          <w:lang w:val="en-US"/>
        </w:rPr>
        <w:t xml:space="preserve"> Pollens, dust mites, animal dander, insect venom, fungal spores, and certain foods, such as gluten, peanuts, shellfish, eggs, milk, and some medications, particularly penicillin, are typical examples of allergens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{"citationID":"a29h784v4b0","properties":{"formattedCitation":"(Shah &amp; Grammer, 2012)","plainCitation":"(Shah &amp; Grammer, 2012)","noteIndex":0},"citationItems":[{"id":8033,"uris":["http://zotero.org/users/2543086/items/QPCM8NSE"],"itemData":{"id":8033,"type":"article-journal","abstract":"Most allergens are proteins or glycoproteins that range in molecular weight from 5000 to 100,000 Da, although polysaccharides and low molecular weight substances also may be allergenic. Common allergens include pollens, fungal spores, house-dust mites, and animal epithelial materials but can also include drugs, biological products, and insect venoms. The allergic response is dependent on the route of exposure. If exposure is to an inhaled aeroallergen, the allergic response will be a respiratory reaction in nature. Ingested or injected exposure gives rise to gastrointestinal, cutaneous, or anaphylactic reactions. Size of pollen determines clinical manifestation of allergy. For example, particles between 20 and 60 μm in diameter can be carried in the wind and cause nasal and ocular symptoms (allergic rhinoconjunctivitis). Particles &lt;7 μm can deposit in the airways and cause symptoms of asthma. Animals produce allergens in forms unique to each species. Cat allergen, most importantly Fel d 1, is found mainly in cat saliva, sebaceous glands in the skin, and in urine of male cats. It is buoyant and \"sticky,\" which means it easily remains airborne and may last in a home for up to 6-9 months after the source is removed. Cat allergen adheres to clothes and can be found in public places such as schools. Dog allergen, particularly Can f 1, is present in dander, saliva, urine, and serum. There are allergens specific to dog breeds, but all breeds produce allergenic proteins (even poodles and \"hairless\" dogs).","container-title":"Allergy and Asthma Proceedings","DOI":"10.2500/aap.2012.33.3531","ISSN":"1539-6304","journalAbbreviation":"Allergy Asthma Proc","language":"eng","note":"PMID: 22794674","page":"2-5","source":"PubMed","title":"Chapter 1: an overview of allergens","title-short":"Chapter 1","volume":"33 Suppl 1","author":[{"family":"Shah","given":"Rachna"},{"family":"Grammer","given":"Leslie C."}],"issued":{"date-parts":[["2012"]]}}}],"schema":"https://github.com/citation-style-language/schema/raw/master/csl-citation.json"}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 xml:space="preserve">(Shah </w:t>
      </w:r>
      <w:r w:rsidR="00DD6C5F">
        <w:rPr>
          <w:rFonts w:ascii="Arial" w:hAnsi="Arial" w:cs="Arial"/>
          <w:color w:val="000000"/>
        </w:rPr>
        <w:t>and</w:t>
      </w:r>
      <w:r w:rsidR="00416159">
        <w:rPr>
          <w:rFonts w:ascii="Arial" w:hAnsi="Arial" w:cs="Arial"/>
          <w:color w:val="000000"/>
        </w:rPr>
        <w:t xml:space="preserve"> Grammer, 2012)</w:t>
      </w:r>
      <w:r w:rsidRPr="00CE0262">
        <w:rPr>
          <w:rFonts w:ascii="Arial" w:hAnsi="Arial" w:cs="Arial"/>
          <w:color w:val="000000" w:themeColor="text1"/>
          <w:lang w:val="en-US"/>
        </w:rPr>
        <w:fldChar w:fldCharType="end"/>
      </w:r>
      <w:r w:rsidRPr="00CE0262">
        <w:rPr>
          <w:rFonts w:ascii="Arial" w:hAnsi="Arial" w:cs="Arial"/>
          <w:color w:val="000000" w:themeColor="text1"/>
          <w:lang w:val="en-US"/>
        </w:rPr>
        <w:t xml:space="preserve">. In addition, chemical allergens with low molecular weights can stimulate the immune response, leading to chemical allergies, such as those caused by nano-plastics, pesticides, household cleaning materials, fragrances, and smoking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{"citationID":"a1pff563m4k","properties":{"formattedCitation":"(Pallardy et al., 2023)","plainCitation":"(Pallardy et al., 2023)","noteIndex":0},"citationItems":[{"id":8035,"uris":["http://zotero.org/users/2543086/items/I9CXNPFN"],"itemData":{"id":8035,"type":"article-journal","abstract":"Allergic contact dermatitis is a widespread T cell-mediated inflammatory skin disease, but in vitro monitoring of chemical-specific T cells remains challenging. The work proposed by Curato et al., introduced short-term CD154/CD137 up regulation for the detection of human TNBS-specific CD4+ and CD8+ naive and memory T cells, combining a wellestablished technique for the generation of TNBS-induced T cell epitopes with recently developed AIM (activation-induced marker) assays for the detection of protein antigen and nickel-specific T cells. Peripheral blood mononuclear cells (PBMC) from healthy donor buffy coats were TNBS-modified and incubated with unmodified PBMC. Activated cells were sorted for re-stimulation and bulk T cell receptor (TCR) high-throughput sequencing (HTS). Among TNBS-specific CD4+ T cell clones and lines, 10/13 (77%) responded to TNBS re-stimulation with CD154 up regulation and the presence of different MHC II blocking antibody clones that prevented T cell activation, further confirm antigen-specificity and conventional MHC II restriction for TNBS-specific CD4+ T cells. Results were similar for TNBS-specific CD137+CD8+ memory T cell clones and lines. In summary, the detection of TNBS-specific T cells by CD154/CD137 up regulation is a fast, comprehensive and quantitative method. Combined with TCR HTS, the mechanisms of chemical allergen recognition that underlie unusually frequent T cell activation can be assessed.The immunological response in contact hypersensitivity (CHS) is incited by small electrophilic compounds, known as haptens, which react with endogenous proteins after skin absorption. However, the identity of hapten-modified proteins seen as immunogenic remains as yet largely unknown. Adduct measurements have mainly focused on the most abundant blood proteins, human serum albumin (Alb) and hemoglobin (Hb) and in the context of CHS, a large number of mainly in vitro studies have been conducted aiming at identifying the most reactive sites of relevant proteins. Despite the extensive mapping of the most reactive sites of relevant proteins, no protein-conjugates have been identified in vivo with the exception of the hapten-modified protein in the local lymph nodes of mice treated topically with the model hapten tetramethylrhodamine isothiocyanate (TRITC). The TRITC modification was located on the N-terminal proline of the protein macrophage migration inhibitory factor (MIF). Ndreu et al. focused their attention on the investigation about the presence of this hapten-protein conjugate in blood samples from mice treated topically with TRITC, on TRITC modifications of Alb and Hb, as well as TRITC modifications of MIF other than the N-terminal proline. A proteomic approach was applied to characterize conjugate formation of the aforementioned proteins, using high resolution mass spectrometry (HRMS). No Hb and Alb conjugates were detected. Quantification of both the TRITC-modified and unmodified N-terminal peptide of MIF in blood and lymph node samples gave interesting insights of MIF&amp;#39;s role in murine contact hypersensitivity. Incubation of MIF with four different haptens encompassing different reactivity mechanisms and potencies, showed adduct formation at different amino acid residues, suggesting that MIF can be the preferred target for a wide variety of haptens.The study provides essential progress toward understanding of hapten-protein conjugate formation in CHS and identifies hapten-modified MIF as a potential biomarker for this condition.Lipids are an important constituent of skin and resulted modified in many skin diseases including psoriasis and atopic dermatitis. The direct effects of common metallic contact allergens on the lipid composition of skin remain an aspect to be better investigated. Knox et al. described the skin lipid profiles in the stratum corneum and viable epidermis of ex vivo human skin from a female donor upon exposure to three metal allergens (nickel, cobalt and chromium). The time-of-flight secondary ion mass spectrometry (ToF-SIMS), which allows for simultaneous visualisation of both the allergen and skin components such as lipids, has been used. Multivariate analysis using partial least squares discriminant analysis (PLS-DA) indicated that the lipid profile of metal-treated skin was different to non-treated skin. Analysis of individual ions led to the discovery that cobalt and chromium induced increases in the content of diacylglycerols (DAG) in stratum corneum. Cobalt also induced increases in cholesterol in both the stratum corneum and viable epidermis, as well as monoacylglycerols (MAG) in the viable epidermis while chromium caused an increase in DAG in viable epidermis in addition to the stratum corneum. In contrast, nickel decreased MAG and DAG levels in viable epidermis. Results obtained in this study indicate that skin lipid content is likely to be altered upon topical exposure to metals, representing a potential implication for the molecular mechanisms by which contact allergens cause skin sensitization.Since their discovery nearly 40 years ago, B-1 cells have continued to challenge the boundaries between innate and adaptive immunity, as well as myeloid and lymphoid functions. In the Hieronimus and Huaux review, the multifaced role of the B-1 cells is described, highlighting their different roles in both homeostatic and pathological conditions, comprising contact-sensitivity-inducing chemicals. In addition to T cells, also B-1 cells are crucial in the development of contact sensitivity (CS) as supported by the evidence that the transfer of CS-B-1 cells is sufficient to induce CS in untreated mice. After skin sensitization, the hapten-self protein conjugates forming the neo antigens can be drained to the peritoneum, where they encounter and activate B-1 cells. Stimulated B-1 cells migrate to the spleen and lymph nodes via IL-4-related signaling and CXCL13 chemoattraction to produce IgM antibodies specific to the conjugates. This novel IgM circulates in the serum and leads to the recruitment of T cells in lymphoid organs within few hours. Finally, T cells are activated in the spleen by dendritic cells, which are derived from Langerhans cells that have processed neoantigens in the skin. These T cells become CS-effector T cells and return to circulation 4 days after CS initiation. During the second encounter with the chemical, the induced IgM targeting anti-hapten/self-protein conjugate is already circulating and is thus rapidly found in the skin. IgM produced by B-1 cells activates the classical complement pathway and promotes recruitment of T cells, including CS-effector T cells, to the skin for induction of inflammation. Taking into consideration this important evidence about the involvement of B-1 cells in CS, they should not be overlooked when developing new in vitro models for predicting the toxicity of chemical compounds.","container-title":"Frontiers in Toxicology","DOI":"10.3389/ftox.2023.1228175","ISSN":"2673-3080","journalAbbreviation":"Front. Toxicol.","language":"English","note":"publisher: Frontiers","page":"1228175","source":"Frontiers","title":"Editorial: Chemical allergy and the relevance of new models","title-short":"Editorial","volume":"5","author":[{"family":"Pallardy","given":"Marc"},{"family":"Galbiati","given":"Valentina"},{"family":"Martin","given":"Stefan F."}],"issued":{"date-parts":[["2023"]]}}}],"schema":"https://github.com/citation-style-language/schema/raw/master/csl-citation.json"}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(Pallardy et al., 2023)</w:t>
      </w:r>
      <w:r w:rsidRPr="00CE0262">
        <w:rPr>
          <w:rFonts w:ascii="Arial" w:hAnsi="Arial" w:cs="Arial"/>
          <w:color w:val="000000" w:themeColor="text1"/>
          <w:lang w:val="en-US"/>
        </w:rPr>
        <w:fldChar w:fldCharType="end"/>
      </w:r>
      <w:r w:rsidRPr="00CE0262">
        <w:rPr>
          <w:rFonts w:ascii="Arial" w:hAnsi="Arial" w:cs="Arial"/>
          <w:color w:val="000000" w:themeColor="text1"/>
          <w:lang w:val="en-US"/>
        </w:rPr>
        <w:t>. Inhalation, ingestion, and direct skin contact are the main routes of exposure to allergens, influencing the type and severity of the immune response</w:t>
      </w:r>
      <w:r w:rsidRPr="00CE0262">
        <w:rPr>
          <w:rStyle w:val="whitespace-nowrap"/>
          <w:rFonts w:ascii="Arial" w:hAnsi="Arial" w:cs="Arial"/>
          <w:color w:val="000000" w:themeColor="text1"/>
          <w:lang w:val="en-US"/>
        </w:rPr>
        <w:t xml:space="preserve"> and allergic reactions</w:t>
      </w:r>
      <w:r w:rsidRPr="00CE0262">
        <w:rPr>
          <w:rFonts w:ascii="Arial" w:hAnsi="Arial" w:cs="Arial"/>
          <w:color w:val="000000" w:themeColor="text1"/>
          <w:lang w:val="en-US"/>
        </w:rPr>
        <w:t xml:space="preserve">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{"citationID":"a14u96s3t22","properties":{"formattedCitation":"(Aldakheel, 2021)","plainCitation":"(Aldakheel, 2021)","noteIndex":0},"citationItems":[{"id":8037,"uris":["http://zotero.org/users/2543086/items/8JXNVGP3"],"itemData":{"id":8037,"type":"article-journal","abstract":"The prevalence of allergic diseases is regarded as one of the key challenges in health worldwide. Although the precise mechanisms underlying this rapid increase in prevalence are unknown, emerging evidence suggests that genetic and environmental factors play a significant role. The immune system, microbiota, viruses, and bacteria have all been linked to the onset of allergy disorders in recent years. Avoiding allergen exposure is the best treatment option; however, steroids, antihistamines, and other symptom-relieving drugs are also used. Allergen bioinformatics encompasses both computational tools/methods and allergen-related data resources for managing, archiving, and analyzing allergological data. This study highlights allergy-promoting mechanisms, algorithms, and concepts in allergen bioinformatics, as well as major areas for future research in the field of allergology.","container-title":"International Journal of Environmental Research and Public Health","DOI":"10.3390/ijerph182212105","ISSN":"1660-4601","issue":"22","language":"en","license":"http://creativecommons.org/licenses/by/3.0/","note":"number: 22\npublisher: Multidisciplinary Digital Publishing Institute","page":"12105","source":"www.mdpi.com","title":"Allergic Diseases: A Comprehensive Review on Risk Factors, Immunological Mechanisms, Link with COVID-19, Potential Treatments, and Role of Allergen Bioinformatics","title-short":"Allergic Diseases","volume":"18","author":[{"family":"Aldakheel","given":"Fahad M."}],"issued":{"date-parts":[["2021",1]]}}}],"schema":"https://github.com/citation-style-language/schema/raw/master/csl-citation.json"}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(Aldakheel, 2021)</w:t>
      </w:r>
      <w:r w:rsidRPr="00CE0262">
        <w:rPr>
          <w:rFonts w:ascii="Arial" w:hAnsi="Arial" w:cs="Arial"/>
          <w:color w:val="000000" w:themeColor="text1"/>
          <w:lang w:val="en-US"/>
        </w:rPr>
        <w:fldChar w:fldCharType="end"/>
      </w:r>
      <w:r w:rsidRPr="00CE0262">
        <w:rPr>
          <w:rFonts w:ascii="Arial" w:hAnsi="Arial" w:cs="Arial"/>
          <w:color w:val="000000" w:themeColor="text1"/>
          <w:lang w:val="en-US"/>
        </w:rPr>
        <w:t xml:space="preserve">. For instance, inhaled fungal spores, pollen, and house dust mite allergens primarily affect the respiratory tract, resulting in allergic rhinitis and asthma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{"citationID":"akk2vdlhle","properties":{"formattedCitation":"(Sharpe et al., 2016)","plainCitation":"(Sharpe et al., 2016)","noteIndex":0},"citationItems":[{"id":2504,"uris":["http://zotero.org/users/2543086/items/BU6UM5K3"],"itemData":{"id":2504,"type":"article-journal","abstract":"The aim of this study was to determine the accuracy of monoclonal antibodies (mAbs) in identifying culturable allergenic fungi present in visible mould growth in energy efficient homes, and to identify risk factors for exposure to these known allergenic fungi. Swabs were taken from fungal contaminated surfaces and culturable yeasts and moulds isolated by using mycological culture. Soluble antigens from cultures were tested by ELISA using mAbs specific to the culturable allergenic fungi Aspergillus and Penicillium spp., Ulocladium, Alternaria, and Epicoccum spp., Cladosporium spp., Fusarium spp., and Trichoderma spp. Diagnostic accuracies of the ELISA tests were determined by sequencing of the internally transcribed spacer 1 (ITS1)-5.8S-ITS2-encoding regions of recovered fungi following ELISA. There was 100% concordance between the two methods, with ELISAs providing genus-level identity and ITS sequencing providing species-level identities (210 out of 210 tested). Species of Aspergillus/Penicillium, Cladosporium, Ulocladium/Alternaria/Epicoccum, Fusarium and Trichoderma were detected in 82% of the samples. The presence of condensation was associated with an increased risk of surfaces being contaminated by Aspergillus/Penicillium spp. and Cladosporium spp., whereas moisture within the building fabric (water ingress/rising damp) was only associated with increased risk of Aspergillus/Penicillium spp. Property type and energy efficiency levels were found to moderate the risk of indoor surfaces becoming contaminated with Aspergillus/Penicillium and Cladosporium which in turn was modified by the presence of condensation, water ingress and rising damp, consistent with previous literature.","container-title":"Environmental Research","DOI":"10.1016/j.envres.2015.10.029","ISSN":"1096-0953","issue":"Pt A","journalAbbreviation":"Environ. Res.","language":"eng","note":"PMID: 26546982","page":"32-42","source":"PubMed","title":"Identifying risk factors for exposure to culturable allergenic moulds in energy efficient homes by using highly specific monoclonal antibodies","volume":"144","author":[{"family":"Sharpe","given":"Richard A."},{"family":"Cocq","given":"Kate Le"},{"family":"Nikolaou","given":"Vasilis"},{"family":"Osborne","given":"Nicholas J."},{"family":"Thornton","given":"Christopher R."}],"issued":{"date-parts":[["2016",1]]}}}],"schema":"https://github.com/citation-style-language/schema/raw/master/csl-citation.json"}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(Sharpe et al., 2016)</w:t>
      </w:r>
      <w:r w:rsidRPr="00CE0262">
        <w:rPr>
          <w:rFonts w:ascii="Arial" w:hAnsi="Arial" w:cs="Arial"/>
          <w:color w:val="000000" w:themeColor="text1"/>
          <w:lang w:val="en-US"/>
        </w:rPr>
        <w:fldChar w:fldCharType="end"/>
      </w:r>
      <w:r w:rsidRPr="00CE0262">
        <w:rPr>
          <w:rFonts w:ascii="Arial" w:hAnsi="Arial" w:cs="Arial"/>
          <w:color w:val="000000" w:themeColor="text1"/>
          <w:lang w:val="en-US"/>
        </w:rPr>
        <w:t xml:space="preserve">. Ingested allergens, such as food proteins, can stimulate </w:t>
      </w:r>
      <w:r w:rsidR="00B76061">
        <w:rPr>
          <w:rFonts w:ascii="Arial" w:hAnsi="Arial" w:cs="Arial"/>
          <w:color w:val="000000" w:themeColor="text1"/>
          <w:lang w:val="en-US"/>
        </w:rPr>
        <w:t xml:space="preserve">the </w:t>
      </w:r>
      <w:r w:rsidRPr="00CE0262">
        <w:rPr>
          <w:rFonts w:ascii="Arial" w:hAnsi="Arial" w:cs="Arial"/>
          <w:color w:val="000000" w:themeColor="text1"/>
          <w:lang w:val="en-US"/>
        </w:rPr>
        <w:t xml:space="preserve">gastrointestinal tract and systemic reactions, while skin contact with allergens like latex or certain metals may result in contact dermatitis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{"citationID":"av8mon9ip","properties":{"formattedCitation":"(Klain et al., 2024)","plainCitation":"(Klain et al., 2024)","noteIndex":0},"citationItems":[{"id":8039,"uris":["http://zotero.org/users/2543086/items/Y4SZ6CVN"],"itemData":{"id":8039,"type":"article-journal","abstract":"This review provides a concise overview of preventive measures against dust mite allergies in pediatric populations, emphasizing the need for a comprehensive and evolving approach. Dust mites, ubiquitous microscopic arachnids, pose a significant threat to children’s health, triggering allergies and asthma. Traditional preventive strategies such as regular cleaning, mattress covers, and humidity control are essential but warrant refinement. Empowering children through personalized hygiene education and exploring innovative bedding solutions showcase a forward-thinking paradigm. Collaboration with healthcare professionals and embracing technology-driven solutions ensures a holistic and adaptable approach to safeguarding pediatric health against dust mite-related ailments. This abstract underscores the importance of continually reassessing and innovating preventive measures to create resilient and health-conscious living environments for children.","container-title":"Children","DOI":"10.3390/children11040469","ISSN":"2227-9067","issue":"4","language":"en","license":"http://creativecommons.org/licenses/by/3.0/","note":"number: 4\npublisher: Multidisciplinary Digital Publishing Institute","page":"469","source":"www.mdpi.com","title":"The Prevention of House Dust Mite Allergies in Pediatric Asthma","volume":"11","author":[{"family":"Klain","given":"Angela"},{"family":"Senatore","given":"Antonio Andrea"},{"family":"Licari","given":"Amelia"},{"family":"Galletta","given":"Francesca"},{"family":"Bettini","given":"Irene"},{"family":"Tomei","given":"Leonardo"},{"family":"Manti","given":"Sara"},{"family":"Mori","given":"Francesca"},{"family":"Miraglia del Giudice","given":"Michele"},{"family":"Indolfi","given":"Cristiana"}],"issued":{"date-parts":[["2024",4]]}}}],"schema":"https://github.com/citation-style-language/schema/raw/master/csl-citation.json"}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(Klain et al., 2024)</w:t>
      </w:r>
      <w:r w:rsidRPr="00CE0262">
        <w:rPr>
          <w:rFonts w:ascii="Arial" w:hAnsi="Arial" w:cs="Arial"/>
          <w:color w:val="000000" w:themeColor="text1"/>
          <w:lang w:val="en-US"/>
        </w:rPr>
        <w:fldChar w:fldCharType="end"/>
      </w:r>
      <w:r w:rsidRPr="00CE0262">
        <w:rPr>
          <w:rFonts w:ascii="Arial" w:hAnsi="Arial" w:cs="Arial"/>
          <w:color w:val="000000" w:themeColor="text1"/>
          <w:lang w:val="en-US"/>
        </w:rPr>
        <w:t xml:space="preserve">. Generally, there are four primary classifications of </w:t>
      </w:r>
      <w:r w:rsidRPr="00CE0262">
        <w:rPr>
          <w:rFonts w:ascii="Arial" w:hAnsi="Arial" w:cs="Arial"/>
          <w:color w:val="000000" w:themeColor="text1"/>
          <w:lang w:val="en-US"/>
        </w:rPr>
        <w:lastRenderedPageBreak/>
        <w:t>hypersensitivity reactions based on the immunological mechanisms and the speed of onset after exposure to the allergen</w:t>
      </w:r>
      <w:r w:rsidRPr="00CE0262">
        <w:rPr>
          <w:rStyle w:val="whitespace-nowrap"/>
          <w:rFonts w:ascii="Arial" w:hAnsi="Arial" w:cs="Arial"/>
          <w:color w:val="000000" w:themeColor="text1"/>
          <w:lang w:val="en-US"/>
        </w:rPr>
        <w:t>.</w:t>
      </w:r>
      <w:r w:rsidRPr="00CE0262">
        <w:rPr>
          <w:rFonts w:ascii="Arial" w:hAnsi="Arial" w:cs="Arial"/>
          <w:color w:val="000000" w:themeColor="text1"/>
          <w:lang w:val="en-US"/>
        </w:rPr>
        <w:t xml:space="preserve"> The most common type of hypersensitivity is type I, also known as immediate hypersensitivity, which is mediated by immunoglobulin E (</w:t>
      </w:r>
      <w:proofErr w:type="spellStart"/>
      <w:r w:rsidRPr="00CE0262">
        <w:rPr>
          <w:rFonts w:ascii="Arial" w:hAnsi="Arial" w:cs="Arial"/>
          <w:color w:val="000000" w:themeColor="text1"/>
          <w:lang w:val="en-US"/>
        </w:rPr>
        <w:t>IgE</w:t>
      </w:r>
      <w:proofErr w:type="spellEnd"/>
      <w:r w:rsidRPr="00CE0262">
        <w:rPr>
          <w:rFonts w:ascii="Arial" w:hAnsi="Arial" w:cs="Arial"/>
          <w:color w:val="000000" w:themeColor="text1"/>
          <w:lang w:val="en-US"/>
        </w:rPr>
        <w:t xml:space="preserve">) through the activation of mast cells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{"citationID":"ap4maj4iri","properties":{"formattedCitation":"(Feng et al., 2024)","plainCitation":"(Feng et al., 2024)","noteIndex":0},"citationItems":[{"id":7286,"uris":["http://zotero.org/users/2543086/items/W584DXAG"],"itemData":{"id":7286,"type":"article-journal","container-title":"Frontiers in Allergy","DOI":"10.3389/falgy.2024.1481011","ISSN":"2673-6101","journalAbbreviation":"Front. Allergy","language":"English","note":"publisher: Frontiers","source":"Frontiers","title":"Allergenic protein-induced type I hypersensitivity models: a review","volume":"5","author":[{"family":"Feng","given":"Yanhua"},{"family":"Xu","given":"Liangyu"},{"family":"Zhang","given":"Jinming"},{"family":"Bin","given":"Jinlian"},{"family":"Pang","given":"Xialing"},{"family":"He","given":"Sheng"},{"family":"Fang","given":"Lei"}],"issued":{"date-parts":[["2024"]]}}}],"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(Feng et al., 2024)</w:t>
      </w:r>
      <w:r w:rsidRPr="00CE0262">
        <w:rPr>
          <w:rFonts w:ascii="Arial" w:hAnsi="Arial" w:cs="Arial"/>
          <w:color w:val="000000" w:themeColor="text1"/>
          <w:lang w:val="en-US"/>
        </w:rPr>
        <w:fldChar w:fldCharType="end"/>
      </w:r>
      <w:r w:rsidRPr="00CE0262">
        <w:rPr>
          <w:rFonts w:ascii="Arial" w:hAnsi="Arial" w:cs="Arial"/>
          <w:color w:val="000000" w:themeColor="text1"/>
          <w:lang w:val="en-US"/>
        </w:rPr>
        <w:t xml:space="preserve">. Type I hypersensitivity includes two stages, which are sensitization, where the first exposure to an allergen leads to allergen-specific </w:t>
      </w:r>
      <w:proofErr w:type="spellStart"/>
      <w:r w:rsidRPr="00CE0262">
        <w:rPr>
          <w:rFonts w:ascii="Arial" w:hAnsi="Arial" w:cs="Arial"/>
          <w:color w:val="000000" w:themeColor="text1"/>
          <w:lang w:val="en-US"/>
        </w:rPr>
        <w:t>IgE</w:t>
      </w:r>
      <w:proofErr w:type="spellEnd"/>
      <w:r w:rsidRPr="00CE0262">
        <w:rPr>
          <w:rFonts w:ascii="Arial" w:hAnsi="Arial" w:cs="Arial"/>
          <w:color w:val="000000" w:themeColor="text1"/>
          <w:lang w:val="en-US"/>
        </w:rPr>
        <w:t xml:space="preserve"> production, and the effector stage, where subsequent exposure triggers </w:t>
      </w:r>
      <w:proofErr w:type="spellStart"/>
      <w:r w:rsidRPr="00CE0262">
        <w:rPr>
          <w:rFonts w:ascii="Arial" w:hAnsi="Arial" w:cs="Arial"/>
          <w:color w:val="000000" w:themeColor="text1"/>
          <w:lang w:val="en-US"/>
        </w:rPr>
        <w:t>IgE</w:t>
      </w:r>
      <w:proofErr w:type="spellEnd"/>
      <w:r w:rsidRPr="00CE0262">
        <w:rPr>
          <w:rFonts w:ascii="Arial" w:hAnsi="Arial" w:cs="Arial"/>
          <w:color w:val="000000" w:themeColor="text1"/>
          <w:lang w:val="en-US"/>
        </w:rPr>
        <w:t xml:space="preserve"> crosslinking on mast cells and basophils, resulting in the rapid release of inflammatory mediators, primarily histamine and prostaglandins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{"citationID":"as67i9rdq1","properties":{"formattedCitation":"(Aitella et al., 2025)","plainCitation":"(Aitella et al., 2025)","noteIndex":0},"citationItems":[{"id":8043,"uris":["http://zotero.org/users/2543086/items/8F2A3MLA"],"itemData":{"id":8043,"type":"article-journal","abstract":"Although mast cells have long been known, they are not yet fully understood. They are traditionally recognized for their role in allergic reactions through the IgE/FcεRI axis, but different groups of surface receptors have since been characterized, which appear to be involved in the manifestation of peculiar clinical features. In particular, MRGPRX2 has emerged as a crucial receptor involved in degranulating human skin mast cells. Because of mast cells’ close proximity to peripheral nerve endings, it may play a key role in neuroimmune interactions. This paper provides an overview of mast cell contributions to hypersensitivity and so-called “pseudoallergic” reactions, as well as an update on neuroinflammatory implications in the main models of airway and skin allergic diseases. In particular, the main cellular characteristics and the most relevant surface receptors involved in MC pathophysiology have been reappraised in light of recent advancements in MC research. Molecular and clinical aspects related to MC degranulation induced by IgE or MRGPRX2 have been analyzed and compared, along with their possible repercussions and limitations on future therapeutic perspectives.","container-title":"International Journal of Molecular Sciences","DOI":"10.3390/ijms26030927","ISSN":"1422-0067","issue":"3","language":"en","license":"http://creativecommons.org/licenses/by/3.0/","note":"number: 3\npublisher: Multidisciplinary Digital Publishing Institute","page":"927","source":"www.mdpi.com","title":"Mast Cells at the Crossroads of Hypersensitivity Reactions and Neurogenic Inflammation","volume":"26","author":[{"family":"Aitella","given":"Ernesto"},{"family":"Romano","given":"Ciro"},{"family":"Ginaldi","given":"Lia"},{"family":"Cozzolino","given":"Domenico"}],"issued":{"date-parts":[["2025",1]]}}}],"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(Aitella et al., 2025)</w:t>
      </w:r>
      <w:r w:rsidRPr="00CE0262">
        <w:rPr>
          <w:rFonts w:ascii="Arial" w:hAnsi="Arial" w:cs="Arial"/>
          <w:color w:val="000000" w:themeColor="text1"/>
          <w:lang w:val="en-US"/>
        </w:rPr>
        <w:fldChar w:fldCharType="end"/>
      </w:r>
      <w:r w:rsidRPr="00CE0262">
        <w:rPr>
          <w:rFonts w:ascii="Arial" w:hAnsi="Arial" w:cs="Arial"/>
          <w:color w:val="000000" w:themeColor="text1"/>
          <w:lang w:val="en-US"/>
        </w:rPr>
        <w:t xml:space="preserve">. Clinically, this manifests as symptoms ranging from mild (such as sneezing, itching, and hives) to severe and life-threatening (including anaphylaxis)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{"citationID":"a2mtue4rgol","properties":{"formattedCitation":"(Abrams et al., 2024)","plainCitation":"(Abrams et al., 2024)","noteIndex":0},"citationItems":[{"id":8045,"uris":["http://zotero.org/users/2543086/items/8W279EFI"],"itemData":{"id":8045,"type":"article-journal","abstract":"Anaphylaxis is an acute, potentially fatal systemic hypersensitivity reaction with varied mechanisms and clinical presentations. Although prompt recognition and treatment of anaphylaxis are imperative, both patients and healthcare professionals often fail to recognize and diagnose its early signs. Clinical manifestations vary widely, however, the most common signs are cutaneous symptoms, including urticaria and angioedema. Immediate intramuscular administration of epinephrine into the anterolateral thigh is first-line therapy, and is always safe even if the diagnosis is uncertain. The mainstays of long-term management include specialist assessment, allergen avoidance measures, and the provision of an epinephrine auto-injector with an individualized anaphylaxis emergency plan. This article provides an overview of the causes, clinical features, diagnosis, and acute as well as long-term management of anaphylaxis.","container-title":"Allergy, Asthma &amp; Clinical Immunology","DOI":"10.1186/s13223-024-00926-3","ISSN":"1710-1492","issue":"3","journalAbbreviation":"Allergy, Asthma &amp; Clinical Immunology","page":"62","source":"BioMed Central","title":"Anaphylaxis","volume":"20","author":[{"family":"Abrams","given":"Elissa M."},{"family":"Alqurashi","given":"Waleed"},{"family":"Fischer","given":"David A."},{"family":"Vander Leek","given":"Timothy K."},{"family":"Ellis","given":"Anne K."}],"issued":{"date-parts":[["2024",12,9]]}}}],"schema":"https://github.com/citation-style-language/schema/raw/master/csl-citation.json"}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(Abrams et al., 2024)</w:t>
      </w:r>
      <w:r w:rsidRPr="00CE0262">
        <w:rPr>
          <w:rFonts w:ascii="Arial" w:hAnsi="Arial" w:cs="Arial"/>
          <w:color w:val="000000" w:themeColor="text1"/>
          <w:lang w:val="en-US"/>
        </w:rPr>
        <w:fldChar w:fldCharType="end"/>
      </w:r>
      <w:r w:rsidRPr="00CE0262">
        <w:rPr>
          <w:rStyle w:val="whitespace-nowrap"/>
          <w:rFonts w:ascii="Arial" w:hAnsi="Arial" w:cs="Arial"/>
          <w:color w:val="000000" w:themeColor="text1"/>
          <w:lang w:val="en-US"/>
        </w:rPr>
        <w:t>.</w:t>
      </w:r>
      <w:r w:rsidRPr="00CE0262">
        <w:rPr>
          <w:rFonts w:ascii="Arial" w:hAnsi="Arial" w:cs="Arial"/>
          <w:color w:val="000000" w:themeColor="text1"/>
          <w:lang w:val="en-US"/>
        </w:rPr>
        <w:t xml:space="preserve"> Type II and III hypersensitivity reactions are mediated by the overproduction of immunoglobulin IgG or IgM, which activate the complement system, often leading to cell destruction and associated disorders such as autoimmune hemolytic anemia or immune thrombocytopenia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{"citationID":"av89rhfk09","properties":{"formattedCitation":"(Chan Gomez et al., 2020)","plainCitation":"(Chan Gomez et al., 2020)","noteIndex":0},"citationItems":[{"id":7290,"uris":["http://zotero.org/users/2543086/items/BBIL9MF7"],"itemData":{"id":7290,"type":"article-journal","abstract":"Drug-induced immune hemolytic anemia (DIIHA) is a rare cause of anemia. It is often difficult to distinguish from other causes of hemolytic anemia, thereby delaying diagnosis and treatment. Antibiotics, including penicillins and cephalosporins, are the drugs most often implicated in the development of DIIHA. Discontinuation of the offending agent is often sufficient for treatment. Here, we review the case of a 25-year-old Caucasian female who presented with jaundice and generalized weakness in the setting of outpatient treatment with amoxicillin-clavulanate due to sinus infection. Laboratory testing revealed transaminitis and hemolytic anemia. Direct antiglobulin test (DAT) revealed negative IgG and positive anti-C3. Cold agglutinin titer and Donath-Landsteiner test were negative. The patient was diagnosed with DIIHA most likely due to amoxicillin. She improved with drug cessation and a short course of glucocorticoids. Mechanism of DIIHA, workup, and management are subsequently reviewed.","container-title":"Cureus","DOI":"10.7759/cureus.8666","ISSN":"2168-8184","issue":"6","journalAbbreviation":"Cureus","note":"PMID: 32699666\nPMCID: PMC7370667","page":"e8666","source":"PubMed Central","title":"Drug-Induced Immune Hemolytic Anemia due to Amoxicillin-Clavulanate: A Case Report and Review","title-short":"Drug-Induced Immune Hemolytic Anemia due to Amoxicillin-Clavulanate","volume":"12","author":[{"family":"Chan Gomez","given":"Janet"},{"family":"Saleem","given":"Tabinda"},{"family":"Snyder","given":"Samantha"},{"family":"Joseph","given":"Maria"},{"family":"Kanderi","given":"Tejaswi"}],"issued":{"date-parts":[["2020"]]}}}],"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(Chan Gomez et al., 2020)</w:t>
      </w:r>
      <w:r w:rsidRPr="00CE0262">
        <w:rPr>
          <w:rFonts w:ascii="Arial" w:hAnsi="Arial" w:cs="Arial"/>
          <w:color w:val="000000" w:themeColor="text1"/>
          <w:lang w:val="en-US"/>
        </w:rPr>
        <w:fldChar w:fldCharType="end"/>
      </w:r>
      <w:r w:rsidRPr="00CE0262">
        <w:rPr>
          <w:rFonts w:ascii="Arial" w:hAnsi="Arial" w:cs="Arial"/>
          <w:color w:val="000000" w:themeColor="text1"/>
          <w:lang w:val="en-US"/>
        </w:rPr>
        <w:t xml:space="preserve">. Type IV hypersensitivity (delayed hypersensitivity) is a T-cell-mediated immune response that typically initiates 48 to 72 hours after allergen exposure, triggered by the activation of CD4+ and CD8+ T cells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{"citationID":"ajhsdq8i5a","properties":{"formattedCitation":"(Knol &amp; Gilles, 2022)","plainCitation":"(Knol &amp; Gilles, 2022)","noteIndex":0},"citationItems":[{"id":8049,"uris":["http://zotero.org/users/2543086/items/EXGVFHPQ"],"itemData":{"id":8049,"type":"chapter","abstract":"Hypersensitivity reactions are overreactions of the immune system clinically seen as allergic and autoimmune diseases. Gell and Coombs originally described four different types of hypersensitivity reactions almost 60 years ago, and their description still applies in large parts. However, some modifications and extensions have been included in original definition. Especially in allergic diseases, it became clear that often, multiple types of hypersensitivity reaction can occur simultaneously. This improved insight is not only important for a better understanding of hypersensitivity disorders, but is especially of importance for improved diagnostics and directing therapeutic interventions.","container-title":"Allergic Diseases – From Basic Mechanisms to Comprehensive Management and Prevention","event-place":"Cham","ISBN":"978-3-030-84048-8","language":"en","note":"DOI: 10.1007/164_2021_510","page":"31-41","publisher":"Springer International Publishing","publisher-place":"Cham","source":"Springer Link","title":"Allergy: Type I, II, III, and IV","title-short":"Allergy","URL":"https://doi.org/10.1007/164_2021_510","author":[{"family":"Knol","given":"Edward F."},{"family":"Gilles","given":"Stefanie"}],"editor":[{"family":"Traidl-Hoffmann","given":"Claudia"},{"family":"Zuberbier","given":"Torsten"},{"family":"Werfel","given":"Thomas"}],"accessed":{"date-parts":[["2025",6,1]]},"issued":{"date-parts":[["2022"]]}}}],"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 xml:space="preserve">(Knol </w:t>
      </w:r>
      <w:r w:rsidR="00DD6C5F">
        <w:rPr>
          <w:rFonts w:ascii="Arial" w:hAnsi="Arial" w:cs="Arial"/>
          <w:color w:val="000000"/>
        </w:rPr>
        <w:t>and</w:t>
      </w:r>
      <w:r w:rsidR="00416159">
        <w:rPr>
          <w:rFonts w:ascii="Arial" w:hAnsi="Arial" w:cs="Arial"/>
          <w:color w:val="000000"/>
        </w:rPr>
        <w:t xml:space="preserve"> Gilles, 2022)</w:t>
      </w:r>
      <w:r w:rsidRPr="00CE0262">
        <w:rPr>
          <w:rFonts w:ascii="Arial" w:hAnsi="Arial" w:cs="Arial"/>
          <w:color w:val="000000" w:themeColor="text1"/>
          <w:lang w:val="en-US"/>
        </w:rPr>
        <w:fldChar w:fldCharType="end"/>
      </w:r>
      <w:r w:rsidRPr="00CE0262">
        <w:rPr>
          <w:rStyle w:val="whitespace-nowrap"/>
          <w:rFonts w:ascii="Arial" w:hAnsi="Arial" w:cs="Arial"/>
          <w:color w:val="000000" w:themeColor="text1"/>
          <w:lang w:val="en-US"/>
        </w:rPr>
        <w:t>.</w:t>
      </w:r>
      <w:r w:rsidRPr="00CE0262">
        <w:rPr>
          <w:rFonts w:ascii="Arial" w:hAnsi="Arial" w:cs="Arial"/>
          <w:color w:val="000000" w:themeColor="text1"/>
          <w:lang w:val="en-US"/>
        </w:rPr>
        <w:t xml:space="preserve"> The increasing trends of allergic diseases highlighted the urgent need for ongoing research into understanding the nature of allergens, their sources, and their mechanisms; this is essential for accurate diagnosis, effective management, and the development of novel therapeutic strategies. For this reason, this study was designed to investigate the nature of allergens and their sources. </w:t>
      </w:r>
    </w:p>
    <w:p w14:paraId="248E79D4" w14:textId="77777777" w:rsidR="0013405D" w:rsidRDefault="0013405D" w:rsidP="0013405D">
      <w:pPr>
        <w:spacing w:line="480" w:lineRule="auto"/>
        <w:jc w:val="both"/>
        <w:rPr>
          <w:rFonts w:ascii="Arial" w:hAnsi="Arial" w:cs="Arial"/>
          <w:color w:val="000000" w:themeColor="text1"/>
        </w:rPr>
      </w:pPr>
    </w:p>
    <w:p w14:paraId="08070BD7" w14:textId="77777777" w:rsidR="0062307B" w:rsidRDefault="0062307B" w:rsidP="0013405D">
      <w:pPr>
        <w:spacing w:line="480" w:lineRule="auto"/>
        <w:jc w:val="both"/>
        <w:rPr>
          <w:rFonts w:ascii="Arial" w:hAnsi="Arial" w:cs="Arial"/>
          <w:color w:val="000000" w:themeColor="text1"/>
        </w:rPr>
      </w:pPr>
    </w:p>
    <w:p w14:paraId="2360F9B5" w14:textId="77777777" w:rsidR="0062307B" w:rsidRDefault="0062307B" w:rsidP="0013405D">
      <w:pPr>
        <w:spacing w:line="480" w:lineRule="auto"/>
        <w:jc w:val="both"/>
        <w:rPr>
          <w:rFonts w:ascii="Arial" w:hAnsi="Arial" w:cs="Arial"/>
          <w:color w:val="000000" w:themeColor="text1"/>
        </w:rPr>
      </w:pPr>
    </w:p>
    <w:p w14:paraId="14C72510" w14:textId="77777777" w:rsidR="0062307B" w:rsidRPr="00CE0262" w:rsidRDefault="0062307B" w:rsidP="0013405D">
      <w:pPr>
        <w:spacing w:line="480" w:lineRule="auto"/>
        <w:jc w:val="both"/>
        <w:rPr>
          <w:rFonts w:ascii="Arial" w:hAnsi="Arial" w:cs="Arial"/>
          <w:color w:val="000000" w:themeColor="text1"/>
        </w:rPr>
      </w:pPr>
    </w:p>
    <w:p w14:paraId="4010E7F3" w14:textId="79CFCEC7" w:rsidR="0013405D" w:rsidRPr="00CE0262" w:rsidRDefault="00D04249" w:rsidP="0013405D">
      <w:pPr>
        <w:pStyle w:val="jbd-Pendahul10"/>
        <w:spacing w:before="0" w:after="0" w:line="480" w:lineRule="auto"/>
        <w:rPr>
          <w:rFonts w:ascii="Arial" w:hAnsi="Arial"/>
          <w:color w:val="000000" w:themeColor="text1"/>
          <w:sz w:val="24"/>
          <w:szCs w:val="24"/>
          <w:lang w:val="en-US"/>
        </w:rPr>
      </w:pPr>
      <w:r w:rsidRPr="00CE0262">
        <w:rPr>
          <w:rFonts w:ascii="Arial" w:hAnsi="Arial"/>
          <w:caps w:val="0"/>
          <w:color w:val="000000" w:themeColor="text1"/>
          <w:sz w:val="24"/>
          <w:szCs w:val="24"/>
          <w:lang w:val="en-US"/>
        </w:rPr>
        <w:t>MATERIALS AND METHODS</w:t>
      </w:r>
    </w:p>
    <w:p w14:paraId="639F1A79" w14:textId="7FAEC748" w:rsidR="0013405D" w:rsidRPr="00CE0262" w:rsidRDefault="0013405D" w:rsidP="0013405D">
      <w:pPr>
        <w:pStyle w:val="BodyText"/>
        <w:rPr>
          <w:color w:val="000000" w:themeColor="text1"/>
        </w:rPr>
      </w:pPr>
      <w:r w:rsidRPr="00CE0262">
        <w:rPr>
          <w:b/>
          <w:bCs/>
          <w:color w:val="000000" w:themeColor="text1"/>
        </w:rPr>
        <w:t xml:space="preserve">Study </w:t>
      </w:r>
      <w:r w:rsidR="00804ED0">
        <w:rPr>
          <w:b/>
          <w:bCs/>
          <w:color w:val="000000" w:themeColor="text1"/>
        </w:rPr>
        <w:t>D</w:t>
      </w:r>
      <w:r w:rsidRPr="00CE0262">
        <w:rPr>
          <w:b/>
          <w:bCs/>
          <w:color w:val="000000" w:themeColor="text1"/>
        </w:rPr>
        <w:t xml:space="preserve">esign and </w:t>
      </w:r>
      <w:r w:rsidR="00804ED0">
        <w:rPr>
          <w:b/>
          <w:bCs/>
          <w:color w:val="000000" w:themeColor="text1"/>
        </w:rPr>
        <w:t>S</w:t>
      </w:r>
      <w:r w:rsidRPr="00CE0262">
        <w:rPr>
          <w:b/>
          <w:bCs/>
          <w:color w:val="000000" w:themeColor="text1"/>
        </w:rPr>
        <w:t>amples</w:t>
      </w:r>
    </w:p>
    <w:p w14:paraId="69C7773C" w14:textId="61A02B45" w:rsidR="0013405D" w:rsidRDefault="0013405D" w:rsidP="00CE2B18">
      <w:pPr>
        <w:pStyle w:val="BodyText"/>
        <w:rPr>
          <w:color w:val="000000" w:themeColor="text1"/>
        </w:rPr>
      </w:pPr>
      <w:r w:rsidRPr="00CE0262">
        <w:rPr>
          <w:color w:val="000000" w:themeColor="text1"/>
        </w:rPr>
        <w:lastRenderedPageBreak/>
        <w:t xml:space="preserve">A structured questionnaire including nine questions was developed for this study to collect data about demographic information, allergic reactions, </w:t>
      </w:r>
      <w:r w:rsidR="00B76061">
        <w:rPr>
          <w:color w:val="000000" w:themeColor="text1"/>
        </w:rPr>
        <w:t>symptom</w:t>
      </w:r>
      <w:r w:rsidRPr="00CE0262">
        <w:rPr>
          <w:color w:val="000000" w:themeColor="text1"/>
        </w:rPr>
        <w:t xml:space="preserve"> severity, and sources of allergens. This study was conducted from June to September 2024 among the Iraqi </w:t>
      </w:r>
      <w:r w:rsidRPr="00D57627">
        <w:rPr>
          <w:color w:val="000000" w:themeColor="text1"/>
        </w:rPr>
        <w:t xml:space="preserve">population in Basrah province. A total of 410 patients </w:t>
      </w:r>
      <w:r w:rsidR="00D57627" w:rsidRPr="00D57627">
        <w:rPr>
          <w:color w:val="000000" w:themeColor="text1"/>
        </w:rPr>
        <w:t>participated in this study by accessing an online questionnaire</w:t>
      </w:r>
      <w:r w:rsidR="00CE2B18">
        <w:rPr>
          <w:color w:val="000000" w:themeColor="text1"/>
        </w:rPr>
        <w:t>.</w:t>
      </w:r>
      <w:r w:rsidRPr="00CE0262">
        <w:rPr>
          <w:color w:val="000000" w:themeColor="text1"/>
        </w:rPr>
        <w:t xml:space="preserve"> Eligible participants were adults aged 18 to 35 years residing in Basrah province with a clinically confirmed allergic condition</w:t>
      </w:r>
      <w:r w:rsidR="006D677E">
        <w:rPr>
          <w:color w:val="000000" w:themeColor="text1"/>
        </w:rPr>
        <w:t>.</w:t>
      </w:r>
      <w:r w:rsidRPr="00CE0262">
        <w:rPr>
          <w:color w:val="000000" w:themeColor="text1"/>
        </w:rPr>
        <w:t xml:space="preserve"> Diagnosis was verified by a specialist and formally documented in the registry of the Allergic and Asthma Center in Basrah, Iraq. Approval for all stages of the study was obtained from our Institutional </w:t>
      </w:r>
      <w:r w:rsidR="008B76C7">
        <w:rPr>
          <w:color w:val="000000" w:themeColor="text1"/>
        </w:rPr>
        <w:t xml:space="preserve">Scientific and </w:t>
      </w:r>
      <w:r w:rsidRPr="00CE0262">
        <w:rPr>
          <w:color w:val="000000" w:themeColor="text1"/>
        </w:rPr>
        <w:t>Ethics Committee</w:t>
      </w:r>
      <w:r w:rsidR="00265299" w:rsidRPr="00CE0262">
        <w:rPr>
          <w:color w:val="000000" w:themeColor="text1"/>
        </w:rPr>
        <w:t xml:space="preserve"> (No. </w:t>
      </w:r>
      <w:r w:rsidR="00202C73" w:rsidRPr="00CE0262">
        <w:rPr>
          <w:color w:val="000000" w:themeColor="text1"/>
        </w:rPr>
        <w:t>S/</w:t>
      </w:r>
      <w:r w:rsidR="00265299" w:rsidRPr="00CE0262">
        <w:rPr>
          <w:color w:val="000000" w:themeColor="text1"/>
        </w:rPr>
        <w:t>2</w:t>
      </w:r>
      <w:r w:rsidR="00C93F88">
        <w:rPr>
          <w:color w:val="000000" w:themeColor="text1"/>
        </w:rPr>
        <w:t>4</w:t>
      </w:r>
      <w:r w:rsidR="00265299" w:rsidRPr="00CE0262">
        <w:rPr>
          <w:color w:val="000000" w:themeColor="text1"/>
        </w:rPr>
        <w:t>/09)</w:t>
      </w:r>
      <w:r w:rsidR="00916A9F" w:rsidRPr="00CE0262">
        <w:rPr>
          <w:color w:val="000000" w:themeColor="text1"/>
        </w:rPr>
        <w:t>.</w:t>
      </w:r>
    </w:p>
    <w:p w14:paraId="70DFCBB1" w14:textId="77777777" w:rsidR="006644F4" w:rsidRDefault="006644F4" w:rsidP="00CA044B">
      <w:pPr>
        <w:pStyle w:val="BodyText"/>
        <w:rPr>
          <w:b/>
          <w:bCs/>
          <w:color w:val="000000" w:themeColor="text1"/>
        </w:rPr>
      </w:pPr>
    </w:p>
    <w:p w14:paraId="3A694F9D" w14:textId="50553BB1" w:rsidR="00CA044B" w:rsidRPr="00CA044B" w:rsidRDefault="00CA044B" w:rsidP="00CA044B">
      <w:pPr>
        <w:pStyle w:val="BodyText"/>
        <w:rPr>
          <w:b/>
          <w:bCs/>
          <w:color w:val="000000" w:themeColor="text1"/>
        </w:rPr>
      </w:pPr>
      <w:r w:rsidRPr="00CA044B">
        <w:rPr>
          <w:b/>
          <w:bCs/>
          <w:color w:val="000000" w:themeColor="text1"/>
        </w:rPr>
        <w:t>The Study Process</w:t>
      </w:r>
    </w:p>
    <w:p w14:paraId="75200A21" w14:textId="77777777" w:rsidR="00CA044B" w:rsidRPr="00CA044B" w:rsidRDefault="00CA044B" w:rsidP="00CA044B">
      <w:pPr>
        <w:pStyle w:val="BodyText"/>
        <w:rPr>
          <w:color w:val="000000" w:themeColor="text1"/>
        </w:rPr>
      </w:pPr>
      <w:r w:rsidRPr="00CA044B">
        <w:rPr>
          <w:color w:val="000000" w:themeColor="text1"/>
        </w:rPr>
        <w:t xml:space="preserve">The questionnaire was distributed electronically to populations by student groups, who were also encouraged to disseminate the questionnaire form. The electronic form was used to facilitate ease of access and participation. In this study, participation was voluntary. All participants were notified about the research purpose and their right to withdraw or cancel participation at any time without any consequences. Regular reminders were sent during the study to encourage participation and increase the response rate. </w:t>
      </w:r>
    </w:p>
    <w:p w14:paraId="24362C7D" w14:textId="77777777" w:rsidR="0013405D" w:rsidRPr="00CE0262" w:rsidRDefault="0013405D" w:rsidP="0013405D">
      <w:pPr>
        <w:pStyle w:val="BodyText"/>
        <w:rPr>
          <w:b/>
          <w:bCs/>
          <w:color w:val="000000" w:themeColor="text1"/>
        </w:rPr>
      </w:pPr>
    </w:p>
    <w:p w14:paraId="4D557C45" w14:textId="7A2EB77C" w:rsidR="0013405D" w:rsidRPr="00CE0262" w:rsidRDefault="0013405D" w:rsidP="0013405D">
      <w:pPr>
        <w:pStyle w:val="BodyText"/>
        <w:rPr>
          <w:b/>
          <w:bCs/>
          <w:color w:val="000000" w:themeColor="text1"/>
        </w:rPr>
      </w:pPr>
      <w:r w:rsidRPr="00CE0262">
        <w:rPr>
          <w:b/>
          <w:bCs/>
          <w:color w:val="000000" w:themeColor="text1"/>
        </w:rPr>
        <w:t>Statistical analysis</w:t>
      </w:r>
    </w:p>
    <w:p w14:paraId="638D3A22" w14:textId="7147A3AC" w:rsidR="0013405D" w:rsidRPr="00CE0262" w:rsidRDefault="0013405D" w:rsidP="00717C13">
      <w:pPr>
        <w:pStyle w:val="BodyText"/>
        <w:rPr>
          <w:color w:val="000000" w:themeColor="text1"/>
        </w:rPr>
      </w:pPr>
      <w:r w:rsidRPr="00CE0262">
        <w:rPr>
          <w:color w:val="000000" w:themeColor="text1"/>
        </w:rPr>
        <w:t>Statistical analysis was conducted using IBM SPSS Statistics (Version 25.0). Descriptive statistics summarized all relevant responses. A Chi-square goodness-of-fit test was employed to determine if observed categorical frequencies differed from expected distributions. Paired-samples t-tests with a Bonferroni correction were used to evaluate pairwise comparisons of mean</w:t>
      </w:r>
      <w:r w:rsidR="00C6077F">
        <w:rPr>
          <w:color w:val="000000" w:themeColor="text1"/>
        </w:rPr>
        <w:t>s</w:t>
      </w:r>
      <w:r w:rsidRPr="00CE0262">
        <w:rPr>
          <w:color w:val="000000" w:themeColor="text1"/>
        </w:rPr>
        <w:t xml:space="preserve">. </w:t>
      </w:r>
      <w:r w:rsidR="00293BAE" w:rsidRPr="00717C13">
        <w:rPr>
          <w:color w:val="000000" w:themeColor="text1"/>
        </w:rPr>
        <w:t xml:space="preserve">A one-way ANOVA was used to assess differences in mean age across eight allergen groups, with Games-Howell for post-hoc comparisons </w:t>
      </w:r>
      <w:r w:rsidR="00717C13" w:rsidRPr="00717C13">
        <w:rPr>
          <w:color w:val="000000" w:themeColor="text1"/>
        </w:rPr>
        <w:t xml:space="preserve">when </w:t>
      </w:r>
      <w:r w:rsidR="00293BAE" w:rsidRPr="00717C13">
        <w:rPr>
          <w:color w:val="000000" w:themeColor="text1"/>
        </w:rPr>
        <w:t>sample sizes and heterogeneous variances</w:t>
      </w:r>
      <w:r w:rsidR="00717C13" w:rsidRPr="00717C13">
        <w:rPr>
          <w:color w:val="000000" w:themeColor="text1"/>
        </w:rPr>
        <w:t xml:space="preserve"> </w:t>
      </w:r>
      <w:r w:rsidR="007E6456">
        <w:rPr>
          <w:color w:val="000000" w:themeColor="text1"/>
        </w:rPr>
        <w:t>were</w:t>
      </w:r>
      <w:r w:rsidR="00717C13" w:rsidRPr="00717C13">
        <w:rPr>
          <w:color w:val="000000" w:themeColor="text1"/>
        </w:rPr>
        <w:t xml:space="preserve"> unequal</w:t>
      </w:r>
      <w:r w:rsidR="00293BAE" w:rsidRPr="00717C13">
        <w:rPr>
          <w:color w:val="000000" w:themeColor="text1"/>
        </w:rPr>
        <w:t>.</w:t>
      </w:r>
      <w:r w:rsidR="00717C13" w:rsidRPr="00717C13">
        <w:rPr>
          <w:color w:val="000000" w:themeColor="text1"/>
        </w:rPr>
        <w:t xml:space="preserve"> </w:t>
      </w:r>
      <w:r w:rsidRPr="00CE0262">
        <w:rPr>
          <w:color w:val="000000" w:themeColor="text1"/>
        </w:rPr>
        <w:t xml:space="preserve">All results are reported with 95% </w:t>
      </w:r>
      <w:r w:rsidRPr="00CE0262">
        <w:rPr>
          <w:color w:val="000000" w:themeColor="text1"/>
        </w:rPr>
        <w:lastRenderedPageBreak/>
        <w:t>Confidence Intervals (95% CI), and the significance level for all tests was set at (</w:t>
      </w:r>
      <w:r w:rsidRPr="00D1668B">
        <w:rPr>
          <w:i/>
          <w:iCs/>
          <w:color w:val="000000" w:themeColor="text1"/>
        </w:rPr>
        <w:t>p</w:t>
      </w:r>
      <w:r w:rsidRPr="00CE0262">
        <w:rPr>
          <w:color w:val="000000" w:themeColor="text1"/>
        </w:rPr>
        <w:t>-value &lt; 0.05).</w:t>
      </w:r>
    </w:p>
    <w:p w14:paraId="38B514A1" w14:textId="77777777" w:rsidR="0013405D" w:rsidRPr="00CE0262" w:rsidRDefault="0013405D" w:rsidP="0013405D">
      <w:pPr>
        <w:pStyle w:val="BodyText"/>
        <w:rPr>
          <w:color w:val="000000" w:themeColor="text1"/>
          <w:rtl/>
        </w:rPr>
      </w:pPr>
    </w:p>
    <w:p w14:paraId="15E53F74" w14:textId="37DFFEE8" w:rsidR="0013405D" w:rsidRPr="00CE0262" w:rsidRDefault="00D04249" w:rsidP="0013405D">
      <w:pPr>
        <w:spacing w:line="480" w:lineRule="auto"/>
        <w:jc w:val="center"/>
        <w:rPr>
          <w:rFonts w:ascii="Arial" w:hAnsi="Arial" w:cs="Arial"/>
          <w:b/>
          <w:bCs/>
          <w:color w:val="000000" w:themeColor="text1"/>
          <w:rtl/>
        </w:rPr>
      </w:pPr>
      <w:r w:rsidRPr="00CE0262">
        <w:rPr>
          <w:rFonts w:ascii="Arial" w:hAnsi="Arial" w:cs="Arial"/>
          <w:b/>
          <w:bCs/>
          <w:color w:val="000000" w:themeColor="text1"/>
        </w:rPr>
        <w:t>RESULTS</w:t>
      </w:r>
    </w:p>
    <w:p w14:paraId="16C00C40" w14:textId="67B82EA5" w:rsidR="0013405D" w:rsidRPr="00CE0262" w:rsidRDefault="0013405D" w:rsidP="0013405D">
      <w:pPr>
        <w:pStyle w:val="BodyText"/>
        <w:rPr>
          <w:b/>
          <w:bCs/>
          <w:color w:val="000000" w:themeColor="text1"/>
        </w:rPr>
      </w:pPr>
      <w:r w:rsidRPr="00CE0262">
        <w:rPr>
          <w:b/>
          <w:bCs/>
          <w:color w:val="000000" w:themeColor="text1"/>
        </w:rPr>
        <w:t xml:space="preserve">Demographic </w:t>
      </w:r>
      <w:r w:rsidR="00F0073B">
        <w:rPr>
          <w:b/>
          <w:bCs/>
          <w:color w:val="000000" w:themeColor="text1"/>
        </w:rPr>
        <w:t>D</w:t>
      </w:r>
      <w:r w:rsidRPr="00CE0262">
        <w:rPr>
          <w:b/>
          <w:bCs/>
          <w:color w:val="000000" w:themeColor="text1"/>
        </w:rPr>
        <w:t>istribution</w:t>
      </w:r>
    </w:p>
    <w:p w14:paraId="62CCBC4F" w14:textId="4620B625" w:rsidR="00A66CF7" w:rsidRDefault="0013405D" w:rsidP="0053103E">
      <w:pPr>
        <w:spacing w:line="480" w:lineRule="auto"/>
        <w:jc w:val="both"/>
        <w:rPr>
          <w:rFonts w:ascii="Arial" w:hAnsi="Arial" w:cs="Arial"/>
          <w:color w:val="000000" w:themeColor="text1"/>
        </w:rPr>
      </w:pPr>
      <w:r w:rsidRPr="00CE0262">
        <w:rPr>
          <w:rFonts w:ascii="Arial" w:hAnsi="Arial" w:cs="Arial"/>
          <w:color w:val="000000" w:themeColor="text1"/>
        </w:rPr>
        <w:t xml:space="preserve">The age distribution of study participants revealed a predominantly young adult population, with ages ranging from 18 to 35 years (mean age = 24.53 years, median = 23 years). </w:t>
      </w:r>
      <w:r w:rsidR="00F60198">
        <w:rPr>
          <w:rFonts w:ascii="Arial" w:hAnsi="Arial" w:cs="Arial"/>
          <w:color w:val="000000" w:themeColor="text1"/>
        </w:rPr>
        <w:br/>
      </w:r>
      <w:r w:rsidRPr="00CE0262">
        <w:rPr>
          <w:rFonts w:ascii="Arial" w:hAnsi="Arial" w:cs="Arial"/>
          <w:color w:val="000000" w:themeColor="text1"/>
        </w:rPr>
        <w:t>The study population was predominantly female (n=293, 71.5%) compared to male participants (n=117, 28.5%). The majority of patients resided in urban areas (n=234, 57.1%). Educational attainment showed that most participants held Bachelor's degrees (n=324, 79.02%), while a smaller proportion had completed high school education (n=86, 20.98%). Regarding hypersensitivity patterns, more than half of the study population exhibited immediate allergic reactions (n=217, 52.9%) compared to delayed-type hypersensitivity (n=193, 47.1%)</w:t>
      </w:r>
      <w:r w:rsidR="00615E5C">
        <w:rPr>
          <w:rFonts w:ascii="Arial" w:hAnsi="Arial" w:cs="Arial"/>
          <w:color w:val="000000" w:themeColor="text1"/>
        </w:rPr>
        <w:t xml:space="preserve"> (</w:t>
      </w:r>
      <w:r w:rsidR="00615E5C" w:rsidRPr="00615E5C">
        <w:rPr>
          <w:rFonts w:ascii="Arial" w:hAnsi="Arial" w:cs="Arial"/>
          <w:b/>
          <w:bCs/>
          <w:color w:val="000000" w:themeColor="text1"/>
        </w:rPr>
        <w:t>Table 1</w:t>
      </w:r>
      <w:r w:rsidR="00615E5C">
        <w:rPr>
          <w:rFonts w:ascii="Arial" w:hAnsi="Arial" w:cs="Arial"/>
          <w:color w:val="000000" w:themeColor="text1"/>
        </w:rPr>
        <w:t>)</w:t>
      </w:r>
      <w:r w:rsidR="008E4FAB" w:rsidRPr="00CE0262">
        <w:rPr>
          <w:rFonts w:ascii="Arial" w:hAnsi="Arial" w:cs="Arial"/>
          <w:color w:val="000000" w:themeColor="text1"/>
        </w:rPr>
        <w:t>.</w:t>
      </w:r>
    </w:p>
    <w:p w14:paraId="3993136F" w14:textId="77777777" w:rsidR="00CA7ECB" w:rsidRPr="0053103E" w:rsidRDefault="00CA7ECB" w:rsidP="0053103E">
      <w:pPr>
        <w:spacing w:line="480" w:lineRule="auto"/>
        <w:jc w:val="both"/>
        <w:rPr>
          <w:rFonts w:ascii="Arial" w:hAnsi="Arial" w:cs="Arial"/>
          <w:color w:val="000000" w:themeColor="text1"/>
        </w:rPr>
      </w:pPr>
    </w:p>
    <w:p w14:paraId="29BEF7C8" w14:textId="434E932F" w:rsidR="00A66CF7" w:rsidRPr="0088350D" w:rsidRDefault="00A66CF7" w:rsidP="00A66CF7">
      <w:pPr>
        <w:spacing w:line="480" w:lineRule="auto"/>
        <w:rPr>
          <w:rFonts w:asciiTheme="minorBidi" w:hAnsiTheme="minorBidi" w:cstheme="minorBidi"/>
          <w:color w:val="000000" w:themeColor="text1"/>
        </w:rPr>
      </w:pPr>
      <w:r w:rsidRPr="0088350D">
        <w:rPr>
          <w:rFonts w:asciiTheme="minorBidi" w:hAnsiTheme="minorBidi" w:cstheme="minorBidi"/>
          <w:b/>
          <w:bCs/>
          <w:color w:val="000000" w:themeColor="text1"/>
        </w:rPr>
        <w:t xml:space="preserve">Table 1. </w:t>
      </w:r>
      <w:r w:rsidRPr="0088350D">
        <w:rPr>
          <w:rFonts w:asciiTheme="minorBidi" w:hAnsiTheme="minorBidi" w:cstheme="minorBidi"/>
          <w:color w:val="000000" w:themeColor="text1"/>
        </w:rPr>
        <w:t xml:space="preserve">Demographic distribution of the sample population </w:t>
      </w:r>
      <w:r w:rsidR="00B76061">
        <w:rPr>
          <w:rFonts w:asciiTheme="minorBidi" w:hAnsiTheme="minorBidi" w:cstheme="minorBidi"/>
          <w:color w:val="000000" w:themeColor="text1"/>
        </w:rPr>
        <w:t xml:space="preserve">that </w:t>
      </w:r>
      <w:r w:rsidRPr="0088350D">
        <w:rPr>
          <w:rFonts w:asciiTheme="minorBidi" w:hAnsiTheme="minorBidi" w:cstheme="minorBidi"/>
          <w:color w:val="000000" w:themeColor="text1"/>
        </w:rPr>
        <w:t>participated in this study.</w:t>
      </w:r>
    </w:p>
    <w:tbl>
      <w:tblPr>
        <w:tblW w:w="4192" w:type="pct"/>
        <w:jc w:val="center"/>
        <w:tblLook w:val="04A0" w:firstRow="1" w:lastRow="0" w:firstColumn="1" w:lastColumn="0" w:noHBand="0" w:noVBand="1"/>
      </w:tblPr>
      <w:tblGrid>
        <w:gridCol w:w="2637"/>
        <w:gridCol w:w="1642"/>
        <w:gridCol w:w="1618"/>
        <w:gridCol w:w="2183"/>
      </w:tblGrid>
      <w:tr w:rsidR="00A66CF7" w:rsidRPr="002055F1" w14:paraId="7CA0AB52" w14:textId="77777777" w:rsidTr="00C809BF">
        <w:trPr>
          <w:trHeight w:val="20"/>
          <w:jc w:val="center"/>
        </w:trPr>
        <w:tc>
          <w:tcPr>
            <w:tcW w:w="1632" w:type="pct"/>
            <w:tcBorders>
              <w:top w:val="single" w:sz="4" w:space="0" w:color="auto"/>
              <w:bottom w:val="single" w:sz="4" w:space="0" w:color="auto"/>
            </w:tcBorders>
            <w:vAlign w:val="center"/>
            <w:hideMark/>
          </w:tcPr>
          <w:p w14:paraId="1E348CAC" w14:textId="77777777" w:rsidR="00A66CF7" w:rsidRPr="002055F1" w:rsidRDefault="00A66CF7"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Variable</w:t>
            </w:r>
          </w:p>
        </w:tc>
        <w:tc>
          <w:tcPr>
            <w:tcW w:w="1016" w:type="pct"/>
            <w:tcBorders>
              <w:top w:val="single" w:sz="4" w:space="0" w:color="auto"/>
              <w:bottom w:val="single" w:sz="4" w:space="0" w:color="auto"/>
            </w:tcBorders>
            <w:vAlign w:val="center"/>
            <w:hideMark/>
          </w:tcPr>
          <w:p w14:paraId="6105743B" w14:textId="77777777" w:rsidR="00A66CF7" w:rsidRPr="002055F1" w:rsidRDefault="00A66CF7"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Category</w:t>
            </w:r>
          </w:p>
        </w:tc>
        <w:tc>
          <w:tcPr>
            <w:tcW w:w="1001" w:type="pct"/>
            <w:tcBorders>
              <w:top w:val="single" w:sz="4" w:space="0" w:color="auto"/>
              <w:bottom w:val="single" w:sz="4" w:space="0" w:color="auto"/>
            </w:tcBorders>
            <w:vAlign w:val="center"/>
            <w:hideMark/>
          </w:tcPr>
          <w:p w14:paraId="2948DBCB" w14:textId="77777777" w:rsidR="00A66CF7" w:rsidRPr="002055F1" w:rsidRDefault="00A66CF7"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Number (n)</w:t>
            </w:r>
          </w:p>
        </w:tc>
        <w:tc>
          <w:tcPr>
            <w:tcW w:w="1351" w:type="pct"/>
            <w:tcBorders>
              <w:top w:val="single" w:sz="4" w:space="0" w:color="auto"/>
              <w:bottom w:val="single" w:sz="4" w:space="0" w:color="auto"/>
            </w:tcBorders>
            <w:vAlign w:val="center"/>
            <w:hideMark/>
          </w:tcPr>
          <w:p w14:paraId="6B24C4D9" w14:textId="77777777" w:rsidR="00A66CF7" w:rsidRPr="002055F1" w:rsidRDefault="00A66CF7"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Frequency (%)</w:t>
            </w:r>
          </w:p>
        </w:tc>
      </w:tr>
      <w:tr w:rsidR="00A66CF7" w:rsidRPr="002055F1" w14:paraId="155A5AAA" w14:textId="77777777" w:rsidTr="00C809BF">
        <w:trPr>
          <w:trHeight w:val="477"/>
          <w:jc w:val="center"/>
        </w:trPr>
        <w:tc>
          <w:tcPr>
            <w:tcW w:w="1632" w:type="pct"/>
            <w:vMerge w:val="restart"/>
            <w:tcBorders>
              <w:top w:val="single" w:sz="4" w:space="0" w:color="auto"/>
            </w:tcBorders>
            <w:vAlign w:val="center"/>
            <w:hideMark/>
          </w:tcPr>
          <w:p w14:paraId="3AD9579C" w14:textId="5DBDB70D" w:rsidR="00A66CF7" w:rsidRPr="002055F1" w:rsidRDefault="008C0A7D"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Gender</w:t>
            </w:r>
          </w:p>
        </w:tc>
        <w:tc>
          <w:tcPr>
            <w:tcW w:w="1016" w:type="pct"/>
            <w:tcBorders>
              <w:top w:val="single" w:sz="4" w:space="0" w:color="auto"/>
            </w:tcBorders>
            <w:vAlign w:val="center"/>
            <w:hideMark/>
          </w:tcPr>
          <w:p w14:paraId="3F02C806"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Male</w:t>
            </w:r>
          </w:p>
        </w:tc>
        <w:tc>
          <w:tcPr>
            <w:tcW w:w="1001" w:type="pct"/>
            <w:tcBorders>
              <w:top w:val="single" w:sz="4" w:space="0" w:color="auto"/>
            </w:tcBorders>
            <w:vAlign w:val="center"/>
            <w:hideMark/>
          </w:tcPr>
          <w:p w14:paraId="68C06B8A"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117</w:t>
            </w:r>
          </w:p>
        </w:tc>
        <w:tc>
          <w:tcPr>
            <w:tcW w:w="1351" w:type="pct"/>
            <w:tcBorders>
              <w:top w:val="single" w:sz="4" w:space="0" w:color="auto"/>
            </w:tcBorders>
            <w:vAlign w:val="center"/>
            <w:hideMark/>
          </w:tcPr>
          <w:p w14:paraId="38EA7369"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28.5%</w:t>
            </w:r>
          </w:p>
        </w:tc>
      </w:tr>
      <w:tr w:rsidR="00A66CF7" w:rsidRPr="002055F1" w14:paraId="69330033" w14:textId="77777777" w:rsidTr="00C809BF">
        <w:trPr>
          <w:trHeight w:val="477"/>
          <w:jc w:val="center"/>
        </w:trPr>
        <w:tc>
          <w:tcPr>
            <w:tcW w:w="1632" w:type="pct"/>
            <w:vMerge/>
            <w:vAlign w:val="center"/>
            <w:hideMark/>
          </w:tcPr>
          <w:p w14:paraId="4654E53A" w14:textId="77777777" w:rsidR="00A66CF7" w:rsidRPr="002055F1" w:rsidRDefault="00A66CF7" w:rsidP="0093587A">
            <w:pPr>
              <w:rPr>
                <w:rFonts w:asciiTheme="minorBidi" w:hAnsiTheme="minorBidi" w:cstheme="minorBidi"/>
                <w:b/>
                <w:bCs/>
                <w:color w:val="000000" w:themeColor="text1"/>
                <w:sz w:val="22"/>
                <w:szCs w:val="22"/>
              </w:rPr>
            </w:pPr>
          </w:p>
        </w:tc>
        <w:tc>
          <w:tcPr>
            <w:tcW w:w="1016" w:type="pct"/>
            <w:vAlign w:val="center"/>
            <w:hideMark/>
          </w:tcPr>
          <w:p w14:paraId="41EAC81F"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Female</w:t>
            </w:r>
          </w:p>
        </w:tc>
        <w:tc>
          <w:tcPr>
            <w:tcW w:w="1001" w:type="pct"/>
            <w:vAlign w:val="center"/>
            <w:hideMark/>
          </w:tcPr>
          <w:p w14:paraId="670C363C"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293</w:t>
            </w:r>
          </w:p>
        </w:tc>
        <w:tc>
          <w:tcPr>
            <w:tcW w:w="1351" w:type="pct"/>
            <w:vAlign w:val="center"/>
            <w:hideMark/>
          </w:tcPr>
          <w:p w14:paraId="5A8987FE"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71.5%</w:t>
            </w:r>
          </w:p>
        </w:tc>
      </w:tr>
      <w:tr w:rsidR="00A66CF7" w:rsidRPr="002055F1" w14:paraId="7F5EDB14" w14:textId="77777777" w:rsidTr="00C809BF">
        <w:trPr>
          <w:trHeight w:val="477"/>
          <w:jc w:val="center"/>
        </w:trPr>
        <w:tc>
          <w:tcPr>
            <w:tcW w:w="1632" w:type="pct"/>
            <w:vMerge w:val="restart"/>
            <w:vAlign w:val="center"/>
            <w:hideMark/>
          </w:tcPr>
          <w:p w14:paraId="649B9811" w14:textId="77777777" w:rsidR="00A66CF7" w:rsidRPr="002055F1" w:rsidRDefault="00A66CF7"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Region</w:t>
            </w:r>
          </w:p>
        </w:tc>
        <w:tc>
          <w:tcPr>
            <w:tcW w:w="1016" w:type="pct"/>
            <w:noWrap/>
            <w:vAlign w:val="center"/>
            <w:hideMark/>
          </w:tcPr>
          <w:p w14:paraId="4025A176"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Rural</w:t>
            </w:r>
          </w:p>
        </w:tc>
        <w:tc>
          <w:tcPr>
            <w:tcW w:w="1001" w:type="pct"/>
            <w:noWrap/>
            <w:vAlign w:val="center"/>
            <w:hideMark/>
          </w:tcPr>
          <w:p w14:paraId="7EB00B2C"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176</w:t>
            </w:r>
          </w:p>
        </w:tc>
        <w:tc>
          <w:tcPr>
            <w:tcW w:w="1351" w:type="pct"/>
            <w:vAlign w:val="center"/>
            <w:hideMark/>
          </w:tcPr>
          <w:p w14:paraId="42A998FC"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42.9%</w:t>
            </w:r>
          </w:p>
        </w:tc>
      </w:tr>
      <w:tr w:rsidR="00A66CF7" w:rsidRPr="002055F1" w14:paraId="05C87C71" w14:textId="77777777" w:rsidTr="00C809BF">
        <w:trPr>
          <w:trHeight w:val="477"/>
          <w:jc w:val="center"/>
        </w:trPr>
        <w:tc>
          <w:tcPr>
            <w:tcW w:w="1632" w:type="pct"/>
            <w:vMerge/>
            <w:vAlign w:val="center"/>
            <w:hideMark/>
          </w:tcPr>
          <w:p w14:paraId="75077ECE" w14:textId="77777777" w:rsidR="00A66CF7" w:rsidRPr="002055F1" w:rsidRDefault="00A66CF7" w:rsidP="0093587A">
            <w:pPr>
              <w:rPr>
                <w:rFonts w:asciiTheme="minorBidi" w:hAnsiTheme="minorBidi" w:cstheme="minorBidi"/>
                <w:b/>
                <w:bCs/>
                <w:color w:val="000000" w:themeColor="text1"/>
                <w:sz w:val="22"/>
                <w:szCs w:val="22"/>
              </w:rPr>
            </w:pPr>
          </w:p>
        </w:tc>
        <w:tc>
          <w:tcPr>
            <w:tcW w:w="1016" w:type="pct"/>
            <w:vAlign w:val="center"/>
            <w:hideMark/>
          </w:tcPr>
          <w:p w14:paraId="3B989E4C"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Urban</w:t>
            </w:r>
          </w:p>
        </w:tc>
        <w:tc>
          <w:tcPr>
            <w:tcW w:w="1001" w:type="pct"/>
            <w:noWrap/>
            <w:vAlign w:val="center"/>
            <w:hideMark/>
          </w:tcPr>
          <w:p w14:paraId="68FD8E04"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234</w:t>
            </w:r>
          </w:p>
        </w:tc>
        <w:tc>
          <w:tcPr>
            <w:tcW w:w="1351" w:type="pct"/>
            <w:noWrap/>
            <w:vAlign w:val="center"/>
            <w:hideMark/>
          </w:tcPr>
          <w:p w14:paraId="623E296F"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57.1%</w:t>
            </w:r>
          </w:p>
        </w:tc>
      </w:tr>
      <w:tr w:rsidR="00A66CF7" w:rsidRPr="002055F1" w14:paraId="73752C97" w14:textId="77777777" w:rsidTr="00C809BF">
        <w:trPr>
          <w:trHeight w:val="477"/>
          <w:jc w:val="center"/>
        </w:trPr>
        <w:tc>
          <w:tcPr>
            <w:tcW w:w="1632" w:type="pct"/>
            <w:vMerge w:val="restart"/>
            <w:vAlign w:val="center"/>
            <w:hideMark/>
          </w:tcPr>
          <w:p w14:paraId="775AAADA" w14:textId="77777777" w:rsidR="00A66CF7" w:rsidRPr="002055F1" w:rsidRDefault="00A66CF7"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Education Level</w:t>
            </w:r>
          </w:p>
        </w:tc>
        <w:tc>
          <w:tcPr>
            <w:tcW w:w="1016" w:type="pct"/>
            <w:vAlign w:val="center"/>
            <w:hideMark/>
          </w:tcPr>
          <w:p w14:paraId="6C59690D"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High School</w:t>
            </w:r>
          </w:p>
        </w:tc>
        <w:tc>
          <w:tcPr>
            <w:tcW w:w="1001" w:type="pct"/>
            <w:vAlign w:val="center"/>
            <w:hideMark/>
          </w:tcPr>
          <w:p w14:paraId="3D1FFB4E"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shd w:val="clear" w:color="auto" w:fill="FFFFFF"/>
              </w:rPr>
              <w:t>86</w:t>
            </w:r>
          </w:p>
        </w:tc>
        <w:tc>
          <w:tcPr>
            <w:tcW w:w="1351" w:type="pct"/>
            <w:vAlign w:val="center"/>
            <w:hideMark/>
          </w:tcPr>
          <w:p w14:paraId="0EF8A240"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shd w:val="clear" w:color="auto" w:fill="FFFFFF"/>
              </w:rPr>
              <w:t>20.9%</w:t>
            </w:r>
          </w:p>
        </w:tc>
      </w:tr>
      <w:tr w:rsidR="00A66CF7" w:rsidRPr="002055F1" w14:paraId="1BB7B879" w14:textId="77777777" w:rsidTr="00C809BF">
        <w:trPr>
          <w:trHeight w:val="477"/>
          <w:jc w:val="center"/>
        </w:trPr>
        <w:tc>
          <w:tcPr>
            <w:tcW w:w="1632" w:type="pct"/>
            <w:vMerge/>
            <w:vAlign w:val="center"/>
            <w:hideMark/>
          </w:tcPr>
          <w:p w14:paraId="713C97A9" w14:textId="77777777" w:rsidR="00A66CF7" w:rsidRPr="002055F1" w:rsidRDefault="00A66CF7" w:rsidP="0093587A">
            <w:pPr>
              <w:rPr>
                <w:rFonts w:asciiTheme="minorBidi" w:hAnsiTheme="minorBidi" w:cstheme="minorBidi"/>
                <w:b/>
                <w:bCs/>
                <w:color w:val="000000" w:themeColor="text1"/>
                <w:sz w:val="22"/>
                <w:szCs w:val="22"/>
              </w:rPr>
            </w:pPr>
          </w:p>
        </w:tc>
        <w:tc>
          <w:tcPr>
            <w:tcW w:w="1016" w:type="pct"/>
            <w:vAlign w:val="center"/>
            <w:hideMark/>
          </w:tcPr>
          <w:p w14:paraId="3C932382"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Bachelor's</w:t>
            </w:r>
          </w:p>
        </w:tc>
        <w:tc>
          <w:tcPr>
            <w:tcW w:w="1001" w:type="pct"/>
            <w:vAlign w:val="center"/>
            <w:hideMark/>
          </w:tcPr>
          <w:p w14:paraId="73C60877"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shd w:val="clear" w:color="auto" w:fill="FFFFFF"/>
              </w:rPr>
              <w:t>324</w:t>
            </w:r>
          </w:p>
        </w:tc>
        <w:tc>
          <w:tcPr>
            <w:tcW w:w="1351" w:type="pct"/>
            <w:vAlign w:val="center"/>
            <w:hideMark/>
          </w:tcPr>
          <w:p w14:paraId="0F3FC00F"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shd w:val="clear" w:color="auto" w:fill="FFFFFF"/>
              </w:rPr>
              <w:t>79.0%</w:t>
            </w:r>
          </w:p>
        </w:tc>
      </w:tr>
      <w:tr w:rsidR="00A66CF7" w:rsidRPr="002055F1" w14:paraId="13BE6763" w14:textId="77777777" w:rsidTr="00C809BF">
        <w:trPr>
          <w:trHeight w:val="477"/>
          <w:jc w:val="center"/>
        </w:trPr>
        <w:tc>
          <w:tcPr>
            <w:tcW w:w="1632" w:type="pct"/>
            <w:vMerge w:val="restart"/>
            <w:vAlign w:val="center"/>
            <w:hideMark/>
          </w:tcPr>
          <w:p w14:paraId="722CB632" w14:textId="77777777" w:rsidR="00A66CF7" w:rsidRPr="002055F1" w:rsidRDefault="00A66CF7"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Hypersensitivity types</w:t>
            </w:r>
          </w:p>
        </w:tc>
        <w:tc>
          <w:tcPr>
            <w:tcW w:w="1016" w:type="pct"/>
            <w:vAlign w:val="center"/>
            <w:hideMark/>
          </w:tcPr>
          <w:p w14:paraId="38569DDE"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Immediate</w:t>
            </w:r>
          </w:p>
        </w:tc>
        <w:tc>
          <w:tcPr>
            <w:tcW w:w="1001" w:type="pct"/>
            <w:vAlign w:val="center"/>
            <w:hideMark/>
          </w:tcPr>
          <w:p w14:paraId="6DF3114E"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217</w:t>
            </w:r>
          </w:p>
        </w:tc>
        <w:tc>
          <w:tcPr>
            <w:tcW w:w="1351" w:type="pct"/>
            <w:vAlign w:val="center"/>
            <w:hideMark/>
          </w:tcPr>
          <w:p w14:paraId="20EBDE5D"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52.9%</w:t>
            </w:r>
          </w:p>
        </w:tc>
      </w:tr>
      <w:tr w:rsidR="00A66CF7" w:rsidRPr="002055F1" w14:paraId="61720C6B" w14:textId="77777777" w:rsidTr="00C809BF">
        <w:trPr>
          <w:trHeight w:val="477"/>
          <w:jc w:val="center"/>
        </w:trPr>
        <w:tc>
          <w:tcPr>
            <w:tcW w:w="1632" w:type="pct"/>
            <w:vMerge/>
            <w:tcBorders>
              <w:bottom w:val="single" w:sz="4" w:space="0" w:color="auto"/>
            </w:tcBorders>
            <w:vAlign w:val="center"/>
            <w:hideMark/>
          </w:tcPr>
          <w:p w14:paraId="0A90ED07" w14:textId="77777777" w:rsidR="00A66CF7" w:rsidRPr="002055F1" w:rsidRDefault="00A66CF7" w:rsidP="0093587A">
            <w:pPr>
              <w:rPr>
                <w:rFonts w:asciiTheme="minorBidi" w:hAnsiTheme="minorBidi" w:cstheme="minorBidi"/>
                <w:b/>
                <w:bCs/>
                <w:color w:val="000000" w:themeColor="text1"/>
                <w:sz w:val="22"/>
                <w:szCs w:val="22"/>
              </w:rPr>
            </w:pPr>
          </w:p>
        </w:tc>
        <w:tc>
          <w:tcPr>
            <w:tcW w:w="1016" w:type="pct"/>
            <w:tcBorders>
              <w:bottom w:val="single" w:sz="4" w:space="0" w:color="auto"/>
            </w:tcBorders>
            <w:vAlign w:val="center"/>
            <w:hideMark/>
          </w:tcPr>
          <w:p w14:paraId="74E1D186"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Delayed</w:t>
            </w:r>
          </w:p>
        </w:tc>
        <w:tc>
          <w:tcPr>
            <w:tcW w:w="1001" w:type="pct"/>
            <w:tcBorders>
              <w:bottom w:val="single" w:sz="4" w:space="0" w:color="auto"/>
            </w:tcBorders>
            <w:vAlign w:val="center"/>
            <w:hideMark/>
          </w:tcPr>
          <w:p w14:paraId="162FF36C"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193</w:t>
            </w:r>
          </w:p>
        </w:tc>
        <w:tc>
          <w:tcPr>
            <w:tcW w:w="1351" w:type="pct"/>
            <w:tcBorders>
              <w:bottom w:val="single" w:sz="4" w:space="0" w:color="auto"/>
            </w:tcBorders>
            <w:vAlign w:val="center"/>
            <w:hideMark/>
          </w:tcPr>
          <w:p w14:paraId="489A45BC"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47.1%</w:t>
            </w:r>
          </w:p>
        </w:tc>
      </w:tr>
      <w:tr w:rsidR="00A66CF7" w:rsidRPr="002055F1" w14:paraId="3DB33A4A" w14:textId="77777777" w:rsidTr="00C809BF">
        <w:trPr>
          <w:trHeight w:val="477"/>
          <w:jc w:val="center"/>
        </w:trPr>
        <w:tc>
          <w:tcPr>
            <w:tcW w:w="1632" w:type="pct"/>
            <w:tcBorders>
              <w:top w:val="single" w:sz="4" w:space="0" w:color="auto"/>
              <w:bottom w:val="single" w:sz="4" w:space="0" w:color="auto"/>
            </w:tcBorders>
            <w:vAlign w:val="center"/>
            <w:hideMark/>
          </w:tcPr>
          <w:p w14:paraId="6F535DE1" w14:textId="77777777" w:rsidR="00A66CF7" w:rsidRPr="002055F1" w:rsidRDefault="00A66CF7"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Total</w:t>
            </w:r>
          </w:p>
        </w:tc>
        <w:tc>
          <w:tcPr>
            <w:tcW w:w="3368" w:type="pct"/>
            <w:gridSpan w:val="3"/>
            <w:tcBorders>
              <w:top w:val="single" w:sz="4" w:space="0" w:color="auto"/>
              <w:bottom w:val="single" w:sz="4" w:space="0" w:color="auto"/>
            </w:tcBorders>
            <w:vAlign w:val="center"/>
            <w:hideMark/>
          </w:tcPr>
          <w:p w14:paraId="6C4567FD" w14:textId="77777777" w:rsidR="00A66CF7" w:rsidRPr="002055F1" w:rsidRDefault="00A66CF7"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410</w:t>
            </w:r>
          </w:p>
        </w:tc>
      </w:tr>
    </w:tbl>
    <w:p w14:paraId="70F63CBE" w14:textId="5DE9B0E1" w:rsidR="0013405D" w:rsidRPr="00CE0262" w:rsidRDefault="0013405D" w:rsidP="0013405D">
      <w:pPr>
        <w:spacing w:line="480" w:lineRule="auto"/>
        <w:jc w:val="both"/>
        <w:rPr>
          <w:rFonts w:ascii="Arial" w:hAnsi="Arial" w:cs="Arial"/>
          <w:b/>
          <w:bCs/>
          <w:color w:val="000000" w:themeColor="text1"/>
        </w:rPr>
      </w:pPr>
      <w:r w:rsidRPr="00CE0262">
        <w:rPr>
          <w:rFonts w:ascii="Arial" w:hAnsi="Arial" w:cs="Arial"/>
          <w:b/>
          <w:bCs/>
          <w:color w:val="000000" w:themeColor="text1"/>
        </w:rPr>
        <w:t xml:space="preserve">Allergen </w:t>
      </w:r>
      <w:r w:rsidR="00510DB3">
        <w:rPr>
          <w:rFonts w:ascii="Arial" w:hAnsi="Arial" w:cs="Arial"/>
          <w:b/>
          <w:bCs/>
          <w:color w:val="000000" w:themeColor="text1"/>
        </w:rPr>
        <w:t>T</w:t>
      </w:r>
      <w:r w:rsidRPr="00CE0262">
        <w:rPr>
          <w:rFonts w:ascii="Arial" w:hAnsi="Arial" w:cs="Arial"/>
          <w:b/>
          <w:bCs/>
          <w:color w:val="000000" w:themeColor="text1"/>
        </w:rPr>
        <w:t>ypes</w:t>
      </w:r>
    </w:p>
    <w:p w14:paraId="31854BE5" w14:textId="11B2201E" w:rsidR="0013405D" w:rsidRPr="00B3159B" w:rsidRDefault="0001125D" w:rsidP="0051488E">
      <w:pPr>
        <w:spacing w:line="480" w:lineRule="auto"/>
        <w:jc w:val="both"/>
        <w:rPr>
          <w:rFonts w:ascii="Arial" w:hAnsi="Arial" w:cs="Arial"/>
          <w:color w:val="000000" w:themeColor="text1"/>
        </w:rPr>
      </w:pPr>
      <w:r w:rsidRPr="00B3159B">
        <w:rPr>
          <w:rFonts w:ascii="Arial" w:hAnsi="Arial" w:cs="Arial"/>
          <w:color w:val="000000" w:themeColor="text1"/>
        </w:rPr>
        <w:lastRenderedPageBreak/>
        <w:t xml:space="preserve">A one-way ANOVA (n = 410) revealed a significant difference in mean age across eight allergen groups, </w:t>
      </w:r>
      <w:proofErr w:type="gramStart"/>
      <w:r w:rsidRPr="00B3159B">
        <w:rPr>
          <w:rFonts w:ascii="Arial" w:hAnsi="Arial" w:cs="Arial"/>
          <w:color w:val="000000" w:themeColor="text1"/>
        </w:rPr>
        <w:t>F(</w:t>
      </w:r>
      <w:proofErr w:type="gramEnd"/>
      <w:r w:rsidRPr="00B3159B">
        <w:rPr>
          <w:rFonts w:ascii="Arial" w:hAnsi="Arial" w:cs="Arial"/>
          <w:color w:val="000000" w:themeColor="text1"/>
        </w:rPr>
        <w:t xml:space="preserve">7, 402) = 20.38, </w:t>
      </w:r>
      <w:r w:rsidRPr="00B3159B">
        <w:rPr>
          <w:rFonts w:ascii="Arial" w:hAnsi="Arial" w:cs="Arial"/>
          <w:i/>
          <w:iCs/>
          <w:color w:val="000000" w:themeColor="text1"/>
        </w:rPr>
        <w:t>p</w:t>
      </w:r>
      <w:r w:rsidRPr="00B3159B">
        <w:rPr>
          <w:rFonts w:ascii="Arial" w:hAnsi="Arial" w:cs="Arial"/>
          <w:color w:val="000000" w:themeColor="text1"/>
        </w:rPr>
        <w:t xml:space="preserve"> &lt; 0.001, with a large effect size (η² ≈ 0.23).</w:t>
      </w:r>
      <w:r w:rsidR="00FC0C5A" w:rsidRPr="00B3159B">
        <w:rPr>
          <w:rFonts w:ascii="Arial" w:hAnsi="Arial" w:cs="Arial"/>
          <w:color w:val="000000" w:themeColor="text1"/>
        </w:rPr>
        <w:t xml:space="preserve"> </w:t>
      </w:r>
      <w:r w:rsidR="0013405D" w:rsidRPr="00B3159B">
        <w:rPr>
          <w:rFonts w:ascii="Arial" w:hAnsi="Arial" w:cs="Arial"/>
          <w:color w:val="000000" w:themeColor="text1"/>
        </w:rPr>
        <w:t xml:space="preserve">Dust was the most prevalent </w:t>
      </w:r>
      <w:r w:rsidR="00C84041">
        <w:rPr>
          <w:rFonts w:ascii="Arial" w:hAnsi="Arial" w:cs="Arial"/>
          <w:color w:val="000000" w:themeColor="text1"/>
        </w:rPr>
        <w:t>allergen</w:t>
      </w:r>
      <w:r w:rsidR="0013405D" w:rsidRPr="00B3159B">
        <w:rPr>
          <w:rFonts w:ascii="Arial" w:hAnsi="Arial" w:cs="Arial"/>
          <w:color w:val="000000" w:themeColor="text1"/>
        </w:rPr>
        <w:t xml:space="preserve"> (n=126, valid %= 30.73%, mean age=</w:t>
      </w:r>
      <w:r w:rsidR="0013405D" w:rsidRPr="00B3159B">
        <w:rPr>
          <w:rFonts w:ascii="Arial" w:hAnsi="Arial" w:cs="Arial"/>
          <w:color w:val="000000" w:themeColor="text1"/>
          <w:shd w:val="clear" w:color="auto" w:fill="FFFFFF"/>
        </w:rPr>
        <w:t xml:space="preserve"> 23.48 years</w:t>
      </w:r>
      <w:r w:rsidR="00566946" w:rsidRPr="00B3159B">
        <w:rPr>
          <w:rFonts w:ascii="Arial" w:hAnsi="Arial" w:cs="Arial"/>
          <w:color w:val="000000" w:themeColor="text1"/>
          <w:shd w:val="clear" w:color="auto" w:fill="FFFFFF"/>
        </w:rPr>
        <w:t xml:space="preserve">, </w:t>
      </w:r>
      <w:r w:rsidR="00D11A79" w:rsidRPr="00B3159B">
        <w:rPr>
          <w:rFonts w:ascii="Arial" w:hAnsi="Arial" w:cs="Arial"/>
          <w:color w:val="000000" w:themeColor="text1"/>
          <w:shd w:val="clear" w:color="auto" w:fill="FFFFFF"/>
        </w:rPr>
        <w:t>SD = 3.91</w:t>
      </w:r>
      <w:r w:rsidR="0013405D" w:rsidRPr="00B3159B">
        <w:rPr>
          <w:rFonts w:ascii="Arial" w:hAnsi="Arial" w:cs="Arial"/>
          <w:color w:val="000000" w:themeColor="text1"/>
        </w:rPr>
        <w:t>), followed by spices allergy (n=63, 15.37%, mean age=</w:t>
      </w:r>
      <w:r w:rsidR="0013405D" w:rsidRPr="00B3159B">
        <w:rPr>
          <w:rFonts w:ascii="Arial" w:hAnsi="Arial" w:cs="Arial"/>
          <w:color w:val="000000" w:themeColor="text1"/>
          <w:shd w:val="clear" w:color="auto" w:fill="FFFFFF"/>
        </w:rPr>
        <w:t xml:space="preserve"> </w:t>
      </w:r>
      <w:r w:rsidR="0013405D" w:rsidRPr="00B3159B">
        <w:rPr>
          <w:rFonts w:ascii="Arial" w:hAnsi="Arial" w:cs="Arial"/>
          <w:color w:val="000000" w:themeColor="text1"/>
        </w:rPr>
        <w:t>24.97 years</w:t>
      </w:r>
      <w:r w:rsidR="00C7765C" w:rsidRPr="00B3159B">
        <w:rPr>
          <w:rFonts w:ascii="Arial" w:hAnsi="Arial" w:cs="Arial"/>
          <w:color w:val="000000" w:themeColor="text1"/>
        </w:rPr>
        <w:t>, SD = 4.4</w:t>
      </w:r>
      <w:r w:rsidR="0013405D" w:rsidRPr="00B3159B">
        <w:rPr>
          <w:rFonts w:ascii="Arial" w:hAnsi="Arial" w:cs="Arial"/>
          <w:color w:val="000000" w:themeColor="text1"/>
        </w:rPr>
        <w:t>) and perfume allergy (n=56, 13.66%, mean age= 25.8 years</w:t>
      </w:r>
      <w:r w:rsidR="00E65823" w:rsidRPr="00B3159B">
        <w:rPr>
          <w:rFonts w:ascii="Arial" w:hAnsi="Arial" w:cs="Arial"/>
          <w:color w:val="000000" w:themeColor="text1"/>
        </w:rPr>
        <w:t>, SD = 5.3</w:t>
      </w:r>
      <w:r w:rsidR="0013405D" w:rsidRPr="00B3159B">
        <w:rPr>
          <w:rFonts w:ascii="Arial" w:hAnsi="Arial" w:cs="Arial"/>
          <w:color w:val="000000" w:themeColor="text1"/>
        </w:rPr>
        <w:t xml:space="preserve">). Patients with gluten allergy demonstrated the youngest mean age (n=14, valid %= 3.41%, mean age=19.71 ± 1.73 years), while those with penicillin allergy were </w:t>
      </w:r>
      <w:r w:rsidR="00771F06">
        <w:rPr>
          <w:rFonts w:ascii="Arial" w:hAnsi="Arial" w:cs="Arial"/>
          <w:color w:val="000000" w:themeColor="text1"/>
        </w:rPr>
        <w:t xml:space="preserve">common in </w:t>
      </w:r>
      <w:r w:rsidR="0013405D" w:rsidRPr="00B3159B">
        <w:rPr>
          <w:rFonts w:ascii="Arial" w:hAnsi="Arial" w:cs="Arial"/>
          <w:color w:val="000000" w:themeColor="text1"/>
        </w:rPr>
        <w:t>the oldest (32.47 ± 2.67 years)</w:t>
      </w:r>
      <w:r w:rsidR="00DA6E59" w:rsidRPr="00B3159B">
        <w:rPr>
          <w:rFonts w:ascii="Arial" w:hAnsi="Arial" w:cs="Arial"/>
          <w:color w:val="000000" w:themeColor="text1"/>
        </w:rPr>
        <w:t>. The non-overlapping 95% confidence intervals for penicillin (31.10–33.84) and gluten (18.72–20.71) highlight robust age separation</w:t>
      </w:r>
      <w:r w:rsidR="0013405D" w:rsidRPr="00B3159B">
        <w:rPr>
          <w:rFonts w:ascii="Arial" w:hAnsi="Arial" w:cs="Arial"/>
          <w:color w:val="000000" w:themeColor="text1"/>
        </w:rPr>
        <w:t xml:space="preserve"> (</w:t>
      </w:r>
      <w:r w:rsidR="00B76061">
        <w:rPr>
          <w:rFonts w:ascii="Arial" w:hAnsi="Arial" w:cs="Arial"/>
          <w:b/>
          <w:bCs/>
          <w:color w:val="000000" w:themeColor="text1"/>
        </w:rPr>
        <w:t>Table 2</w:t>
      </w:r>
      <w:r w:rsidR="0013405D" w:rsidRPr="00B3159B">
        <w:rPr>
          <w:rFonts w:ascii="Arial" w:hAnsi="Arial" w:cs="Arial"/>
          <w:color w:val="000000" w:themeColor="text1"/>
        </w:rPr>
        <w:t xml:space="preserve">). </w:t>
      </w:r>
    </w:p>
    <w:p w14:paraId="7E48EEB4" w14:textId="77777777" w:rsidR="0023708B" w:rsidRPr="00B3159B" w:rsidRDefault="0023708B" w:rsidP="0013405D">
      <w:pPr>
        <w:spacing w:line="480" w:lineRule="auto"/>
        <w:jc w:val="both"/>
        <w:rPr>
          <w:rFonts w:ascii="Arial" w:hAnsi="Arial" w:cs="Arial"/>
          <w:color w:val="000000" w:themeColor="text1"/>
        </w:rPr>
      </w:pPr>
    </w:p>
    <w:p w14:paraId="436EB8A8" w14:textId="244396BB" w:rsidR="0013405D" w:rsidRPr="00B3159B" w:rsidRDefault="0013405D" w:rsidP="0013405D">
      <w:pPr>
        <w:spacing w:line="480" w:lineRule="auto"/>
        <w:jc w:val="both"/>
        <w:rPr>
          <w:rFonts w:ascii="Arial" w:hAnsi="Arial" w:cs="Arial"/>
          <w:color w:val="000000" w:themeColor="text1"/>
          <w:lang w:bidi="ar-IQ"/>
        </w:rPr>
      </w:pPr>
      <w:r w:rsidRPr="00B3159B">
        <w:rPr>
          <w:rFonts w:ascii="Arial" w:hAnsi="Arial" w:cs="Arial"/>
          <w:b/>
          <w:bCs/>
          <w:color w:val="000000" w:themeColor="text1"/>
          <w:lang w:bidi="ar-IQ"/>
        </w:rPr>
        <w:t xml:space="preserve">Table </w:t>
      </w:r>
      <w:r w:rsidR="00944730" w:rsidRPr="00B3159B">
        <w:rPr>
          <w:rFonts w:ascii="Arial" w:hAnsi="Arial" w:cs="Arial"/>
          <w:b/>
          <w:bCs/>
          <w:color w:val="000000" w:themeColor="text1"/>
          <w:lang w:bidi="ar-IQ"/>
        </w:rPr>
        <w:t>2</w:t>
      </w:r>
      <w:r w:rsidRPr="00B3159B">
        <w:rPr>
          <w:rFonts w:ascii="Arial" w:hAnsi="Arial" w:cs="Arial"/>
          <w:b/>
          <w:bCs/>
          <w:color w:val="000000" w:themeColor="text1"/>
          <w:lang w:bidi="ar-IQ"/>
        </w:rPr>
        <w:t>.</w:t>
      </w:r>
      <w:r w:rsidRPr="00B3159B">
        <w:rPr>
          <w:rFonts w:ascii="Arial" w:hAnsi="Arial" w:cs="Arial"/>
          <w:color w:val="000000" w:themeColor="text1"/>
          <w:lang w:bidi="ar-IQ"/>
        </w:rPr>
        <w:t xml:space="preserve"> Prevalence and associated patient age demographics across different allergen types.</w:t>
      </w:r>
    </w:p>
    <w:tbl>
      <w:tblPr>
        <w:tblStyle w:val="TableGrid"/>
        <w:tblW w:w="47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1045"/>
        <w:gridCol w:w="865"/>
        <w:gridCol w:w="1207"/>
        <w:gridCol w:w="1187"/>
        <w:gridCol w:w="1342"/>
        <w:gridCol w:w="1796"/>
      </w:tblGrid>
      <w:tr w:rsidR="00B3159B" w:rsidRPr="00B3159B" w14:paraId="13537CF4" w14:textId="77777777" w:rsidTr="00805D31">
        <w:trPr>
          <w:trHeight w:val="432"/>
        </w:trPr>
        <w:tc>
          <w:tcPr>
            <w:tcW w:w="981" w:type="pct"/>
            <w:vMerge w:val="restart"/>
            <w:tcBorders>
              <w:top w:val="single" w:sz="4" w:space="0" w:color="auto"/>
            </w:tcBorders>
            <w:vAlign w:val="center"/>
          </w:tcPr>
          <w:p w14:paraId="09AEDF53" w14:textId="77777777" w:rsidR="0013405D" w:rsidRPr="00B3159B" w:rsidRDefault="0013405D" w:rsidP="000E6AC2">
            <w:pPr>
              <w:jc w:val="center"/>
              <w:rPr>
                <w:rFonts w:ascii="Arial" w:hAnsi="Arial" w:cs="Arial"/>
                <w:b/>
                <w:bCs/>
                <w:color w:val="000000" w:themeColor="text1"/>
              </w:rPr>
            </w:pPr>
            <w:r w:rsidRPr="00B3159B">
              <w:rPr>
                <w:rFonts w:ascii="Arial" w:hAnsi="Arial" w:cs="Arial"/>
                <w:b/>
                <w:bCs/>
                <w:color w:val="000000" w:themeColor="text1"/>
              </w:rPr>
              <w:t>Allergen Type</w:t>
            </w:r>
          </w:p>
        </w:tc>
        <w:tc>
          <w:tcPr>
            <w:tcW w:w="574" w:type="pct"/>
            <w:vMerge w:val="restart"/>
            <w:tcBorders>
              <w:top w:val="single" w:sz="4" w:space="0" w:color="auto"/>
            </w:tcBorders>
            <w:vAlign w:val="center"/>
          </w:tcPr>
          <w:p w14:paraId="14BA21E9" w14:textId="77777777" w:rsidR="0013405D" w:rsidRPr="00B3159B" w:rsidRDefault="0013405D" w:rsidP="000E6AC2">
            <w:pPr>
              <w:jc w:val="center"/>
              <w:rPr>
                <w:rFonts w:ascii="Arial" w:hAnsi="Arial" w:cs="Arial"/>
                <w:b/>
                <w:bCs/>
                <w:color w:val="000000" w:themeColor="text1"/>
              </w:rPr>
            </w:pPr>
            <w:r w:rsidRPr="00B3159B">
              <w:rPr>
                <w:rFonts w:ascii="Arial" w:hAnsi="Arial" w:cs="Arial"/>
                <w:b/>
                <w:bCs/>
                <w:color w:val="000000" w:themeColor="text1"/>
              </w:rPr>
              <w:t>Valid (%)</w:t>
            </w:r>
          </w:p>
        </w:tc>
        <w:tc>
          <w:tcPr>
            <w:tcW w:w="477" w:type="pct"/>
            <w:vMerge w:val="restart"/>
            <w:tcBorders>
              <w:top w:val="single" w:sz="4" w:space="0" w:color="auto"/>
            </w:tcBorders>
            <w:vAlign w:val="center"/>
          </w:tcPr>
          <w:p w14:paraId="59E6E65C" w14:textId="77777777" w:rsidR="0013405D" w:rsidRPr="00B3159B" w:rsidRDefault="0013405D" w:rsidP="000E6AC2">
            <w:pPr>
              <w:jc w:val="center"/>
              <w:rPr>
                <w:rFonts w:ascii="Arial" w:hAnsi="Arial" w:cs="Arial"/>
                <w:b/>
                <w:bCs/>
                <w:color w:val="000000" w:themeColor="text1"/>
              </w:rPr>
            </w:pPr>
            <w:r w:rsidRPr="00B3159B">
              <w:rPr>
                <w:rFonts w:ascii="Arial" w:hAnsi="Arial" w:cs="Arial"/>
                <w:b/>
                <w:bCs/>
                <w:color w:val="000000" w:themeColor="text1"/>
              </w:rPr>
              <w:t>Mean</w:t>
            </w:r>
          </w:p>
          <w:p w14:paraId="3DD65B6F" w14:textId="6CE024AC" w:rsidR="00DE4E0E" w:rsidRPr="00B3159B" w:rsidRDefault="004334FD" w:rsidP="000E6AC2">
            <w:pPr>
              <w:jc w:val="center"/>
              <w:rPr>
                <w:rFonts w:ascii="Arial" w:hAnsi="Arial" w:cs="Arial"/>
                <w:b/>
                <w:bCs/>
                <w:color w:val="000000" w:themeColor="text1"/>
              </w:rPr>
            </w:pPr>
            <w:r w:rsidRPr="00B3159B">
              <w:rPr>
                <w:rFonts w:ascii="Arial" w:hAnsi="Arial" w:cs="Arial"/>
                <w:b/>
                <w:bCs/>
                <w:color w:val="000000" w:themeColor="text1"/>
              </w:rPr>
              <w:t>A</w:t>
            </w:r>
            <w:r w:rsidR="00DE4E0E" w:rsidRPr="00B3159B">
              <w:rPr>
                <w:rFonts w:ascii="Arial" w:hAnsi="Arial" w:cs="Arial"/>
                <w:b/>
                <w:bCs/>
                <w:color w:val="000000" w:themeColor="text1"/>
              </w:rPr>
              <w:t>ge</w:t>
            </w:r>
          </w:p>
          <w:p w14:paraId="43B3A84F" w14:textId="1C935DBA" w:rsidR="004334FD" w:rsidRPr="00B3159B" w:rsidRDefault="004334FD" w:rsidP="000E6AC2">
            <w:pPr>
              <w:jc w:val="center"/>
              <w:rPr>
                <w:rFonts w:ascii="Arial" w:hAnsi="Arial" w:cs="Arial"/>
                <w:b/>
                <w:bCs/>
                <w:color w:val="000000" w:themeColor="text1"/>
              </w:rPr>
            </w:pPr>
            <w:r w:rsidRPr="00B3159B">
              <w:rPr>
                <w:rFonts w:ascii="Arial" w:hAnsi="Arial" w:cs="Arial"/>
                <w:b/>
                <w:bCs/>
                <w:color w:val="000000" w:themeColor="text1"/>
              </w:rPr>
              <w:t>(Year)</w:t>
            </w:r>
          </w:p>
        </w:tc>
        <w:tc>
          <w:tcPr>
            <w:tcW w:w="601" w:type="pct"/>
            <w:vMerge w:val="restart"/>
            <w:tcBorders>
              <w:top w:val="single" w:sz="4" w:space="0" w:color="auto"/>
            </w:tcBorders>
            <w:vAlign w:val="center"/>
          </w:tcPr>
          <w:p w14:paraId="251D2333" w14:textId="77777777" w:rsidR="0013405D" w:rsidRPr="00B3159B" w:rsidRDefault="0013405D" w:rsidP="000E6AC2">
            <w:pPr>
              <w:jc w:val="center"/>
              <w:rPr>
                <w:rFonts w:ascii="Arial" w:hAnsi="Arial" w:cs="Arial"/>
                <w:b/>
                <w:bCs/>
                <w:color w:val="000000" w:themeColor="text1"/>
              </w:rPr>
            </w:pPr>
            <w:r w:rsidRPr="00B3159B">
              <w:rPr>
                <w:rFonts w:ascii="Arial" w:hAnsi="Arial" w:cs="Arial"/>
                <w:b/>
                <w:bCs/>
                <w:color w:val="000000" w:themeColor="text1"/>
              </w:rPr>
              <w:t>Std. Deviation</w:t>
            </w:r>
          </w:p>
          <w:p w14:paraId="5E4CAF2C" w14:textId="2F814E98" w:rsidR="00566946" w:rsidRPr="00B3159B" w:rsidRDefault="00566946" w:rsidP="000E6AC2">
            <w:pPr>
              <w:jc w:val="center"/>
              <w:rPr>
                <w:rFonts w:ascii="Arial" w:hAnsi="Arial" w:cs="Arial"/>
                <w:b/>
                <w:bCs/>
                <w:color w:val="000000" w:themeColor="text1"/>
              </w:rPr>
            </w:pPr>
            <w:r w:rsidRPr="00B3159B">
              <w:rPr>
                <w:rFonts w:ascii="Arial" w:hAnsi="Arial" w:cs="Arial"/>
                <w:b/>
                <w:bCs/>
                <w:color w:val="000000" w:themeColor="text1"/>
              </w:rPr>
              <w:t>(SD)</w:t>
            </w:r>
          </w:p>
        </w:tc>
        <w:tc>
          <w:tcPr>
            <w:tcW w:w="1386" w:type="pct"/>
            <w:gridSpan w:val="2"/>
            <w:tcBorders>
              <w:top w:val="single" w:sz="4" w:space="0" w:color="auto"/>
              <w:bottom w:val="single" w:sz="4" w:space="0" w:color="auto"/>
            </w:tcBorders>
            <w:vAlign w:val="center"/>
          </w:tcPr>
          <w:p w14:paraId="3EE907F9" w14:textId="4CE85186" w:rsidR="0013405D" w:rsidRPr="00B3159B" w:rsidRDefault="0013405D" w:rsidP="000E6AC2">
            <w:pPr>
              <w:jc w:val="center"/>
              <w:rPr>
                <w:rFonts w:ascii="Arial" w:hAnsi="Arial" w:cs="Arial"/>
                <w:b/>
                <w:bCs/>
                <w:color w:val="000000" w:themeColor="text1"/>
              </w:rPr>
            </w:pPr>
            <w:r w:rsidRPr="00B3159B">
              <w:rPr>
                <w:rFonts w:ascii="Arial" w:hAnsi="Arial" w:cs="Arial"/>
                <w:b/>
                <w:bCs/>
                <w:color w:val="000000" w:themeColor="text1"/>
              </w:rPr>
              <w:t>Age (Year)</w:t>
            </w:r>
          </w:p>
        </w:tc>
        <w:tc>
          <w:tcPr>
            <w:tcW w:w="980" w:type="pct"/>
            <w:vMerge w:val="restart"/>
            <w:tcBorders>
              <w:top w:val="single" w:sz="4" w:space="0" w:color="auto"/>
              <w:bottom w:val="single" w:sz="4" w:space="0" w:color="auto"/>
            </w:tcBorders>
            <w:vAlign w:val="center"/>
          </w:tcPr>
          <w:p w14:paraId="0CE39EE5" w14:textId="4335441A" w:rsidR="0013405D" w:rsidRPr="00B3159B" w:rsidRDefault="0013405D" w:rsidP="000E6AC2">
            <w:pPr>
              <w:jc w:val="center"/>
              <w:rPr>
                <w:rFonts w:ascii="Arial" w:hAnsi="Arial" w:cs="Arial"/>
                <w:b/>
                <w:bCs/>
                <w:color w:val="000000" w:themeColor="text1"/>
              </w:rPr>
            </w:pPr>
            <w:r w:rsidRPr="00B3159B">
              <w:rPr>
                <w:rFonts w:ascii="Arial" w:hAnsi="Arial" w:cs="Arial"/>
                <w:b/>
                <w:bCs/>
                <w:color w:val="000000" w:themeColor="text1"/>
              </w:rPr>
              <w:t xml:space="preserve">95% Confidence </w:t>
            </w:r>
            <w:r w:rsidR="00B76061">
              <w:rPr>
                <w:rFonts w:ascii="Arial" w:hAnsi="Arial" w:cs="Arial"/>
                <w:b/>
                <w:bCs/>
                <w:color w:val="000000" w:themeColor="text1"/>
              </w:rPr>
              <w:t>Interval</w:t>
            </w:r>
            <w:r w:rsidRPr="00B3159B">
              <w:rPr>
                <w:rFonts w:ascii="Arial" w:hAnsi="Arial" w:cs="Arial"/>
                <w:b/>
                <w:bCs/>
                <w:color w:val="000000" w:themeColor="text1"/>
              </w:rPr>
              <w:t xml:space="preserve"> of Mean</w:t>
            </w:r>
          </w:p>
        </w:tc>
      </w:tr>
      <w:tr w:rsidR="00B3159B" w:rsidRPr="00B3159B" w14:paraId="6C14C299" w14:textId="77777777" w:rsidTr="00805D31">
        <w:trPr>
          <w:trHeight w:val="432"/>
        </w:trPr>
        <w:tc>
          <w:tcPr>
            <w:tcW w:w="981" w:type="pct"/>
            <w:vMerge/>
            <w:tcBorders>
              <w:bottom w:val="single" w:sz="4" w:space="0" w:color="auto"/>
            </w:tcBorders>
            <w:vAlign w:val="center"/>
          </w:tcPr>
          <w:p w14:paraId="04ED543E" w14:textId="77777777" w:rsidR="0013405D" w:rsidRPr="00B3159B" w:rsidRDefault="0013405D" w:rsidP="000E6AC2">
            <w:pPr>
              <w:jc w:val="center"/>
              <w:rPr>
                <w:rFonts w:ascii="Arial" w:hAnsi="Arial" w:cs="Arial"/>
                <w:b/>
                <w:bCs/>
                <w:color w:val="000000" w:themeColor="text1"/>
              </w:rPr>
            </w:pPr>
          </w:p>
        </w:tc>
        <w:tc>
          <w:tcPr>
            <w:tcW w:w="574" w:type="pct"/>
            <w:vMerge/>
            <w:tcBorders>
              <w:bottom w:val="single" w:sz="4" w:space="0" w:color="auto"/>
            </w:tcBorders>
            <w:vAlign w:val="center"/>
          </w:tcPr>
          <w:p w14:paraId="1FC57976" w14:textId="77777777" w:rsidR="0013405D" w:rsidRPr="00B3159B" w:rsidRDefault="0013405D" w:rsidP="000E6AC2">
            <w:pPr>
              <w:jc w:val="center"/>
              <w:rPr>
                <w:rFonts w:ascii="Arial" w:hAnsi="Arial" w:cs="Arial"/>
                <w:b/>
                <w:bCs/>
                <w:color w:val="000000" w:themeColor="text1"/>
              </w:rPr>
            </w:pPr>
          </w:p>
        </w:tc>
        <w:tc>
          <w:tcPr>
            <w:tcW w:w="477" w:type="pct"/>
            <w:vMerge/>
            <w:tcBorders>
              <w:bottom w:val="single" w:sz="4" w:space="0" w:color="auto"/>
            </w:tcBorders>
            <w:vAlign w:val="center"/>
          </w:tcPr>
          <w:p w14:paraId="75D15A69" w14:textId="77777777" w:rsidR="0013405D" w:rsidRPr="00B3159B" w:rsidRDefault="0013405D" w:rsidP="000E6AC2">
            <w:pPr>
              <w:jc w:val="center"/>
              <w:rPr>
                <w:rFonts w:ascii="Arial" w:hAnsi="Arial" w:cs="Arial"/>
                <w:b/>
                <w:bCs/>
                <w:color w:val="000000" w:themeColor="text1"/>
              </w:rPr>
            </w:pPr>
          </w:p>
        </w:tc>
        <w:tc>
          <w:tcPr>
            <w:tcW w:w="601" w:type="pct"/>
            <w:vMerge/>
            <w:tcBorders>
              <w:bottom w:val="single" w:sz="4" w:space="0" w:color="auto"/>
            </w:tcBorders>
            <w:vAlign w:val="center"/>
          </w:tcPr>
          <w:p w14:paraId="7B867756" w14:textId="77777777" w:rsidR="0013405D" w:rsidRPr="00B3159B" w:rsidRDefault="0013405D" w:rsidP="000E6AC2">
            <w:pPr>
              <w:jc w:val="center"/>
              <w:rPr>
                <w:rFonts w:ascii="Arial" w:hAnsi="Arial" w:cs="Arial"/>
                <w:b/>
                <w:bCs/>
                <w:color w:val="000000" w:themeColor="text1"/>
              </w:rPr>
            </w:pPr>
          </w:p>
        </w:tc>
        <w:tc>
          <w:tcPr>
            <w:tcW w:w="651" w:type="pct"/>
            <w:tcBorders>
              <w:top w:val="single" w:sz="4" w:space="0" w:color="auto"/>
              <w:bottom w:val="single" w:sz="4" w:space="0" w:color="auto"/>
            </w:tcBorders>
            <w:vAlign w:val="center"/>
          </w:tcPr>
          <w:p w14:paraId="709D0E8F" w14:textId="77777777" w:rsidR="0013405D" w:rsidRPr="00B3159B" w:rsidRDefault="0013405D" w:rsidP="000E6AC2">
            <w:pPr>
              <w:jc w:val="center"/>
              <w:rPr>
                <w:rFonts w:ascii="Arial" w:hAnsi="Arial" w:cs="Arial"/>
                <w:b/>
                <w:bCs/>
                <w:color w:val="000000" w:themeColor="text1"/>
              </w:rPr>
            </w:pPr>
            <w:r w:rsidRPr="00B3159B">
              <w:rPr>
                <w:rFonts w:ascii="Arial" w:hAnsi="Arial" w:cs="Arial"/>
                <w:b/>
                <w:bCs/>
                <w:color w:val="000000" w:themeColor="text1"/>
              </w:rPr>
              <w:t>Minimum</w:t>
            </w:r>
          </w:p>
        </w:tc>
        <w:tc>
          <w:tcPr>
            <w:tcW w:w="735" w:type="pct"/>
            <w:tcBorders>
              <w:top w:val="single" w:sz="4" w:space="0" w:color="auto"/>
              <w:bottom w:val="single" w:sz="4" w:space="0" w:color="auto"/>
            </w:tcBorders>
            <w:vAlign w:val="center"/>
          </w:tcPr>
          <w:p w14:paraId="54446894" w14:textId="77777777" w:rsidR="0013405D" w:rsidRPr="00B3159B" w:rsidRDefault="0013405D" w:rsidP="000E6AC2">
            <w:pPr>
              <w:jc w:val="center"/>
              <w:rPr>
                <w:rFonts w:ascii="Arial" w:hAnsi="Arial" w:cs="Arial"/>
                <w:b/>
                <w:bCs/>
                <w:color w:val="000000" w:themeColor="text1"/>
              </w:rPr>
            </w:pPr>
            <w:r w:rsidRPr="00B3159B">
              <w:rPr>
                <w:rFonts w:ascii="Arial" w:hAnsi="Arial" w:cs="Arial"/>
                <w:b/>
                <w:bCs/>
                <w:color w:val="000000" w:themeColor="text1"/>
              </w:rPr>
              <w:t>Maximum</w:t>
            </w:r>
          </w:p>
        </w:tc>
        <w:tc>
          <w:tcPr>
            <w:tcW w:w="980" w:type="pct"/>
            <w:vMerge/>
            <w:tcBorders>
              <w:bottom w:val="single" w:sz="4" w:space="0" w:color="auto"/>
            </w:tcBorders>
            <w:vAlign w:val="center"/>
          </w:tcPr>
          <w:p w14:paraId="5F6CCD81" w14:textId="77777777" w:rsidR="0013405D" w:rsidRPr="00B3159B" w:rsidRDefault="0013405D" w:rsidP="000E6AC2">
            <w:pPr>
              <w:jc w:val="center"/>
              <w:rPr>
                <w:rFonts w:ascii="Arial" w:hAnsi="Arial" w:cs="Arial"/>
                <w:color w:val="000000" w:themeColor="text1"/>
              </w:rPr>
            </w:pPr>
          </w:p>
        </w:tc>
      </w:tr>
      <w:tr w:rsidR="00B3159B" w:rsidRPr="00B3159B" w14:paraId="5BDD611C" w14:textId="77777777" w:rsidTr="00805D31">
        <w:tc>
          <w:tcPr>
            <w:tcW w:w="981" w:type="pct"/>
            <w:tcBorders>
              <w:top w:val="single" w:sz="4" w:space="0" w:color="auto"/>
            </w:tcBorders>
            <w:vAlign w:val="center"/>
          </w:tcPr>
          <w:p w14:paraId="737A67A2"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Dust</w:t>
            </w:r>
          </w:p>
        </w:tc>
        <w:tc>
          <w:tcPr>
            <w:tcW w:w="574" w:type="pct"/>
            <w:tcBorders>
              <w:top w:val="single" w:sz="4" w:space="0" w:color="auto"/>
            </w:tcBorders>
            <w:vAlign w:val="center"/>
          </w:tcPr>
          <w:p w14:paraId="39E69C07"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30.73%</w:t>
            </w:r>
          </w:p>
        </w:tc>
        <w:tc>
          <w:tcPr>
            <w:tcW w:w="477" w:type="pct"/>
            <w:tcBorders>
              <w:top w:val="single" w:sz="4" w:space="0" w:color="auto"/>
            </w:tcBorders>
            <w:vAlign w:val="center"/>
          </w:tcPr>
          <w:p w14:paraId="5EFC7ADA"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23.48</w:t>
            </w:r>
          </w:p>
        </w:tc>
        <w:tc>
          <w:tcPr>
            <w:tcW w:w="601" w:type="pct"/>
            <w:tcBorders>
              <w:top w:val="single" w:sz="4" w:space="0" w:color="auto"/>
            </w:tcBorders>
            <w:vAlign w:val="center"/>
          </w:tcPr>
          <w:p w14:paraId="1701F3E2"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3.91</w:t>
            </w:r>
          </w:p>
        </w:tc>
        <w:tc>
          <w:tcPr>
            <w:tcW w:w="651" w:type="pct"/>
            <w:tcBorders>
              <w:top w:val="single" w:sz="4" w:space="0" w:color="auto"/>
            </w:tcBorders>
            <w:vAlign w:val="center"/>
          </w:tcPr>
          <w:p w14:paraId="40F5F427"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18</w:t>
            </w:r>
          </w:p>
        </w:tc>
        <w:tc>
          <w:tcPr>
            <w:tcW w:w="735" w:type="pct"/>
            <w:tcBorders>
              <w:top w:val="single" w:sz="4" w:space="0" w:color="auto"/>
            </w:tcBorders>
            <w:vAlign w:val="center"/>
          </w:tcPr>
          <w:p w14:paraId="36A447D9"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35</w:t>
            </w:r>
          </w:p>
        </w:tc>
        <w:tc>
          <w:tcPr>
            <w:tcW w:w="980" w:type="pct"/>
            <w:tcBorders>
              <w:top w:val="single" w:sz="4" w:space="0" w:color="auto"/>
            </w:tcBorders>
            <w:vAlign w:val="center"/>
          </w:tcPr>
          <w:p w14:paraId="576514D7"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22.79 - 24.18</w:t>
            </w:r>
          </w:p>
        </w:tc>
      </w:tr>
      <w:tr w:rsidR="00B3159B" w:rsidRPr="00B3159B" w14:paraId="403F0B42" w14:textId="77777777" w:rsidTr="00805D31">
        <w:tc>
          <w:tcPr>
            <w:tcW w:w="981" w:type="pct"/>
            <w:vAlign w:val="center"/>
          </w:tcPr>
          <w:p w14:paraId="56E34351"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Spice</w:t>
            </w:r>
          </w:p>
        </w:tc>
        <w:tc>
          <w:tcPr>
            <w:tcW w:w="574" w:type="pct"/>
            <w:vAlign w:val="center"/>
          </w:tcPr>
          <w:p w14:paraId="679A5397"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15.37%</w:t>
            </w:r>
          </w:p>
        </w:tc>
        <w:tc>
          <w:tcPr>
            <w:tcW w:w="477" w:type="pct"/>
            <w:vAlign w:val="center"/>
          </w:tcPr>
          <w:p w14:paraId="2685A78A"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24.97</w:t>
            </w:r>
          </w:p>
        </w:tc>
        <w:tc>
          <w:tcPr>
            <w:tcW w:w="601" w:type="pct"/>
            <w:vAlign w:val="center"/>
          </w:tcPr>
          <w:p w14:paraId="7079313F"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4.4</w:t>
            </w:r>
          </w:p>
        </w:tc>
        <w:tc>
          <w:tcPr>
            <w:tcW w:w="651" w:type="pct"/>
            <w:vAlign w:val="center"/>
          </w:tcPr>
          <w:p w14:paraId="74632F1A"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21</w:t>
            </w:r>
          </w:p>
        </w:tc>
        <w:tc>
          <w:tcPr>
            <w:tcW w:w="735" w:type="pct"/>
            <w:vAlign w:val="center"/>
          </w:tcPr>
          <w:p w14:paraId="1C12E3F8"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34</w:t>
            </w:r>
          </w:p>
        </w:tc>
        <w:tc>
          <w:tcPr>
            <w:tcW w:w="980" w:type="pct"/>
            <w:vAlign w:val="center"/>
          </w:tcPr>
          <w:p w14:paraId="1BC06DBF"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23.86 - 26.08</w:t>
            </w:r>
          </w:p>
        </w:tc>
      </w:tr>
      <w:tr w:rsidR="00B3159B" w:rsidRPr="00B3159B" w14:paraId="0F80AFB5" w14:textId="77777777" w:rsidTr="00805D31">
        <w:tc>
          <w:tcPr>
            <w:tcW w:w="981" w:type="pct"/>
            <w:vAlign w:val="center"/>
          </w:tcPr>
          <w:p w14:paraId="4D9FB8C5"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Perfume</w:t>
            </w:r>
          </w:p>
        </w:tc>
        <w:tc>
          <w:tcPr>
            <w:tcW w:w="574" w:type="pct"/>
            <w:vAlign w:val="center"/>
          </w:tcPr>
          <w:p w14:paraId="03803696"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13.66%</w:t>
            </w:r>
          </w:p>
        </w:tc>
        <w:tc>
          <w:tcPr>
            <w:tcW w:w="477" w:type="pct"/>
            <w:vAlign w:val="center"/>
          </w:tcPr>
          <w:p w14:paraId="68BAC3E0"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25.8</w:t>
            </w:r>
          </w:p>
        </w:tc>
        <w:tc>
          <w:tcPr>
            <w:tcW w:w="601" w:type="pct"/>
            <w:vAlign w:val="center"/>
          </w:tcPr>
          <w:p w14:paraId="5FF948BB"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5.3</w:t>
            </w:r>
          </w:p>
        </w:tc>
        <w:tc>
          <w:tcPr>
            <w:tcW w:w="651" w:type="pct"/>
            <w:vAlign w:val="center"/>
          </w:tcPr>
          <w:p w14:paraId="79681E66"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21</w:t>
            </w:r>
          </w:p>
        </w:tc>
        <w:tc>
          <w:tcPr>
            <w:tcW w:w="735" w:type="pct"/>
            <w:vAlign w:val="center"/>
          </w:tcPr>
          <w:p w14:paraId="2A63218C"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35</w:t>
            </w:r>
          </w:p>
        </w:tc>
        <w:tc>
          <w:tcPr>
            <w:tcW w:w="980" w:type="pct"/>
            <w:vAlign w:val="center"/>
          </w:tcPr>
          <w:p w14:paraId="380AC051"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24.38 - 27.22</w:t>
            </w:r>
          </w:p>
        </w:tc>
      </w:tr>
      <w:tr w:rsidR="00B3159B" w:rsidRPr="00B3159B" w14:paraId="1CA8B2C9" w14:textId="77777777" w:rsidTr="00805D31">
        <w:tc>
          <w:tcPr>
            <w:tcW w:w="981" w:type="pct"/>
            <w:vAlign w:val="center"/>
          </w:tcPr>
          <w:p w14:paraId="56E162C8"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Pollen</w:t>
            </w:r>
          </w:p>
        </w:tc>
        <w:tc>
          <w:tcPr>
            <w:tcW w:w="574" w:type="pct"/>
            <w:vAlign w:val="center"/>
          </w:tcPr>
          <w:p w14:paraId="1F977D0F"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11.95%</w:t>
            </w:r>
          </w:p>
        </w:tc>
        <w:tc>
          <w:tcPr>
            <w:tcW w:w="477" w:type="pct"/>
            <w:vAlign w:val="center"/>
          </w:tcPr>
          <w:p w14:paraId="11A5593B"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23.88</w:t>
            </w:r>
          </w:p>
        </w:tc>
        <w:tc>
          <w:tcPr>
            <w:tcW w:w="601" w:type="pct"/>
            <w:vAlign w:val="center"/>
          </w:tcPr>
          <w:p w14:paraId="0F5CE96E"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3.47</w:t>
            </w:r>
          </w:p>
        </w:tc>
        <w:tc>
          <w:tcPr>
            <w:tcW w:w="651" w:type="pct"/>
            <w:vAlign w:val="center"/>
          </w:tcPr>
          <w:p w14:paraId="7A73CEE4"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21</w:t>
            </w:r>
          </w:p>
        </w:tc>
        <w:tc>
          <w:tcPr>
            <w:tcW w:w="735" w:type="pct"/>
            <w:vAlign w:val="center"/>
          </w:tcPr>
          <w:p w14:paraId="47D4E7EE"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34</w:t>
            </w:r>
          </w:p>
        </w:tc>
        <w:tc>
          <w:tcPr>
            <w:tcW w:w="980" w:type="pct"/>
            <w:vAlign w:val="center"/>
          </w:tcPr>
          <w:p w14:paraId="4DD26CE7"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22.88 - 24.88</w:t>
            </w:r>
          </w:p>
        </w:tc>
      </w:tr>
      <w:tr w:rsidR="00B3159B" w:rsidRPr="00B3159B" w14:paraId="0B89D610" w14:textId="77777777" w:rsidTr="00805D31">
        <w:tc>
          <w:tcPr>
            <w:tcW w:w="981" w:type="pct"/>
            <w:vAlign w:val="center"/>
          </w:tcPr>
          <w:p w14:paraId="0EDF8CD5"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Cleaning products</w:t>
            </w:r>
          </w:p>
        </w:tc>
        <w:tc>
          <w:tcPr>
            <w:tcW w:w="574" w:type="pct"/>
            <w:vAlign w:val="center"/>
          </w:tcPr>
          <w:p w14:paraId="312A899E"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11.46%</w:t>
            </w:r>
          </w:p>
        </w:tc>
        <w:tc>
          <w:tcPr>
            <w:tcW w:w="477" w:type="pct"/>
            <w:vAlign w:val="center"/>
          </w:tcPr>
          <w:p w14:paraId="47EE3BC1"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26.55</w:t>
            </w:r>
          </w:p>
        </w:tc>
        <w:tc>
          <w:tcPr>
            <w:tcW w:w="601" w:type="pct"/>
            <w:vAlign w:val="center"/>
          </w:tcPr>
          <w:p w14:paraId="19772E49"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5.47</w:t>
            </w:r>
          </w:p>
        </w:tc>
        <w:tc>
          <w:tcPr>
            <w:tcW w:w="651" w:type="pct"/>
            <w:vAlign w:val="center"/>
          </w:tcPr>
          <w:p w14:paraId="0C3771D3"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18</w:t>
            </w:r>
          </w:p>
        </w:tc>
        <w:tc>
          <w:tcPr>
            <w:tcW w:w="735" w:type="pct"/>
            <w:vAlign w:val="center"/>
          </w:tcPr>
          <w:p w14:paraId="4616742F"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34</w:t>
            </w:r>
          </w:p>
        </w:tc>
        <w:tc>
          <w:tcPr>
            <w:tcW w:w="980" w:type="pct"/>
            <w:vAlign w:val="center"/>
          </w:tcPr>
          <w:p w14:paraId="66740251"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24.95 - 28.16</w:t>
            </w:r>
          </w:p>
        </w:tc>
      </w:tr>
      <w:tr w:rsidR="00B3159B" w:rsidRPr="00B3159B" w14:paraId="7583CD64" w14:textId="77777777" w:rsidTr="00805D31">
        <w:tc>
          <w:tcPr>
            <w:tcW w:w="981" w:type="pct"/>
            <w:vAlign w:val="center"/>
          </w:tcPr>
          <w:p w14:paraId="41E5E839"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Fruits</w:t>
            </w:r>
          </w:p>
        </w:tc>
        <w:tc>
          <w:tcPr>
            <w:tcW w:w="574" w:type="pct"/>
            <w:vAlign w:val="center"/>
          </w:tcPr>
          <w:p w14:paraId="2C0AA654"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9.27%</w:t>
            </w:r>
          </w:p>
        </w:tc>
        <w:tc>
          <w:tcPr>
            <w:tcW w:w="477" w:type="pct"/>
            <w:vAlign w:val="center"/>
          </w:tcPr>
          <w:p w14:paraId="2F9BB344"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21.92</w:t>
            </w:r>
          </w:p>
        </w:tc>
        <w:tc>
          <w:tcPr>
            <w:tcW w:w="601" w:type="pct"/>
            <w:vAlign w:val="center"/>
          </w:tcPr>
          <w:p w14:paraId="03390DE0"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3.72</w:t>
            </w:r>
          </w:p>
        </w:tc>
        <w:tc>
          <w:tcPr>
            <w:tcW w:w="651" w:type="pct"/>
            <w:vAlign w:val="center"/>
          </w:tcPr>
          <w:p w14:paraId="3ED5F981"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18</w:t>
            </w:r>
          </w:p>
        </w:tc>
        <w:tc>
          <w:tcPr>
            <w:tcW w:w="735" w:type="pct"/>
            <w:vAlign w:val="center"/>
          </w:tcPr>
          <w:p w14:paraId="31D1AD5F"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34</w:t>
            </w:r>
          </w:p>
        </w:tc>
        <w:tc>
          <w:tcPr>
            <w:tcW w:w="980" w:type="pct"/>
            <w:vAlign w:val="center"/>
          </w:tcPr>
          <w:p w14:paraId="53F4E862"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20.7 - 23.14</w:t>
            </w:r>
          </w:p>
        </w:tc>
      </w:tr>
      <w:tr w:rsidR="00B3159B" w:rsidRPr="00B3159B" w14:paraId="6A595B68" w14:textId="77777777" w:rsidTr="00805D31">
        <w:tc>
          <w:tcPr>
            <w:tcW w:w="981" w:type="pct"/>
            <w:vAlign w:val="center"/>
          </w:tcPr>
          <w:p w14:paraId="5C6B74B4"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Penicillin</w:t>
            </w:r>
          </w:p>
        </w:tc>
        <w:tc>
          <w:tcPr>
            <w:tcW w:w="574" w:type="pct"/>
            <w:vAlign w:val="center"/>
          </w:tcPr>
          <w:p w14:paraId="21691581"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4.15%</w:t>
            </w:r>
          </w:p>
        </w:tc>
        <w:tc>
          <w:tcPr>
            <w:tcW w:w="477" w:type="pct"/>
            <w:vAlign w:val="center"/>
          </w:tcPr>
          <w:p w14:paraId="576AAFDB"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32.47</w:t>
            </w:r>
          </w:p>
        </w:tc>
        <w:tc>
          <w:tcPr>
            <w:tcW w:w="601" w:type="pct"/>
            <w:vAlign w:val="center"/>
          </w:tcPr>
          <w:p w14:paraId="32E95507"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2.67</w:t>
            </w:r>
          </w:p>
        </w:tc>
        <w:tc>
          <w:tcPr>
            <w:tcW w:w="651" w:type="pct"/>
            <w:vAlign w:val="center"/>
          </w:tcPr>
          <w:p w14:paraId="3C6FB9AC"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24</w:t>
            </w:r>
          </w:p>
        </w:tc>
        <w:tc>
          <w:tcPr>
            <w:tcW w:w="735" w:type="pct"/>
            <w:vAlign w:val="center"/>
          </w:tcPr>
          <w:p w14:paraId="2532C3F1"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35</w:t>
            </w:r>
          </w:p>
        </w:tc>
        <w:tc>
          <w:tcPr>
            <w:tcW w:w="980" w:type="pct"/>
            <w:vAlign w:val="center"/>
          </w:tcPr>
          <w:p w14:paraId="2793C0D4"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31.1 - 33.84</w:t>
            </w:r>
          </w:p>
        </w:tc>
      </w:tr>
      <w:tr w:rsidR="00B3159B" w:rsidRPr="00B3159B" w14:paraId="502B0CA2" w14:textId="77777777" w:rsidTr="00805D31">
        <w:tc>
          <w:tcPr>
            <w:tcW w:w="981" w:type="pct"/>
            <w:tcBorders>
              <w:bottom w:val="single" w:sz="4" w:space="0" w:color="auto"/>
            </w:tcBorders>
            <w:vAlign w:val="center"/>
          </w:tcPr>
          <w:p w14:paraId="01148F2F"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Gluten</w:t>
            </w:r>
          </w:p>
        </w:tc>
        <w:tc>
          <w:tcPr>
            <w:tcW w:w="574" w:type="pct"/>
            <w:tcBorders>
              <w:bottom w:val="single" w:sz="4" w:space="0" w:color="auto"/>
            </w:tcBorders>
            <w:vAlign w:val="center"/>
          </w:tcPr>
          <w:p w14:paraId="0CC5AEDB"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3.41%</w:t>
            </w:r>
          </w:p>
        </w:tc>
        <w:tc>
          <w:tcPr>
            <w:tcW w:w="477" w:type="pct"/>
            <w:tcBorders>
              <w:bottom w:val="single" w:sz="4" w:space="0" w:color="auto"/>
            </w:tcBorders>
            <w:vAlign w:val="center"/>
          </w:tcPr>
          <w:p w14:paraId="16D1C48E"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19.71</w:t>
            </w:r>
          </w:p>
        </w:tc>
        <w:tc>
          <w:tcPr>
            <w:tcW w:w="601" w:type="pct"/>
            <w:tcBorders>
              <w:bottom w:val="single" w:sz="4" w:space="0" w:color="auto"/>
            </w:tcBorders>
            <w:vAlign w:val="center"/>
          </w:tcPr>
          <w:p w14:paraId="086E3506"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1.73</w:t>
            </w:r>
          </w:p>
        </w:tc>
        <w:tc>
          <w:tcPr>
            <w:tcW w:w="651" w:type="pct"/>
            <w:tcBorders>
              <w:bottom w:val="single" w:sz="4" w:space="0" w:color="auto"/>
            </w:tcBorders>
            <w:vAlign w:val="center"/>
          </w:tcPr>
          <w:p w14:paraId="06F4D035"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18</w:t>
            </w:r>
          </w:p>
        </w:tc>
        <w:tc>
          <w:tcPr>
            <w:tcW w:w="735" w:type="pct"/>
            <w:tcBorders>
              <w:bottom w:val="single" w:sz="4" w:space="0" w:color="auto"/>
            </w:tcBorders>
            <w:vAlign w:val="center"/>
          </w:tcPr>
          <w:p w14:paraId="78E432BE"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22</w:t>
            </w:r>
          </w:p>
        </w:tc>
        <w:tc>
          <w:tcPr>
            <w:tcW w:w="980" w:type="pct"/>
            <w:tcBorders>
              <w:bottom w:val="single" w:sz="4" w:space="0" w:color="auto"/>
            </w:tcBorders>
            <w:vAlign w:val="center"/>
          </w:tcPr>
          <w:p w14:paraId="657B8F08"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18.72 - 20.71</w:t>
            </w:r>
          </w:p>
        </w:tc>
      </w:tr>
    </w:tbl>
    <w:p w14:paraId="74845534" w14:textId="77777777" w:rsidR="0013405D" w:rsidRPr="00CE0262" w:rsidRDefault="0013405D" w:rsidP="0013405D">
      <w:pPr>
        <w:spacing w:line="480" w:lineRule="auto"/>
        <w:jc w:val="both"/>
        <w:rPr>
          <w:rFonts w:ascii="Arial" w:hAnsi="Arial" w:cs="Arial"/>
          <w:color w:val="000000" w:themeColor="text1"/>
        </w:rPr>
      </w:pPr>
    </w:p>
    <w:p w14:paraId="13C5A61A" w14:textId="70F540C0" w:rsidR="0013405D" w:rsidRPr="00CE0262" w:rsidRDefault="0013405D" w:rsidP="0013405D">
      <w:pPr>
        <w:spacing w:line="480" w:lineRule="auto"/>
        <w:jc w:val="both"/>
        <w:rPr>
          <w:rFonts w:ascii="Arial" w:hAnsi="Arial" w:cs="Arial"/>
          <w:color w:val="000000" w:themeColor="text1"/>
        </w:rPr>
      </w:pPr>
      <w:r w:rsidRPr="00CE0262">
        <w:rPr>
          <w:rFonts w:ascii="Arial" w:hAnsi="Arial" w:cs="Arial"/>
          <w:b/>
          <w:bCs/>
          <w:color w:val="000000" w:themeColor="text1"/>
        </w:rPr>
        <w:t xml:space="preserve">Allergic </w:t>
      </w:r>
      <w:r w:rsidR="003B4126">
        <w:rPr>
          <w:rFonts w:ascii="Arial" w:hAnsi="Arial" w:cs="Arial"/>
          <w:b/>
          <w:bCs/>
          <w:color w:val="000000" w:themeColor="text1"/>
        </w:rPr>
        <w:t>S</w:t>
      </w:r>
      <w:r w:rsidRPr="00CE0262">
        <w:rPr>
          <w:rFonts w:ascii="Arial" w:hAnsi="Arial" w:cs="Arial"/>
          <w:b/>
          <w:bCs/>
          <w:color w:val="000000" w:themeColor="text1"/>
        </w:rPr>
        <w:t>ymptoms</w:t>
      </w:r>
      <w:r w:rsidRPr="00CE0262">
        <w:rPr>
          <w:rFonts w:ascii="Arial" w:hAnsi="Arial" w:cs="Arial"/>
          <w:color w:val="000000" w:themeColor="text1"/>
        </w:rPr>
        <w:t xml:space="preserve"> </w:t>
      </w:r>
    </w:p>
    <w:p w14:paraId="2081F0D0" w14:textId="2FB8A92C" w:rsidR="0013405D" w:rsidRPr="00CE0262" w:rsidRDefault="0013405D" w:rsidP="003C1E35">
      <w:pPr>
        <w:spacing w:line="480" w:lineRule="auto"/>
        <w:jc w:val="both"/>
        <w:rPr>
          <w:rFonts w:ascii="Arial" w:hAnsi="Arial" w:cs="Arial"/>
          <w:color w:val="000000" w:themeColor="text1"/>
        </w:rPr>
      </w:pPr>
      <w:r w:rsidRPr="00CE0262">
        <w:rPr>
          <w:rFonts w:ascii="Arial" w:hAnsi="Arial" w:cs="Arial"/>
          <w:color w:val="000000" w:themeColor="text1"/>
        </w:rPr>
        <w:t xml:space="preserve">The results of allergy symptom analysis revealed significant variations in clinical presentations, categorized into </w:t>
      </w:r>
      <w:r w:rsidR="00B76061">
        <w:rPr>
          <w:rFonts w:ascii="Arial" w:hAnsi="Arial" w:cs="Arial"/>
          <w:color w:val="000000" w:themeColor="text1"/>
        </w:rPr>
        <w:t>four main</w:t>
      </w:r>
      <w:r w:rsidRPr="00CE0262">
        <w:rPr>
          <w:rFonts w:ascii="Arial" w:hAnsi="Arial" w:cs="Arial"/>
          <w:color w:val="000000" w:themeColor="text1"/>
        </w:rPr>
        <w:t xml:space="preserve"> patterns: cutaneous/respiratory (characterized by skin rash, shortness of breath, cough, and itching), cutaneous (including rash and itching), respiratory (manifested by sneezing and cough), and gastrointestinal symptoms (</w:t>
      </w:r>
      <w:r w:rsidRPr="00CE0262">
        <w:rPr>
          <w:rFonts w:ascii="Arial" w:hAnsi="Arial" w:cs="Arial"/>
          <w:b/>
          <w:bCs/>
          <w:color w:val="000000" w:themeColor="text1"/>
        </w:rPr>
        <w:t xml:space="preserve">Figure </w:t>
      </w:r>
      <w:r w:rsidR="00AE3ABF" w:rsidRPr="00CE0262">
        <w:rPr>
          <w:rFonts w:ascii="Arial" w:hAnsi="Arial" w:cs="Arial"/>
          <w:b/>
          <w:bCs/>
          <w:color w:val="000000" w:themeColor="text1"/>
        </w:rPr>
        <w:t>1</w:t>
      </w:r>
      <w:r w:rsidRPr="00CE0262">
        <w:rPr>
          <w:rFonts w:ascii="Arial" w:hAnsi="Arial" w:cs="Arial"/>
          <w:color w:val="000000" w:themeColor="text1"/>
        </w:rPr>
        <w:t xml:space="preserve">). Multi-symptoms of allergic reactions (skin rash, shortness of breath, cough, and itching) emerged as the most common manifestation (n=158, 38.5%), followed by dermatological </w:t>
      </w:r>
      <w:r w:rsidRPr="00CE0262">
        <w:rPr>
          <w:rFonts w:ascii="Arial" w:hAnsi="Arial" w:cs="Arial"/>
          <w:color w:val="000000" w:themeColor="text1"/>
        </w:rPr>
        <w:lastRenderedPageBreak/>
        <w:t xml:space="preserve">symptoms (rash and itching, n=150, 36.6%). Respiratory symptoms (sneezing and cough) accounted for 20.7% (n=85), while gastrointestinal complaints were notably rare (n=17, 4.1%). </w:t>
      </w:r>
    </w:p>
    <w:p w14:paraId="34002C56" w14:textId="77777777" w:rsidR="0013405D" w:rsidRPr="00CE0262" w:rsidRDefault="0013405D" w:rsidP="0013405D">
      <w:pPr>
        <w:spacing w:line="480" w:lineRule="auto"/>
        <w:jc w:val="both"/>
        <w:rPr>
          <w:rFonts w:ascii="Arial" w:hAnsi="Arial" w:cs="Arial"/>
          <w:color w:val="000000" w:themeColor="text1"/>
        </w:rPr>
      </w:pPr>
    </w:p>
    <w:p w14:paraId="05B1B1BE" w14:textId="77777777" w:rsidR="0013405D" w:rsidRPr="00CE0262" w:rsidRDefault="0013405D" w:rsidP="0013405D">
      <w:pPr>
        <w:spacing w:line="480" w:lineRule="auto"/>
        <w:jc w:val="center"/>
        <w:rPr>
          <w:rFonts w:ascii="Arial" w:hAnsi="Arial" w:cs="Arial"/>
          <w:color w:val="000000" w:themeColor="text1"/>
        </w:rPr>
      </w:pPr>
      <w:r w:rsidRPr="00CE0262">
        <w:rPr>
          <w:rFonts w:ascii="Arial" w:hAnsi="Arial" w:cs="Arial"/>
          <w:b/>
          <w:bCs/>
          <w:noProof/>
          <w:color w:val="000000" w:themeColor="text1"/>
          <w:rtl/>
        </w:rPr>
        <w:drawing>
          <wp:inline distT="0" distB="0" distL="0" distR="0" wp14:anchorId="7218002E" wp14:editId="1DCBD94D">
            <wp:extent cx="5039704" cy="3119606"/>
            <wp:effectExtent l="12700" t="12700" r="15240" b="17780"/>
            <wp:docPr id="5514444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444446" name="Picture 551444446"/>
                    <pic:cNvPicPr/>
                  </pic:nvPicPr>
                  <pic:blipFill rotWithShape="1">
                    <a:blip r:embed="rId7" cstate="print">
                      <a:extLst>
                        <a:ext uri="{28A0092B-C50C-407E-A947-70E740481C1C}">
                          <a14:useLocalDpi xmlns:a14="http://schemas.microsoft.com/office/drawing/2010/main" val="0"/>
                        </a:ext>
                      </a:extLst>
                    </a:blip>
                    <a:srcRect l="3668" t="2685" r="1516" b="1846"/>
                    <a:stretch>
                      <a:fillRect/>
                    </a:stretch>
                  </pic:blipFill>
                  <pic:spPr bwMode="auto">
                    <a:xfrm>
                      <a:off x="0" y="0"/>
                      <a:ext cx="5117670" cy="316786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CFC78FA" w14:textId="41E8919D" w:rsidR="0013405D" w:rsidRPr="00CE0262" w:rsidRDefault="0013405D" w:rsidP="0013405D">
      <w:pPr>
        <w:spacing w:line="480" w:lineRule="auto"/>
        <w:jc w:val="both"/>
        <w:rPr>
          <w:rFonts w:ascii="Arial" w:hAnsi="Arial" w:cs="Arial"/>
          <w:b/>
          <w:bCs/>
          <w:color w:val="000000" w:themeColor="text1"/>
        </w:rPr>
      </w:pPr>
      <w:r w:rsidRPr="00CE0262">
        <w:rPr>
          <w:rFonts w:ascii="Arial" w:hAnsi="Arial" w:cs="Arial"/>
          <w:b/>
          <w:bCs/>
          <w:color w:val="000000" w:themeColor="text1"/>
        </w:rPr>
        <w:t xml:space="preserve">Figure </w:t>
      </w:r>
      <w:r w:rsidR="00AE3ABF" w:rsidRPr="00CE0262">
        <w:rPr>
          <w:rFonts w:ascii="Arial" w:hAnsi="Arial" w:cs="Arial"/>
          <w:b/>
          <w:bCs/>
          <w:color w:val="000000" w:themeColor="text1"/>
        </w:rPr>
        <w:t>1</w:t>
      </w:r>
      <w:r w:rsidRPr="00CE0262">
        <w:rPr>
          <w:rFonts w:ascii="Arial" w:hAnsi="Arial" w:cs="Arial"/>
          <w:b/>
          <w:bCs/>
          <w:color w:val="000000" w:themeColor="text1"/>
        </w:rPr>
        <w:t xml:space="preserve">. </w:t>
      </w:r>
      <w:r w:rsidRPr="00CE0262">
        <w:rPr>
          <w:rFonts w:ascii="Arial" w:hAnsi="Arial" w:cs="Arial"/>
          <w:color w:val="000000" w:themeColor="text1"/>
        </w:rPr>
        <w:t xml:space="preserve">The distribution of </w:t>
      </w:r>
      <w:r w:rsidR="00F30686">
        <w:rPr>
          <w:rFonts w:ascii="Arial" w:hAnsi="Arial" w:cs="Arial"/>
          <w:color w:val="000000" w:themeColor="text1"/>
        </w:rPr>
        <w:t xml:space="preserve">allergic </w:t>
      </w:r>
      <w:r w:rsidRPr="00CE0262">
        <w:rPr>
          <w:rFonts w:ascii="Arial" w:hAnsi="Arial" w:cs="Arial"/>
          <w:color w:val="000000" w:themeColor="text1"/>
        </w:rPr>
        <w:t>symptom patterns.</w:t>
      </w:r>
    </w:p>
    <w:p w14:paraId="6A73E93C" w14:textId="77777777" w:rsidR="005F05E2" w:rsidRPr="00CE0262" w:rsidRDefault="005F05E2" w:rsidP="0013405D">
      <w:pPr>
        <w:spacing w:line="480" w:lineRule="auto"/>
        <w:jc w:val="both"/>
        <w:rPr>
          <w:rFonts w:ascii="Arial" w:hAnsi="Arial" w:cs="Arial"/>
          <w:color w:val="000000" w:themeColor="text1"/>
        </w:rPr>
      </w:pPr>
    </w:p>
    <w:p w14:paraId="10568D24" w14:textId="08093EBA" w:rsidR="0013405D" w:rsidRPr="00CE0262" w:rsidRDefault="0013405D" w:rsidP="0013405D">
      <w:pPr>
        <w:spacing w:line="480" w:lineRule="auto"/>
        <w:jc w:val="both"/>
        <w:rPr>
          <w:rFonts w:ascii="Arial" w:hAnsi="Arial" w:cs="Arial"/>
          <w:b/>
          <w:bCs/>
          <w:color w:val="000000" w:themeColor="text1"/>
          <w:lang w:bidi="ar-IQ"/>
        </w:rPr>
      </w:pPr>
      <w:r w:rsidRPr="00CE0262">
        <w:rPr>
          <w:rFonts w:ascii="Arial" w:hAnsi="Arial" w:cs="Arial"/>
          <w:b/>
          <w:bCs/>
          <w:color w:val="000000" w:themeColor="text1"/>
          <w:lang w:bidi="ar-IQ"/>
        </w:rPr>
        <w:t xml:space="preserve">Symptoms </w:t>
      </w:r>
      <w:r w:rsidR="00460912">
        <w:rPr>
          <w:rFonts w:ascii="Arial" w:hAnsi="Arial" w:cs="Arial"/>
          <w:b/>
          <w:bCs/>
          <w:color w:val="000000" w:themeColor="text1"/>
          <w:lang w:bidi="ar-IQ"/>
        </w:rPr>
        <w:t>S</w:t>
      </w:r>
      <w:r w:rsidRPr="00CE0262">
        <w:rPr>
          <w:rFonts w:ascii="Arial" w:hAnsi="Arial" w:cs="Arial"/>
          <w:b/>
          <w:bCs/>
          <w:color w:val="000000" w:themeColor="text1"/>
          <w:lang w:bidi="ar-IQ"/>
        </w:rPr>
        <w:t>everity</w:t>
      </w:r>
    </w:p>
    <w:p w14:paraId="637169AE" w14:textId="16B5DFF6" w:rsidR="0013405D" w:rsidRDefault="0013405D" w:rsidP="0013405D">
      <w:pPr>
        <w:spacing w:line="480" w:lineRule="auto"/>
        <w:jc w:val="both"/>
        <w:rPr>
          <w:rFonts w:ascii="Arial" w:hAnsi="Arial" w:cs="Arial"/>
          <w:color w:val="000000" w:themeColor="text1"/>
          <w:lang w:bidi="ar-IQ"/>
        </w:rPr>
      </w:pPr>
      <w:r w:rsidRPr="00CE0262">
        <w:rPr>
          <w:rFonts w:ascii="Arial" w:hAnsi="Arial" w:cs="Arial"/>
          <w:color w:val="000000" w:themeColor="text1"/>
          <w:lang w:bidi="ar-IQ"/>
        </w:rPr>
        <w:t>Statistical analysis was performed using paired-samples t-tests with a Bonferroni correction to assess differences in mean symptom severity scores across eight allergen sources. The results revealed significant differences among several allergen comparisons. Gluten allergy showed the highest symptom severity, with a mean score of 4.07 ± 0.83 out of 5, significantly exceeding that of other allergens (</w:t>
      </w:r>
      <w:r w:rsidRPr="000234F1">
        <w:rPr>
          <w:rFonts w:ascii="Arial" w:hAnsi="Arial" w:cs="Arial"/>
          <w:i/>
          <w:iCs/>
          <w:color w:val="000000" w:themeColor="text1"/>
          <w:lang w:bidi="ar-IQ"/>
        </w:rPr>
        <w:t>p</w:t>
      </w:r>
      <w:r w:rsidRPr="00CE0262">
        <w:rPr>
          <w:rFonts w:ascii="Arial" w:hAnsi="Arial" w:cs="Arial"/>
          <w:color w:val="000000" w:themeColor="text1"/>
          <w:lang w:bidi="ar-IQ"/>
        </w:rPr>
        <w:t xml:space="preserve">&lt; 0.001). Symptoms triggered by gluten were more severe than those caused by perfume (Mean Difference [MD] = -1.04, </w:t>
      </w:r>
      <w:r w:rsidRPr="00515E1E">
        <w:rPr>
          <w:rFonts w:ascii="Arial" w:hAnsi="Arial" w:cs="Arial"/>
          <w:i/>
          <w:iCs/>
          <w:color w:val="000000" w:themeColor="text1"/>
          <w:lang w:bidi="ar-IQ"/>
        </w:rPr>
        <w:t>p</w:t>
      </w:r>
      <w:r w:rsidRPr="00CE0262">
        <w:rPr>
          <w:rFonts w:ascii="Arial" w:hAnsi="Arial" w:cs="Arial"/>
          <w:color w:val="000000" w:themeColor="text1"/>
          <w:lang w:bidi="ar-IQ"/>
        </w:rPr>
        <w:t xml:space="preserve">&lt; 0.001), dust (MD = -1.21, </w:t>
      </w:r>
      <w:r w:rsidRPr="00515E1E">
        <w:rPr>
          <w:rFonts w:ascii="Arial" w:hAnsi="Arial" w:cs="Arial"/>
          <w:i/>
          <w:iCs/>
          <w:color w:val="000000" w:themeColor="text1"/>
          <w:lang w:bidi="ar-IQ"/>
        </w:rPr>
        <w:t>p</w:t>
      </w:r>
      <w:r w:rsidRPr="00CE0262">
        <w:rPr>
          <w:rFonts w:ascii="Arial" w:hAnsi="Arial" w:cs="Arial"/>
          <w:color w:val="000000" w:themeColor="text1"/>
          <w:lang w:bidi="ar-IQ"/>
        </w:rPr>
        <w:t xml:space="preserve">&lt; 0.001), pollen (MD = -1.30, </w:t>
      </w:r>
      <w:r w:rsidRPr="00515E1E">
        <w:rPr>
          <w:rFonts w:ascii="Arial" w:hAnsi="Arial" w:cs="Arial"/>
          <w:i/>
          <w:iCs/>
          <w:color w:val="000000" w:themeColor="text1"/>
          <w:lang w:bidi="ar-IQ"/>
        </w:rPr>
        <w:t>p</w:t>
      </w:r>
      <w:r w:rsidRPr="00CE0262">
        <w:rPr>
          <w:rFonts w:ascii="Arial" w:hAnsi="Arial" w:cs="Arial"/>
          <w:color w:val="000000" w:themeColor="text1"/>
          <w:lang w:bidi="ar-IQ"/>
        </w:rPr>
        <w:t xml:space="preserve">&lt; 0.001), cleaning products (MD = 0.97, </w:t>
      </w:r>
      <w:r w:rsidRPr="00515E1E">
        <w:rPr>
          <w:rFonts w:ascii="Arial" w:hAnsi="Arial" w:cs="Arial"/>
          <w:i/>
          <w:iCs/>
          <w:color w:val="000000" w:themeColor="text1"/>
          <w:lang w:bidi="ar-IQ"/>
        </w:rPr>
        <w:t>p</w:t>
      </w:r>
      <w:r w:rsidRPr="00CE0262">
        <w:rPr>
          <w:rFonts w:ascii="Arial" w:hAnsi="Arial" w:cs="Arial"/>
          <w:color w:val="000000" w:themeColor="text1"/>
          <w:lang w:bidi="ar-IQ"/>
        </w:rPr>
        <w:t xml:space="preserve">&lt; 0.001), fruits (MD = 0.73, p= 0.006), spices (MD = 1.17, p&lt; 0.001), and penicillin (MD = 1.07, </w:t>
      </w:r>
      <w:r w:rsidRPr="00515E1E">
        <w:rPr>
          <w:rFonts w:ascii="Arial" w:hAnsi="Arial" w:cs="Arial"/>
          <w:i/>
          <w:iCs/>
          <w:color w:val="000000" w:themeColor="text1"/>
          <w:lang w:bidi="ar-IQ"/>
        </w:rPr>
        <w:t>p</w:t>
      </w:r>
      <w:r w:rsidRPr="00CE0262">
        <w:rPr>
          <w:rFonts w:ascii="Arial" w:hAnsi="Arial" w:cs="Arial"/>
          <w:color w:val="000000" w:themeColor="text1"/>
          <w:lang w:bidi="ar-IQ"/>
        </w:rPr>
        <w:t xml:space="preserve">= 0.001). Additionally, symptoms associated with fruit allergens were significantly more severe than those from dust (MD = -0.48, </w:t>
      </w:r>
      <w:r w:rsidRPr="00515E1E">
        <w:rPr>
          <w:rFonts w:ascii="Arial" w:hAnsi="Arial" w:cs="Arial"/>
          <w:i/>
          <w:iCs/>
          <w:color w:val="000000" w:themeColor="text1"/>
          <w:lang w:bidi="ar-IQ"/>
        </w:rPr>
        <w:t>p</w:t>
      </w:r>
      <w:r w:rsidRPr="00CE0262">
        <w:rPr>
          <w:rFonts w:ascii="Arial" w:hAnsi="Arial" w:cs="Arial"/>
          <w:color w:val="000000" w:themeColor="text1"/>
          <w:lang w:bidi="ar-IQ"/>
        </w:rPr>
        <w:t xml:space="preserve">= 0.003) and pollen (MD = -0.57, </w:t>
      </w:r>
      <w:r w:rsidRPr="00515E1E">
        <w:rPr>
          <w:rFonts w:ascii="Arial" w:hAnsi="Arial" w:cs="Arial"/>
          <w:i/>
          <w:iCs/>
          <w:color w:val="000000" w:themeColor="text1"/>
          <w:lang w:bidi="ar-IQ"/>
        </w:rPr>
        <w:t>p</w:t>
      </w:r>
      <w:r w:rsidRPr="00CE0262">
        <w:rPr>
          <w:rFonts w:ascii="Arial" w:hAnsi="Arial" w:cs="Arial"/>
          <w:color w:val="000000" w:themeColor="text1"/>
          <w:lang w:bidi="ar-IQ"/>
        </w:rPr>
        <w:t xml:space="preserve">= 0.002). Dust and </w:t>
      </w:r>
      <w:r w:rsidRPr="00CE0262">
        <w:rPr>
          <w:rFonts w:ascii="Arial" w:hAnsi="Arial" w:cs="Arial"/>
          <w:color w:val="000000" w:themeColor="text1"/>
          <w:lang w:bidi="ar-IQ"/>
        </w:rPr>
        <w:lastRenderedPageBreak/>
        <w:t xml:space="preserve">pollen allergies exhibited moderate severity levels (2.87 ± 0.88 and 2.78 ± 0.80, respectively), whereas cleaning product allergies showed unexpectedly high severity (3.11 ± 0.56), </w:t>
      </w:r>
      <w:r w:rsidRPr="00CE0262">
        <w:rPr>
          <w:rFonts w:ascii="Arial" w:hAnsi="Arial" w:cs="Arial"/>
          <w:color w:val="000000" w:themeColor="text1"/>
        </w:rPr>
        <w:t xml:space="preserve">despite their relatively low prevalence </w:t>
      </w:r>
      <w:r w:rsidRPr="00CE0262">
        <w:rPr>
          <w:rFonts w:ascii="Arial" w:hAnsi="Arial" w:cs="Arial"/>
          <w:color w:val="000000" w:themeColor="text1"/>
          <w:lang w:bidi="ar-IQ"/>
        </w:rPr>
        <w:t>(</w:t>
      </w:r>
      <w:r w:rsidRPr="00CE0262">
        <w:rPr>
          <w:rFonts w:ascii="Arial" w:hAnsi="Arial" w:cs="Arial"/>
          <w:b/>
          <w:bCs/>
          <w:color w:val="000000" w:themeColor="text1"/>
          <w:lang w:bidi="ar-IQ"/>
        </w:rPr>
        <w:t xml:space="preserve">Table </w:t>
      </w:r>
      <w:r w:rsidR="00AC38E8">
        <w:rPr>
          <w:rFonts w:ascii="Arial" w:hAnsi="Arial" w:cs="Arial"/>
          <w:b/>
          <w:bCs/>
          <w:color w:val="000000" w:themeColor="text1"/>
          <w:lang w:bidi="ar-IQ"/>
        </w:rPr>
        <w:t>3</w:t>
      </w:r>
      <w:r w:rsidRPr="00CE0262">
        <w:rPr>
          <w:rFonts w:ascii="Arial" w:hAnsi="Arial" w:cs="Arial"/>
          <w:color w:val="000000" w:themeColor="text1"/>
          <w:lang w:bidi="ar-IQ"/>
        </w:rPr>
        <w:t>).</w:t>
      </w:r>
    </w:p>
    <w:p w14:paraId="15C019DF" w14:textId="77777777" w:rsidR="00CA56B1" w:rsidRPr="00CE0262" w:rsidRDefault="00CA56B1" w:rsidP="0013405D">
      <w:pPr>
        <w:spacing w:line="480" w:lineRule="auto"/>
        <w:jc w:val="both"/>
        <w:rPr>
          <w:rFonts w:ascii="Arial" w:hAnsi="Arial" w:cs="Arial"/>
          <w:color w:val="000000" w:themeColor="text1"/>
          <w:lang w:bidi="ar-IQ"/>
        </w:rPr>
      </w:pPr>
    </w:p>
    <w:p w14:paraId="10F01C9E" w14:textId="48E7FA5E" w:rsidR="0013405D" w:rsidRPr="00A52F84" w:rsidRDefault="0013405D" w:rsidP="0013405D">
      <w:pPr>
        <w:spacing w:line="480" w:lineRule="auto"/>
        <w:jc w:val="both"/>
        <w:rPr>
          <w:rFonts w:ascii="Arial" w:hAnsi="Arial" w:cs="Arial"/>
          <w:color w:val="000000" w:themeColor="text1"/>
          <w:lang w:bidi="ar-IQ"/>
        </w:rPr>
      </w:pPr>
      <w:r w:rsidRPr="00A52F84">
        <w:rPr>
          <w:rFonts w:ascii="Arial" w:hAnsi="Arial" w:cs="Arial"/>
          <w:b/>
          <w:bCs/>
          <w:color w:val="000000" w:themeColor="text1"/>
          <w:lang w:bidi="ar-IQ"/>
        </w:rPr>
        <w:t xml:space="preserve">Table </w:t>
      </w:r>
      <w:r w:rsidR="00AC38E8" w:rsidRPr="00A52F84">
        <w:rPr>
          <w:rFonts w:ascii="Arial" w:hAnsi="Arial" w:cs="Arial"/>
          <w:b/>
          <w:bCs/>
          <w:color w:val="000000" w:themeColor="text1"/>
          <w:lang w:bidi="ar-IQ"/>
        </w:rPr>
        <w:t>3</w:t>
      </w:r>
      <w:r w:rsidRPr="00A52F84">
        <w:rPr>
          <w:rFonts w:ascii="Arial" w:hAnsi="Arial" w:cs="Arial"/>
          <w:b/>
          <w:bCs/>
          <w:color w:val="000000" w:themeColor="text1"/>
          <w:lang w:bidi="ar-IQ"/>
        </w:rPr>
        <w:t>.</w:t>
      </w:r>
      <w:r w:rsidRPr="00A52F84">
        <w:rPr>
          <w:rFonts w:ascii="Arial" w:hAnsi="Arial" w:cs="Arial"/>
          <w:color w:val="000000" w:themeColor="text1"/>
          <w:lang w:bidi="ar-IQ"/>
        </w:rPr>
        <w:t xml:space="preserve"> Variation in </w:t>
      </w:r>
      <w:r w:rsidR="005C6897">
        <w:rPr>
          <w:rFonts w:ascii="Arial" w:hAnsi="Arial" w:cs="Arial"/>
          <w:color w:val="000000" w:themeColor="text1"/>
          <w:lang w:bidi="ar-IQ"/>
        </w:rPr>
        <w:t xml:space="preserve">allergic </w:t>
      </w:r>
      <w:r w:rsidRPr="00A52F84">
        <w:rPr>
          <w:rFonts w:ascii="Arial" w:hAnsi="Arial" w:cs="Arial"/>
          <w:color w:val="000000" w:themeColor="text1"/>
          <w:lang w:bidi="ar-IQ"/>
        </w:rPr>
        <w:t>symptom severity across different allergen types.</w:t>
      </w:r>
    </w:p>
    <w:tbl>
      <w:tblPr>
        <w:tblW w:w="10343"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731"/>
        <w:gridCol w:w="1143"/>
        <w:gridCol w:w="586"/>
        <w:gridCol w:w="895"/>
        <w:gridCol w:w="1360"/>
        <w:gridCol w:w="1393"/>
        <w:gridCol w:w="1432"/>
        <w:gridCol w:w="1803"/>
      </w:tblGrid>
      <w:tr w:rsidR="001A4A67" w:rsidRPr="002A41D6" w14:paraId="3A986EDE" w14:textId="77777777" w:rsidTr="000E6AC2">
        <w:trPr>
          <w:trHeight w:val="291"/>
          <w:tblHeader/>
          <w:jc w:val="center"/>
        </w:trPr>
        <w:tc>
          <w:tcPr>
            <w:tcW w:w="1731" w:type="dxa"/>
            <w:vMerge w:val="restart"/>
            <w:tcBorders>
              <w:top w:val="single" w:sz="4" w:space="0" w:color="auto"/>
              <w:bottom w:val="single" w:sz="4" w:space="0" w:color="auto"/>
            </w:tcBorders>
            <w:shd w:val="clear" w:color="auto" w:fill="FFFFFF"/>
            <w:tcMar>
              <w:top w:w="75" w:type="dxa"/>
              <w:left w:w="150" w:type="dxa"/>
              <w:bottom w:w="75" w:type="dxa"/>
              <w:right w:w="150" w:type="dxa"/>
            </w:tcMar>
            <w:vAlign w:val="center"/>
            <w:hideMark/>
          </w:tcPr>
          <w:p w14:paraId="2ED2FEF5" w14:textId="77777777" w:rsidR="001A4A67" w:rsidRPr="002A41D6" w:rsidRDefault="001A4A67" w:rsidP="000E6AC2">
            <w:pPr>
              <w:jc w:val="center"/>
              <w:rPr>
                <w:rFonts w:ascii="Arial" w:hAnsi="Arial" w:cs="Arial"/>
                <w:b/>
                <w:bCs/>
                <w:sz w:val="22"/>
                <w:szCs w:val="22"/>
              </w:rPr>
            </w:pPr>
            <w:r w:rsidRPr="002A41D6">
              <w:rPr>
                <w:rFonts w:ascii="Arial" w:hAnsi="Arial" w:cs="Arial"/>
                <w:b/>
                <w:bCs/>
                <w:sz w:val="22"/>
                <w:szCs w:val="22"/>
              </w:rPr>
              <w:t>Allergen Type</w:t>
            </w:r>
          </w:p>
        </w:tc>
        <w:tc>
          <w:tcPr>
            <w:tcW w:w="1143" w:type="dxa"/>
            <w:vMerge w:val="restart"/>
            <w:tcBorders>
              <w:top w:val="single" w:sz="4" w:space="0" w:color="auto"/>
            </w:tcBorders>
            <w:shd w:val="clear" w:color="auto" w:fill="FFFFFF"/>
            <w:vAlign w:val="center"/>
          </w:tcPr>
          <w:p w14:paraId="6F8BBDBD" w14:textId="77777777" w:rsidR="001A4A67" w:rsidRPr="00E1777E" w:rsidRDefault="001A4A67" w:rsidP="000E6AC2">
            <w:pPr>
              <w:jc w:val="center"/>
              <w:rPr>
                <w:rFonts w:ascii="Arial" w:hAnsi="Arial" w:cs="Arial"/>
                <w:b/>
                <w:bCs/>
                <w:color w:val="212529"/>
                <w:sz w:val="22"/>
                <w:szCs w:val="22"/>
              </w:rPr>
            </w:pPr>
            <w:r w:rsidRPr="00E1777E">
              <w:rPr>
                <w:rFonts w:ascii="Arial" w:hAnsi="Arial" w:cs="Arial"/>
                <w:b/>
                <w:bCs/>
                <w:color w:val="212529"/>
                <w:sz w:val="22"/>
                <w:szCs w:val="22"/>
              </w:rPr>
              <w:t>Frequency</w:t>
            </w:r>
          </w:p>
        </w:tc>
        <w:tc>
          <w:tcPr>
            <w:tcW w:w="586" w:type="dxa"/>
            <w:vMerge w:val="restart"/>
            <w:tcBorders>
              <w:top w:val="single" w:sz="4" w:space="0" w:color="auto"/>
            </w:tcBorders>
            <w:shd w:val="clear" w:color="auto" w:fill="FFFFFF"/>
          </w:tcPr>
          <w:p w14:paraId="5EFAF977" w14:textId="77777777" w:rsidR="001A4A67" w:rsidRPr="002A41D6" w:rsidRDefault="001A4A67" w:rsidP="000E6AC2">
            <w:pPr>
              <w:jc w:val="center"/>
              <w:rPr>
                <w:rFonts w:ascii="Arial" w:hAnsi="Arial" w:cs="Arial"/>
                <w:b/>
                <w:bCs/>
                <w:color w:val="212529"/>
                <w:sz w:val="22"/>
                <w:szCs w:val="22"/>
              </w:rPr>
            </w:pPr>
          </w:p>
        </w:tc>
        <w:tc>
          <w:tcPr>
            <w:tcW w:w="895" w:type="dxa"/>
            <w:vMerge w:val="restart"/>
            <w:tcBorders>
              <w:top w:val="single" w:sz="4" w:space="0" w:color="auto"/>
              <w:bottom w:val="single" w:sz="4" w:space="0" w:color="auto"/>
            </w:tcBorders>
            <w:shd w:val="clear" w:color="auto" w:fill="FFFFFF"/>
            <w:tcMar>
              <w:top w:w="75" w:type="dxa"/>
              <w:left w:w="150" w:type="dxa"/>
              <w:bottom w:w="75" w:type="dxa"/>
              <w:right w:w="150" w:type="dxa"/>
            </w:tcMar>
            <w:vAlign w:val="center"/>
            <w:hideMark/>
          </w:tcPr>
          <w:p w14:paraId="5D41232B" w14:textId="77777777" w:rsidR="001A4A67" w:rsidRPr="002A41D6" w:rsidRDefault="001A4A67" w:rsidP="000E6AC2">
            <w:pPr>
              <w:jc w:val="center"/>
              <w:rPr>
                <w:rFonts w:ascii="Arial" w:hAnsi="Arial" w:cs="Arial"/>
                <w:b/>
                <w:bCs/>
                <w:color w:val="212529"/>
                <w:sz w:val="22"/>
                <w:szCs w:val="22"/>
              </w:rPr>
            </w:pPr>
            <w:r w:rsidRPr="002A41D6">
              <w:rPr>
                <w:rFonts w:ascii="Arial" w:hAnsi="Arial" w:cs="Arial"/>
                <w:b/>
                <w:bCs/>
                <w:color w:val="212529"/>
                <w:sz w:val="22"/>
                <w:szCs w:val="22"/>
              </w:rPr>
              <w:t>Mean</w:t>
            </w:r>
          </w:p>
        </w:tc>
        <w:tc>
          <w:tcPr>
            <w:tcW w:w="1360" w:type="dxa"/>
            <w:vMerge w:val="restart"/>
            <w:tcBorders>
              <w:top w:val="single" w:sz="4" w:space="0" w:color="auto"/>
              <w:bottom w:val="single" w:sz="4" w:space="0" w:color="auto"/>
            </w:tcBorders>
            <w:shd w:val="clear" w:color="auto" w:fill="FFFFFF"/>
            <w:tcMar>
              <w:top w:w="75" w:type="dxa"/>
              <w:left w:w="150" w:type="dxa"/>
              <w:bottom w:w="75" w:type="dxa"/>
              <w:right w:w="150" w:type="dxa"/>
            </w:tcMar>
            <w:vAlign w:val="center"/>
            <w:hideMark/>
          </w:tcPr>
          <w:p w14:paraId="26EF19C4" w14:textId="77777777" w:rsidR="001A4A67" w:rsidRDefault="001A4A67" w:rsidP="000E6AC2">
            <w:pPr>
              <w:jc w:val="center"/>
              <w:rPr>
                <w:rFonts w:ascii="Arial" w:hAnsi="Arial" w:cs="Arial"/>
                <w:b/>
                <w:bCs/>
                <w:color w:val="212529"/>
                <w:sz w:val="22"/>
                <w:szCs w:val="22"/>
              </w:rPr>
            </w:pPr>
            <w:r w:rsidRPr="002A41D6">
              <w:rPr>
                <w:rFonts w:ascii="Arial" w:hAnsi="Arial" w:cs="Arial"/>
                <w:b/>
                <w:bCs/>
                <w:color w:val="212529"/>
                <w:sz w:val="22"/>
                <w:szCs w:val="22"/>
              </w:rPr>
              <w:t>Std. Deviation</w:t>
            </w:r>
          </w:p>
          <w:p w14:paraId="3DBC3252" w14:textId="77777777" w:rsidR="001A4A67" w:rsidRPr="002A41D6" w:rsidRDefault="001A4A67" w:rsidP="000E6AC2">
            <w:pPr>
              <w:jc w:val="center"/>
              <w:rPr>
                <w:rFonts w:ascii="Arial" w:hAnsi="Arial" w:cs="Arial"/>
                <w:b/>
                <w:bCs/>
                <w:color w:val="212529"/>
                <w:sz w:val="22"/>
                <w:szCs w:val="22"/>
              </w:rPr>
            </w:pPr>
            <w:r>
              <w:rPr>
                <w:rFonts w:ascii="Arial" w:hAnsi="Arial" w:cs="Arial"/>
                <w:b/>
                <w:bCs/>
                <w:color w:val="212529"/>
                <w:sz w:val="22"/>
                <w:szCs w:val="22"/>
              </w:rPr>
              <w:t>(SD)</w:t>
            </w:r>
          </w:p>
        </w:tc>
        <w:tc>
          <w:tcPr>
            <w:tcW w:w="2825" w:type="dxa"/>
            <w:gridSpan w:val="2"/>
            <w:tcBorders>
              <w:top w:val="single" w:sz="4" w:space="0" w:color="auto"/>
              <w:bottom w:val="single" w:sz="4" w:space="0" w:color="auto"/>
            </w:tcBorders>
            <w:shd w:val="clear" w:color="auto" w:fill="FFFFFF"/>
            <w:tcMar>
              <w:top w:w="75" w:type="dxa"/>
              <w:left w:w="150" w:type="dxa"/>
              <w:bottom w:w="75" w:type="dxa"/>
              <w:right w:w="150" w:type="dxa"/>
            </w:tcMar>
            <w:vAlign w:val="center"/>
          </w:tcPr>
          <w:p w14:paraId="77E33D84" w14:textId="77777777" w:rsidR="001A4A67" w:rsidRPr="002A41D6" w:rsidRDefault="001A4A67" w:rsidP="000E6AC2">
            <w:pPr>
              <w:jc w:val="center"/>
              <w:rPr>
                <w:rFonts w:ascii="Arial" w:hAnsi="Arial" w:cs="Arial"/>
                <w:b/>
                <w:bCs/>
                <w:color w:val="212529"/>
                <w:sz w:val="22"/>
                <w:szCs w:val="22"/>
              </w:rPr>
            </w:pPr>
            <w:r w:rsidRPr="002A41D6">
              <w:rPr>
                <w:rFonts w:ascii="Arial" w:hAnsi="Arial" w:cs="Arial"/>
                <w:b/>
                <w:bCs/>
                <w:color w:val="212529"/>
                <w:sz w:val="22"/>
                <w:szCs w:val="22"/>
              </w:rPr>
              <w:t xml:space="preserve">Symptoms Severity </w:t>
            </w:r>
            <w:r>
              <w:rPr>
                <w:rFonts w:ascii="Arial" w:hAnsi="Arial" w:cs="Arial"/>
                <w:b/>
                <w:bCs/>
                <w:color w:val="212529"/>
                <w:sz w:val="22"/>
                <w:szCs w:val="22"/>
              </w:rPr>
              <w:br/>
            </w:r>
            <w:r w:rsidRPr="002A41D6">
              <w:rPr>
                <w:rFonts w:ascii="Arial" w:hAnsi="Arial" w:cs="Arial"/>
                <w:b/>
                <w:bCs/>
                <w:color w:val="212529"/>
                <w:sz w:val="22"/>
                <w:szCs w:val="22"/>
              </w:rPr>
              <w:t>(1-5)</w:t>
            </w:r>
          </w:p>
        </w:tc>
        <w:tc>
          <w:tcPr>
            <w:tcW w:w="1803" w:type="dxa"/>
            <w:vMerge w:val="restart"/>
            <w:tcBorders>
              <w:top w:val="single" w:sz="4" w:space="0" w:color="auto"/>
              <w:bottom w:val="single" w:sz="4" w:space="0" w:color="auto"/>
            </w:tcBorders>
            <w:shd w:val="clear" w:color="auto" w:fill="FFFFFF"/>
            <w:tcMar>
              <w:top w:w="75" w:type="dxa"/>
              <w:left w:w="150" w:type="dxa"/>
              <w:bottom w:w="75" w:type="dxa"/>
              <w:right w:w="150" w:type="dxa"/>
            </w:tcMar>
            <w:vAlign w:val="center"/>
            <w:hideMark/>
          </w:tcPr>
          <w:p w14:paraId="63BBE6F7" w14:textId="3235B579" w:rsidR="001A4A67" w:rsidRPr="002A41D6" w:rsidRDefault="001A4A67" w:rsidP="000E6AC2">
            <w:pPr>
              <w:jc w:val="center"/>
              <w:rPr>
                <w:rFonts w:ascii="Arial" w:hAnsi="Arial" w:cs="Arial"/>
                <w:b/>
                <w:bCs/>
                <w:color w:val="212529"/>
                <w:sz w:val="22"/>
                <w:szCs w:val="22"/>
              </w:rPr>
            </w:pPr>
            <w:r w:rsidRPr="002A41D6">
              <w:rPr>
                <w:rFonts w:ascii="Arial" w:hAnsi="Arial" w:cs="Arial"/>
                <w:b/>
                <w:bCs/>
                <w:color w:val="212529"/>
                <w:sz w:val="22"/>
                <w:szCs w:val="22"/>
              </w:rPr>
              <w:t xml:space="preserve">95% Confidence </w:t>
            </w:r>
            <w:r w:rsidR="00B76061">
              <w:rPr>
                <w:rFonts w:ascii="Arial" w:hAnsi="Arial" w:cs="Arial"/>
                <w:b/>
                <w:bCs/>
                <w:color w:val="212529"/>
                <w:sz w:val="22"/>
                <w:szCs w:val="22"/>
              </w:rPr>
              <w:t>Interval</w:t>
            </w:r>
            <w:r w:rsidRPr="002A41D6">
              <w:rPr>
                <w:rFonts w:ascii="Arial" w:hAnsi="Arial" w:cs="Arial"/>
                <w:b/>
                <w:bCs/>
                <w:color w:val="212529"/>
                <w:sz w:val="22"/>
                <w:szCs w:val="22"/>
              </w:rPr>
              <w:t xml:space="preserve"> of Mean</w:t>
            </w:r>
          </w:p>
        </w:tc>
      </w:tr>
      <w:tr w:rsidR="001A4A67" w:rsidRPr="002A41D6" w14:paraId="42F6AFE2" w14:textId="77777777" w:rsidTr="000E6AC2">
        <w:trPr>
          <w:trHeight w:val="290"/>
          <w:tblHeader/>
          <w:jc w:val="center"/>
        </w:trPr>
        <w:tc>
          <w:tcPr>
            <w:tcW w:w="1731" w:type="dxa"/>
            <w:vMerge/>
            <w:tcBorders>
              <w:bottom w:val="single" w:sz="4" w:space="0" w:color="auto"/>
            </w:tcBorders>
            <w:shd w:val="clear" w:color="auto" w:fill="FFFFFF"/>
            <w:tcMar>
              <w:top w:w="75" w:type="dxa"/>
              <w:left w:w="150" w:type="dxa"/>
              <w:bottom w:w="75" w:type="dxa"/>
              <w:right w:w="150" w:type="dxa"/>
            </w:tcMar>
            <w:vAlign w:val="center"/>
          </w:tcPr>
          <w:p w14:paraId="04E20C06" w14:textId="77777777" w:rsidR="001A4A67" w:rsidRPr="002A41D6" w:rsidRDefault="001A4A67" w:rsidP="000E6AC2">
            <w:pPr>
              <w:jc w:val="center"/>
              <w:rPr>
                <w:rFonts w:ascii="Arial" w:hAnsi="Arial" w:cs="Arial"/>
                <w:sz w:val="22"/>
                <w:szCs w:val="22"/>
              </w:rPr>
            </w:pPr>
          </w:p>
        </w:tc>
        <w:tc>
          <w:tcPr>
            <w:tcW w:w="1143" w:type="dxa"/>
            <w:vMerge/>
            <w:tcBorders>
              <w:bottom w:val="single" w:sz="4" w:space="0" w:color="auto"/>
            </w:tcBorders>
            <w:shd w:val="clear" w:color="auto" w:fill="FFFFFF"/>
          </w:tcPr>
          <w:p w14:paraId="6EF3FFB1" w14:textId="77777777" w:rsidR="001A4A67" w:rsidRPr="002A41D6" w:rsidRDefault="001A4A67" w:rsidP="000E6AC2">
            <w:pPr>
              <w:rPr>
                <w:rFonts w:ascii="Arial" w:hAnsi="Arial" w:cs="Arial"/>
                <w:b/>
                <w:bCs/>
                <w:color w:val="212529"/>
                <w:sz w:val="22"/>
                <w:szCs w:val="22"/>
              </w:rPr>
            </w:pPr>
          </w:p>
        </w:tc>
        <w:tc>
          <w:tcPr>
            <w:tcW w:w="586" w:type="dxa"/>
            <w:vMerge/>
            <w:tcBorders>
              <w:bottom w:val="single" w:sz="4" w:space="0" w:color="auto"/>
            </w:tcBorders>
            <w:shd w:val="clear" w:color="auto" w:fill="FFFFFF"/>
          </w:tcPr>
          <w:p w14:paraId="21A52E60" w14:textId="77777777" w:rsidR="001A4A67" w:rsidRPr="002A41D6" w:rsidRDefault="001A4A67" w:rsidP="000E6AC2">
            <w:pPr>
              <w:jc w:val="center"/>
              <w:rPr>
                <w:rFonts w:ascii="Arial" w:hAnsi="Arial" w:cs="Arial"/>
                <w:b/>
                <w:bCs/>
                <w:color w:val="212529"/>
                <w:sz w:val="22"/>
                <w:szCs w:val="22"/>
              </w:rPr>
            </w:pPr>
          </w:p>
        </w:tc>
        <w:tc>
          <w:tcPr>
            <w:tcW w:w="895" w:type="dxa"/>
            <w:vMerge/>
            <w:tcBorders>
              <w:bottom w:val="single" w:sz="4" w:space="0" w:color="auto"/>
            </w:tcBorders>
            <w:shd w:val="clear" w:color="auto" w:fill="FFFFFF"/>
            <w:tcMar>
              <w:top w:w="75" w:type="dxa"/>
              <w:left w:w="150" w:type="dxa"/>
              <w:bottom w:w="75" w:type="dxa"/>
              <w:right w:w="150" w:type="dxa"/>
            </w:tcMar>
            <w:vAlign w:val="center"/>
          </w:tcPr>
          <w:p w14:paraId="58F0E321" w14:textId="77777777" w:rsidR="001A4A67" w:rsidRPr="002A41D6" w:rsidRDefault="001A4A67" w:rsidP="000E6AC2">
            <w:pPr>
              <w:jc w:val="center"/>
              <w:rPr>
                <w:rFonts w:ascii="Arial" w:hAnsi="Arial" w:cs="Arial"/>
                <w:b/>
                <w:bCs/>
                <w:color w:val="212529"/>
                <w:sz w:val="22"/>
                <w:szCs w:val="22"/>
              </w:rPr>
            </w:pPr>
          </w:p>
        </w:tc>
        <w:tc>
          <w:tcPr>
            <w:tcW w:w="1360" w:type="dxa"/>
            <w:vMerge/>
            <w:tcBorders>
              <w:bottom w:val="single" w:sz="4" w:space="0" w:color="auto"/>
            </w:tcBorders>
            <w:shd w:val="clear" w:color="auto" w:fill="FFFFFF"/>
            <w:tcMar>
              <w:top w:w="75" w:type="dxa"/>
              <w:left w:w="150" w:type="dxa"/>
              <w:bottom w:w="75" w:type="dxa"/>
              <w:right w:w="150" w:type="dxa"/>
            </w:tcMar>
            <w:vAlign w:val="center"/>
          </w:tcPr>
          <w:p w14:paraId="2C46430E" w14:textId="77777777" w:rsidR="001A4A67" w:rsidRPr="002A41D6" w:rsidRDefault="001A4A67" w:rsidP="000E6AC2">
            <w:pPr>
              <w:jc w:val="center"/>
              <w:rPr>
                <w:rFonts w:ascii="Arial" w:hAnsi="Arial" w:cs="Arial"/>
                <w:b/>
                <w:bCs/>
                <w:color w:val="212529"/>
                <w:sz w:val="22"/>
                <w:szCs w:val="22"/>
              </w:rPr>
            </w:pPr>
          </w:p>
        </w:tc>
        <w:tc>
          <w:tcPr>
            <w:tcW w:w="1393" w:type="dxa"/>
            <w:tcBorders>
              <w:top w:val="single" w:sz="4" w:space="0" w:color="auto"/>
              <w:bottom w:val="single" w:sz="4" w:space="0" w:color="auto"/>
            </w:tcBorders>
            <w:shd w:val="clear" w:color="auto" w:fill="FFFFFF"/>
            <w:tcMar>
              <w:top w:w="75" w:type="dxa"/>
              <w:left w:w="150" w:type="dxa"/>
              <w:bottom w:w="75" w:type="dxa"/>
              <w:right w:w="150" w:type="dxa"/>
            </w:tcMar>
            <w:vAlign w:val="center"/>
          </w:tcPr>
          <w:p w14:paraId="1E87304D" w14:textId="77777777" w:rsidR="001A4A67" w:rsidRPr="002A41D6" w:rsidRDefault="001A4A67" w:rsidP="000E6AC2">
            <w:pPr>
              <w:jc w:val="center"/>
              <w:rPr>
                <w:rFonts w:ascii="Arial" w:hAnsi="Arial" w:cs="Arial"/>
                <w:b/>
                <w:bCs/>
                <w:color w:val="212529"/>
                <w:sz w:val="22"/>
                <w:szCs w:val="22"/>
              </w:rPr>
            </w:pPr>
            <w:r w:rsidRPr="002A41D6">
              <w:rPr>
                <w:rFonts w:ascii="Arial" w:hAnsi="Arial" w:cs="Arial"/>
                <w:b/>
                <w:bCs/>
                <w:color w:val="212529"/>
                <w:sz w:val="22"/>
                <w:szCs w:val="22"/>
              </w:rPr>
              <w:t>Minimum</w:t>
            </w:r>
          </w:p>
        </w:tc>
        <w:tc>
          <w:tcPr>
            <w:tcW w:w="1432" w:type="dxa"/>
            <w:tcBorders>
              <w:top w:val="single" w:sz="4" w:space="0" w:color="auto"/>
              <w:bottom w:val="single" w:sz="4" w:space="0" w:color="auto"/>
            </w:tcBorders>
            <w:shd w:val="clear" w:color="auto" w:fill="FFFFFF"/>
            <w:vAlign w:val="center"/>
          </w:tcPr>
          <w:p w14:paraId="4354C700" w14:textId="77777777" w:rsidR="001A4A67" w:rsidRPr="002A41D6" w:rsidRDefault="001A4A67" w:rsidP="000E6AC2">
            <w:pPr>
              <w:jc w:val="center"/>
              <w:rPr>
                <w:rFonts w:ascii="Arial" w:hAnsi="Arial" w:cs="Arial"/>
                <w:b/>
                <w:bCs/>
                <w:color w:val="212529"/>
                <w:sz w:val="22"/>
                <w:szCs w:val="22"/>
              </w:rPr>
            </w:pPr>
            <w:r w:rsidRPr="002A41D6">
              <w:rPr>
                <w:rFonts w:ascii="Arial" w:hAnsi="Arial" w:cs="Arial"/>
                <w:b/>
                <w:bCs/>
                <w:color w:val="212529"/>
                <w:sz w:val="22"/>
                <w:szCs w:val="22"/>
              </w:rPr>
              <w:t>Maximum</w:t>
            </w:r>
          </w:p>
        </w:tc>
        <w:tc>
          <w:tcPr>
            <w:tcW w:w="1803" w:type="dxa"/>
            <w:vMerge/>
            <w:tcBorders>
              <w:bottom w:val="single" w:sz="4" w:space="0" w:color="auto"/>
            </w:tcBorders>
            <w:shd w:val="clear" w:color="auto" w:fill="FFFFFF"/>
            <w:tcMar>
              <w:top w:w="75" w:type="dxa"/>
              <w:left w:w="150" w:type="dxa"/>
              <w:bottom w:w="75" w:type="dxa"/>
              <w:right w:w="150" w:type="dxa"/>
            </w:tcMar>
            <w:vAlign w:val="center"/>
          </w:tcPr>
          <w:p w14:paraId="26631A5A" w14:textId="77777777" w:rsidR="001A4A67" w:rsidRPr="002A41D6" w:rsidRDefault="001A4A67" w:rsidP="000E6AC2">
            <w:pPr>
              <w:jc w:val="center"/>
              <w:rPr>
                <w:rFonts w:ascii="Arial" w:hAnsi="Arial" w:cs="Arial"/>
                <w:b/>
                <w:bCs/>
                <w:color w:val="212529"/>
                <w:sz w:val="22"/>
                <w:szCs w:val="22"/>
              </w:rPr>
            </w:pPr>
          </w:p>
        </w:tc>
      </w:tr>
      <w:tr w:rsidR="001A4A67" w:rsidRPr="002A41D6" w14:paraId="57D8CF29" w14:textId="77777777" w:rsidTr="007333FA">
        <w:trPr>
          <w:jc w:val="center"/>
        </w:trPr>
        <w:tc>
          <w:tcPr>
            <w:tcW w:w="1731" w:type="dxa"/>
            <w:tcBorders>
              <w:top w:val="single" w:sz="4" w:space="0" w:color="auto"/>
            </w:tcBorders>
            <w:shd w:val="clear" w:color="auto" w:fill="FFFFFF"/>
            <w:tcMar>
              <w:top w:w="75" w:type="dxa"/>
              <w:left w:w="150" w:type="dxa"/>
              <w:bottom w:w="75" w:type="dxa"/>
              <w:right w:w="150" w:type="dxa"/>
            </w:tcMar>
            <w:vAlign w:val="center"/>
            <w:hideMark/>
          </w:tcPr>
          <w:p w14:paraId="0CC64BFE"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Dust</w:t>
            </w:r>
          </w:p>
        </w:tc>
        <w:tc>
          <w:tcPr>
            <w:tcW w:w="1143" w:type="dxa"/>
            <w:tcBorders>
              <w:top w:val="single" w:sz="4" w:space="0" w:color="auto"/>
            </w:tcBorders>
            <w:shd w:val="clear" w:color="auto" w:fill="FFFFFF"/>
            <w:vAlign w:val="center"/>
          </w:tcPr>
          <w:p w14:paraId="2E5E0F6A" w14:textId="77777777" w:rsidR="001A4A67" w:rsidRPr="002A41D6" w:rsidRDefault="001A4A67" w:rsidP="007333FA">
            <w:pPr>
              <w:jc w:val="center"/>
              <w:rPr>
                <w:rFonts w:ascii="Arial" w:hAnsi="Arial" w:cs="Arial"/>
                <w:color w:val="212529"/>
                <w:sz w:val="22"/>
                <w:szCs w:val="22"/>
              </w:rPr>
            </w:pPr>
            <w:r>
              <w:rPr>
                <w:rFonts w:ascii="Arial" w:hAnsi="Arial" w:cs="Arial"/>
                <w:color w:val="212529"/>
                <w:sz w:val="22"/>
                <w:szCs w:val="22"/>
              </w:rPr>
              <w:t>126</w:t>
            </w:r>
          </w:p>
        </w:tc>
        <w:tc>
          <w:tcPr>
            <w:tcW w:w="586" w:type="dxa"/>
            <w:tcBorders>
              <w:top w:val="single" w:sz="4" w:space="0" w:color="auto"/>
            </w:tcBorders>
            <w:shd w:val="clear" w:color="auto" w:fill="FFFFFF"/>
          </w:tcPr>
          <w:p w14:paraId="69821B90" w14:textId="77777777" w:rsidR="001A4A67" w:rsidRPr="002A41D6" w:rsidRDefault="001A4A67" w:rsidP="000E6AC2">
            <w:pPr>
              <w:jc w:val="center"/>
              <w:rPr>
                <w:rFonts w:ascii="Arial" w:hAnsi="Arial" w:cs="Arial"/>
                <w:color w:val="212529"/>
                <w:sz w:val="22"/>
                <w:szCs w:val="22"/>
              </w:rPr>
            </w:pPr>
          </w:p>
        </w:tc>
        <w:tc>
          <w:tcPr>
            <w:tcW w:w="895" w:type="dxa"/>
            <w:tcBorders>
              <w:top w:val="single" w:sz="4" w:space="0" w:color="auto"/>
            </w:tcBorders>
            <w:shd w:val="clear" w:color="auto" w:fill="FFFFFF"/>
            <w:tcMar>
              <w:top w:w="75" w:type="dxa"/>
              <w:left w:w="150" w:type="dxa"/>
              <w:bottom w:w="75" w:type="dxa"/>
              <w:right w:w="150" w:type="dxa"/>
            </w:tcMar>
            <w:vAlign w:val="center"/>
            <w:hideMark/>
          </w:tcPr>
          <w:p w14:paraId="3F685D25"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2.87</w:t>
            </w:r>
          </w:p>
        </w:tc>
        <w:tc>
          <w:tcPr>
            <w:tcW w:w="1360" w:type="dxa"/>
            <w:tcBorders>
              <w:top w:val="single" w:sz="4" w:space="0" w:color="auto"/>
            </w:tcBorders>
            <w:shd w:val="clear" w:color="auto" w:fill="FFFFFF"/>
            <w:tcMar>
              <w:top w:w="75" w:type="dxa"/>
              <w:left w:w="150" w:type="dxa"/>
              <w:bottom w:w="75" w:type="dxa"/>
              <w:right w:w="150" w:type="dxa"/>
            </w:tcMar>
            <w:vAlign w:val="center"/>
            <w:hideMark/>
          </w:tcPr>
          <w:p w14:paraId="21CA3B9F"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0.88</w:t>
            </w:r>
          </w:p>
        </w:tc>
        <w:tc>
          <w:tcPr>
            <w:tcW w:w="1393" w:type="dxa"/>
            <w:tcBorders>
              <w:top w:val="single" w:sz="4" w:space="0" w:color="auto"/>
            </w:tcBorders>
            <w:shd w:val="clear" w:color="auto" w:fill="FFFFFF"/>
            <w:tcMar>
              <w:top w:w="75" w:type="dxa"/>
              <w:left w:w="150" w:type="dxa"/>
              <w:bottom w:w="75" w:type="dxa"/>
              <w:right w:w="150" w:type="dxa"/>
            </w:tcMar>
            <w:vAlign w:val="center"/>
            <w:hideMark/>
          </w:tcPr>
          <w:p w14:paraId="665DFACE"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1</w:t>
            </w:r>
          </w:p>
        </w:tc>
        <w:tc>
          <w:tcPr>
            <w:tcW w:w="1432" w:type="dxa"/>
            <w:tcBorders>
              <w:top w:val="single" w:sz="4" w:space="0" w:color="auto"/>
            </w:tcBorders>
            <w:shd w:val="clear" w:color="auto" w:fill="FFFFFF"/>
            <w:tcMar>
              <w:top w:w="75" w:type="dxa"/>
              <w:left w:w="150" w:type="dxa"/>
              <w:bottom w:w="75" w:type="dxa"/>
              <w:right w:w="150" w:type="dxa"/>
            </w:tcMar>
            <w:vAlign w:val="center"/>
            <w:hideMark/>
          </w:tcPr>
          <w:p w14:paraId="3E6BABF2"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5</w:t>
            </w:r>
          </w:p>
        </w:tc>
        <w:tc>
          <w:tcPr>
            <w:tcW w:w="1803" w:type="dxa"/>
            <w:tcBorders>
              <w:top w:val="single" w:sz="4" w:space="0" w:color="auto"/>
            </w:tcBorders>
            <w:shd w:val="clear" w:color="auto" w:fill="FFFFFF"/>
            <w:tcMar>
              <w:top w:w="75" w:type="dxa"/>
              <w:left w:w="150" w:type="dxa"/>
              <w:bottom w:w="75" w:type="dxa"/>
              <w:right w:w="150" w:type="dxa"/>
            </w:tcMar>
            <w:vAlign w:val="center"/>
            <w:hideMark/>
          </w:tcPr>
          <w:p w14:paraId="43B02719"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2.71 - 3.02</w:t>
            </w:r>
          </w:p>
        </w:tc>
      </w:tr>
      <w:tr w:rsidR="001A4A67" w:rsidRPr="002A41D6" w14:paraId="3237EE39" w14:textId="77777777" w:rsidTr="007333FA">
        <w:trPr>
          <w:jc w:val="center"/>
        </w:trPr>
        <w:tc>
          <w:tcPr>
            <w:tcW w:w="1731" w:type="dxa"/>
            <w:shd w:val="clear" w:color="auto" w:fill="FFFFFF"/>
            <w:tcMar>
              <w:top w:w="75" w:type="dxa"/>
              <w:left w:w="150" w:type="dxa"/>
              <w:bottom w:w="75" w:type="dxa"/>
              <w:right w:w="150" w:type="dxa"/>
            </w:tcMar>
            <w:vAlign w:val="center"/>
            <w:hideMark/>
          </w:tcPr>
          <w:p w14:paraId="33903302"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Spice</w:t>
            </w:r>
          </w:p>
        </w:tc>
        <w:tc>
          <w:tcPr>
            <w:tcW w:w="1143" w:type="dxa"/>
            <w:shd w:val="clear" w:color="auto" w:fill="FFFFFF"/>
            <w:vAlign w:val="center"/>
          </w:tcPr>
          <w:p w14:paraId="3E01A8C5" w14:textId="77777777" w:rsidR="001A4A67" w:rsidRPr="002A41D6" w:rsidRDefault="001A4A67" w:rsidP="007333FA">
            <w:pPr>
              <w:jc w:val="center"/>
              <w:rPr>
                <w:rFonts w:ascii="Arial" w:hAnsi="Arial" w:cs="Arial"/>
                <w:color w:val="212529"/>
                <w:sz w:val="22"/>
                <w:szCs w:val="22"/>
              </w:rPr>
            </w:pPr>
            <w:r>
              <w:rPr>
                <w:rFonts w:ascii="Arial" w:hAnsi="Arial" w:cs="Arial"/>
                <w:color w:val="212529"/>
                <w:sz w:val="22"/>
                <w:szCs w:val="22"/>
              </w:rPr>
              <w:t>63</w:t>
            </w:r>
          </w:p>
        </w:tc>
        <w:tc>
          <w:tcPr>
            <w:tcW w:w="586" w:type="dxa"/>
            <w:shd w:val="clear" w:color="auto" w:fill="FFFFFF"/>
          </w:tcPr>
          <w:p w14:paraId="60B46D9F" w14:textId="77777777" w:rsidR="001A4A67" w:rsidRPr="002A41D6" w:rsidRDefault="001A4A67" w:rsidP="000E6AC2">
            <w:pPr>
              <w:jc w:val="center"/>
              <w:rPr>
                <w:rFonts w:ascii="Arial" w:hAnsi="Arial" w:cs="Arial"/>
                <w:color w:val="212529"/>
                <w:sz w:val="22"/>
                <w:szCs w:val="22"/>
              </w:rPr>
            </w:pPr>
          </w:p>
        </w:tc>
        <w:tc>
          <w:tcPr>
            <w:tcW w:w="895" w:type="dxa"/>
            <w:shd w:val="clear" w:color="auto" w:fill="FFFFFF"/>
            <w:tcMar>
              <w:top w:w="75" w:type="dxa"/>
              <w:left w:w="150" w:type="dxa"/>
              <w:bottom w:w="75" w:type="dxa"/>
              <w:right w:w="150" w:type="dxa"/>
            </w:tcMar>
            <w:vAlign w:val="center"/>
            <w:hideMark/>
          </w:tcPr>
          <w:p w14:paraId="04DE67B9"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2.9</w:t>
            </w:r>
          </w:p>
        </w:tc>
        <w:tc>
          <w:tcPr>
            <w:tcW w:w="1360" w:type="dxa"/>
            <w:shd w:val="clear" w:color="auto" w:fill="FFFFFF"/>
            <w:tcMar>
              <w:top w:w="75" w:type="dxa"/>
              <w:left w:w="150" w:type="dxa"/>
              <w:bottom w:w="75" w:type="dxa"/>
              <w:right w:w="150" w:type="dxa"/>
            </w:tcMar>
            <w:vAlign w:val="center"/>
            <w:hideMark/>
          </w:tcPr>
          <w:p w14:paraId="633DDA74"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0.86</w:t>
            </w:r>
          </w:p>
        </w:tc>
        <w:tc>
          <w:tcPr>
            <w:tcW w:w="1393" w:type="dxa"/>
            <w:shd w:val="clear" w:color="auto" w:fill="FFFFFF"/>
            <w:tcMar>
              <w:top w:w="75" w:type="dxa"/>
              <w:left w:w="150" w:type="dxa"/>
              <w:bottom w:w="75" w:type="dxa"/>
              <w:right w:w="150" w:type="dxa"/>
            </w:tcMar>
            <w:vAlign w:val="center"/>
            <w:hideMark/>
          </w:tcPr>
          <w:p w14:paraId="56F28176"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1</w:t>
            </w:r>
          </w:p>
        </w:tc>
        <w:tc>
          <w:tcPr>
            <w:tcW w:w="1432" w:type="dxa"/>
            <w:shd w:val="clear" w:color="auto" w:fill="FFFFFF"/>
            <w:tcMar>
              <w:top w:w="75" w:type="dxa"/>
              <w:left w:w="150" w:type="dxa"/>
              <w:bottom w:w="75" w:type="dxa"/>
              <w:right w:w="150" w:type="dxa"/>
            </w:tcMar>
            <w:vAlign w:val="center"/>
            <w:hideMark/>
          </w:tcPr>
          <w:p w14:paraId="305D663B"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4</w:t>
            </w:r>
          </w:p>
        </w:tc>
        <w:tc>
          <w:tcPr>
            <w:tcW w:w="1803" w:type="dxa"/>
            <w:shd w:val="clear" w:color="auto" w:fill="FFFFFF"/>
            <w:tcMar>
              <w:top w:w="75" w:type="dxa"/>
              <w:left w:w="150" w:type="dxa"/>
              <w:bottom w:w="75" w:type="dxa"/>
              <w:right w:w="150" w:type="dxa"/>
            </w:tcMar>
            <w:vAlign w:val="center"/>
            <w:hideMark/>
          </w:tcPr>
          <w:p w14:paraId="0A27C186"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2.69 - 3.12</w:t>
            </w:r>
          </w:p>
        </w:tc>
      </w:tr>
      <w:tr w:rsidR="001A4A67" w:rsidRPr="002A41D6" w14:paraId="75149EBB" w14:textId="77777777" w:rsidTr="007333FA">
        <w:trPr>
          <w:jc w:val="center"/>
        </w:trPr>
        <w:tc>
          <w:tcPr>
            <w:tcW w:w="1731" w:type="dxa"/>
            <w:shd w:val="clear" w:color="auto" w:fill="FFFFFF"/>
            <w:tcMar>
              <w:top w:w="75" w:type="dxa"/>
              <w:left w:w="150" w:type="dxa"/>
              <w:bottom w:w="75" w:type="dxa"/>
              <w:right w:w="150" w:type="dxa"/>
            </w:tcMar>
            <w:vAlign w:val="center"/>
            <w:hideMark/>
          </w:tcPr>
          <w:p w14:paraId="26BAD18E"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Perfume</w:t>
            </w:r>
          </w:p>
        </w:tc>
        <w:tc>
          <w:tcPr>
            <w:tcW w:w="1143" w:type="dxa"/>
            <w:shd w:val="clear" w:color="auto" w:fill="FFFFFF"/>
            <w:vAlign w:val="center"/>
          </w:tcPr>
          <w:p w14:paraId="68060E0C" w14:textId="77777777" w:rsidR="001A4A67" w:rsidRPr="002A41D6" w:rsidRDefault="001A4A67" w:rsidP="007333FA">
            <w:pPr>
              <w:jc w:val="center"/>
              <w:rPr>
                <w:rFonts w:ascii="Arial" w:hAnsi="Arial" w:cs="Arial"/>
                <w:color w:val="212529"/>
                <w:sz w:val="22"/>
                <w:szCs w:val="22"/>
              </w:rPr>
            </w:pPr>
            <w:r>
              <w:rPr>
                <w:rFonts w:ascii="Arial" w:hAnsi="Arial" w:cs="Arial"/>
                <w:color w:val="212529"/>
                <w:sz w:val="22"/>
                <w:szCs w:val="22"/>
              </w:rPr>
              <w:t>56</w:t>
            </w:r>
          </w:p>
        </w:tc>
        <w:tc>
          <w:tcPr>
            <w:tcW w:w="586" w:type="dxa"/>
            <w:shd w:val="clear" w:color="auto" w:fill="FFFFFF"/>
          </w:tcPr>
          <w:p w14:paraId="4B55DDEA" w14:textId="77777777" w:rsidR="001A4A67" w:rsidRPr="002A41D6" w:rsidRDefault="001A4A67" w:rsidP="000E6AC2">
            <w:pPr>
              <w:jc w:val="center"/>
              <w:rPr>
                <w:rFonts w:ascii="Arial" w:hAnsi="Arial" w:cs="Arial"/>
                <w:color w:val="212529"/>
                <w:sz w:val="22"/>
                <w:szCs w:val="22"/>
              </w:rPr>
            </w:pPr>
          </w:p>
        </w:tc>
        <w:tc>
          <w:tcPr>
            <w:tcW w:w="895" w:type="dxa"/>
            <w:shd w:val="clear" w:color="auto" w:fill="FFFFFF"/>
            <w:tcMar>
              <w:top w:w="75" w:type="dxa"/>
              <w:left w:w="150" w:type="dxa"/>
              <w:bottom w:w="75" w:type="dxa"/>
              <w:right w:w="150" w:type="dxa"/>
            </w:tcMar>
            <w:vAlign w:val="center"/>
            <w:hideMark/>
          </w:tcPr>
          <w:p w14:paraId="382F4801"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3.04</w:t>
            </w:r>
          </w:p>
        </w:tc>
        <w:tc>
          <w:tcPr>
            <w:tcW w:w="1360" w:type="dxa"/>
            <w:shd w:val="clear" w:color="auto" w:fill="FFFFFF"/>
            <w:tcMar>
              <w:top w:w="75" w:type="dxa"/>
              <w:left w:w="150" w:type="dxa"/>
              <w:bottom w:w="75" w:type="dxa"/>
              <w:right w:w="150" w:type="dxa"/>
            </w:tcMar>
            <w:vAlign w:val="center"/>
            <w:hideMark/>
          </w:tcPr>
          <w:p w14:paraId="08EA1AB8"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1.04</w:t>
            </w:r>
          </w:p>
        </w:tc>
        <w:tc>
          <w:tcPr>
            <w:tcW w:w="1393" w:type="dxa"/>
            <w:shd w:val="clear" w:color="auto" w:fill="FFFFFF"/>
            <w:tcMar>
              <w:top w:w="75" w:type="dxa"/>
              <w:left w:w="150" w:type="dxa"/>
              <w:bottom w:w="75" w:type="dxa"/>
              <w:right w:w="150" w:type="dxa"/>
            </w:tcMar>
            <w:vAlign w:val="center"/>
            <w:hideMark/>
          </w:tcPr>
          <w:p w14:paraId="180FBBD8"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1</w:t>
            </w:r>
          </w:p>
        </w:tc>
        <w:tc>
          <w:tcPr>
            <w:tcW w:w="1432" w:type="dxa"/>
            <w:shd w:val="clear" w:color="auto" w:fill="FFFFFF"/>
            <w:tcMar>
              <w:top w:w="75" w:type="dxa"/>
              <w:left w:w="150" w:type="dxa"/>
              <w:bottom w:w="75" w:type="dxa"/>
              <w:right w:w="150" w:type="dxa"/>
            </w:tcMar>
            <w:vAlign w:val="center"/>
            <w:hideMark/>
          </w:tcPr>
          <w:p w14:paraId="2EA60D62"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4</w:t>
            </w:r>
          </w:p>
        </w:tc>
        <w:tc>
          <w:tcPr>
            <w:tcW w:w="1803" w:type="dxa"/>
            <w:shd w:val="clear" w:color="auto" w:fill="FFFFFF"/>
            <w:tcMar>
              <w:top w:w="75" w:type="dxa"/>
              <w:left w:w="150" w:type="dxa"/>
              <w:bottom w:w="75" w:type="dxa"/>
              <w:right w:w="150" w:type="dxa"/>
            </w:tcMar>
            <w:vAlign w:val="center"/>
            <w:hideMark/>
          </w:tcPr>
          <w:p w14:paraId="335C401E"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2.76 - 3.32</w:t>
            </w:r>
          </w:p>
        </w:tc>
      </w:tr>
      <w:tr w:rsidR="001A4A67" w:rsidRPr="002A41D6" w14:paraId="020CDE5E" w14:textId="77777777" w:rsidTr="007333FA">
        <w:trPr>
          <w:jc w:val="center"/>
        </w:trPr>
        <w:tc>
          <w:tcPr>
            <w:tcW w:w="1731" w:type="dxa"/>
            <w:shd w:val="clear" w:color="auto" w:fill="FFFFFF"/>
            <w:tcMar>
              <w:top w:w="75" w:type="dxa"/>
              <w:left w:w="150" w:type="dxa"/>
              <w:bottom w:w="75" w:type="dxa"/>
              <w:right w:w="150" w:type="dxa"/>
            </w:tcMar>
            <w:vAlign w:val="center"/>
            <w:hideMark/>
          </w:tcPr>
          <w:p w14:paraId="331A51FD"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Pollen</w:t>
            </w:r>
          </w:p>
        </w:tc>
        <w:tc>
          <w:tcPr>
            <w:tcW w:w="1143" w:type="dxa"/>
            <w:shd w:val="clear" w:color="auto" w:fill="FFFFFF"/>
            <w:vAlign w:val="center"/>
          </w:tcPr>
          <w:p w14:paraId="13C81986" w14:textId="77777777" w:rsidR="001A4A67" w:rsidRPr="002A41D6" w:rsidRDefault="001A4A67" w:rsidP="007333FA">
            <w:pPr>
              <w:jc w:val="center"/>
              <w:rPr>
                <w:rFonts w:ascii="Arial" w:hAnsi="Arial" w:cs="Arial"/>
                <w:color w:val="212529"/>
                <w:sz w:val="22"/>
                <w:szCs w:val="22"/>
              </w:rPr>
            </w:pPr>
            <w:r>
              <w:rPr>
                <w:rFonts w:ascii="Arial" w:hAnsi="Arial" w:cs="Arial"/>
                <w:color w:val="212529"/>
                <w:sz w:val="22"/>
                <w:szCs w:val="22"/>
              </w:rPr>
              <w:t>49</w:t>
            </w:r>
          </w:p>
        </w:tc>
        <w:tc>
          <w:tcPr>
            <w:tcW w:w="586" w:type="dxa"/>
            <w:shd w:val="clear" w:color="auto" w:fill="FFFFFF"/>
          </w:tcPr>
          <w:p w14:paraId="7E87EF82" w14:textId="77777777" w:rsidR="001A4A67" w:rsidRPr="002A41D6" w:rsidRDefault="001A4A67" w:rsidP="000E6AC2">
            <w:pPr>
              <w:jc w:val="center"/>
              <w:rPr>
                <w:rFonts w:ascii="Arial" w:hAnsi="Arial" w:cs="Arial"/>
                <w:color w:val="212529"/>
                <w:sz w:val="22"/>
                <w:szCs w:val="22"/>
              </w:rPr>
            </w:pPr>
          </w:p>
        </w:tc>
        <w:tc>
          <w:tcPr>
            <w:tcW w:w="895" w:type="dxa"/>
            <w:shd w:val="clear" w:color="auto" w:fill="FFFFFF"/>
            <w:tcMar>
              <w:top w:w="75" w:type="dxa"/>
              <w:left w:w="150" w:type="dxa"/>
              <w:bottom w:w="75" w:type="dxa"/>
              <w:right w:w="150" w:type="dxa"/>
            </w:tcMar>
            <w:vAlign w:val="center"/>
            <w:hideMark/>
          </w:tcPr>
          <w:p w14:paraId="3FFC5985"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2.78</w:t>
            </w:r>
          </w:p>
        </w:tc>
        <w:tc>
          <w:tcPr>
            <w:tcW w:w="1360" w:type="dxa"/>
            <w:shd w:val="clear" w:color="auto" w:fill="FFFFFF"/>
            <w:tcMar>
              <w:top w:w="75" w:type="dxa"/>
              <w:left w:w="150" w:type="dxa"/>
              <w:bottom w:w="75" w:type="dxa"/>
              <w:right w:w="150" w:type="dxa"/>
            </w:tcMar>
            <w:vAlign w:val="center"/>
            <w:hideMark/>
          </w:tcPr>
          <w:p w14:paraId="4F031091"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0.8</w:t>
            </w:r>
          </w:p>
        </w:tc>
        <w:tc>
          <w:tcPr>
            <w:tcW w:w="1393" w:type="dxa"/>
            <w:shd w:val="clear" w:color="auto" w:fill="FFFFFF"/>
            <w:tcMar>
              <w:top w:w="75" w:type="dxa"/>
              <w:left w:w="150" w:type="dxa"/>
              <w:bottom w:w="75" w:type="dxa"/>
              <w:right w:w="150" w:type="dxa"/>
            </w:tcMar>
            <w:vAlign w:val="center"/>
            <w:hideMark/>
          </w:tcPr>
          <w:p w14:paraId="439F6EEE"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1</w:t>
            </w:r>
          </w:p>
        </w:tc>
        <w:tc>
          <w:tcPr>
            <w:tcW w:w="1432" w:type="dxa"/>
            <w:shd w:val="clear" w:color="auto" w:fill="FFFFFF"/>
            <w:tcMar>
              <w:top w:w="75" w:type="dxa"/>
              <w:left w:w="150" w:type="dxa"/>
              <w:bottom w:w="75" w:type="dxa"/>
              <w:right w:w="150" w:type="dxa"/>
            </w:tcMar>
            <w:vAlign w:val="center"/>
            <w:hideMark/>
          </w:tcPr>
          <w:p w14:paraId="566F7BA6"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5</w:t>
            </w:r>
          </w:p>
        </w:tc>
        <w:tc>
          <w:tcPr>
            <w:tcW w:w="1803" w:type="dxa"/>
            <w:shd w:val="clear" w:color="auto" w:fill="FFFFFF"/>
            <w:tcMar>
              <w:top w:w="75" w:type="dxa"/>
              <w:left w:w="150" w:type="dxa"/>
              <w:bottom w:w="75" w:type="dxa"/>
              <w:right w:w="150" w:type="dxa"/>
            </w:tcMar>
            <w:vAlign w:val="center"/>
            <w:hideMark/>
          </w:tcPr>
          <w:p w14:paraId="0DE76B52"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2.55 - 3</w:t>
            </w:r>
          </w:p>
        </w:tc>
      </w:tr>
      <w:tr w:rsidR="001A4A67" w:rsidRPr="002A41D6" w14:paraId="25070E9C" w14:textId="77777777" w:rsidTr="007333FA">
        <w:trPr>
          <w:jc w:val="center"/>
        </w:trPr>
        <w:tc>
          <w:tcPr>
            <w:tcW w:w="1731" w:type="dxa"/>
            <w:shd w:val="clear" w:color="auto" w:fill="FFFFFF"/>
            <w:tcMar>
              <w:top w:w="75" w:type="dxa"/>
              <w:left w:w="150" w:type="dxa"/>
              <w:bottom w:w="75" w:type="dxa"/>
              <w:right w:w="150" w:type="dxa"/>
            </w:tcMar>
            <w:vAlign w:val="center"/>
            <w:hideMark/>
          </w:tcPr>
          <w:p w14:paraId="42BB6AC1"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Cleaning products</w:t>
            </w:r>
          </w:p>
        </w:tc>
        <w:tc>
          <w:tcPr>
            <w:tcW w:w="1143" w:type="dxa"/>
            <w:shd w:val="clear" w:color="auto" w:fill="FFFFFF"/>
            <w:vAlign w:val="center"/>
          </w:tcPr>
          <w:p w14:paraId="2AFB4735" w14:textId="77777777" w:rsidR="001A4A67" w:rsidRPr="002A41D6" w:rsidRDefault="001A4A67" w:rsidP="007333FA">
            <w:pPr>
              <w:jc w:val="center"/>
              <w:rPr>
                <w:rFonts w:ascii="Arial" w:hAnsi="Arial" w:cs="Arial"/>
                <w:color w:val="212529"/>
                <w:sz w:val="22"/>
                <w:szCs w:val="22"/>
              </w:rPr>
            </w:pPr>
            <w:r>
              <w:rPr>
                <w:rFonts w:ascii="Arial" w:hAnsi="Arial" w:cs="Arial"/>
                <w:color w:val="212529"/>
                <w:sz w:val="22"/>
                <w:szCs w:val="22"/>
              </w:rPr>
              <w:t>47</w:t>
            </w:r>
          </w:p>
        </w:tc>
        <w:tc>
          <w:tcPr>
            <w:tcW w:w="586" w:type="dxa"/>
            <w:shd w:val="clear" w:color="auto" w:fill="FFFFFF"/>
          </w:tcPr>
          <w:p w14:paraId="04E7859D" w14:textId="77777777" w:rsidR="001A4A67" w:rsidRPr="002A41D6" w:rsidRDefault="001A4A67" w:rsidP="000E6AC2">
            <w:pPr>
              <w:jc w:val="center"/>
              <w:rPr>
                <w:rFonts w:ascii="Arial" w:hAnsi="Arial" w:cs="Arial"/>
                <w:color w:val="212529"/>
                <w:sz w:val="22"/>
                <w:szCs w:val="22"/>
              </w:rPr>
            </w:pPr>
          </w:p>
        </w:tc>
        <w:tc>
          <w:tcPr>
            <w:tcW w:w="895" w:type="dxa"/>
            <w:shd w:val="clear" w:color="auto" w:fill="FFFFFF"/>
            <w:tcMar>
              <w:top w:w="75" w:type="dxa"/>
              <w:left w:w="150" w:type="dxa"/>
              <w:bottom w:w="75" w:type="dxa"/>
              <w:right w:w="150" w:type="dxa"/>
            </w:tcMar>
            <w:vAlign w:val="center"/>
            <w:hideMark/>
          </w:tcPr>
          <w:p w14:paraId="40FD84D8"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3.11</w:t>
            </w:r>
          </w:p>
        </w:tc>
        <w:tc>
          <w:tcPr>
            <w:tcW w:w="1360" w:type="dxa"/>
            <w:shd w:val="clear" w:color="auto" w:fill="FFFFFF"/>
            <w:tcMar>
              <w:top w:w="75" w:type="dxa"/>
              <w:left w:w="150" w:type="dxa"/>
              <w:bottom w:w="75" w:type="dxa"/>
              <w:right w:w="150" w:type="dxa"/>
            </w:tcMar>
            <w:vAlign w:val="center"/>
            <w:hideMark/>
          </w:tcPr>
          <w:p w14:paraId="58DE1DC5"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0.56</w:t>
            </w:r>
          </w:p>
        </w:tc>
        <w:tc>
          <w:tcPr>
            <w:tcW w:w="1393" w:type="dxa"/>
            <w:shd w:val="clear" w:color="auto" w:fill="FFFFFF"/>
            <w:tcMar>
              <w:top w:w="75" w:type="dxa"/>
              <w:left w:w="150" w:type="dxa"/>
              <w:bottom w:w="75" w:type="dxa"/>
              <w:right w:w="150" w:type="dxa"/>
            </w:tcMar>
            <w:vAlign w:val="center"/>
            <w:hideMark/>
          </w:tcPr>
          <w:p w14:paraId="5C28FD75"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w:t>
            </w:r>
          </w:p>
        </w:tc>
        <w:tc>
          <w:tcPr>
            <w:tcW w:w="1432" w:type="dxa"/>
            <w:shd w:val="clear" w:color="auto" w:fill="FFFFFF"/>
            <w:tcMar>
              <w:top w:w="75" w:type="dxa"/>
              <w:left w:w="150" w:type="dxa"/>
              <w:bottom w:w="75" w:type="dxa"/>
              <w:right w:w="150" w:type="dxa"/>
            </w:tcMar>
            <w:vAlign w:val="center"/>
            <w:hideMark/>
          </w:tcPr>
          <w:p w14:paraId="2B906B1D"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4</w:t>
            </w:r>
          </w:p>
        </w:tc>
        <w:tc>
          <w:tcPr>
            <w:tcW w:w="1803" w:type="dxa"/>
            <w:shd w:val="clear" w:color="auto" w:fill="FFFFFF"/>
            <w:tcMar>
              <w:top w:w="75" w:type="dxa"/>
              <w:left w:w="150" w:type="dxa"/>
              <w:bottom w:w="75" w:type="dxa"/>
              <w:right w:w="150" w:type="dxa"/>
            </w:tcMar>
            <w:vAlign w:val="center"/>
            <w:hideMark/>
          </w:tcPr>
          <w:p w14:paraId="5E6A09CE"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2.94 - 3.27</w:t>
            </w:r>
          </w:p>
        </w:tc>
      </w:tr>
      <w:tr w:rsidR="001A4A67" w:rsidRPr="002A41D6" w14:paraId="3E606D97" w14:textId="77777777" w:rsidTr="007333FA">
        <w:trPr>
          <w:jc w:val="center"/>
        </w:trPr>
        <w:tc>
          <w:tcPr>
            <w:tcW w:w="1731" w:type="dxa"/>
            <w:shd w:val="clear" w:color="auto" w:fill="FFFFFF"/>
            <w:tcMar>
              <w:top w:w="75" w:type="dxa"/>
              <w:left w:w="150" w:type="dxa"/>
              <w:bottom w:w="75" w:type="dxa"/>
              <w:right w:w="150" w:type="dxa"/>
            </w:tcMar>
            <w:vAlign w:val="center"/>
            <w:hideMark/>
          </w:tcPr>
          <w:p w14:paraId="1AC84A4B"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Fruits</w:t>
            </w:r>
          </w:p>
        </w:tc>
        <w:tc>
          <w:tcPr>
            <w:tcW w:w="1143" w:type="dxa"/>
            <w:shd w:val="clear" w:color="auto" w:fill="FFFFFF"/>
            <w:vAlign w:val="center"/>
          </w:tcPr>
          <w:p w14:paraId="10D6EE00" w14:textId="77777777" w:rsidR="001A4A67" w:rsidRPr="002A41D6" w:rsidRDefault="001A4A67" w:rsidP="007333FA">
            <w:pPr>
              <w:jc w:val="center"/>
              <w:rPr>
                <w:rFonts w:ascii="Arial" w:hAnsi="Arial" w:cs="Arial"/>
                <w:color w:val="212529"/>
                <w:sz w:val="22"/>
                <w:szCs w:val="22"/>
              </w:rPr>
            </w:pPr>
            <w:r>
              <w:rPr>
                <w:rFonts w:ascii="Arial" w:hAnsi="Arial" w:cs="Arial"/>
                <w:color w:val="212529"/>
                <w:sz w:val="22"/>
                <w:szCs w:val="22"/>
              </w:rPr>
              <w:t>38</w:t>
            </w:r>
          </w:p>
        </w:tc>
        <w:tc>
          <w:tcPr>
            <w:tcW w:w="586" w:type="dxa"/>
            <w:shd w:val="clear" w:color="auto" w:fill="FFFFFF"/>
          </w:tcPr>
          <w:p w14:paraId="207525CE" w14:textId="77777777" w:rsidR="001A4A67" w:rsidRPr="002A41D6" w:rsidRDefault="001A4A67" w:rsidP="000E6AC2">
            <w:pPr>
              <w:jc w:val="center"/>
              <w:rPr>
                <w:rFonts w:ascii="Arial" w:hAnsi="Arial" w:cs="Arial"/>
                <w:color w:val="212529"/>
                <w:sz w:val="22"/>
                <w:szCs w:val="22"/>
              </w:rPr>
            </w:pPr>
          </w:p>
        </w:tc>
        <w:tc>
          <w:tcPr>
            <w:tcW w:w="895" w:type="dxa"/>
            <w:shd w:val="clear" w:color="auto" w:fill="FFFFFF"/>
            <w:tcMar>
              <w:top w:w="75" w:type="dxa"/>
              <w:left w:w="150" w:type="dxa"/>
              <w:bottom w:w="75" w:type="dxa"/>
              <w:right w:w="150" w:type="dxa"/>
            </w:tcMar>
            <w:vAlign w:val="center"/>
            <w:hideMark/>
          </w:tcPr>
          <w:p w14:paraId="49382554"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3.34</w:t>
            </w:r>
          </w:p>
        </w:tc>
        <w:tc>
          <w:tcPr>
            <w:tcW w:w="1360" w:type="dxa"/>
            <w:shd w:val="clear" w:color="auto" w:fill="FFFFFF"/>
            <w:tcMar>
              <w:top w:w="75" w:type="dxa"/>
              <w:left w:w="150" w:type="dxa"/>
              <w:bottom w:w="75" w:type="dxa"/>
              <w:right w:w="150" w:type="dxa"/>
            </w:tcMar>
            <w:vAlign w:val="center"/>
            <w:hideMark/>
          </w:tcPr>
          <w:p w14:paraId="09FCEB06"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0.78</w:t>
            </w:r>
          </w:p>
        </w:tc>
        <w:tc>
          <w:tcPr>
            <w:tcW w:w="1393" w:type="dxa"/>
            <w:shd w:val="clear" w:color="auto" w:fill="FFFFFF"/>
            <w:tcMar>
              <w:top w:w="75" w:type="dxa"/>
              <w:left w:w="150" w:type="dxa"/>
              <w:bottom w:w="75" w:type="dxa"/>
              <w:right w:w="150" w:type="dxa"/>
            </w:tcMar>
            <w:vAlign w:val="center"/>
            <w:hideMark/>
          </w:tcPr>
          <w:p w14:paraId="46D1010C"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w:t>
            </w:r>
          </w:p>
        </w:tc>
        <w:tc>
          <w:tcPr>
            <w:tcW w:w="1432" w:type="dxa"/>
            <w:shd w:val="clear" w:color="auto" w:fill="FFFFFF"/>
            <w:tcMar>
              <w:top w:w="75" w:type="dxa"/>
              <w:left w:w="150" w:type="dxa"/>
              <w:bottom w:w="75" w:type="dxa"/>
              <w:right w:w="150" w:type="dxa"/>
            </w:tcMar>
            <w:vAlign w:val="center"/>
            <w:hideMark/>
          </w:tcPr>
          <w:p w14:paraId="5B220838"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5</w:t>
            </w:r>
          </w:p>
        </w:tc>
        <w:tc>
          <w:tcPr>
            <w:tcW w:w="1803" w:type="dxa"/>
            <w:shd w:val="clear" w:color="auto" w:fill="FFFFFF"/>
            <w:tcMar>
              <w:top w:w="75" w:type="dxa"/>
              <w:left w:w="150" w:type="dxa"/>
              <w:bottom w:w="75" w:type="dxa"/>
              <w:right w:w="150" w:type="dxa"/>
            </w:tcMar>
            <w:vAlign w:val="center"/>
            <w:hideMark/>
          </w:tcPr>
          <w:p w14:paraId="43A22489"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3.09 - 3.6</w:t>
            </w:r>
          </w:p>
        </w:tc>
      </w:tr>
      <w:tr w:rsidR="001A4A67" w:rsidRPr="002A41D6" w14:paraId="6AE1EAFA" w14:textId="77777777" w:rsidTr="007333FA">
        <w:trPr>
          <w:jc w:val="center"/>
        </w:trPr>
        <w:tc>
          <w:tcPr>
            <w:tcW w:w="1731" w:type="dxa"/>
            <w:shd w:val="clear" w:color="auto" w:fill="FFFFFF"/>
            <w:tcMar>
              <w:top w:w="75" w:type="dxa"/>
              <w:left w:w="150" w:type="dxa"/>
              <w:bottom w:w="75" w:type="dxa"/>
              <w:right w:w="150" w:type="dxa"/>
            </w:tcMar>
            <w:vAlign w:val="center"/>
            <w:hideMark/>
          </w:tcPr>
          <w:p w14:paraId="1459212F"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Penicillin</w:t>
            </w:r>
          </w:p>
        </w:tc>
        <w:tc>
          <w:tcPr>
            <w:tcW w:w="1143" w:type="dxa"/>
            <w:shd w:val="clear" w:color="auto" w:fill="FFFFFF"/>
            <w:vAlign w:val="center"/>
          </w:tcPr>
          <w:p w14:paraId="3A5ACE0F" w14:textId="77777777" w:rsidR="001A4A67" w:rsidRPr="002A41D6" w:rsidRDefault="001A4A67" w:rsidP="007333FA">
            <w:pPr>
              <w:jc w:val="center"/>
              <w:rPr>
                <w:rFonts w:ascii="Arial" w:hAnsi="Arial" w:cs="Arial"/>
                <w:color w:val="212529"/>
                <w:sz w:val="22"/>
                <w:szCs w:val="22"/>
              </w:rPr>
            </w:pPr>
            <w:r>
              <w:rPr>
                <w:rFonts w:ascii="Arial" w:hAnsi="Arial" w:cs="Arial"/>
                <w:color w:val="212529"/>
                <w:sz w:val="22"/>
                <w:szCs w:val="22"/>
              </w:rPr>
              <w:t>17</w:t>
            </w:r>
          </w:p>
        </w:tc>
        <w:tc>
          <w:tcPr>
            <w:tcW w:w="586" w:type="dxa"/>
            <w:shd w:val="clear" w:color="auto" w:fill="FFFFFF"/>
          </w:tcPr>
          <w:p w14:paraId="489FE1F3" w14:textId="77777777" w:rsidR="001A4A67" w:rsidRPr="002A41D6" w:rsidRDefault="001A4A67" w:rsidP="000E6AC2">
            <w:pPr>
              <w:jc w:val="center"/>
              <w:rPr>
                <w:rFonts w:ascii="Arial" w:hAnsi="Arial" w:cs="Arial"/>
                <w:color w:val="212529"/>
                <w:sz w:val="22"/>
                <w:szCs w:val="22"/>
              </w:rPr>
            </w:pPr>
          </w:p>
        </w:tc>
        <w:tc>
          <w:tcPr>
            <w:tcW w:w="895" w:type="dxa"/>
            <w:shd w:val="clear" w:color="auto" w:fill="FFFFFF"/>
            <w:tcMar>
              <w:top w:w="75" w:type="dxa"/>
              <w:left w:w="150" w:type="dxa"/>
              <w:bottom w:w="75" w:type="dxa"/>
              <w:right w:w="150" w:type="dxa"/>
            </w:tcMar>
            <w:vAlign w:val="center"/>
            <w:hideMark/>
          </w:tcPr>
          <w:p w14:paraId="38AC1293"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3</w:t>
            </w:r>
          </w:p>
        </w:tc>
        <w:tc>
          <w:tcPr>
            <w:tcW w:w="1360" w:type="dxa"/>
            <w:shd w:val="clear" w:color="auto" w:fill="FFFFFF"/>
            <w:tcMar>
              <w:top w:w="75" w:type="dxa"/>
              <w:left w:w="150" w:type="dxa"/>
              <w:bottom w:w="75" w:type="dxa"/>
              <w:right w:w="150" w:type="dxa"/>
            </w:tcMar>
            <w:vAlign w:val="center"/>
            <w:hideMark/>
          </w:tcPr>
          <w:p w14:paraId="3C516F70"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0.87</w:t>
            </w:r>
          </w:p>
        </w:tc>
        <w:tc>
          <w:tcPr>
            <w:tcW w:w="1393" w:type="dxa"/>
            <w:shd w:val="clear" w:color="auto" w:fill="FFFFFF"/>
            <w:tcMar>
              <w:top w:w="75" w:type="dxa"/>
              <w:left w:w="150" w:type="dxa"/>
              <w:bottom w:w="75" w:type="dxa"/>
              <w:right w:w="150" w:type="dxa"/>
            </w:tcMar>
            <w:vAlign w:val="center"/>
            <w:hideMark/>
          </w:tcPr>
          <w:p w14:paraId="1B2CF3F5"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w:t>
            </w:r>
          </w:p>
        </w:tc>
        <w:tc>
          <w:tcPr>
            <w:tcW w:w="1432" w:type="dxa"/>
            <w:shd w:val="clear" w:color="auto" w:fill="FFFFFF"/>
            <w:tcMar>
              <w:top w:w="75" w:type="dxa"/>
              <w:left w:w="150" w:type="dxa"/>
              <w:bottom w:w="75" w:type="dxa"/>
              <w:right w:w="150" w:type="dxa"/>
            </w:tcMar>
            <w:vAlign w:val="center"/>
            <w:hideMark/>
          </w:tcPr>
          <w:p w14:paraId="2697B06F"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4</w:t>
            </w:r>
          </w:p>
        </w:tc>
        <w:tc>
          <w:tcPr>
            <w:tcW w:w="1803" w:type="dxa"/>
            <w:shd w:val="clear" w:color="auto" w:fill="FFFFFF"/>
            <w:tcMar>
              <w:top w:w="75" w:type="dxa"/>
              <w:left w:w="150" w:type="dxa"/>
              <w:bottom w:w="75" w:type="dxa"/>
              <w:right w:w="150" w:type="dxa"/>
            </w:tcMar>
            <w:vAlign w:val="center"/>
            <w:hideMark/>
          </w:tcPr>
          <w:p w14:paraId="24584F2B"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2.55 - 3.45</w:t>
            </w:r>
          </w:p>
        </w:tc>
      </w:tr>
      <w:tr w:rsidR="001A4A67" w:rsidRPr="002A41D6" w14:paraId="2AFB98B7" w14:textId="77777777" w:rsidTr="007333FA">
        <w:trPr>
          <w:jc w:val="center"/>
        </w:trPr>
        <w:tc>
          <w:tcPr>
            <w:tcW w:w="1731" w:type="dxa"/>
            <w:tcBorders>
              <w:bottom w:val="single" w:sz="4" w:space="0" w:color="auto"/>
            </w:tcBorders>
            <w:shd w:val="clear" w:color="auto" w:fill="FFFFFF"/>
            <w:tcMar>
              <w:top w:w="75" w:type="dxa"/>
              <w:left w:w="150" w:type="dxa"/>
              <w:bottom w:w="75" w:type="dxa"/>
              <w:right w:w="150" w:type="dxa"/>
            </w:tcMar>
            <w:vAlign w:val="center"/>
            <w:hideMark/>
          </w:tcPr>
          <w:p w14:paraId="78006829"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Gluten</w:t>
            </w:r>
          </w:p>
        </w:tc>
        <w:tc>
          <w:tcPr>
            <w:tcW w:w="1143" w:type="dxa"/>
            <w:tcBorders>
              <w:bottom w:val="single" w:sz="4" w:space="0" w:color="auto"/>
            </w:tcBorders>
            <w:shd w:val="clear" w:color="auto" w:fill="FFFFFF"/>
            <w:vAlign w:val="center"/>
          </w:tcPr>
          <w:p w14:paraId="42A8E9F3" w14:textId="77777777" w:rsidR="001A4A67" w:rsidRPr="002A41D6" w:rsidRDefault="001A4A67" w:rsidP="007333FA">
            <w:pPr>
              <w:jc w:val="center"/>
              <w:rPr>
                <w:rFonts w:ascii="Arial" w:hAnsi="Arial" w:cs="Arial"/>
                <w:color w:val="212529"/>
                <w:sz w:val="22"/>
                <w:szCs w:val="22"/>
              </w:rPr>
            </w:pPr>
            <w:r>
              <w:rPr>
                <w:rFonts w:ascii="Arial" w:hAnsi="Arial" w:cs="Arial"/>
                <w:color w:val="212529"/>
                <w:sz w:val="22"/>
                <w:szCs w:val="22"/>
              </w:rPr>
              <w:t>14</w:t>
            </w:r>
          </w:p>
        </w:tc>
        <w:tc>
          <w:tcPr>
            <w:tcW w:w="586" w:type="dxa"/>
            <w:tcBorders>
              <w:bottom w:val="single" w:sz="4" w:space="0" w:color="auto"/>
            </w:tcBorders>
            <w:shd w:val="clear" w:color="auto" w:fill="FFFFFF"/>
          </w:tcPr>
          <w:p w14:paraId="6523EF42" w14:textId="77777777" w:rsidR="001A4A67" w:rsidRPr="002A41D6" w:rsidRDefault="001A4A67" w:rsidP="000E6AC2">
            <w:pPr>
              <w:jc w:val="center"/>
              <w:rPr>
                <w:rFonts w:ascii="Arial" w:hAnsi="Arial" w:cs="Arial"/>
                <w:color w:val="212529"/>
                <w:sz w:val="22"/>
                <w:szCs w:val="22"/>
              </w:rPr>
            </w:pPr>
          </w:p>
        </w:tc>
        <w:tc>
          <w:tcPr>
            <w:tcW w:w="895" w:type="dxa"/>
            <w:tcBorders>
              <w:bottom w:val="single" w:sz="4" w:space="0" w:color="auto"/>
            </w:tcBorders>
            <w:shd w:val="clear" w:color="auto" w:fill="FFFFFF"/>
            <w:tcMar>
              <w:top w:w="75" w:type="dxa"/>
              <w:left w:w="150" w:type="dxa"/>
              <w:bottom w:w="75" w:type="dxa"/>
              <w:right w:w="150" w:type="dxa"/>
            </w:tcMar>
            <w:vAlign w:val="center"/>
            <w:hideMark/>
          </w:tcPr>
          <w:p w14:paraId="2E9EAAF8"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4.07</w:t>
            </w:r>
          </w:p>
        </w:tc>
        <w:tc>
          <w:tcPr>
            <w:tcW w:w="1360" w:type="dxa"/>
            <w:tcBorders>
              <w:bottom w:val="single" w:sz="4" w:space="0" w:color="auto"/>
            </w:tcBorders>
            <w:shd w:val="clear" w:color="auto" w:fill="FFFFFF"/>
            <w:tcMar>
              <w:top w:w="75" w:type="dxa"/>
              <w:left w:w="150" w:type="dxa"/>
              <w:bottom w:w="75" w:type="dxa"/>
              <w:right w:w="150" w:type="dxa"/>
            </w:tcMar>
            <w:vAlign w:val="center"/>
            <w:hideMark/>
          </w:tcPr>
          <w:p w14:paraId="1811A677"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0.83</w:t>
            </w:r>
          </w:p>
        </w:tc>
        <w:tc>
          <w:tcPr>
            <w:tcW w:w="1393" w:type="dxa"/>
            <w:tcBorders>
              <w:bottom w:val="single" w:sz="4" w:space="0" w:color="auto"/>
            </w:tcBorders>
            <w:shd w:val="clear" w:color="auto" w:fill="FFFFFF"/>
            <w:tcMar>
              <w:top w:w="75" w:type="dxa"/>
              <w:left w:w="150" w:type="dxa"/>
              <w:bottom w:w="75" w:type="dxa"/>
              <w:right w:w="150" w:type="dxa"/>
            </w:tcMar>
            <w:vAlign w:val="center"/>
            <w:hideMark/>
          </w:tcPr>
          <w:p w14:paraId="782BE9CF"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3</w:t>
            </w:r>
          </w:p>
        </w:tc>
        <w:tc>
          <w:tcPr>
            <w:tcW w:w="1432" w:type="dxa"/>
            <w:tcBorders>
              <w:bottom w:val="single" w:sz="4" w:space="0" w:color="auto"/>
            </w:tcBorders>
            <w:shd w:val="clear" w:color="auto" w:fill="FFFFFF"/>
            <w:tcMar>
              <w:top w:w="75" w:type="dxa"/>
              <w:left w:w="150" w:type="dxa"/>
              <w:bottom w:w="75" w:type="dxa"/>
              <w:right w:w="150" w:type="dxa"/>
            </w:tcMar>
            <w:vAlign w:val="center"/>
            <w:hideMark/>
          </w:tcPr>
          <w:p w14:paraId="47B5AE73"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5</w:t>
            </w:r>
          </w:p>
        </w:tc>
        <w:tc>
          <w:tcPr>
            <w:tcW w:w="1803" w:type="dxa"/>
            <w:tcBorders>
              <w:bottom w:val="single" w:sz="4" w:space="0" w:color="auto"/>
            </w:tcBorders>
            <w:shd w:val="clear" w:color="auto" w:fill="FFFFFF"/>
            <w:tcMar>
              <w:top w:w="75" w:type="dxa"/>
              <w:left w:w="150" w:type="dxa"/>
              <w:bottom w:w="75" w:type="dxa"/>
              <w:right w:w="150" w:type="dxa"/>
            </w:tcMar>
            <w:vAlign w:val="center"/>
            <w:hideMark/>
          </w:tcPr>
          <w:p w14:paraId="1FF23C2F"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3.59 - 4.55</w:t>
            </w:r>
          </w:p>
        </w:tc>
      </w:tr>
    </w:tbl>
    <w:p w14:paraId="07E5136C" w14:textId="77777777" w:rsidR="0013405D" w:rsidRPr="002A41D6" w:rsidRDefault="0013405D" w:rsidP="0013405D">
      <w:pPr>
        <w:spacing w:line="480" w:lineRule="auto"/>
        <w:jc w:val="both"/>
        <w:rPr>
          <w:rFonts w:ascii="Arial" w:hAnsi="Arial" w:cs="Arial"/>
          <w:b/>
          <w:bCs/>
          <w:color w:val="000000" w:themeColor="text1"/>
          <w:sz w:val="22"/>
          <w:szCs w:val="22"/>
        </w:rPr>
      </w:pPr>
    </w:p>
    <w:p w14:paraId="7A26CD27" w14:textId="59197407" w:rsidR="0013405D" w:rsidRPr="00CE0262" w:rsidRDefault="0013405D" w:rsidP="0013405D">
      <w:pPr>
        <w:spacing w:line="480" w:lineRule="auto"/>
        <w:jc w:val="both"/>
        <w:rPr>
          <w:rFonts w:ascii="Arial" w:hAnsi="Arial" w:cs="Arial"/>
          <w:b/>
          <w:bCs/>
          <w:color w:val="000000" w:themeColor="text1"/>
        </w:rPr>
      </w:pPr>
      <w:r w:rsidRPr="00CE0262">
        <w:rPr>
          <w:rFonts w:ascii="Arial" w:hAnsi="Arial" w:cs="Arial"/>
          <w:b/>
          <w:bCs/>
          <w:color w:val="000000" w:themeColor="text1"/>
        </w:rPr>
        <w:t>Psychological Impact</w:t>
      </w:r>
    </w:p>
    <w:p w14:paraId="3D9956D7" w14:textId="02D3EC29" w:rsidR="0013405D" w:rsidRPr="00CE0262" w:rsidRDefault="0013405D" w:rsidP="0013405D">
      <w:pPr>
        <w:spacing w:line="480" w:lineRule="auto"/>
        <w:jc w:val="both"/>
        <w:rPr>
          <w:rFonts w:ascii="Arial" w:hAnsi="Arial" w:cs="Arial"/>
          <w:color w:val="000000" w:themeColor="text1"/>
        </w:rPr>
      </w:pPr>
      <w:r w:rsidRPr="00CE0262">
        <w:rPr>
          <w:rFonts w:ascii="Arial" w:hAnsi="Arial" w:cs="Arial"/>
          <w:color w:val="000000" w:themeColor="text1"/>
        </w:rPr>
        <w:t>The study examined psychological impacts among the study population. The results revealed significant variations in psychological distribution. Participants most commonly reported anxiety (n=177, 43.2%), followed by combined anxiety plus depression (n=125, 30.5%), and sleep disorder with depression (n=108, 26.3%) (</w:t>
      </w:r>
      <w:r w:rsidRPr="00CE0262">
        <w:rPr>
          <w:rFonts w:ascii="Arial" w:hAnsi="Arial" w:cs="Arial"/>
          <w:b/>
          <w:bCs/>
          <w:color w:val="000000" w:themeColor="text1"/>
        </w:rPr>
        <w:t xml:space="preserve">Table </w:t>
      </w:r>
      <w:r w:rsidR="00EA6F67">
        <w:rPr>
          <w:rFonts w:ascii="Arial" w:hAnsi="Arial" w:cs="Arial"/>
          <w:b/>
          <w:bCs/>
          <w:color w:val="000000" w:themeColor="text1"/>
        </w:rPr>
        <w:t>4</w:t>
      </w:r>
      <w:r w:rsidRPr="00CE0262">
        <w:rPr>
          <w:rFonts w:ascii="Arial" w:hAnsi="Arial" w:cs="Arial"/>
          <w:color w:val="000000" w:themeColor="text1"/>
        </w:rPr>
        <w:t xml:space="preserve">). By a Chi-square goodness-of-fit test analysis, there was a significant distribution (χ² = 24.63, df = 2, </w:t>
      </w:r>
      <w:r w:rsidR="00E42BE0">
        <w:rPr>
          <w:rFonts w:ascii="Arial" w:hAnsi="Arial" w:cs="Arial"/>
          <w:color w:val="000000" w:themeColor="text1"/>
        </w:rPr>
        <w:br/>
      </w:r>
      <w:r w:rsidRPr="00DE2A80">
        <w:rPr>
          <w:rFonts w:ascii="Arial" w:hAnsi="Arial" w:cs="Arial"/>
          <w:i/>
          <w:iCs/>
          <w:color w:val="000000" w:themeColor="text1"/>
        </w:rPr>
        <w:t>p</w:t>
      </w:r>
      <w:r w:rsidRPr="00CE0262">
        <w:rPr>
          <w:rFonts w:ascii="Arial" w:hAnsi="Arial" w:cs="Arial"/>
          <w:color w:val="000000" w:themeColor="text1"/>
        </w:rPr>
        <w:t xml:space="preserve">&lt; 0.0001), with post-hoc analysis showing that anxiety only was significantly overrepresented (standardized residual = +3.90), while sleep disorder with depression was underrepresented (standardized residual =-3.58). </w:t>
      </w:r>
    </w:p>
    <w:p w14:paraId="16666318" w14:textId="77777777" w:rsidR="0075570A" w:rsidRDefault="0075570A" w:rsidP="0013405D">
      <w:pPr>
        <w:spacing w:line="480" w:lineRule="auto"/>
        <w:jc w:val="both"/>
        <w:rPr>
          <w:rFonts w:ascii="Arial" w:hAnsi="Arial" w:cs="Arial"/>
          <w:b/>
          <w:bCs/>
          <w:color w:val="000000" w:themeColor="text1"/>
          <w:lang w:bidi="ar-IQ"/>
        </w:rPr>
      </w:pPr>
    </w:p>
    <w:p w14:paraId="453A8A74" w14:textId="77777777" w:rsidR="0052364C" w:rsidRPr="0075570A" w:rsidRDefault="0052364C" w:rsidP="0013405D">
      <w:pPr>
        <w:spacing w:line="480" w:lineRule="auto"/>
        <w:jc w:val="both"/>
        <w:rPr>
          <w:rFonts w:ascii="Arial" w:hAnsi="Arial" w:cs="Arial"/>
          <w:b/>
          <w:bCs/>
          <w:color w:val="000000" w:themeColor="text1"/>
          <w:lang w:bidi="ar-IQ"/>
        </w:rPr>
      </w:pPr>
    </w:p>
    <w:p w14:paraId="673DC57B" w14:textId="7692E2D7" w:rsidR="0013405D" w:rsidRPr="0075570A" w:rsidRDefault="0013405D" w:rsidP="0013405D">
      <w:pPr>
        <w:spacing w:line="480" w:lineRule="auto"/>
        <w:jc w:val="both"/>
        <w:rPr>
          <w:rFonts w:ascii="Arial" w:hAnsi="Arial" w:cs="Arial"/>
          <w:b/>
          <w:bCs/>
          <w:color w:val="000000" w:themeColor="text1"/>
        </w:rPr>
      </w:pPr>
      <w:r w:rsidRPr="0075570A">
        <w:rPr>
          <w:rFonts w:ascii="Arial" w:hAnsi="Arial" w:cs="Arial"/>
          <w:b/>
          <w:bCs/>
          <w:color w:val="000000" w:themeColor="text1"/>
        </w:rPr>
        <w:t xml:space="preserve">Table </w:t>
      </w:r>
      <w:r w:rsidR="00EA6F67" w:rsidRPr="0075570A">
        <w:rPr>
          <w:rFonts w:ascii="Arial" w:hAnsi="Arial" w:cs="Arial"/>
          <w:b/>
          <w:bCs/>
          <w:color w:val="000000" w:themeColor="text1"/>
        </w:rPr>
        <w:t>4</w:t>
      </w:r>
      <w:r w:rsidRPr="0075570A">
        <w:rPr>
          <w:rFonts w:ascii="Arial" w:hAnsi="Arial" w:cs="Arial"/>
          <w:b/>
          <w:bCs/>
          <w:color w:val="000000" w:themeColor="text1"/>
        </w:rPr>
        <w:t xml:space="preserve">. </w:t>
      </w:r>
      <w:r w:rsidRPr="0075570A">
        <w:rPr>
          <w:rFonts w:ascii="Arial" w:hAnsi="Arial" w:cs="Arial"/>
          <w:color w:val="000000" w:themeColor="text1"/>
        </w:rPr>
        <w:t>Distribution of psychological impacts in participants with an allergic reaction.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1939"/>
        <w:gridCol w:w="1509"/>
        <w:gridCol w:w="1723"/>
        <w:gridCol w:w="1631"/>
      </w:tblGrid>
      <w:tr w:rsidR="0013405D" w:rsidRPr="00683384" w14:paraId="45A3A069" w14:textId="77777777" w:rsidTr="002055F1">
        <w:tc>
          <w:tcPr>
            <w:tcW w:w="1471" w:type="pct"/>
            <w:tcBorders>
              <w:top w:val="single" w:sz="4" w:space="0" w:color="auto"/>
              <w:bottom w:val="single" w:sz="4" w:space="0" w:color="auto"/>
            </w:tcBorders>
            <w:vAlign w:val="center"/>
          </w:tcPr>
          <w:p w14:paraId="47CDE942" w14:textId="77777777" w:rsidR="0013405D" w:rsidRPr="00683384" w:rsidRDefault="0013405D" w:rsidP="000E6AC2">
            <w:pPr>
              <w:spacing w:line="480" w:lineRule="auto"/>
              <w:jc w:val="center"/>
              <w:rPr>
                <w:rFonts w:ascii="Arial" w:hAnsi="Arial" w:cs="Arial"/>
                <w:b/>
                <w:bCs/>
                <w:color w:val="000000" w:themeColor="text1"/>
              </w:rPr>
            </w:pPr>
            <w:r w:rsidRPr="00683384">
              <w:rPr>
                <w:rFonts w:ascii="Arial" w:hAnsi="Arial" w:cs="Arial"/>
                <w:b/>
                <w:bCs/>
                <w:color w:val="000000" w:themeColor="text1"/>
              </w:rPr>
              <w:lastRenderedPageBreak/>
              <w:t>Psychological Impact</w:t>
            </w:r>
          </w:p>
        </w:tc>
        <w:tc>
          <w:tcPr>
            <w:tcW w:w="1006" w:type="pct"/>
            <w:tcBorders>
              <w:top w:val="single" w:sz="4" w:space="0" w:color="auto"/>
              <w:bottom w:val="single" w:sz="4" w:space="0" w:color="auto"/>
            </w:tcBorders>
            <w:vAlign w:val="center"/>
          </w:tcPr>
          <w:p w14:paraId="417A6031" w14:textId="77777777" w:rsidR="0013405D" w:rsidRPr="00683384" w:rsidRDefault="0013405D" w:rsidP="000E6AC2">
            <w:pPr>
              <w:spacing w:line="480" w:lineRule="auto"/>
              <w:jc w:val="center"/>
              <w:rPr>
                <w:rFonts w:ascii="Arial" w:hAnsi="Arial" w:cs="Arial"/>
                <w:b/>
                <w:bCs/>
                <w:color w:val="000000" w:themeColor="text1"/>
              </w:rPr>
            </w:pPr>
            <w:r w:rsidRPr="00683384">
              <w:rPr>
                <w:rFonts w:ascii="Arial" w:hAnsi="Arial" w:cs="Arial"/>
                <w:b/>
                <w:bCs/>
                <w:color w:val="000000" w:themeColor="text1"/>
              </w:rPr>
              <w:t>Frequency (n)</w:t>
            </w:r>
          </w:p>
        </w:tc>
        <w:tc>
          <w:tcPr>
            <w:tcW w:w="783" w:type="pct"/>
            <w:tcBorders>
              <w:top w:val="single" w:sz="4" w:space="0" w:color="auto"/>
              <w:bottom w:val="single" w:sz="4" w:space="0" w:color="auto"/>
            </w:tcBorders>
            <w:vAlign w:val="center"/>
          </w:tcPr>
          <w:p w14:paraId="0EC92221" w14:textId="77777777" w:rsidR="0013405D" w:rsidRPr="00683384" w:rsidRDefault="0013405D" w:rsidP="000E6AC2">
            <w:pPr>
              <w:spacing w:line="480" w:lineRule="auto"/>
              <w:jc w:val="center"/>
              <w:rPr>
                <w:rFonts w:ascii="Arial" w:hAnsi="Arial" w:cs="Arial"/>
                <w:b/>
                <w:bCs/>
                <w:color w:val="000000" w:themeColor="text1"/>
              </w:rPr>
            </w:pPr>
            <w:r w:rsidRPr="00683384">
              <w:rPr>
                <w:rFonts w:ascii="Arial" w:hAnsi="Arial" w:cs="Arial"/>
                <w:b/>
                <w:bCs/>
                <w:color w:val="000000" w:themeColor="text1"/>
              </w:rPr>
              <w:t>Percentage (%)</w:t>
            </w:r>
          </w:p>
        </w:tc>
        <w:tc>
          <w:tcPr>
            <w:tcW w:w="894" w:type="pct"/>
            <w:tcBorders>
              <w:top w:val="single" w:sz="4" w:space="0" w:color="auto"/>
              <w:bottom w:val="single" w:sz="4" w:space="0" w:color="auto"/>
            </w:tcBorders>
            <w:vAlign w:val="center"/>
          </w:tcPr>
          <w:p w14:paraId="552EF5CC" w14:textId="77777777" w:rsidR="0013405D" w:rsidRPr="00683384" w:rsidRDefault="0013405D" w:rsidP="000E6AC2">
            <w:pPr>
              <w:spacing w:line="480" w:lineRule="auto"/>
              <w:jc w:val="center"/>
              <w:rPr>
                <w:rFonts w:ascii="Arial" w:hAnsi="Arial" w:cs="Arial"/>
                <w:b/>
                <w:bCs/>
                <w:color w:val="000000" w:themeColor="text1"/>
              </w:rPr>
            </w:pPr>
            <w:r w:rsidRPr="00683384">
              <w:rPr>
                <w:rFonts w:ascii="Arial" w:hAnsi="Arial" w:cs="Arial"/>
                <w:b/>
                <w:bCs/>
                <w:color w:val="000000" w:themeColor="text1"/>
              </w:rPr>
              <w:t>Standardized Residual</w:t>
            </w:r>
          </w:p>
        </w:tc>
        <w:tc>
          <w:tcPr>
            <w:tcW w:w="846" w:type="pct"/>
            <w:tcBorders>
              <w:top w:val="single" w:sz="4" w:space="0" w:color="auto"/>
              <w:bottom w:val="single" w:sz="4" w:space="0" w:color="auto"/>
            </w:tcBorders>
            <w:vAlign w:val="center"/>
          </w:tcPr>
          <w:p w14:paraId="05987A97" w14:textId="77777777" w:rsidR="0013405D" w:rsidRPr="00683384" w:rsidRDefault="0013405D" w:rsidP="000E6AC2">
            <w:pPr>
              <w:spacing w:line="480" w:lineRule="auto"/>
              <w:jc w:val="center"/>
              <w:rPr>
                <w:rFonts w:ascii="Arial" w:hAnsi="Arial" w:cs="Arial"/>
                <w:b/>
                <w:bCs/>
                <w:color w:val="000000" w:themeColor="text1"/>
              </w:rPr>
            </w:pPr>
            <w:r w:rsidRPr="00683384">
              <w:rPr>
                <w:rFonts w:ascii="Arial" w:hAnsi="Arial" w:cs="Arial"/>
                <w:b/>
                <w:bCs/>
                <w:color w:val="000000" w:themeColor="text1"/>
              </w:rPr>
              <w:t>Significance</w:t>
            </w:r>
          </w:p>
        </w:tc>
      </w:tr>
      <w:tr w:rsidR="0013405D" w:rsidRPr="00683384" w14:paraId="1AB50A59" w14:textId="77777777" w:rsidTr="002055F1">
        <w:tc>
          <w:tcPr>
            <w:tcW w:w="1471" w:type="pct"/>
            <w:tcBorders>
              <w:top w:val="single" w:sz="4" w:space="0" w:color="auto"/>
            </w:tcBorders>
            <w:vAlign w:val="center"/>
          </w:tcPr>
          <w:p w14:paraId="314DC6C5"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Anxious Only</w:t>
            </w:r>
          </w:p>
        </w:tc>
        <w:tc>
          <w:tcPr>
            <w:tcW w:w="1006" w:type="pct"/>
            <w:tcBorders>
              <w:top w:val="single" w:sz="4" w:space="0" w:color="auto"/>
            </w:tcBorders>
            <w:vAlign w:val="center"/>
          </w:tcPr>
          <w:p w14:paraId="0FCF3941"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177</w:t>
            </w:r>
          </w:p>
        </w:tc>
        <w:tc>
          <w:tcPr>
            <w:tcW w:w="783" w:type="pct"/>
            <w:tcBorders>
              <w:top w:val="single" w:sz="4" w:space="0" w:color="auto"/>
            </w:tcBorders>
            <w:vAlign w:val="center"/>
          </w:tcPr>
          <w:p w14:paraId="1BD4233F"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43.2</w:t>
            </w:r>
          </w:p>
        </w:tc>
        <w:tc>
          <w:tcPr>
            <w:tcW w:w="894" w:type="pct"/>
            <w:tcBorders>
              <w:top w:val="single" w:sz="4" w:space="0" w:color="auto"/>
            </w:tcBorders>
            <w:vAlign w:val="center"/>
          </w:tcPr>
          <w:p w14:paraId="3458D6F1"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3.9</w:t>
            </w:r>
          </w:p>
        </w:tc>
        <w:tc>
          <w:tcPr>
            <w:tcW w:w="846" w:type="pct"/>
            <w:tcBorders>
              <w:top w:val="single" w:sz="4" w:space="0" w:color="auto"/>
            </w:tcBorders>
            <w:vAlign w:val="center"/>
          </w:tcPr>
          <w:p w14:paraId="4F3AB816"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i/>
                <w:iCs/>
                <w:color w:val="000000" w:themeColor="text1"/>
              </w:rPr>
              <w:t>p</w:t>
            </w:r>
            <w:r w:rsidRPr="00683384">
              <w:rPr>
                <w:rFonts w:ascii="Arial" w:hAnsi="Arial" w:cs="Arial"/>
                <w:color w:val="000000" w:themeColor="text1"/>
              </w:rPr>
              <w:t>&lt;0.0001</w:t>
            </w:r>
          </w:p>
        </w:tc>
      </w:tr>
      <w:tr w:rsidR="0013405D" w:rsidRPr="00683384" w14:paraId="3BEF3BD7" w14:textId="77777777" w:rsidTr="002055F1">
        <w:tc>
          <w:tcPr>
            <w:tcW w:w="1471" w:type="pct"/>
            <w:vAlign w:val="center"/>
          </w:tcPr>
          <w:p w14:paraId="2E5AB074"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Anxious and Depressed</w:t>
            </w:r>
          </w:p>
        </w:tc>
        <w:tc>
          <w:tcPr>
            <w:tcW w:w="1006" w:type="pct"/>
            <w:vAlign w:val="center"/>
          </w:tcPr>
          <w:p w14:paraId="68302DDA"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125</w:t>
            </w:r>
          </w:p>
        </w:tc>
        <w:tc>
          <w:tcPr>
            <w:tcW w:w="783" w:type="pct"/>
            <w:vAlign w:val="center"/>
          </w:tcPr>
          <w:p w14:paraId="1B5BEAA0"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30.5</w:t>
            </w:r>
          </w:p>
        </w:tc>
        <w:tc>
          <w:tcPr>
            <w:tcW w:w="894" w:type="pct"/>
            <w:vAlign w:val="center"/>
          </w:tcPr>
          <w:p w14:paraId="3044BB37"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-0.32</w:t>
            </w:r>
          </w:p>
        </w:tc>
        <w:tc>
          <w:tcPr>
            <w:tcW w:w="846" w:type="pct"/>
            <w:vAlign w:val="center"/>
          </w:tcPr>
          <w:p w14:paraId="57CF0492"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i/>
                <w:iCs/>
                <w:color w:val="000000" w:themeColor="text1"/>
              </w:rPr>
              <w:t>p</w:t>
            </w:r>
            <w:r w:rsidRPr="00683384">
              <w:rPr>
                <w:rFonts w:ascii="Arial" w:hAnsi="Arial" w:cs="Arial"/>
                <w:color w:val="000000" w:themeColor="text1"/>
              </w:rPr>
              <w:t>=0.749</w:t>
            </w:r>
          </w:p>
        </w:tc>
      </w:tr>
      <w:tr w:rsidR="0013405D" w:rsidRPr="00683384" w14:paraId="303046F1" w14:textId="77777777" w:rsidTr="002055F1">
        <w:tc>
          <w:tcPr>
            <w:tcW w:w="1471" w:type="pct"/>
            <w:tcBorders>
              <w:bottom w:val="single" w:sz="4" w:space="0" w:color="auto"/>
            </w:tcBorders>
            <w:vAlign w:val="center"/>
          </w:tcPr>
          <w:p w14:paraId="63D78909" w14:textId="238ED31C"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 xml:space="preserve">Cannot </w:t>
            </w:r>
            <w:r w:rsidR="00B76061">
              <w:rPr>
                <w:rFonts w:ascii="Arial" w:hAnsi="Arial" w:cs="Arial"/>
                <w:color w:val="000000" w:themeColor="text1"/>
              </w:rPr>
              <w:t>sleep</w:t>
            </w:r>
            <w:r w:rsidRPr="00683384">
              <w:rPr>
                <w:rFonts w:ascii="Arial" w:hAnsi="Arial" w:cs="Arial"/>
                <w:color w:val="000000" w:themeColor="text1"/>
              </w:rPr>
              <w:t xml:space="preserve"> and Depressed</w:t>
            </w:r>
          </w:p>
        </w:tc>
        <w:tc>
          <w:tcPr>
            <w:tcW w:w="1006" w:type="pct"/>
            <w:tcBorders>
              <w:bottom w:val="single" w:sz="4" w:space="0" w:color="auto"/>
            </w:tcBorders>
            <w:vAlign w:val="center"/>
          </w:tcPr>
          <w:p w14:paraId="5EB1079E"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108</w:t>
            </w:r>
          </w:p>
        </w:tc>
        <w:tc>
          <w:tcPr>
            <w:tcW w:w="783" w:type="pct"/>
            <w:tcBorders>
              <w:bottom w:val="single" w:sz="4" w:space="0" w:color="auto"/>
            </w:tcBorders>
            <w:vAlign w:val="center"/>
          </w:tcPr>
          <w:p w14:paraId="487E2113"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26.3</w:t>
            </w:r>
          </w:p>
        </w:tc>
        <w:tc>
          <w:tcPr>
            <w:tcW w:w="894" w:type="pct"/>
            <w:tcBorders>
              <w:bottom w:val="single" w:sz="4" w:space="0" w:color="auto"/>
            </w:tcBorders>
            <w:vAlign w:val="center"/>
          </w:tcPr>
          <w:p w14:paraId="29C7A63A"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-3.58</w:t>
            </w:r>
          </w:p>
        </w:tc>
        <w:tc>
          <w:tcPr>
            <w:tcW w:w="846" w:type="pct"/>
            <w:tcBorders>
              <w:bottom w:val="single" w:sz="4" w:space="0" w:color="auto"/>
            </w:tcBorders>
            <w:vAlign w:val="center"/>
          </w:tcPr>
          <w:p w14:paraId="6B40CE1E"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i/>
                <w:iCs/>
                <w:color w:val="000000" w:themeColor="text1"/>
              </w:rPr>
              <w:t>p</w:t>
            </w:r>
            <w:r w:rsidRPr="00683384">
              <w:rPr>
                <w:rFonts w:ascii="Arial" w:hAnsi="Arial" w:cs="Arial"/>
                <w:color w:val="000000" w:themeColor="text1"/>
              </w:rPr>
              <w:t>&lt;0.0001</w:t>
            </w:r>
          </w:p>
        </w:tc>
      </w:tr>
      <w:tr w:rsidR="0013405D" w:rsidRPr="00683384" w14:paraId="2429E45B" w14:textId="77777777" w:rsidTr="002055F1">
        <w:tc>
          <w:tcPr>
            <w:tcW w:w="1471" w:type="pct"/>
            <w:tcBorders>
              <w:top w:val="single" w:sz="4" w:space="0" w:color="auto"/>
              <w:bottom w:val="single" w:sz="4" w:space="0" w:color="auto"/>
            </w:tcBorders>
            <w:vAlign w:val="center"/>
          </w:tcPr>
          <w:p w14:paraId="471E508F" w14:textId="77777777" w:rsidR="0013405D" w:rsidRPr="00683384" w:rsidRDefault="0013405D" w:rsidP="000E6AC2">
            <w:pPr>
              <w:spacing w:line="480" w:lineRule="auto"/>
              <w:jc w:val="center"/>
              <w:rPr>
                <w:rFonts w:ascii="Arial" w:hAnsi="Arial" w:cs="Arial"/>
                <w:b/>
                <w:bCs/>
                <w:color w:val="000000" w:themeColor="text1"/>
              </w:rPr>
            </w:pPr>
            <w:r w:rsidRPr="00683384">
              <w:rPr>
                <w:rFonts w:ascii="Arial" w:hAnsi="Arial" w:cs="Arial"/>
                <w:b/>
                <w:bCs/>
                <w:color w:val="000000" w:themeColor="text1"/>
              </w:rPr>
              <w:t>Total</w:t>
            </w:r>
          </w:p>
        </w:tc>
        <w:tc>
          <w:tcPr>
            <w:tcW w:w="1006" w:type="pct"/>
            <w:tcBorders>
              <w:top w:val="single" w:sz="4" w:space="0" w:color="auto"/>
              <w:bottom w:val="single" w:sz="4" w:space="0" w:color="auto"/>
            </w:tcBorders>
            <w:vAlign w:val="center"/>
          </w:tcPr>
          <w:p w14:paraId="710562F3" w14:textId="77777777" w:rsidR="0013405D" w:rsidRPr="00683384" w:rsidRDefault="0013405D" w:rsidP="000E6AC2">
            <w:pPr>
              <w:spacing w:line="480" w:lineRule="auto"/>
              <w:jc w:val="center"/>
              <w:rPr>
                <w:rFonts w:ascii="Arial" w:hAnsi="Arial" w:cs="Arial"/>
                <w:b/>
                <w:bCs/>
                <w:color w:val="000000" w:themeColor="text1"/>
              </w:rPr>
            </w:pPr>
            <w:r w:rsidRPr="00683384">
              <w:rPr>
                <w:rFonts w:ascii="Arial" w:hAnsi="Arial" w:cs="Arial"/>
                <w:b/>
                <w:bCs/>
                <w:color w:val="000000" w:themeColor="text1"/>
              </w:rPr>
              <w:t>410</w:t>
            </w:r>
          </w:p>
        </w:tc>
        <w:tc>
          <w:tcPr>
            <w:tcW w:w="783" w:type="pct"/>
            <w:tcBorders>
              <w:top w:val="single" w:sz="4" w:space="0" w:color="auto"/>
              <w:bottom w:val="single" w:sz="4" w:space="0" w:color="auto"/>
            </w:tcBorders>
            <w:vAlign w:val="center"/>
          </w:tcPr>
          <w:p w14:paraId="76B1FEC8" w14:textId="77777777" w:rsidR="0013405D" w:rsidRPr="00683384" w:rsidRDefault="0013405D" w:rsidP="000E6AC2">
            <w:pPr>
              <w:spacing w:line="480" w:lineRule="auto"/>
              <w:jc w:val="center"/>
              <w:rPr>
                <w:rFonts w:ascii="Arial" w:hAnsi="Arial" w:cs="Arial"/>
                <w:b/>
                <w:bCs/>
                <w:color w:val="000000" w:themeColor="text1"/>
              </w:rPr>
            </w:pPr>
            <w:r w:rsidRPr="00683384">
              <w:rPr>
                <w:rFonts w:ascii="Arial" w:hAnsi="Arial" w:cs="Arial"/>
                <w:b/>
                <w:bCs/>
                <w:color w:val="000000" w:themeColor="text1"/>
              </w:rPr>
              <w:t>100</w:t>
            </w:r>
          </w:p>
        </w:tc>
        <w:tc>
          <w:tcPr>
            <w:tcW w:w="894" w:type="pct"/>
            <w:tcBorders>
              <w:top w:val="single" w:sz="4" w:space="0" w:color="auto"/>
              <w:bottom w:val="single" w:sz="4" w:space="0" w:color="auto"/>
            </w:tcBorders>
            <w:vAlign w:val="center"/>
          </w:tcPr>
          <w:p w14:paraId="25883E43"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w:t>
            </w:r>
          </w:p>
        </w:tc>
        <w:tc>
          <w:tcPr>
            <w:tcW w:w="846" w:type="pct"/>
            <w:tcBorders>
              <w:top w:val="single" w:sz="4" w:space="0" w:color="auto"/>
              <w:bottom w:val="single" w:sz="4" w:space="0" w:color="auto"/>
            </w:tcBorders>
            <w:vAlign w:val="center"/>
          </w:tcPr>
          <w:p w14:paraId="76C950B3"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w:t>
            </w:r>
          </w:p>
        </w:tc>
      </w:tr>
    </w:tbl>
    <w:p w14:paraId="4D9FB98F" w14:textId="77777777" w:rsidR="0013405D" w:rsidRPr="00CE0262" w:rsidRDefault="0013405D" w:rsidP="0013405D">
      <w:pPr>
        <w:spacing w:line="480" w:lineRule="auto"/>
        <w:jc w:val="both"/>
        <w:rPr>
          <w:rFonts w:ascii="Arial" w:hAnsi="Arial" w:cs="Arial"/>
          <w:b/>
          <w:bCs/>
          <w:color w:val="000000" w:themeColor="text1"/>
          <w:lang w:bidi="ar-IQ"/>
        </w:rPr>
      </w:pPr>
    </w:p>
    <w:p w14:paraId="039E76CC" w14:textId="06A05B91" w:rsidR="0013405D" w:rsidRPr="00CE0262" w:rsidRDefault="00613337" w:rsidP="0013405D">
      <w:pPr>
        <w:spacing w:line="480" w:lineRule="auto"/>
        <w:jc w:val="center"/>
        <w:rPr>
          <w:rFonts w:ascii="Arial" w:hAnsi="Arial" w:cs="Arial"/>
          <w:b/>
          <w:bCs/>
          <w:color w:val="000000" w:themeColor="text1"/>
          <w:lang w:bidi="ar-IQ"/>
        </w:rPr>
      </w:pPr>
      <w:r w:rsidRPr="00CE0262">
        <w:rPr>
          <w:rFonts w:ascii="Arial" w:hAnsi="Arial" w:cs="Arial"/>
          <w:b/>
          <w:bCs/>
          <w:color w:val="000000" w:themeColor="text1"/>
          <w:lang w:bidi="ar-IQ"/>
        </w:rPr>
        <w:t>DISCUSSION</w:t>
      </w:r>
    </w:p>
    <w:p w14:paraId="71402D66" w14:textId="1A876AF2" w:rsidR="0013405D" w:rsidRPr="00CE0262" w:rsidRDefault="0013405D" w:rsidP="0013405D">
      <w:pPr>
        <w:spacing w:line="480" w:lineRule="auto"/>
        <w:jc w:val="both"/>
        <w:rPr>
          <w:rFonts w:ascii="Arial" w:hAnsi="Arial" w:cs="Arial"/>
          <w:b/>
          <w:bCs/>
          <w:color w:val="000000" w:themeColor="text1"/>
        </w:rPr>
      </w:pPr>
      <w:r w:rsidRPr="00CE0262">
        <w:rPr>
          <w:rFonts w:ascii="Arial" w:hAnsi="Arial" w:cs="Arial"/>
          <w:color w:val="000000" w:themeColor="text1"/>
        </w:rPr>
        <w:t xml:space="preserve">The primary function of the immune system is to defend the body against harmful antigens related to microbial pathogens. However, the lack of evaluation of antigen harmfulness and immune tolerance leads to an overactive immune response, known as a hypersensitivity reaction, which is a case of immunopathology. In this study, immediate hypersensitivity reactions outnumbered delayed reactions, accounting for 52.9% of cases. This finding indicated that more than half of the population studied suffered from Type I hypersensitivity, which is mediated by </w:t>
      </w:r>
      <w:proofErr w:type="spellStart"/>
      <w:r w:rsidRPr="00CE0262">
        <w:rPr>
          <w:rFonts w:ascii="Arial" w:hAnsi="Arial" w:cs="Arial"/>
          <w:color w:val="000000" w:themeColor="text1"/>
        </w:rPr>
        <w:t>IgE</w:t>
      </w:r>
      <w:proofErr w:type="spellEnd"/>
      <w:r w:rsidRPr="00CE0262">
        <w:rPr>
          <w:rFonts w:ascii="Arial" w:hAnsi="Arial" w:cs="Arial"/>
          <w:color w:val="000000" w:themeColor="text1"/>
        </w:rPr>
        <w:t xml:space="preserve"> antibodies specific to environmental, dietary, and medication sources. A rapid allergic reaction occurs within minutes to an hour after exposure to the allergen. The production of a high level of </w:t>
      </w:r>
      <w:proofErr w:type="spellStart"/>
      <w:r w:rsidRPr="00CE0262">
        <w:rPr>
          <w:rFonts w:ascii="Arial" w:hAnsi="Arial" w:cs="Arial"/>
          <w:color w:val="000000" w:themeColor="text1"/>
        </w:rPr>
        <w:t>IgE</w:t>
      </w:r>
      <w:proofErr w:type="spellEnd"/>
      <w:r w:rsidRPr="00CE0262">
        <w:rPr>
          <w:rFonts w:ascii="Arial" w:hAnsi="Arial" w:cs="Arial"/>
          <w:color w:val="000000" w:themeColor="text1"/>
        </w:rPr>
        <w:t xml:space="preserve"> increases binding to type-I high-affinity </w:t>
      </w:r>
      <w:proofErr w:type="spellStart"/>
      <w:r w:rsidRPr="00CE0262">
        <w:rPr>
          <w:rFonts w:ascii="Arial" w:hAnsi="Arial" w:cs="Arial"/>
          <w:color w:val="000000" w:themeColor="text1"/>
        </w:rPr>
        <w:t>IgE</w:t>
      </w:r>
      <w:proofErr w:type="spellEnd"/>
      <w:r w:rsidRPr="00CE0262">
        <w:rPr>
          <w:rFonts w:ascii="Arial" w:hAnsi="Arial" w:cs="Arial"/>
          <w:color w:val="000000" w:themeColor="text1"/>
        </w:rPr>
        <w:t xml:space="preserve"> Fc-receptors (</w:t>
      </w:r>
      <w:proofErr w:type="spellStart"/>
      <w:r w:rsidRPr="00CE0262">
        <w:rPr>
          <w:rFonts w:ascii="Arial" w:hAnsi="Arial" w:cs="Arial"/>
          <w:color w:val="000000" w:themeColor="text1"/>
        </w:rPr>
        <w:t>FcεRI</w:t>
      </w:r>
      <w:proofErr w:type="spellEnd"/>
      <w:r w:rsidRPr="00CE0262">
        <w:rPr>
          <w:rFonts w:ascii="Arial" w:hAnsi="Arial" w:cs="Arial"/>
          <w:color w:val="000000" w:themeColor="text1"/>
        </w:rPr>
        <w:t xml:space="preserve">) on the surfaces of mast cells and basophils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{"citationID":"a4hkecmd7p","properties":{"formattedCitation":"(Anvari et al., 2019)","plainCitation":"(Anvari et al., 2019)","noteIndex":0},"citationItems":[{"id":8153,"uris":["http://zotero.org/users/2543086/items/JTPUI99Q"],"itemData":{"id":8153,"type":"article-journal","abstract":"Food allergies are defined as adverse immune responses to food proteins that result in typical clinical symptoms involving the dermatologic, respiratory, gastrointestinal, cardiovascular, and/or neurologic systems. IgE-mediated food-allergic disease differs from non-IgE-mediated disease because the pathophysiology results from activation of the immune system, causing a T helper 2 response which results in IgE binding to Fcε receptors on effector cells like mast cells and basophils. The activation of these cells causes release of histamine and other preformed mediators, and rapid symptom onset, in contrast with non-IgE-mediated food allergy which is more delayed in onset. The diagnosis of IgE-mediated food allergy requires a history of classic clinical symptoms and evidence of food-specific IgE by either skin-prick or serum-specific IgE testing. Symptoms of IgE-mediated food allergies range from mild to severe. The severity of symptoms is not predicted by the level of specific IgE or skin test wheal size, but the likelihood of symptom onset is directly related. Diagnosis is excluded when a patient can ingest the suspected food without clinical symptoms and may require an in-office oral food challenge if testing for food-specific IgE by serum or skin testing is negative or low. Anaphylaxis is the most severe form of the clinical manifestation of IgE-mediated food allergy, and injectable epinephrine is the first-line treatment. Management of food allergies requires strict avoidance measures, counseling of the family about constant vigilance, and prompt treatment of allergic reactions with emergency medications. Guidelines have changed recently to include early introduction of peanuts at 4–6 months of life. Early introduction is recommended to prevent the development of peanut allergy. Future treatments for IgE-mediated food allergy evaluated in clinical trials include epicutaneous, sublingual, and oral immunotherapy.","container-title":"Clinical Reviews in Allergy &amp; Immunology","DOI":"10.1007/s12016-018-8710-3","ISSN":"1559-0267","issue":"2","journalAbbreviation":"Clinic Rev Allerg Immunol","language":"en","page":"244-260","source":"Springer Link","title":"IgE-Mediated Food Allergy","volume":"57","author":[{"family":"Anvari","given":"Sara"},{"family":"Miller","given":"Jennifer"},{"family":"Yeh","given":"Chih-Yin"},{"family":"Davis","given":"Carla M."}],"issued":{"date-parts":[["2019",10,1]]}}}],"schema":"https://github.com/citation-style-language/schema/raw/master/csl-citation.json"}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(Anvari et al., 2019)</w:t>
      </w:r>
      <w:r w:rsidRPr="00CE0262">
        <w:rPr>
          <w:rFonts w:ascii="Arial" w:hAnsi="Arial" w:cs="Arial"/>
          <w:color w:val="000000" w:themeColor="text1"/>
        </w:rPr>
        <w:fldChar w:fldCharType="end"/>
      </w:r>
      <w:r w:rsidRPr="00CE0262">
        <w:rPr>
          <w:rFonts w:ascii="Arial" w:hAnsi="Arial" w:cs="Arial"/>
          <w:color w:val="000000" w:themeColor="text1"/>
        </w:rPr>
        <w:t xml:space="preserve">. A crosslinking of </w:t>
      </w:r>
      <w:proofErr w:type="spellStart"/>
      <w:r w:rsidRPr="00CE0262">
        <w:rPr>
          <w:rFonts w:ascii="Arial" w:hAnsi="Arial" w:cs="Arial"/>
          <w:color w:val="000000" w:themeColor="text1"/>
        </w:rPr>
        <w:t>IgE</w:t>
      </w:r>
      <w:proofErr w:type="spellEnd"/>
      <w:r w:rsidRPr="00CE0262">
        <w:rPr>
          <w:rFonts w:ascii="Arial" w:hAnsi="Arial" w:cs="Arial"/>
          <w:color w:val="000000" w:themeColor="text1"/>
        </w:rPr>
        <w:t xml:space="preserve"> and </w:t>
      </w:r>
      <w:proofErr w:type="spellStart"/>
      <w:r w:rsidRPr="00CE0262">
        <w:rPr>
          <w:rFonts w:ascii="Arial" w:hAnsi="Arial" w:cs="Arial"/>
          <w:color w:val="000000" w:themeColor="text1"/>
        </w:rPr>
        <w:t>FcεRI</w:t>
      </w:r>
      <w:proofErr w:type="spellEnd"/>
      <w:r w:rsidRPr="00CE0262">
        <w:rPr>
          <w:rFonts w:ascii="Arial" w:hAnsi="Arial" w:cs="Arial"/>
          <w:color w:val="000000" w:themeColor="text1"/>
        </w:rPr>
        <w:t xml:space="preserve"> on the same mast cells leads to </w:t>
      </w:r>
      <w:r w:rsidR="00B76061">
        <w:rPr>
          <w:rFonts w:ascii="Arial" w:hAnsi="Arial" w:cs="Arial"/>
          <w:color w:val="000000" w:themeColor="text1"/>
        </w:rPr>
        <w:t xml:space="preserve">the </w:t>
      </w:r>
      <w:r w:rsidRPr="00CE0262">
        <w:rPr>
          <w:rFonts w:ascii="Arial" w:hAnsi="Arial" w:cs="Arial"/>
          <w:color w:val="000000" w:themeColor="text1"/>
        </w:rPr>
        <w:t>stimulate</w:t>
      </w:r>
      <w:r w:rsidR="00B76061">
        <w:rPr>
          <w:rFonts w:ascii="Arial" w:hAnsi="Arial" w:cs="Arial"/>
          <w:color w:val="000000" w:themeColor="text1"/>
        </w:rPr>
        <w:t>,</w:t>
      </w:r>
      <w:r w:rsidRPr="00CE0262">
        <w:rPr>
          <w:rFonts w:ascii="Arial" w:hAnsi="Arial" w:cs="Arial"/>
          <w:color w:val="000000" w:themeColor="text1"/>
        </w:rPr>
        <w:t xml:space="preserve"> releasing a large variety of inflammatory mediators such as histamine, prostaglandin D2, leukotriene D4, tryptase, interleukin-1 (IL-1), IL-4, IL-5, IL-13</w:t>
      </w:r>
      <w:r w:rsidR="00B76061">
        <w:rPr>
          <w:rFonts w:ascii="Arial" w:hAnsi="Arial" w:cs="Arial"/>
          <w:color w:val="000000" w:themeColor="text1"/>
        </w:rPr>
        <w:t>,</w:t>
      </w:r>
      <w:r w:rsidRPr="00CE0262">
        <w:rPr>
          <w:rFonts w:ascii="Arial" w:hAnsi="Arial" w:cs="Arial"/>
          <w:color w:val="000000" w:themeColor="text1"/>
        </w:rPr>
        <w:t xml:space="preserve"> and tumor necrosis factor (TNF)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{"citationID":"a2fj6our0ok","properties":{"formattedCitation":"(Thangam et al., 2018)","plainCitation":"(Thangam et al., 2018)","noteIndex":0},"citationItems":[{"id":6829,"uris":["http://zotero.org/users/2543086/items/JZDWBV5Q"],"itemData":{"id":6829,"type":"article-journal","abstract":"&lt;p&gt;Histamine and its receptors (H1R–H4R) play a crucial and significant role in the development of various allergic diseases. Mast cells are multifunctional bone marrow-derived tissue-dwelling cells that are the major producer of histamine in the body. H1R are expressed in many cells, including mast cells, and are involved in Type 1 hypersensitivity reactions. H2R are involved in Th1 lymphocyte cytokine production. H3R are mainly involved in blood–brain barrier function. H4R are highly expressed on mast cells where their stimulation exacerbates histamine and cytokine generation. Both H1R and H4R have important roles in the progression and modulation of histamine-mediated allergic diseases. Antihistamines that target H1R alone are not entirely effective in the treatment of acute pruritus, atopic dermatitis, allergic asthma, and other allergic diseases. However, antagonists that target H4R have shown promising effects in preclinical and clinical studies in the treatment of several allergic diseases. In the present review, we examine the accumulating evidence suggesting novel therapeutic approaches that explore both H1R and H4R as therapeutic targets for histamine-mediated allergic diseases.&lt;/p&gt;","container-title":"Frontiers in Immunology","DOI":"10.3389/fimmu.2018.01873","ISSN":"1664-3224","journalAbbreviation":"Front. Immunol.","language":"English","note":"publisher: Frontiers","source":"Frontiers","title":"The Role of Histamine and Histamine Receptors in Mast Cell-Mediated Allergy and Inflammation: The Hunt for New Therapeutic Targets","title-short":"The Role of Histamine and Histamine Receptors in Mast Cell-Mediated Allergy and Inflammation","URL":"https://www.frontiersin.org/journals/immunology/articles/10.3389/fimmu.2018.01873/full","volume":"9","author":[{"family":"Thangam","given":"Elden Berla"},{"family":"Jemima","given":"Ebenezer Angel"},{"family":"Singh","given":"Himadri"},{"family":"Baig","given":"Mirza Saqib"},{"family":"Khan","given":"Mahejibin"},{"family":"Mathias","given":"Clinton B."},{"family":"Church","given":"Martin K."},{"family":"Saluja","given":"Rohit"}],"accessed":{"date-parts":[["2024",8,5]]},"issued":{"date-parts":[["2018",8,13]]}}}],"schema":"https://github.com/citation-style-language/schema/raw/master/csl-citation.json"}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(Thangam et al., 2018)</w:t>
      </w:r>
      <w:r w:rsidRPr="00CE0262">
        <w:rPr>
          <w:rFonts w:ascii="Arial" w:hAnsi="Arial" w:cs="Arial"/>
          <w:color w:val="000000" w:themeColor="text1"/>
        </w:rPr>
        <w:fldChar w:fldCharType="end"/>
      </w:r>
      <w:r w:rsidRPr="00CE0262">
        <w:rPr>
          <w:rFonts w:ascii="Arial" w:hAnsi="Arial" w:cs="Arial"/>
          <w:color w:val="000000" w:themeColor="text1"/>
        </w:rPr>
        <w:t xml:space="preserve">. As a result, anaphylaxis, asthma, and urticaria develop due to blood vessel dilation and airway constriction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{"citationID":"a1keal8lgb1","properties":{"formattedCitation":"(Acevedo et al., 2012)","plainCitation":"(Acevedo et al., 2012)","noteIndex":0},"citationItems":[{"id":8054,"uris":["http://zotero.org/users/2543086/items/S8LJISER"],"itemData":{"id":8054,"type":"article-journal","abstract":"Background\nEarly wheezing and asthma are relevant health problems in the tropics. Mite sensitization is an important risk factor, but the roles of others, inherent in poverty, are unknown. We designed a birth-cohort study in Cartagena (Colombia) to investigate genetic and environmental risk factors for asthma and atopy, considering as particular features perennial exposure to mites, parasite infections and poor living conditions.\n\nMethods\nPregnant women representative of the low-income suburbs of the city were randomly screened for eligibility at delivery; 326 mother-infant pairs were included at baseline and biological samples were collected from birth to 24 months for immunological testing, molecular genetics and gene expression analysis. Pre and post-natal information was collected using questionnaires.\n\nResults\n94% of families were from the poorest communes of the city, 40% lacked sewage and 11% tap-water. Intestinal parasites were found as early as 3 months; by the second year, 37.9% of children have had parasites and 5.22% detectable eggs of Ascaris lumbricoides in stools (Median 3458 epg, IQR 975-9256). The prevalence of \"wheezing ever\" was 17.5% at 6 months, 31.1% at 12 months and 38.3% at 24 months; and recurrent wheezing (3 or more episodes) 7.1% at 12 months and 14.2% at 24 months. Maternal rhinitis [aOR 3.03 (95%CI 1.60-5.74), p = 0.001] and male gender [aOR 2.09 (95%CI 1.09 - 4.01), p = 0.026], increased risk for wheezing at 6 months. At 24 months, maternal asthma was the main predisposing factor for wheezing [aOR 3.65 (95%CI 1.23-10.8), p = 0.01]. Clinical symptoms of milk/egg allergy or other food-induced allergies were scarce (1.8%) and no case of atopic eczema was observed.\n\nConclusions\nWheezing is the most frequent phenotype during the first 24 months of life and is strongly associated with maternal asthma. At 24 months, the natural history of allergic symptoms is different to the \"atopic march\" described in some industrialized countries. This cohort is representative of socially deprived urban areas of underdeveloped tropical countries. The collection of biological samples, data on exposure and defined phenotypes, will contribute to understand the gene/environment interactions leading to allergy inception and evolution.","container-title":"BMC Pulmonary Medicine","DOI":"10.1186/1471-2466-12-13","ISSN":"1471-2466","journalAbbreviation":"BMC Pulm Med","note":"PMID: 22439773\nPMCID: PMC3331807","page":"13","source":"PubMed Central","title":"Particular characteristics of allergic symptoms in tropical environments: follow up to 24 months in the FRAAT birth cohort study","title-short":"Particular characteristics of allergic symptoms in tropical environments","volume":"12","author":[{"family":"Acevedo","given":"Nathalie"},{"family":"Sánchez","given":"Jorge"},{"family":"Zakzuk","given":"Josefina"},{"family":"Bornacelly","given":"Adriana"},{"family":"Quiróz","given":"Carlos"},{"family":"Alvarez","given":"Álvaro"},{"family":"Puello","given":"Marta"},{"family":"Mendoza","given":"Ketty"},{"family":"Martínez","given":"Dalgys"},{"family":"Mercado","given":"Dilia"},{"family":"Jiménez","given":"Silvia"},{"family":"Caraballo","given":"Luis"}],"issued":{"date-parts":[["2012",3,22]]}}}],"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(Acevedo et al., 2012)</w:t>
      </w:r>
      <w:r w:rsidRPr="00CE0262">
        <w:rPr>
          <w:rFonts w:ascii="Arial" w:hAnsi="Arial" w:cs="Arial"/>
          <w:color w:val="000000" w:themeColor="text1"/>
        </w:rPr>
        <w:fldChar w:fldCharType="end"/>
      </w:r>
      <w:r w:rsidRPr="00CE0262">
        <w:rPr>
          <w:rFonts w:ascii="Arial" w:hAnsi="Arial" w:cs="Arial"/>
          <w:color w:val="000000" w:themeColor="text1"/>
        </w:rPr>
        <w:t xml:space="preserve">. Studies showed that the development of immediate hypersensitivity reactions may be influenced by a complex interplay of genetic, microbiome, and environmental factors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{"citationID":"a1e4f1r2luk","properties":{"formattedCitation":"(Frew, 2019)","plainCitation":"(Frew, 2019)","noteIndex":0},"citationItems":[{"id":8060,"uris":["http://zotero.org/users/2543086/items/6TFMWANI"],"itemData":{"id":8060,"type":"article-journal","abstract":"Main Text: Allergic and autoimmune diseases such as asthma, psoriasis, rheumatoid arthritis and inflammatory bowel disease vary in prevalence within human populations1,2. The hygiene hypothesis and more recently the “old friends” hypothesis have been quoted3 to explain this disparity of prevalence, particularly between nations in the developed and developing world. Proposed etiological mechanisms include the absence of once-common childhood infections, as well as a reduction in exposure to a variety of commensal microorganisms in childhood3. Exposure to such organisms is proposed to educate the immune system to appropriately respond to either innocuous and dangerous stimuli. Aberrant response to innocuous stimuli results in the development of allergic and autoimmune disease3. However, these hypotheses alone do not fully account for the variability in prevalence of allergic and autoimmune disease,2,4,5. Certain populations exhibit an elevated risk to autoimmune and allergic disease above the background rate of individual human populations.The advent of Genome Wide Association Studies (GWAS) have enabled identification of predisposing genetic variants to allergic and autoimmune disease. 4,5. They have also confirmed the association of previous loci identified in linkage studies. Genetic predisposition is a ‘sine qua non’ for the development of allergic or autoimmune disease4,5 due to the ongoing evolutionary battle of protection against infectious disease whilst maintaining an acceptable risk of autoimmune disease which may impact upon reproductive capacity. In the identification of allergy and autoimmune disease-associated loci, multiple overlapping loci have been identified with pathogen-induced positive selection loci6-12 (Table 1) (In this context, positive selection refers to genomic or Darwinian selection). A commonly known example of pathogen-induced positive selection is the increased prevalence of hemoglobin variants (HbS) causing sickle cell disease in populations with high previous malaria incidence, giving partial protection to severe malarial infection10. In autoimmune and inflammatory disease, identified overlapping genes involve the activation and function of T cells, monocytes, NK cells and dendritic cells as well as aspects of the major histocompatibility complex and transcription factors13-17 (Table 1). Infectious agents associated with identified genes include M. Leprae, M. Tuberculosis, Y. Pestis, diarrheal illness and Plasmodium sp.4,5,8,9,11,12 (Table 1). The presence of gene variants was associated with partial protection against the development of severe disease. Existing data is skewed by ascertainment bias with the majority of allergy and autoimmune GWAS have been undertaken in European populations. Also, GWAS for infectious disease require cohorts experiencing active infection, hence past endemic organisms with a high likelihood of producing positive selection (ie smallpox) are unable to be evaluated. Additionally, infectious agents with near saturation and multiple strains (ie M. Tuberculosis) indicate strong selective pressure10, but due to the lack of comparison cohorts, positively selected genes are difficult to identify.The corollary therefore is that for specific human population groups, historical exposure to infectious pathogens have positively selected for protective variants to improve survival and reproduction6. One could hypothesize that, in the absence of infectious disease, these variants predispose to aberrant immune activation which, in the setting of appropriate environmental stimuli (such as a loss of ‘old friends’ as well as smoking, metals, particulates, etc.) may manifest as allergy and autoimmune disease.The implications of this correlation extend beyond population genetics to pharmacogenetics and emerging infectious diseases. The efficacy of monoclonal antibodies for control of autoimmune and allergic disease has associations with patient genetic variants18 which have differing prevalence in various human populations. This could lead to targeted pharmacogenomic screening prior to treatment initiation. In the future this may become pertinent in emerging economies of East Asia (given the known high prevalence of NOD2 in Han Chinese, and the impact of NOD2 variants on therapy in Crohn’s Disease19) and the Americas (in a similar vein to G6PD deficiency in Latin America20). The re-emergence of vector-borne infectious diseases (such as malaria) secondary to climate change21, may place individuals with autoimmune or allergic disease, who are being actively treated with immunomodulating therapies, at risk of infection. This risk may be greatest in those individuals where the therapy actively suppresses an inflammatory pathway known to be protective against the infectious agent. A relevant modern-day corollary is the risk of M. Tuberculosis reactivation during psoriasis treatment with TNF-alpha inhibitors in individuals of European ancestry (given the proposed mechanism of ancestral Mycobacterium sp. positively selecting for European psoriasis-associated genetic variants22). This causal hypothesis requires validation in epidemiologic and functional studies. In summary, the presence of overlapping gene associations identified by GWAS, as well as the evidence of pathogen-specific positive selection is an extension of the ‘hygiene/old friends’ hypothesis which integrates findings from population genetics to explain disparate rates of autoimmune and allergic disease in different human populations. It also suggests avenues for further research in pharmacogenomics and susceptibility to emerging pathogens.","container-title":"Frontiers in Immunology","DOI":"10.3389/fimmu.2019.00388","ISSN":"1664-3224","journalAbbreviation":"Front. Immunol.","language":"English","note":"publisher: Frontiers","source":"Frontiers","title":"The Hygiene Hypothesis, Old Friends, and New Genes","URL":"https://www.frontiersin.org/journals/immunology/articles/10.3389/fimmu.2019.00388/full","volume":"10","author":[{"family":"Frew","given":"John W."}],"accessed":{"date-parts":[["2025",6,8]]},"issued":{"date-parts":[["2019",3,6]]}}}],"schema":"https://github.com/citation-style-language/schema/raw/master/csl-citation.json"}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(Frew, 2019)</w:t>
      </w:r>
      <w:r w:rsidRPr="00CE0262">
        <w:rPr>
          <w:rFonts w:ascii="Arial" w:hAnsi="Arial" w:cs="Arial"/>
          <w:color w:val="000000" w:themeColor="text1"/>
        </w:rPr>
        <w:fldChar w:fldCharType="end"/>
      </w:r>
      <w:r w:rsidRPr="00CE0262">
        <w:rPr>
          <w:rFonts w:ascii="Arial" w:hAnsi="Arial" w:cs="Arial"/>
          <w:color w:val="000000" w:themeColor="text1"/>
        </w:rPr>
        <w:t xml:space="preserve">. These factors are associated either directly or indirectly with immune response dysregulation. Underscores </w:t>
      </w:r>
      <w:r w:rsidRPr="00CE0262">
        <w:rPr>
          <w:rFonts w:ascii="Arial" w:hAnsi="Arial" w:cs="Arial"/>
          <w:color w:val="000000" w:themeColor="text1"/>
        </w:rPr>
        <w:lastRenderedPageBreak/>
        <w:t xml:space="preserve">the importance of rapid detection and management of </w:t>
      </w:r>
      <w:proofErr w:type="spellStart"/>
      <w:r w:rsidRPr="00CE0262">
        <w:rPr>
          <w:rFonts w:ascii="Arial" w:hAnsi="Arial" w:cs="Arial"/>
          <w:color w:val="000000" w:themeColor="text1"/>
        </w:rPr>
        <w:t>IgE</w:t>
      </w:r>
      <w:proofErr w:type="spellEnd"/>
      <w:r w:rsidRPr="00CE0262">
        <w:rPr>
          <w:rFonts w:ascii="Arial" w:hAnsi="Arial" w:cs="Arial"/>
          <w:color w:val="000000" w:themeColor="text1"/>
        </w:rPr>
        <w:t xml:space="preserve">-mediated allergic responses, which is considered a critical step to reduce morbidity. </w:t>
      </w:r>
    </w:p>
    <w:p w14:paraId="461A9239" w14:textId="1C7AE87B" w:rsidR="0013405D" w:rsidRPr="00CE0262" w:rsidRDefault="0013405D" w:rsidP="0013405D">
      <w:pPr>
        <w:spacing w:line="480" w:lineRule="auto"/>
        <w:jc w:val="both"/>
        <w:rPr>
          <w:rFonts w:ascii="Arial" w:hAnsi="Arial" w:cs="Arial"/>
          <w:color w:val="000000" w:themeColor="text1"/>
        </w:rPr>
      </w:pPr>
      <w:r w:rsidRPr="00CE0262">
        <w:rPr>
          <w:rFonts w:ascii="Arial" w:hAnsi="Arial" w:cs="Arial"/>
          <w:color w:val="000000" w:themeColor="text1"/>
        </w:rPr>
        <w:t xml:space="preserve">The current study results demonstrate dust as the primary source of allergic reactions (30.73%). This result is consistent with global trends that showed environmental and airborne allergens are the primary causes of allergic rhinitis and asthma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{"citationID":"a19c9osjltd","properties":{"formattedCitation":"(Lee et al., 2023)","plainCitation":"(Lee et al., 2023)","noteIndex":0},"citationItems":[{"id":8084,"uris":["http://zotero.org/users/2543086/items/USP96LIX"],"itemData":{"id":8084,"type":"article-journal","abstract":"The prevalence of house dust mite (HDM) allergy, especially in Asian countries with rapid urbanization, has been increasing. House dust mites thrive in places with relatively high humidity. With the combination of climate change, naturally high humidity, and urbanization, tropical countries like Malaysia are becoming a hotspot for HDM allergy fast. With a previously reported sensitization rate of between 60 and 80%, it is a worrying trend for Malaysia. However, due to incomplete and out-of-date data, as seen by the limited study coverage in the past, these numbers do not paint a complete picture of the true HDM allergy scene in Malaysia. This review briefly discusses the HDM fauna, the HDM sensitization rate, the common diagnosis and therapeutic tools for HDM allergy in Malaysia, and makes suggestions for possible improvements in the future. This review also highlights the need of more comprehensive population-based prevalence studies to be done in Malaysia, encompassing the three main HDMs-Dermatophagoides pteronyssinus, Dermatophagoides farinae, and Blomia tropicalis-as the lack of up-to-date studies failed to give a clearer picture on the current scenario of HDM allergy in Malaysia. Future studies will be beneficial to the nation in preparing a better blueprint for the management and treatment of HDM allergy.","container-title":"Experimental &amp; Applied Acarology","DOI":"10.1007/s10493-023-00857-5","ISSN":"1572-9702","issue":"4","journalAbbreviation":"Exp Appl Acarol","language":"eng","note":"PMID: 37995026","page":"509-539","source":"PubMed","title":"House dust mite allergy in Malaysia: review of research gaps in the current scenario and the way forward","title-short":"House dust mite allergy in Malaysia","volume":"91","author":[{"family":"Lee","given":"Yu Zhao"},{"family":"Kow","given":"Audrey Siew Foong"},{"family":"Jacquet","given":"Alain"},{"family":"Lee","given":"Ming Tatt"},{"family":"Tham","given":"Chau Ling"}],"issued":{"date-parts":[["2023",12]]}}}],"schema":"https://github.com/citation-style-language/schema/raw/master/csl-citation.json"}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(Lee et al., 2023)</w:t>
      </w:r>
      <w:r w:rsidRPr="00CE0262">
        <w:rPr>
          <w:rFonts w:ascii="Arial" w:hAnsi="Arial" w:cs="Arial"/>
          <w:color w:val="000000" w:themeColor="text1"/>
        </w:rPr>
        <w:fldChar w:fldCharType="end"/>
      </w:r>
      <w:r w:rsidRPr="00CE0262">
        <w:rPr>
          <w:rFonts w:ascii="Arial" w:hAnsi="Arial" w:cs="Arial"/>
          <w:color w:val="000000" w:themeColor="text1"/>
        </w:rPr>
        <w:t xml:space="preserve">. Dust contains a complex mixture of allergenic proteins such as Der p1 and Der p2, which stimulate </w:t>
      </w:r>
      <w:proofErr w:type="spellStart"/>
      <w:r w:rsidRPr="00CE0262">
        <w:rPr>
          <w:rFonts w:ascii="Arial" w:hAnsi="Arial" w:cs="Arial"/>
          <w:color w:val="000000" w:themeColor="text1"/>
        </w:rPr>
        <w:t>IgE</w:t>
      </w:r>
      <w:proofErr w:type="spellEnd"/>
      <w:r w:rsidRPr="00CE0262">
        <w:rPr>
          <w:rFonts w:ascii="Arial" w:hAnsi="Arial" w:cs="Arial"/>
          <w:color w:val="000000" w:themeColor="text1"/>
        </w:rPr>
        <w:t xml:space="preserve">-mediated hypersensitivity reactions leading to allergic rhinitis, asthma, and atopic dermatitis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{"citationID":"a2jm1uk2fur","properties":{"formattedCitation":"(d\\uc0\\u8217{}Alessandro et al., 2021)","plainCitation":"(d’Alessandro et al., 2021)","noteIndex":0},"citationItems":[{"id":8087,"uris":["http://zotero.org/users/2543086/items/Z4DDBNDC"],"itemData":{"id":8087,"type":"article-journal","abstract":"The house dust mite (HDM) is globally ubiquitous in human habitats. Thirty-two allergens for Dermatophagoides farinae and 21 for Dermatophagoides pteronyssinus have been detected so far. The present minireview summarizes information about the role of Der p 1 as a key coordinator of the HDM-induced allergic response and reports on a series of Italian patients who are allergic to HDMs. We studied the specific IgE profiles in a population of patients with allergic asthma and rhinitis screened for specific immunotherapy (SIT) for HDM allergies, with the aim of obtaining insights into the pathogenic role of Der p1. Patients co-sensitized to other airborne allergens showed a higher prevalence of asthma (9/12 (75%) vs. 2/7 (29%); p &lt; 0.05) than did HDM mono-sensitized patients. The latter group showed higher Der p1 concentrations than that of the co-sensitized group (p = 0.0360), and a direct correlation between Der p1 and Der p2 (r = 0.93; p = 0.0003) was observed. In conclusion, our study offers insights into the role of Der p1 in a population of patients with allergic rhinitis and asthma who were candidates for SIT. Interestingly, Der p1 positivity was associated with bronchial asthma and co-sensitization.","container-title":"Allergies","DOI":"10.3390/allergies1020008","ISSN":"2313-5786","issue":"2","language":"en","license":"http://creativecommons.org/licenses/by/3.0/","note":"number: 2\npublisher: Multidisciplinary Digital Publishing Institute","page":"108-114","source":"www.mdpi.com","title":"House Dust Mite Allergy and the Der p1 Conundrum: A Literature Review and Case Series","title-short":"House Dust Mite Allergy and the Der p1 Conundrum","volume":"1","author":[{"family":"Alessandro","given":"Miriana","non-dropping-particle":"d’"},{"family":"Bergantini","given":"Laura"},{"family":"Perrone","given":"Anna"},{"family":"Cameli","given":"Paolo"},{"family":"Beltrami","given":"Valerio"},{"family":"Alderighi","given":"Lorenzo"},{"family":"Pini","given":"Laura"},{"family":"Bargagli","given":"Elena"},{"family":"Saletti","given":"Marco"}],"issued":{"date-parts":[["2021",6]]}}}],"schema":"https://github.com/citation-style-language/schema/raw/master/csl-citation.json"} </w:instrText>
      </w:r>
      <w:r w:rsidRPr="00CE0262">
        <w:rPr>
          <w:rFonts w:ascii="Arial" w:hAnsi="Arial" w:cs="Arial"/>
          <w:color w:val="000000" w:themeColor="text1"/>
        </w:rPr>
        <w:fldChar w:fldCharType="separate"/>
      </w:r>
      <w:r w:rsidR="00416159" w:rsidRPr="00416159">
        <w:rPr>
          <w:rFonts w:ascii="Arial" w:eastAsiaTheme="minorHAnsi" w:hAnsi="Arial" w:cs="Arial"/>
          <w:color w:val="000000"/>
          <w:lang w:val="en-GB" w:eastAsia="en-US"/>
          <w14:ligatures w14:val="standardContextual"/>
        </w:rPr>
        <w:t>(d’Alessandro et al., 2021)</w:t>
      </w:r>
      <w:r w:rsidRPr="00CE0262">
        <w:rPr>
          <w:rFonts w:ascii="Arial" w:hAnsi="Arial" w:cs="Arial"/>
          <w:color w:val="000000" w:themeColor="text1"/>
        </w:rPr>
        <w:fldChar w:fldCharType="end"/>
      </w:r>
      <w:r w:rsidRPr="00CE0262">
        <w:rPr>
          <w:rFonts w:ascii="Arial" w:hAnsi="Arial" w:cs="Arial"/>
          <w:color w:val="000000" w:themeColor="text1"/>
        </w:rPr>
        <w:t xml:space="preserve">. Global climate change and the replacement of farms with buildings may suggest a significant increase in the rate of dust storms, resulting in an upward trend in allergic reactions among the Basrah population. Spicy foods and perfume emerged as remarkable secondary allergens in the Basrah community, which may act through either </w:t>
      </w:r>
      <w:proofErr w:type="spellStart"/>
      <w:r w:rsidRPr="00CE0262">
        <w:rPr>
          <w:rFonts w:ascii="Arial" w:hAnsi="Arial" w:cs="Arial"/>
          <w:color w:val="000000" w:themeColor="text1"/>
        </w:rPr>
        <w:t>IgE</w:t>
      </w:r>
      <w:proofErr w:type="spellEnd"/>
      <w:r w:rsidRPr="00CE0262">
        <w:rPr>
          <w:rFonts w:ascii="Arial" w:hAnsi="Arial" w:cs="Arial"/>
          <w:color w:val="000000" w:themeColor="text1"/>
        </w:rPr>
        <w:t xml:space="preserve">-mediated or non-immunologic pathways. Spices are not well-known as standard allergy testing panels. However, studies have shown that capsaicin, carotenoids, polyphenols, and alkaloids, compounds found in spice extracts, can trigger neurogenic inflammation and </w:t>
      </w:r>
      <w:proofErr w:type="spellStart"/>
      <w:r w:rsidRPr="00CE0262">
        <w:rPr>
          <w:rFonts w:ascii="Arial" w:hAnsi="Arial" w:cs="Arial"/>
          <w:color w:val="000000" w:themeColor="text1"/>
        </w:rPr>
        <w:t>pseudoallergic</w:t>
      </w:r>
      <w:proofErr w:type="spellEnd"/>
      <w:r w:rsidRPr="00CE0262">
        <w:rPr>
          <w:rFonts w:ascii="Arial" w:hAnsi="Arial" w:cs="Arial"/>
          <w:color w:val="000000" w:themeColor="text1"/>
        </w:rPr>
        <w:t xml:space="preserve"> reactions, particularly in individuals with sensitive mucosa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{"citationID":"an9d8fo918","properties":{"formattedCitation":"(D\\uc0\\u237{}az-Guerrero et al., 2025)","plainCitation":"(Díaz-Guerrero et al., 2025)","noteIndex":0},"citationItems":[{"id":8091,"uris":["http://zotero.org/users/2543086/items/BNNTJJKL"],"itemData":{"id":8091,"type":"article-journal","abstract":"Spices are a part of modern and ancient cultures due to their recognized culinary and medicinal properties. Pepper is commonly used in many recipes; however, in the field of gastronomy, the term “pepper” usually refers to a group that includes several different spices, such as black pepper (Piper nigrum L.), cubeb pepper (Piper cubeba L.f.), long pepper (Piper longum L.), pink pepper (Schinus terebinthifolius Raddi), allspice (Pimenta dioica L. Merrill), and Japanese pepper (Zanthoxylum piperitum DC.). Despite the extensive study of the chemical characterization and medicinal and culinary properties of “pepper”, sensory analysis (color, aroma profile, odor profile, and chemesthesis) of these spices have not been completed. Therefore, the aim of this review was to identify the strengths, weaknesses, opportunities, and threats within the spice supply chain considering these six “peppers” to analyze their positive and negative aspects. Finally, we selected the most representative molecules and properties of spices referred to as “pepper” to expand the research focus and highlight their key aspects related to health and sensory science for future applications. In this sense, this review provides a new strategic guideline that will help us understand and assess the key internal and external factors of pepper, allowing them to be applied in different sectors with different approaches.","container-title":"Molecules","DOI":"10.3390/molecules30091891","ISSN":"1420-3049","issue":"9","language":"en","license":"http://creativecommons.org/licenses/by/3.0/","note":"number: 9\npublisher: Multidisciplinary Digital Publishing Institute","page":"1891","source":"www.mdpi.com","title":"“Pepper”: Different Spices, One Name—Analysis of Sensory and Biological Aspects","title-short":"“Pepper”","volume":"30","author":[{"family":"Díaz-Guerrero","given":"Pierina"},{"family":"Panzani","given":"Sofia"},{"family":"Sanmartin","given":"Chiara"},{"family":"Muntoni","given":"Chiara"},{"family":"Taglieri","given":"Isabella"},{"family":"Venturi","given":"Francesca"}],"issued":{"date-parts":[["2025",1]]}}}],"schema":"https://github.com/citation-style-language/schema/raw/master/csl-citation.json"} </w:instrText>
      </w:r>
      <w:r w:rsidRPr="00CE0262">
        <w:rPr>
          <w:rFonts w:ascii="Arial" w:hAnsi="Arial" w:cs="Arial"/>
          <w:color w:val="000000" w:themeColor="text1"/>
        </w:rPr>
        <w:fldChar w:fldCharType="separate"/>
      </w:r>
      <w:r w:rsidR="00416159" w:rsidRPr="00416159">
        <w:rPr>
          <w:rFonts w:ascii="Arial" w:eastAsiaTheme="minorHAnsi" w:hAnsi="Arial" w:cs="Arial"/>
          <w:color w:val="000000"/>
          <w:lang w:val="en-GB" w:eastAsia="en-US"/>
          <w14:ligatures w14:val="standardContextual"/>
        </w:rPr>
        <w:t>(Díaz-Guerrero et al., 2025)</w:t>
      </w:r>
      <w:r w:rsidRPr="00CE0262">
        <w:rPr>
          <w:rFonts w:ascii="Arial" w:hAnsi="Arial" w:cs="Arial"/>
          <w:color w:val="000000" w:themeColor="text1"/>
        </w:rPr>
        <w:fldChar w:fldCharType="end"/>
      </w:r>
      <w:r w:rsidRPr="00CE0262">
        <w:rPr>
          <w:rFonts w:ascii="Arial" w:hAnsi="Arial" w:cs="Arial"/>
          <w:color w:val="000000" w:themeColor="text1"/>
        </w:rPr>
        <w:t xml:space="preserve">. Limonene is one of the fragrance volatile organic compounds that can oxidize to form skin sensitizers, causing allergic reactions. Cleaning products were identified in the current study as active contributors to allergic reactions, including dermatitis and irritant contact dermatitis. Studies indicated that cleaning materials include (dimethyl-dimethyl) hydantoin (DMDMH), </w:t>
      </w:r>
      <w:proofErr w:type="spellStart"/>
      <w:r w:rsidRPr="00CE0262">
        <w:rPr>
          <w:rFonts w:ascii="Arial" w:hAnsi="Arial" w:cs="Arial"/>
          <w:color w:val="000000" w:themeColor="text1"/>
        </w:rPr>
        <w:t>benzisothiazolinone</w:t>
      </w:r>
      <w:proofErr w:type="spellEnd"/>
      <w:r w:rsidRPr="00CE0262">
        <w:rPr>
          <w:rFonts w:ascii="Arial" w:hAnsi="Arial" w:cs="Arial"/>
          <w:color w:val="000000" w:themeColor="text1"/>
        </w:rPr>
        <w:t xml:space="preserve"> (BIT), </w:t>
      </w:r>
      <w:proofErr w:type="spellStart"/>
      <w:r w:rsidRPr="00CE0262">
        <w:rPr>
          <w:rFonts w:ascii="Arial" w:hAnsi="Arial" w:cs="Arial"/>
          <w:color w:val="000000" w:themeColor="text1"/>
        </w:rPr>
        <w:t>octylisothiazolinone</w:t>
      </w:r>
      <w:proofErr w:type="spellEnd"/>
      <w:r w:rsidRPr="00CE0262">
        <w:rPr>
          <w:rFonts w:ascii="Arial" w:hAnsi="Arial" w:cs="Arial"/>
          <w:color w:val="000000" w:themeColor="text1"/>
        </w:rPr>
        <w:t xml:space="preserve"> (OIT), and phenoxyethanol</w:t>
      </w:r>
      <w:r w:rsidR="00B76061">
        <w:rPr>
          <w:rFonts w:ascii="Arial" w:hAnsi="Arial" w:cs="Arial"/>
          <w:color w:val="000000" w:themeColor="text1"/>
        </w:rPr>
        <w:t>,</w:t>
      </w:r>
      <w:r w:rsidRPr="00CE0262">
        <w:rPr>
          <w:rFonts w:ascii="Arial" w:hAnsi="Arial" w:cs="Arial"/>
          <w:color w:val="000000" w:themeColor="text1"/>
        </w:rPr>
        <w:t xml:space="preserve"> and also fragrances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{"citationID":"a5hqo34i1v","properties":{"formattedCitation":"(Salonen et al., 2024)","plainCitation":"(Salonen et al., 2024)","noteIndex":0},"citationItems":[{"id":8106,"uris":["http://zotero.org/users/2543086/items/GPBQ6F3E"],"itemData":{"id":8106,"type":"article-journal","abstract":"The use of cleaning and disinfecting products both at work and at home increased during the COVID-19 pandemic. Those products often include surfactants, acids/bases, carcinogens such as chloroform, and endocrine-disrupting chemicals, such as cyclosiloxanes, phthalates, and synthetic fragrances, which may cause harmful health effects among professional cleaners as well as among people exposed at home or in their workplaces. The aim of this study was to synthesize the effects of the commonly used chemical, surface cleaning and disinfecting products on indoor air quality, focusing on chemical and particulate matter pollutants, exposure, and human health in residential and public buildings. We also provide a summary of recommendations to avoid harmful exposure and suggest future research directions. PubMed, Google Scholar, Scopus, and Web of Science (WoS) were used to search the literature. Analysis of the literature revealed that the use of cleaning products and disinfectants increase occupants’ exposure to a variety of harmful chemical air contaminants and to particulate matter. Occupational exposure to cleaning and disinfectant products has been linked to an increased risk of asthma and rhinitis. Residential exposure to cleaning products has been shown to have an adverse effect on respiratory health, particularly on asthma onset, and on the occurrence of asthma(-like) symptoms among children and adults. Efforts to reduce occupants’ exposure to cleaning chemicals will require lowering the content of hazardous substances in cleaning products and improving ventilation during and after cleaning. Experimentally examined, best cleaning practices as well as careful selection of cleaning products can minimize the burden of harmful air pollutant exposure indoors. In addition, indirect ways to reduce exposure include increasing people’s awareness of the harmfulness of cleaning chemicals and of safe cleaning practices, as well as clear labelling of cleaning and disinfecting products.","container-title":"Environment International","DOI":"10.1016/j.envint.2024.108836","ISSN":"0160-4120","journalAbbreviation":"Environment International","page":"108836","source":"ScienceDirect","title":"Cleaning products: Their chemistry, effects on indoor air quality, and implications for human health","title-short":"Cleaning products","volume":"190","author":[{"family":"Salonen","given":"Heidi"},{"family":"Salthammer","given":"Tunga"},{"family":"Castagnoli","given":"Emmanuelle"},{"family":"Täubel","given":"Martin"},{"family":"Morawska","given":"Lidia"}],"issued":{"date-parts":[["2024",8,1]]}}}],"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(Salonen et al., 2024)</w:t>
      </w:r>
      <w:r w:rsidRPr="00CE0262">
        <w:rPr>
          <w:rFonts w:ascii="Arial" w:hAnsi="Arial" w:cs="Arial"/>
          <w:color w:val="000000" w:themeColor="text1"/>
        </w:rPr>
        <w:fldChar w:fldCharType="end"/>
      </w:r>
      <w:r w:rsidRPr="00CE0262">
        <w:rPr>
          <w:rFonts w:ascii="Arial" w:hAnsi="Arial" w:cs="Arial"/>
          <w:color w:val="000000" w:themeColor="text1"/>
        </w:rPr>
        <w:t xml:space="preserve">. All these chemicals are common allergens and can trigger immune-mediated skin inflammation upon exposure to cause skin irritation, sensitization, redness, and itching. As a result, cleaning agents can act as allergens, causing fruit allergens to be present in the peel, pulp, and seeds of fruits, which can lead to diverse allergic reactions and clinical presentations, ranging from contact allergies to potentially life-threatening anaphylaxis. </w:t>
      </w:r>
      <w:r w:rsidRPr="00CE0262">
        <w:rPr>
          <w:rFonts w:ascii="Arial" w:hAnsi="Arial" w:cs="Arial"/>
          <w:color w:val="000000" w:themeColor="text1"/>
        </w:rPr>
        <w:lastRenderedPageBreak/>
        <w:t xml:space="preserve">Cross-reactivity between aeroallergens and food allergens, due to structurally similar epitopes, causes a phenomenon recognized as pollen food allergy syndrome (PFAS), resulting in type I hypersensitivity through </w:t>
      </w:r>
      <w:proofErr w:type="spellStart"/>
      <w:r w:rsidRPr="00CE0262">
        <w:rPr>
          <w:rFonts w:ascii="Arial" w:hAnsi="Arial" w:cs="Arial"/>
          <w:color w:val="000000" w:themeColor="text1"/>
        </w:rPr>
        <w:t>IgE</w:t>
      </w:r>
      <w:proofErr w:type="spellEnd"/>
      <w:r w:rsidRPr="00CE0262">
        <w:rPr>
          <w:rFonts w:ascii="Arial" w:hAnsi="Arial" w:cs="Arial"/>
          <w:color w:val="000000" w:themeColor="text1"/>
        </w:rPr>
        <w:t xml:space="preserve"> production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{"citationID":"a2co69ut1cv","properties":{"formattedCitation":"(Krikeerati et al., 2023)","plainCitation":"(Krikeerati et al., 2023)","noteIndex":0},"citationItems":[{"id":8113,"uris":["http://zotero.org/users/2543086/items/TXF2Z58S"],"itemData":{"id":8113,"type":"article-journal","abstract":"Fruit allergies manifest with a diverse array of clinical presentations, ranging from localized contact allergies and oral allergy syndrome to the potential for severe systemic reactions including anaphylaxis. The scope of population-level prevalence studies remains limited, largely derived from single-center or hospital-based investigations. In this comprehensive review, we conducted a systematic literature search spanning the years 2009 to 2023, with full acknowledgment of potential analytical biases, to provide a global overview of fruit allergy prevalence. The primary mechanistic underpinning of fruit allergies stems from cross-reactivity between aeroallergens and food allergens, a consequence of structurally similar epitopes—a phenomenon recognized as pollen food allergy syndrome (PFAS). In the era of molecular allergology, numerous studies have dissected allergen components with substantial clinical relevance. Within this review, we explore important allergenic molecules found in plant-based foods, scrutinize pertinent cross-reactivity patterns, and offer insights into management recommendations. Additionally, we compare guideline recommendations to enhance clinical understanding and inform decision making.","container-title":"Foods","DOI":"10.3390/foods12224083","ISSN":"2304-8158","issue":"22","journalAbbreviation":"Foods","note":"PMID: 38002141\nPMCID: PMC10670478","page":"4083","source":"PubMed Central","title":"Revisiting Fruit Allergy: Prevalence across the Globe, Diagnosis, and Current Management","title-short":"Revisiting Fruit Allergy","volume":"12","author":[{"family":"Krikeerati","given":"Thanachit"},{"family":"Rodsaward","given":"Pongsawat"},{"family":"Nawiboonwong","given":"Jutamard"},{"family":"Pinyopornpanish","given":"Kanokkarn"},{"family":"Phusawang","given":"Songwut"},{"family":"Sompornrattanaphan","given":"Mongkhon"}],"issued":{"date-parts":[["2023",11,10]]}}}],"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w:t>
      </w:r>
      <w:proofErr w:type="spellStart"/>
      <w:r w:rsidR="00416159">
        <w:rPr>
          <w:rFonts w:ascii="Arial" w:hAnsi="Arial" w:cs="Arial"/>
          <w:color w:val="000000"/>
        </w:rPr>
        <w:t>Krikeerati</w:t>
      </w:r>
      <w:proofErr w:type="spellEnd"/>
      <w:r w:rsidR="00416159">
        <w:rPr>
          <w:rFonts w:ascii="Arial" w:hAnsi="Arial" w:cs="Arial"/>
          <w:color w:val="000000"/>
        </w:rPr>
        <w:t xml:space="preserve"> et al., 2023)</w:t>
      </w:r>
      <w:r w:rsidRPr="00CE0262">
        <w:rPr>
          <w:rFonts w:ascii="Arial" w:hAnsi="Arial" w:cs="Arial"/>
          <w:color w:val="000000" w:themeColor="text1"/>
        </w:rPr>
        <w:fldChar w:fldCharType="end"/>
      </w:r>
      <w:r w:rsidRPr="00CE0262">
        <w:rPr>
          <w:rFonts w:ascii="Arial" w:hAnsi="Arial" w:cs="Arial"/>
          <w:color w:val="000000" w:themeColor="text1"/>
        </w:rPr>
        <w:t xml:space="preserve">. Our study showed that hypersensitivity to penicillin was relatively low (4.15%) among the study population. Globally, studies reported penicillin allergy rates between (8–12%) in the UK, USA, and Australia (9·9%), compared to middle-income countries in Asia (4·4%)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{"citationID":"a13t26o7q9m","properties":{"formattedCitation":"(Luintel et al., 2025)","plainCitation":"(Luintel et al., 2025)","noteIndex":0},"citationItems":[{"id":8119,"uris":["http://zotero.org/users/2543086/items/UAHJPU3A"],"itemData":{"id":8119,"type":"article-journal","container-title":"Journal of Infection","DOI":"10.1016/j.jinf.2025.106429","ISSN":"0163-4453, 1532-2742","issue":"2","journalAbbreviation":"Journal of Infection","language":"English","note":"publisher: Elsevier\nPMID: 39874990","source":"www.journalofinfection.com","title":"The global prevalence of reported penicillin allergy: A systematic review and meta-analysis","title-short":"The global prevalence of reported penicillin allergy","URL":"https://www.journalofinfection.com/article/S0163-4453(25)00023-4/fulltext","volume":"90","author":[{"family":"Luintel","given":"Akish"},{"family":"Healy","given":"Joseph"},{"family":"Blank","given":"Michael"},{"family":"Luintel","given":"Aashika"},{"family":"Dryden","given":"Simon"},{"family":"Das","given":"Abhishek"},{"family":"Darzi","given":"Ara"},{"family":"Cooke","given":"Graham"}],"accessed":{"date-parts":[["2025",6,9]]},"issued":{"date-parts":[["2025",2,1]]}}}],"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(Luintel et al., 2025)</w:t>
      </w:r>
      <w:r w:rsidRPr="00CE0262">
        <w:rPr>
          <w:rFonts w:ascii="Arial" w:hAnsi="Arial" w:cs="Arial"/>
          <w:color w:val="000000" w:themeColor="text1"/>
        </w:rPr>
        <w:fldChar w:fldCharType="end"/>
      </w:r>
      <w:r w:rsidRPr="00CE0262">
        <w:rPr>
          <w:rFonts w:ascii="Arial" w:hAnsi="Arial" w:cs="Arial"/>
          <w:color w:val="000000" w:themeColor="text1"/>
        </w:rPr>
        <w:t xml:space="preserve">. Penicillin acts as haptens that bind to red blood cells as </w:t>
      </w:r>
      <w:r w:rsidR="00B76061">
        <w:rPr>
          <w:rFonts w:ascii="Arial" w:hAnsi="Arial" w:cs="Arial"/>
          <w:color w:val="000000" w:themeColor="text1"/>
        </w:rPr>
        <w:t>a carrier</w:t>
      </w:r>
      <w:r w:rsidRPr="00CE0262">
        <w:rPr>
          <w:rFonts w:ascii="Arial" w:hAnsi="Arial" w:cs="Arial"/>
          <w:color w:val="000000" w:themeColor="text1"/>
        </w:rPr>
        <w:t xml:space="preserve"> to be an active allergen</w:t>
      </w:r>
      <w:r w:rsidR="00B76061">
        <w:rPr>
          <w:rFonts w:ascii="Arial" w:hAnsi="Arial" w:cs="Arial"/>
          <w:color w:val="000000" w:themeColor="text1"/>
        </w:rPr>
        <w:t>,</w:t>
      </w:r>
      <w:r w:rsidRPr="00CE0262">
        <w:rPr>
          <w:rFonts w:ascii="Arial" w:hAnsi="Arial" w:cs="Arial"/>
          <w:color w:val="000000" w:themeColor="text1"/>
        </w:rPr>
        <w:t xml:space="preserve"> causing drug hypersensitivity reactions due to the release of IL-4, IL-8, </w:t>
      </w:r>
      <w:proofErr w:type="spellStart"/>
      <w:r w:rsidRPr="00CE0262">
        <w:rPr>
          <w:rFonts w:ascii="Arial" w:hAnsi="Arial" w:cs="Arial"/>
          <w:color w:val="000000" w:themeColor="text1"/>
        </w:rPr>
        <w:t>IgE</w:t>
      </w:r>
      <w:proofErr w:type="spellEnd"/>
      <w:r w:rsidRPr="00CE0262">
        <w:rPr>
          <w:rFonts w:ascii="Arial" w:hAnsi="Arial" w:cs="Arial"/>
          <w:color w:val="000000" w:themeColor="text1"/>
        </w:rPr>
        <w:t>, and interferon-γ (</w:t>
      </w:r>
      <w:proofErr w:type="spellStart"/>
      <w:r w:rsidRPr="00CE0262">
        <w:rPr>
          <w:rFonts w:ascii="Arial" w:hAnsi="Arial" w:cs="Arial"/>
          <w:color w:val="000000" w:themeColor="text1"/>
        </w:rPr>
        <w:t>IFNγ</w:t>
      </w:r>
      <w:proofErr w:type="spellEnd"/>
      <w:r w:rsidRPr="00CE0262">
        <w:rPr>
          <w:rFonts w:ascii="Arial" w:hAnsi="Arial" w:cs="Arial"/>
          <w:color w:val="000000" w:themeColor="text1"/>
        </w:rPr>
        <w:t>)</w:t>
      </w:r>
      <w:r w:rsidR="00B76061">
        <w:rPr>
          <w:rFonts w:ascii="Arial" w:hAnsi="Arial" w:cs="Arial"/>
          <w:color w:val="000000" w:themeColor="text1"/>
        </w:rPr>
        <w:t>,</w:t>
      </w:r>
      <w:r w:rsidRPr="00CE0262">
        <w:rPr>
          <w:rFonts w:ascii="Arial" w:hAnsi="Arial" w:cs="Arial"/>
          <w:color w:val="000000" w:themeColor="text1"/>
        </w:rPr>
        <w:t xml:space="preserve"> resulting in clinical presentation of symptoms such as skin rash, vomiting, breath shortness, and anaphylaxis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{"citationID":"a70lq91mvi","properties":{"formattedCitation":"(Maker et al., 2019)","plainCitation":"(Maker et al., 2019)","noteIndex":0},"citationItems":[{"id":8122,"uris":["http://zotero.org/users/2543086/items/BG4PFHKT"],"itemData":{"id":8122,"type":"article-journal","abstract":"Antibiotics are commonly prescribed to treat a variety of bacterial infections. As with all medications, hypersensitivity reactions may occur and clinicians should be able to recognize them accurately and recommend appropriate management. Antibiotic related hypersensitivity reactions may be one of four different types: Type I reactions, which are IgE mediated and may lead to anaphylaxis; Type II reactions that are antibody-mediated and may result in thrombocytopenia, neutropenia, or hemolytic anemia; Type III reaction that involves an immune complex formation such as vasculitis; and Type IV reactions that consist of four subtypes and typically include a rash of varying level of severity with or without systemic signs and symptoms. Herein, we describe the mechanisms of different types of allergic reactions to commonly prescribed antibiotics and offer recommendations for management. Further, we briefly refer to antibiotic reactions that mimic hypersensitivity reactions but are not immune mediated, such as pseudoallergies and serum sickness-like reactions.","container-title":"Pharmacy","DOI":"10.3390/pharmacy7030122","ISSN":"2226-4787","issue":"3","language":"en","license":"http://creativecommons.org/licenses/by/3.0/","note":"number: 3\npublisher: Multidisciplinary Digital Publishing Institute","page":"122","source":"www.mdpi.com","title":"Antibiotic Hypersensitivity Mechanisms","volume":"7","author":[{"family":"Maker","given":"Jenana H."},{"family":"Stroup","given":"Cassandra M."},{"family":"Huang","given":"Vanthida"},{"family":"James","given":"Stephanie F."}],"issued":{"date-parts":[["2019",9]]}}}],"schema":"https://github.com/citation-style-language/schema/raw/master/csl-citation.json"}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(Maker et al., 2019)</w:t>
      </w:r>
      <w:r w:rsidRPr="00CE0262">
        <w:rPr>
          <w:rFonts w:ascii="Arial" w:hAnsi="Arial" w:cs="Arial"/>
          <w:color w:val="000000" w:themeColor="text1"/>
        </w:rPr>
        <w:fldChar w:fldCharType="end"/>
      </w:r>
      <w:r w:rsidRPr="00CE0262">
        <w:rPr>
          <w:rFonts w:ascii="Arial" w:hAnsi="Arial" w:cs="Arial"/>
          <w:color w:val="000000" w:themeColor="text1"/>
        </w:rPr>
        <w:t xml:space="preserve">. The low prevalence of penicillin allergy in the Basrah community may indicate increased awareness about drug hypersensitivity or the use of a new generation of antibiotics for healthcare instead of penicillin. One of the most notable results of the current study was </w:t>
      </w:r>
      <w:r w:rsidR="00B76061">
        <w:rPr>
          <w:rFonts w:ascii="Arial" w:hAnsi="Arial" w:cs="Arial"/>
          <w:color w:val="000000" w:themeColor="text1"/>
        </w:rPr>
        <w:t xml:space="preserve">that </w:t>
      </w:r>
      <w:r w:rsidRPr="00CE0262">
        <w:rPr>
          <w:rFonts w:ascii="Arial" w:hAnsi="Arial" w:cs="Arial"/>
          <w:color w:val="000000" w:themeColor="text1"/>
        </w:rPr>
        <w:t xml:space="preserve">allergic to gluten, with a relatively low-frequency rate (3.41%) compared to other allergens such as dust, spices, or perfumes. This result aligns with the global trend of gluten sensitivity in approximately 5% of the population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{"citationID":"a2jtfp2qf0","properties":{"formattedCitation":"(Taraghikhah et al., 2020)","plainCitation":"(Taraghikhah et al., 2020)","noteIndex":0},"citationItems":[{"id":8126,"uris":["http://zotero.org/users/2543086/items/C6WHEPGU"],"itemData":{"id":8126,"type":"article-journal","abstract":"The incidence of gluten-related disorders (GRDs) continues to increase and its global prevalence is estimated at approximately 5% of the population. Celiac disease (CD), dermatitis herpetiformis (DH), gluten ataxia (GA), wheat allergy (WA), and non-celiac gluten sensitivity (NCGS) are the five major GRDs that present with a wide range of clinical manifestations. The diagnosis of GRDs can be challenging because the typical and atypical clinical manifestations of the GRDs overlap. In this review, the current definitions of gluten-related disorders, focusing on their clinical features, diagnostic and therapeutic approaches are presented. We concluded that GRDs are usually diagnosed using a combination of clinical features, serological tests, and histopathological findings. Treatment usually involves dietary modification.","container-title":"BMC Gastroenterology","DOI":"10.1186/s12876-020-01390-0","ISSN":"1471-230X","journalAbbreviation":"BMC Gastroenterol","note":"PMID: 32762724\nPMCID: PMC7409416","page":"258","source":"PubMed Central","title":"An updated overview of spectrum of gluten-related disorders: clinical and diagnostic aspects","title-short":"An updated overview of spectrum of gluten-related disorders","volume":"20","author":[{"family":"Taraghikhah","given":"Nazanin"},{"family":"Ashtari","given":"Sara"},{"family":"Asri","given":"Nastaran"},{"family":"Shahbazkhani","given":"Bijan"},{"family":"Al-Dulaimi","given":"David"},{"family":"Rostami-Nejad","given":"Mohammad"},{"family":"Rezaei-Tavirani","given":"Mostafa"},{"family":"Razzaghi","given":"Mohammad Reza"},{"family":"Zali","given":"Mohammad Reza"}],"issued":{"date-parts":[["2020",8,6]]}}}],"schema":"https://github.com/citation-style-language/schema/raw/master/csl-citation.json"}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(Taraghikhah et al., 2020)</w:t>
      </w:r>
      <w:r w:rsidRPr="00CE0262">
        <w:rPr>
          <w:rFonts w:ascii="Arial" w:hAnsi="Arial" w:cs="Arial"/>
          <w:color w:val="000000" w:themeColor="text1"/>
        </w:rPr>
        <w:fldChar w:fldCharType="end"/>
      </w:r>
      <w:r w:rsidRPr="00CE0262">
        <w:rPr>
          <w:rFonts w:ascii="Arial" w:hAnsi="Arial" w:cs="Arial"/>
          <w:color w:val="000000" w:themeColor="text1"/>
        </w:rPr>
        <w:t xml:space="preserve">. This finding suggests that true </w:t>
      </w:r>
      <w:proofErr w:type="spellStart"/>
      <w:r w:rsidRPr="00CE0262">
        <w:rPr>
          <w:rFonts w:ascii="Arial" w:hAnsi="Arial" w:cs="Arial"/>
          <w:color w:val="000000" w:themeColor="text1"/>
        </w:rPr>
        <w:t>IgE</w:t>
      </w:r>
      <w:proofErr w:type="spellEnd"/>
      <w:r w:rsidRPr="00CE0262">
        <w:rPr>
          <w:rFonts w:ascii="Arial" w:hAnsi="Arial" w:cs="Arial"/>
          <w:color w:val="000000" w:themeColor="text1"/>
        </w:rPr>
        <w:t xml:space="preserve">-mediated wheat or gluten allergy is rare compared to other allergies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{"citationID":"a16ql51q4ci","properties":{"formattedCitation":"(Sayed &amp; Ali, 2022)","plainCitation":"(Sayed &amp; Ali, 2022)","noteIndex":0},"citationItems":[{"id":8129,"uris":["http://zotero.org/users/2543086/items/UXVJ58MT"],"itemData":{"id":8129,"type":"article-journal","abstract":"IgE Mediated Wheat Allergy Associated with Resistant and Severe Forms of Allergic Conjunctivitis","DOI":"10.2174/18743064-v16-e2208170","journalAbbreviation":"Open Respir Med J.","language":"en","page":"e187430642208170","source":"openrespiratorymedicinejournal.com","title":"IgE Mediated Wheat Allergy Associated with Resistant and Severe Forms of Allergic Conjunctivitis","volume":"16","author":[{"family":"Sayed","given":"Khulood M."},{"family":"Ali","given":"Abdellah H."}],"issued":{"date-parts":[["2022"]]}}}],"schema":"https://github.com/citation-style-language/schema/raw/master/csl-citation.json"}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 xml:space="preserve">(Sayed </w:t>
      </w:r>
      <w:r w:rsidR="00DD6C5F">
        <w:rPr>
          <w:rFonts w:ascii="Arial" w:hAnsi="Arial" w:cs="Arial"/>
          <w:color w:val="000000"/>
        </w:rPr>
        <w:t>and</w:t>
      </w:r>
      <w:r w:rsidR="00416159">
        <w:rPr>
          <w:rFonts w:ascii="Arial" w:hAnsi="Arial" w:cs="Arial"/>
          <w:color w:val="000000"/>
        </w:rPr>
        <w:t xml:space="preserve"> Ali, 2022)</w:t>
      </w:r>
      <w:r w:rsidRPr="00CE0262">
        <w:rPr>
          <w:rFonts w:ascii="Arial" w:hAnsi="Arial" w:cs="Arial"/>
          <w:color w:val="000000" w:themeColor="text1"/>
        </w:rPr>
        <w:fldChar w:fldCharType="end"/>
      </w:r>
      <w:r w:rsidRPr="00CE0262">
        <w:rPr>
          <w:rFonts w:ascii="Arial" w:hAnsi="Arial" w:cs="Arial"/>
          <w:color w:val="000000" w:themeColor="text1"/>
        </w:rPr>
        <w:t xml:space="preserve">. In contrast, some countries reported a high prevalence of allergies to gluten, reaching approximately (10%)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{"citationID":"avg1cke9vg","properties":{"formattedCitation":"(Ontiveros et al., 2021)","plainCitation":"(Ontiveros et al., 2021)","noteIndex":0},"citationItems":[{"id":8124,"uris":["http://zotero.org/users/2543086/items/MK6RFC6B"],"itemData":{"id":8124,"type":"article-journal","abstract":"Gluten-related disorders (GRDs) are increasing around the world, but their magnitude and relevance remain unknown in most Latin American countries. Thus, an online survey was conducted to estimate the prevalence of GRDs as well as adherence to a gluten-free diet (GFD) in Paraguayan adult population. There were 1058 individuals surveyed using a validated questionnaire (response rate of 93.9%). The self-reported prevalence rates were as follows (95% CI): gluten sensitivity (GS), 10.30% (8.53–12.29); non-celiac GS (NCGS), 5.19% (3.94–6.71); physician-diagnosed celiac disease (PD-CD), 3.11% (2.15–4.35); wheat allergy (WA), 2.07% (1.30–3.13); and adherence to GFD, 15.69% (13.55–18.02). Excluding CD, more women than men met the criteria for GRDs, adverse food reactions, and GFD (p &lt; 0.05). Eight respondents reported the coexistence of NCGS with PD-CD and/or WA. Most cases on a GFD indicated medical/dietitian advice for following the diet (68.07%). Non-self-reported GS individuals indicated weight control (46.4%) and the notion that the GFD is healthier (20.2%) as the main motivations for following the diet. GRDs are not uncommon in Paraguayan adult population. It seems that there is awareness about GRDs and the GFD, but training about the diagnosis of GRDs is desirable because of the informed overlapping diagnoses of CD or WA with NCGS. Future studies involving face-to-face interviews are necessary.","container-title":"Nutrients","DOI":"10.3390/nu13020396","ISSN":"2072-6643","issue":"2","language":"en","license":"http://creativecommons.org/licenses/by/3.0/","note":"number: 2\npublisher: Multidisciplinary Digital Publishing Institute","page":"396","source":"www.mdpi.com","title":"Prevalence of Wheat/Gluten-Related Disorders and Gluten-Free Diet in Paraguay: An Online Survey-Based Study","title-short":"Prevalence of Wheat/Gluten-Related Disorders and Gluten-Free Diet in Paraguay","volume":"13","author":[{"family":"Ontiveros","given":"Noé"},{"family":"Real-Delor","given":"Raúl Emilio"},{"family":"Mora-Melgem","given":"José Antonio"},{"family":"Beltrán-Cárdenas","given":"Carlos Eduardo"},{"family":"Figueroa-Salcido","given":"Oscar Gerardo"},{"family":"Vergara-Jiménez","given":"Marcela de Jesús"},{"family":"Cárdenas-Torres","given":"Feliznando Isidro"},{"family":"Flores-Mendoza","given":"Lilian Karem"},{"family":"Arámburo-Gálvez","given":"Jesús Gilberto"},{"family":"Cabrera-Chávez","given":"Francisco"}],"issued":{"date-parts":[["2021",2]]}}}],"schema":"https://github.com/citation-style-language/schema/raw/master/csl-citation.json"}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(Ontiveros et al., 2021)</w:t>
      </w:r>
      <w:r w:rsidRPr="00CE0262">
        <w:rPr>
          <w:rFonts w:ascii="Arial" w:hAnsi="Arial" w:cs="Arial"/>
          <w:color w:val="000000" w:themeColor="text1"/>
        </w:rPr>
        <w:fldChar w:fldCharType="end"/>
      </w:r>
      <w:r w:rsidRPr="00CE0262">
        <w:rPr>
          <w:rFonts w:ascii="Arial" w:hAnsi="Arial" w:cs="Arial"/>
          <w:color w:val="000000" w:themeColor="text1"/>
        </w:rPr>
        <w:t xml:space="preserve">. Food allergic prevalence is highly variable in different countries, which is attributed to a complex interaction between genetic variation of human leukocyte antigens (HLA-DQ2/DQ8), epigenetic factors, and environmental factors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{"citationID":"akqmpuh5ue","properties":{"formattedCitation":"(Tham &amp; Leung, 2018)","plainCitation":"(Tham &amp; Leung, 2018)","noteIndex":0},"citationItems":[{"id":8131,"uris":["http://zotero.org/users/2543086/items/YWYWTBU9"],"itemData":{"id":8131,"type":"article-journal","abstract":"The prevalence and patterns of food allergy are highly variable in different parts of the world. Differences in food allergy epidemiology may be attributed to a complex interplay of genetic, epigenetic, and environmental factors, suggesting that mechanisms of food allergy may differ in various global populations. Genetic polymorphisms, migration, climate, and infant feeding practices all modulate food allergy risk, and possibly also the efficacy of interventions aimed at primary prevention of food allergy development. Approaches to diagnosis, treatment, and prevention of food allergy should thus be tailored carefully to each population's unique genetic and environmental make-up. Future research in the context of food allergy prevention should focus on elucidating factors determining differential responses between populations.","container-title":"Allergy, Asthma &amp; Immunology Research","DOI":"10.4168/aair.2018.10.4.290","ISSN":"2092-7355","issue":"4","journalAbbreviation":"Allergy Asthma Immunol Res","language":"eng","note":"PMID: 29949829\nPMCID: PMC6021584","page":"290-299","source":"PubMed","title":"How Different Parts of the World Provide New Insights Into Food Allergy","volume":"10","author":[{"family":"Tham","given":"Elizabeth Huiwen"},{"family":"Leung","given":"Donald Y. M."}],"issued":{"date-parts":[["2018",7]]}}}],"schema":"https://github.com/citation-style-language/schema/raw/master/csl-citation.json"}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 xml:space="preserve">(Tham </w:t>
      </w:r>
      <w:r w:rsidR="00DD6C5F">
        <w:rPr>
          <w:rFonts w:ascii="Arial" w:hAnsi="Arial" w:cs="Arial"/>
          <w:color w:val="000000"/>
        </w:rPr>
        <w:t>and</w:t>
      </w:r>
      <w:r w:rsidR="00416159">
        <w:rPr>
          <w:rFonts w:ascii="Arial" w:hAnsi="Arial" w:cs="Arial"/>
          <w:color w:val="000000"/>
        </w:rPr>
        <w:t xml:space="preserve"> Leung, 2018)</w:t>
      </w:r>
      <w:r w:rsidRPr="00CE0262">
        <w:rPr>
          <w:rFonts w:ascii="Arial" w:hAnsi="Arial" w:cs="Arial"/>
          <w:color w:val="000000" w:themeColor="text1"/>
        </w:rPr>
        <w:fldChar w:fldCharType="end"/>
      </w:r>
      <w:r w:rsidRPr="00CE0262">
        <w:rPr>
          <w:rFonts w:ascii="Arial" w:hAnsi="Arial" w:cs="Arial"/>
          <w:color w:val="000000" w:themeColor="text1"/>
        </w:rPr>
        <w:t xml:space="preserve"> </w:t>
      </w:r>
      <w:r w:rsidR="00B76061">
        <w:rPr>
          <w:rFonts w:ascii="Arial" w:hAnsi="Arial" w:cs="Arial"/>
          <w:color w:val="000000" w:themeColor="text1"/>
        </w:rPr>
        <w:t>i</w:t>
      </w:r>
      <w:r w:rsidRPr="00CE0262">
        <w:rPr>
          <w:rFonts w:ascii="Arial" w:hAnsi="Arial" w:cs="Arial"/>
          <w:color w:val="000000" w:themeColor="text1"/>
        </w:rPr>
        <w:t xml:space="preserve">n compare with close countries such as Turkey including the Eastern Black Sea Region and Mediterranean population reported prevalence with spices, tomatoes, and eggs as leading allergens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{"citationID":"a1f8ije6hd0","properties":{"formattedCitation":"(Duman &amp; Dursun, 2023; Gelincik et al., 2008)","plainCitation":"(Duman &amp; Dursun, 2023; Gelincik et al., 2008)","noteIndex":0},"citationItems":[{"id":8417,"uris":["http://zotero.org/users/2543086/items/7G5NMDGR"],"itemData":{"id":8417,"type":"article-journal","abstract":"Objective: Food allergy (FA) is an important public health problem which affects children and adults, its prevelance is increasing with the change of dietary habits in recent years. FA is a lifethreatening allergic reaction which can lead to anaphylaxis and is very difficult to treat. In our study, we wanted to contribute to the literature by investigating the prevalence of FA in the Eastern Black Sea Region based on a questionnaire.\nMethods: This study was planned as a cross-sectional web-based survey study. The questionnaire was prepared including 12 questions related with health problems that develop following food intake. Eastern Black Sea Region of Turkey was chosen as the target group of the study population. The questionnaire was published in local online and printed media during three months and the participants were allowed to fill it out.\nResults: The study included 920 people (604 female, 316 male) who completed the questionnaire and 157 (17%) of the participants noted that they had food allergies. The most common allergen foods were spices (15%), tomatoes (10.9%), and cow's milk (7.5%). The most common symptoms were urticaria (63.5%), gastrointestinal symptoms (30.2%), rhinitis (15.1%), oral allergy syndrome (OAS) symptoms (11.3%). Young age (p= 0.004), presence of atopic disease or family history of atopy (p=0.001) were found to be risk factors for the development of food allergy.\nConclusion: The prevalence of self-reported FA based on web-based survey in Eastern Black Sea residents is relatively high and specific to the region.","container-title":"Middle Black Sea Journal of Health Science","DOI":"10.19127/mbsjohs.1177217","ISSN":"2149-7796","issue":"3","language":"en","page":"489-497","source":"DOI.org (Crossref)","title":"The Prevalence of Questionnare Based Food Allergy in Adult Population of Eastern Blacksea Region of Turkey","volume":"9","author":[{"family":"Duman","given":"Handan"},{"family":"Dursun","given":"Adile Berna"}],"issued":{"date-parts":[["2023",8,31]]}}},{"id":8418,"uris":["http://zotero.org/users/2543086/items/CGN7PFYF"],"itemData":{"id":8418,"type":"article-journal","abstract":"We may conclude that FA/NAFH in the Turkish population seems to be low when compared with Northern and Western European countries. This may be due to genetic, cultural or dietary factors, and further studies evaluating the reasons for this low prevalence of FA/NAFH in our population are needed.","container-title":"Clinical and experimental allergy : journal of the British Society for Allergy and Clinical Immunology","DOI":"10.1111/j.1365-2222.2008.03019.x","ISSN":"1365-2222","issue":"8","language":"en","note":"publisher: Clin Exp Allergy\nPMID: 18537984","source":"pubmed.ncbi.nlm.nih.gov","title":"Confirmed prevalence of food allergy and non-allergic food hypersensitivity in a Mediterranean population","URL":"https://pubmed.ncbi.nlm.nih.gov/18537984/","volume":"38","author":[{"family":"Gelincik","given":"A."},{"family":"Büyüköztürk","given":"S."},{"family":"H","given":"Gül"},{"family":"E","given":"Işik"},{"family":"H","given":"Işsever"},{"family":"F","given":"Ozşeker"},{"family":"B","given":"Colakoğlu"},{"family":"M","given":"Dal"},{"family":"O","given":"Ayvaz"},{"family":"G","given":"Güngör"},{"family":"A","given":"Akkor"}],"accessed":{"date-parts":[["2025",8,30]]},"issued":{"date-parts":[["2008",8]]}}}],"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 xml:space="preserve">(Duman </w:t>
      </w:r>
      <w:r w:rsidR="00DD6C5F">
        <w:rPr>
          <w:rFonts w:ascii="Arial" w:hAnsi="Arial" w:cs="Arial"/>
          <w:color w:val="000000"/>
        </w:rPr>
        <w:t>and</w:t>
      </w:r>
      <w:r w:rsidR="00416159">
        <w:rPr>
          <w:rFonts w:ascii="Arial" w:hAnsi="Arial" w:cs="Arial"/>
          <w:color w:val="000000"/>
        </w:rPr>
        <w:t xml:space="preserve"> Dursun, 2023; Gelincik et al., 2008)</w:t>
      </w:r>
      <w:r w:rsidRPr="00CE0262">
        <w:rPr>
          <w:rFonts w:ascii="Arial" w:hAnsi="Arial" w:cs="Arial"/>
          <w:color w:val="000000" w:themeColor="text1"/>
        </w:rPr>
        <w:fldChar w:fldCharType="end"/>
      </w:r>
      <w:r w:rsidRPr="00CE0262">
        <w:rPr>
          <w:rFonts w:ascii="Arial" w:hAnsi="Arial" w:cs="Arial"/>
          <w:color w:val="000000" w:themeColor="text1"/>
        </w:rPr>
        <w:t xml:space="preserve">. The most common allergen foods were spices (15%), tomatoes (10.9%), and cow's milk (7.5%). The most common symptoms were urticaria (63.5%), </w:t>
      </w:r>
      <w:r w:rsidRPr="00CE0262">
        <w:rPr>
          <w:rFonts w:ascii="Arial" w:hAnsi="Arial" w:cs="Arial"/>
          <w:color w:val="000000" w:themeColor="text1"/>
        </w:rPr>
        <w:lastRenderedPageBreak/>
        <w:t xml:space="preserve">gastrointestinal symptoms (30.2%), rhinitis (15.1%), </w:t>
      </w:r>
      <w:r w:rsidR="006F3F4D">
        <w:rPr>
          <w:rFonts w:ascii="Arial" w:hAnsi="Arial" w:cs="Arial"/>
          <w:color w:val="000000" w:themeColor="text1"/>
        </w:rPr>
        <w:t xml:space="preserve">and </w:t>
      </w:r>
      <w:r w:rsidRPr="00CE0262">
        <w:rPr>
          <w:rFonts w:ascii="Arial" w:hAnsi="Arial" w:cs="Arial"/>
          <w:color w:val="000000" w:themeColor="text1"/>
        </w:rPr>
        <w:t xml:space="preserve">oral allergy syndrome (OAS) symptoms (11.3%). This result potentially reflects regional dietary patterns characterized by higher rice consumption, as well as social behaviors associated with food consumption and the introduction of new types of food supplemented with gluten from various countries and restaurants in Basrah province. Furthermore, Iraqi individuals have access to many countries that facilitate local food consumption, which may evoke allergic reactions in Iraqi travelers.    </w:t>
      </w:r>
    </w:p>
    <w:p w14:paraId="04686B67" w14:textId="4BCA6A74" w:rsidR="0013405D" w:rsidRPr="00CE0262" w:rsidRDefault="0013405D" w:rsidP="0013405D">
      <w:pPr>
        <w:spacing w:line="480" w:lineRule="auto"/>
        <w:jc w:val="both"/>
        <w:rPr>
          <w:rFonts w:ascii="Arial" w:hAnsi="Arial" w:cs="Arial"/>
          <w:color w:val="000000" w:themeColor="text1"/>
          <w:lang w:bidi="ar-IQ"/>
        </w:rPr>
      </w:pPr>
      <w:r w:rsidRPr="00CE0262">
        <w:rPr>
          <w:rFonts w:ascii="Arial" w:hAnsi="Arial" w:cs="Arial"/>
          <w:color w:val="000000" w:themeColor="text1"/>
        </w:rPr>
        <w:t xml:space="preserve">The results of this study showed distinct patterns between age-related distribution and allergen sensitivities, with penicillin allergies occurring predominantly in older adults over 31 years. These findings are consistent with broader epidemiological trends indicating that drug hypersensitivity reactions, particularly to penicillin, are more commonly reported in adults due to increased lifetime exposure and healthcare encounters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{"citationID":"a20nrnmo49v","properties":{"formattedCitation":"(Copaescu et al., 2025)","plainCitation":"(Copaescu et al., 2025)","noteIndex":0},"citationItems":[{"id":8134,"uris":["http://zotero.org/users/2543086/items/MW6QR5VW"],"itemData":{"id":8134,"type":"article-journal","abstract":"Background\nPenicillin allergy labels are associated with many adverse outcomes. Fear and restriction of future medication use also have an impact on health-related quality of life (HR-QoL). However, the impact of a drug allergy on HR-QoL and its associated factors remains unknown.\nObjective\nWe sought to investigate the impact of penicillin allergy labels and compare the factors associated with HR-QoL impairment among patients in an international multicenter, multiethnic cohort.\nMethods\nHR-QoL was measured using the 6-item Drug Hypersensitivity Quality of Life Questionnaire (DrHy-Q) and compared among patients labeled with penicillin allergy, before their allergy evaluation, from 8 adult allergy/immunology clinics across Asia, Australia, and North America.\nResults\nWe recruited 643 patients labeled with penicillin allergy (median age, 56 years [interquartile range, 39-67]; male:female ratio, 1:2.2), with 273 (42.5%), 186 (28.9%), and 184 (28.6%) from Asia, North America, and Australia, respectively. The median DrHy-Q score was 8.3 (interquartile range, 0.0-29.2). All patients underwent penicillin allergy evaluation, and 96% (617 of 643) were delabeled following negative provocation test results. Female patients (8.3 vs 4.2; P = .003), those with other concomitant antimicrobial allergy labels (20.8 vs 4.2; P = .004), and patients from Asia (33.3 vs 4.2 [North America] vs 0 [Australia]; P &lt; .001) had significantly higher DrHy-Q scores, reflecting a reduced HR-QoL. Ethnicity as well as other allergy variables were not significant in the multivariate analysis.\nConclusions\nRegional differences, ethnicity, and other risk factors influence HR-QoL impairment among patients labeled with penicillin allergy. Future studies are needed to understand the contributions of regional sociodemographic factors and identify interventions to improve HR-QoL.","container-title":"Journal of Allergy and Clinical Immunology: Global","DOI":"10.1016/j.jacig.2024.100354","ISSN":"2772-8293","issue":"1","journalAbbreviation":"Journal of Allergy and Clinical Immunology: Global","page":"100354","source":"ScienceDirect","title":"Global differences and risk factors influencing drug hypersensitivity quality of life: A multicenter, multiethnic study of drug allergy across 3 continents","title-short":"Global differences and risk factors influencing drug hypersensitivity quality of life","volume":"4","author":[{"family":"Copaescu","given":"Ana M."},{"family":"Mak","given":"Hugo W. F."},{"family":"Vogrin","given":"Sara"},{"family":"Holmes","given":"Natasha E."},{"family":"Trubiano","given":"Jason A."},{"family":"Li","given":"Philip H."}],"issued":{"date-parts":[["2025",2,1]]}}}],"schema":"https://github.com/citation-style-language/schema/raw/master/csl-citation.json"}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(Copaescu et al., 2025)</w:t>
      </w:r>
      <w:r w:rsidRPr="00CE0262">
        <w:rPr>
          <w:rFonts w:ascii="Arial" w:hAnsi="Arial" w:cs="Arial"/>
          <w:color w:val="000000" w:themeColor="text1"/>
        </w:rPr>
        <w:fldChar w:fldCharType="end"/>
      </w:r>
      <w:r w:rsidRPr="00CE0262">
        <w:rPr>
          <w:rFonts w:ascii="Arial" w:hAnsi="Arial" w:cs="Arial"/>
          <w:color w:val="000000" w:themeColor="text1"/>
        </w:rPr>
        <w:t xml:space="preserve">. The relatively narrow age range suggests that these reactions may be more likely to occur in individuals with prior sensitization through repeated antibiotic use during childhood illnesses. In contrast, in this study, gluten sensitivity was reported primarily among individuals younger than 20 years. This finding is consistent with the younger age range observed by other studies. For example, gastrointestinal symptoms associated with gluten allergy were most frequently reported in younger individuals in Italy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{"citationID":"a1p9fet23ch","properties":{"formattedCitation":"(Brindicci et al., 2024)","plainCitation":"(Brindicci et al., 2024)","noteIndex":0},"citationItems":[{"id":8136,"uris":["http://zotero.org/users/2543086/items/3C9H9BVN"],"itemData":{"id":8136,"type":"article-journal","abstract":"INTRODUCTION: \n          In different countries, the exact prevalence of people that refer symptoms after gluten ingestion is increasing and the unavailability of reliable laboratory tests to diagnose the condition known as nonceliac gluten sensitivity (NCGS) has opened the door to the spread of survey-based studies to hypothesize a prevalence of this condition with highly discordant results. We aim to describe the attitude toward gluten consumption in a large population of young adults in Italy.\n          METHODS: \n          A questionnaire-based cross-sectional study was conducted in 13 Italian cities to investigate the dietary attitudes of more than 9,400 people distributed throughout the country about gluten consumption. Only those referring to gluten-related symptoms with a frequency equal to “always” or “most of the time” were considered self-reported NCGS (SR-NCGS) patients.\n          RESULTS: \n          Five thousand two hundred thirty-four of 9,432 eligible participants (55.5%) fully completed the questionnaire. Excluding those with previous gastrointestinal diagnoses of celiac disease and wheat allergy, we have finally analyzed 4,987 questionnaires. Four hundred eighty-seven participants indicated gluten-related symptoms always or most of the time (SR-NCGS subjects), while 121 already had a medical diagnosis of NCGS. The minimum prevalence figure of SR-NCGS is 6.4% (95% confidence interval 6.0–6.9), with a higher prevalence in women (79.9%). The most frequent gluten-related symptoms were bloating, abdominal pain, and tiredness.\n          DISCUSSION: \n          The high prevalence of people reporting symptoms after gluten ingestion requires that the diagnosis of NCGS should be ascertained with a double-blind controlled study to limit the number of people who improperly approach a gluten-free diet.","container-title":"Official journal of the American College of Gastroenterology | ACG","DOI":"10.14309/ajg.0000000000002885","ISSN":"0002-9270","issue":"10","language":"en-US","page":"2114","source":"journals.lww.com","title":"Self-Reported Nonceliac Gluten Sensitivity in Italian Young Adults: A Cross-Sectional Study. A Dietary Fad?","title-short":"Self-Reported Nonceliac Gluten Sensitivity in Italian Young Adults","volume":"119","author":[{"family":"Brindicci","given":"Viviana Fara"},{"family":"Franceschini","given":"Simone"},{"family":"Gnasso","given":"Ilaria"},{"family":"Alcini","given":"Paride"},{"family":"Tassi","given":"Emanuele Abondio"},{"family":"Santarelli","given":"Lorenzo"},{"family":"Cristofori","given":"Fernanda"},{"family":"Dargenio","given":"Vanessa Nadia"},{"family":"Castellaneta","given":"Stefania"},{"family":"Group*","given":"the NCGS","dropping-particle":"study"},{"family":"Francavilla","given":"Ruggiero"}],"issued":{"date-parts":[["2024",10]]}}}],"schema":"https://github.com/citation-style-language/schema/raw/master/csl-citation.json"}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(Brindicci et al., 2024)</w:t>
      </w:r>
      <w:r w:rsidRPr="00CE0262">
        <w:rPr>
          <w:rFonts w:ascii="Arial" w:hAnsi="Arial" w:cs="Arial"/>
          <w:color w:val="000000" w:themeColor="text1"/>
        </w:rPr>
        <w:fldChar w:fldCharType="end"/>
      </w:r>
      <w:r w:rsidRPr="00CE0262">
        <w:rPr>
          <w:rFonts w:ascii="Arial" w:hAnsi="Arial" w:cs="Arial"/>
          <w:color w:val="000000" w:themeColor="text1"/>
        </w:rPr>
        <w:t>.</w:t>
      </w:r>
    </w:p>
    <w:p w14:paraId="25739BD2" w14:textId="2D23DF99" w:rsidR="0013405D" w:rsidRPr="00CE0262" w:rsidRDefault="0013405D" w:rsidP="004032BE">
      <w:pPr>
        <w:spacing w:line="480" w:lineRule="auto"/>
        <w:jc w:val="both"/>
        <w:rPr>
          <w:rFonts w:ascii="Arial" w:hAnsi="Arial" w:cs="Arial"/>
          <w:color w:val="000000" w:themeColor="text1"/>
        </w:rPr>
      </w:pPr>
      <w:r w:rsidRPr="00CE0262">
        <w:rPr>
          <w:rFonts w:ascii="Arial" w:hAnsi="Arial" w:cs="Arial"/>
          <w:color w:val="000000" w:themeColor="text1"/>
        </w:rPr>
        <w:t xml:space="preserve">Gluten stands out as the most triggering allergen, with significantly higher allergic symptom severity (4.07±0.83 out of 5) compared to all other allergens, including perfume, dust, pollen, fruits, spicy foods, and penicillin, despite its low frequency. This finding aligns with studies showing more severe systemic manifestations in gluten-related disorders compared to other food allergies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{"citationID":"a2n3tgqesd1","properties":{"formattedCitation":"(Sapone et al., 2012)","plainCitation":"(Sapone et al., 2012)","noteIndex":0},"citationItems":[{"id":8138,"uris":["http://zotero.org/users/2543086/items/SSXB4UCU"],"itemData":{"id":8138,"type":"article-journal","abstract":"A decade ago celiac disease was considered extremely rare outside Europe and, therefore, was almost completely ignored by health care professionals. In only 10 years, key milestones have moved celiac disease from obscurity into the popular spotlight worldwide. Now we are observing another interesting phenomenon that is generating great confusion among health care professionals. The number of individuals embracing a gluten-free diet (GFD) appears much higher than the projected number of celiac disease patients, fueling a global market of gluten-free products approaching $2.5 billion (US) in global sales in 2010. This trend is supported by the notion that, along with celiac disease, other conditions related to the ingestion of gluten have emerged as health care concerns. This review will summarize our current knowledge about the three main forms of gluten reactions: allergic (wheat allergy), autoimmune (celiac disease, dermatitis herpetiformis and gluten ataxia) and possibly immune-mediated (gluten sensitivity), and also outline pathogenic, clinical and epidemiological differences and propose new nomenclature and classifications.","container-title":"BMC Medicine","DOI":"10.1186/1741-7015-10-13","ISSN":"1741-7015","issue":"1","journalAbbreviation":"BMC Medicine","page":"13","source":"BioMed Central","title":"Spectrum of gluten-related disorders: consensus on new nomenclature and classification","title-short":"Spectrum of gluten-related disorders","volume":"10","author":[{"family":"Sapone","given":"Anna"},{"family":"Bai","given":"Julio C."},{"family":"Ciacci","given":"Carolina"},{"family":"Dolinsek","given":"Jernej"},{"family":"Green","given":"Peter HR"},{"family":"Hadjivassiliou","given":"Marios"},{"family":"Kaukinen","given":"Katri"},{"family":"Rostami","given":"Kamran"},{"family":"Sanders","given":"David S."},{"family":"Schumann","given":"Michael"},{"family":"Ullrich","given":"Reiner"},{"family":"Villalta","given":"Danilo"},{"family":"Volta","given":"Umberto"},{"family":"Catassi","given":"Carlo"},{"family":"Fasano","given":"Alessio"}],"issued":{"date-parts":[["2012",2,7]]}}}],"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(Sapone et al., 2012)</w:t>
      </w:r>
      <w:r w:rsidRPr="00CE0262">
        <w:rPr>
          <w:rFonts w:ascii="Arial" w:hAnsi="Arial" w:cs="Arial"/>
          <w:color w:val="000000" w:themeColor="text1"/>
        </w:rPr>
        <w:fldChar w:fldCharType="end"/>
      </w:r>
      <w:r w:rsidRPr="00CE0262">
        <w:rPr>
          <w:rFonts w:ascii="Arial" w:hAnsi="Arial" w:cs="Arial"/>
          <w:color w:val="000000" w:themeColor="text1"/>
        </w:rPr>
        <w:t xml:space="preserve"> and reflects its substantial impact on gluten intolerance and presentations of allergic disease, which often involve significant gastrointestinal and systemic </w:t>
      </w:r>
      <w:r w:rsidR="00796F30">
        <w:rPr>
          <w:rFonts w:ascii="Arial" w:hAnsi="Arial" w:cs="Arial"/>
          <w:color w:val="000000" w:themeColor="text1"/>
        </w:rPr>
        <w:br/>
      </w:r>
      <w:r w:rsidRPr="00CE0262">
        <w:rPr>
          <w:rFonts w:ascii="Arial" w:hAnsi="Arial" w:cs="Arial"/>
          <w:color w:val="000000" w:themeColor="text1"/>
        </w:rPr>
        <w:t xml:space="preserve">symptoms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{"citationID":"a2900che386","properties":{"formattedCitation":"(Jansson-Knodell &amp; Rubio-Tapia, 2024)","plainCitation":"(Jansson-Knodell &amp; Rubio-Tapia, 2024)","noteIndex":0},"citationItems":[{"id":8141,"uris":["http://zotero.org/users/2543086/items/84MV29XR"],"itemData":{"id":8141,"type":"article-journal","container-title":"Clinical Gastroenterology and Hepatology","DOI":"10.1016/j.cgh.2023.09.042","ISSN":"1542-3565, 1542-7714","issue":"4","journalAbbreviation":"Clinical Gastroenterology and Hepatology","language":"English","note":"publisher: Elsevier\nPMID: 37879521","page":"693-704.e1","source":"www.cghjournal.org","title":"Gluten-related Disorders From Bench to Bedside","volume":"22","author":[{"family":"Jansson-Knodell","given":"Claire L."},{"family":"Rubio-Tapia","given":"Alberto"}],"issued":{"date-parts":[["2024",4,1]]}}}],"schema":"https://github.com/citation-style-language/schema/raw/master/csl-citation.json"}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 xml:space="preserve">(Jansson-Knodell </w:t>
      </w:r>
      <w:r w:rsidR="00DD6C5F">
        <w:rPr>
          <w:rFonts w:ascii="Arial" w:hAnsi="Arial" w:cs="Arial"/>
          <w:color w:val="000000"/>
        </w:rPr>
        <w:t>and</w:t>
      </w:r>
      <w:r w:rsidR="00416159">
        <w:rPr>
          <w:rFonts w:ascii="Arial" w:hAnsi="Arial" w:cs="Arial"/>
          <w:color w:val="000000"/>
        </w:rPr>
        <w:t xml:space="preserve"> Rubio-Tapia, 2024)</w:t>
      </w:r>
      <w:r w:rsidRPr="00CE0262">
        <w:rPr>
          <w:rFonts w:ascii="Arial" w:hAnsi="Arial" w:cs="Arial"/>
          <w:color w:val="000000" w:themeColor="text1"/>
        </w:rPr>
        <w:fldChar w:fldCharType="end"/>
      </w:r>
      <w:r w:rsidRPr="00CE0262">
        <w:rPr>
          <w:rFonts w:ascii="Arial" w:hAnsi="Arial" w:cs="Arial"/>
          <w:color w:val="000000" w:themeColor="text1"/>
        </w:rPr>
        <w:t>.</w:t>
      </w:r>
      <w:r w:rsidR="004032BE">
        <w:rPr>
          <w:rFonts w:ascii="Arial" w:hAnsi="Arial" w:cs="Arial"/>
          <w:color w:val="000000" w:themeColor="text1"/>
        </w:rPr>
        <w:t xml:space="preserve"> </w:t>
      </w:r>
      <w:r w:rsidRPr="00CE0262">
        <w:rPr>
          <w:rFonts w:ascii="Arial" w:hAnsi="Arial" w:cs="Arial"/>
          <w:color w:val="000000" w:themeColor="text1"/>
          <w:lang w:bidi="ar-IQ"/>
        </w:rPr>
        <w:t xml:space="preserve">Among the study samples, the </w:t>
      </w:r>
      <w:r w:rsidR="006F3F4D">
        <w:rPr>
          <w:rFonts w:ascii="Arial" w:hAnsi="Arial" w:cs="Arial"/>
          <w:color w:val="000000" w:themeColor="text1"/>
          <w:lang w:bidi="ar-IQ"/>
        </w:rPr>
        <w:t>results</w:t>
      </w:r>
      <w:r w:rsidRPr="00CE0262">
        <w:rPr>
          <w:rFonts w:ascii="Arial" w:hAnsi="Arial" w:cs="Arial"/>
          <w:color w:val="000000" w:themeColor="text1"/>
          <w:lang w:bidi="ar-IQ"/>
        </w:rPr>
        <w:t xml:space="preserve"> </w:t>
      </w:r>
      <w:r w:rsidRPr="00CE0262">
        <w:rPr>
          <w:rFonts w:ascii="Arial" w:hAnsi="Arial" w:cs="Arial"/>
          <w:color w:val="000000" w:themeColor="text1"/>
          <w:lang w:bidi="ar-IQ"/>
        </w:rPr>
        <w:lastRenderedPageBreak/>
        <w:t xml:space="preserve">showed a high prevalence of combined cutaneous/respiratory symptoms, including </w:t>
      </w:r>
      <w:r w:rsidRPr="00CE0262">
        <w:rPr>
          <w:rFonts w:ascii="Arial" w:hAnsi="Arial" w:cs="Arial"/>
          <w:color w:val="000000" w:themeColor="text1"/>
        </w:rPr>
        <w:t>skin rash with breath shortening, cough, and itching (38.54%), skin rash with itching alone (36.59%), sneezing with cough (20.73%), and digestive issues (4.15%).</w:t>
      </w:r>
      <w:r w:rsidRPr="00CE0262">
        <w:rPr>
          <w:rFonts w:ascii="Arial" w:hAnsi="Arial" w:cs="Arial"/>
          <w:color w:val="000000" w:themeColor="text1"/>
          <w:lang w:bidi="ar-IQ"/>
        </w:rPr>
        <w:t xml:space="preserve"> These symptoms </w:t>
      </w:r>
      <w:r w:rsidRPr="00CE0262">
        <w:rPr>
          <w:rFonts w:ascii="Arial" w:hAnsi="Arial" w:cs="Arial"/>
          <w:color w:val="000000" w:themeColor="text1"/>
        </w:rPr>
        <w:t xml:space="preserve">indicated a spectrum of allergic manifestations involving multiple organ systems. Studies have reported a high prevalence of a combination of skin irritation and respiratory symptoms among the student population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{"citationID":"a1eu2555amn","properties":{"formattedCitation":"(Ibrahim et al., 2019)","plainCitation":"(Ibrahim et al., 2019)","noteIndex":0},"citationItems":[{"id":8064,"uris":["http://zotero.org/users/2543086/items/SV3QPEHM"],"itemData":{"id":8064,"type":"article-journal","abstract":"Objectives:\nTo determine the prevalence, types, clinical presentations, triggers, and predictors of allergic disorders among medical students and interns at King Abdulaziz University (KAU), Jeddah, Saudi Arabia.\n\nMethods:\nA cross-sectional design was used for this study in which 600 medical students and interns were selected by a multistage stratified random sampling. A validated, confidential, self-administered questionnaire was used during 2016 / 2017. It asked about the previous diagnosis of allergic disorders, associated factors, types, clinical symptoms and the triggering allergenic. Descriptive &amp; inferential statistics were done and logistic regression analysis was conducted.\n\nResults:\nThe overall prevalence of diagnosed allergic disorder(s) among the participants was 36.2%.The commonest types of allergy were skin (33.8%) followed by respiratory (29.5%) presentations. The most frequently reported allergenic triggers were the house dust (45.6%) and smoke (30.4%). The first allergy predictor was family history of allergic disorders (aOR= 4.35, 95 % CI: 2.96-6.39), followed by female gender. Regarding the outcome of allergy on students’ life, 16.1% occasionally missed classes, and 28.6% had sleep disturbance during allergic attacks.\n\nConclusion:\nAllergy represents an important problem among medical students and interns. Family history and female gender were the predictors of allergy. Skin and respiratory allergies were the most common types. House dust and smoke were the commonest allergenic triggers. Detection of allergens and management of cases of allergy among medical students and interns are needed. Education and conduction of awareness campaigns about allergy are needed.","container-title":"Pakistan Journal of Medical Sciences","DOI":"10.12669/pjms.35.4.1281","ISSN":"1682-024X","issue":"4","journalAbbreviation":"Pak J Med Sci","note":"PMID: 31372143\nPMCID: PMC6659050","page":"1060-1065","source":"PubMed Central","title":"Allergy and related clinical symptoms among medical students and interns","volume":"35","author":[{"family":"Ibrahim","given":"Nahla Khamis"},{"family":"Alghamdi","given":"Abeer Ali"},{"family":"Almehmadi","given":"Mayar Majed"},{"family":"Alzahrani","given":"Asma Abdulwahed"},{"family":"Turkistani","given":"Asraa Khairallah"},{"family":"Alghamdi","given":"Khalid"}],"issued":{"date-parts":[["2019"]]}}}],"schema":"https://github.com/citation-style-language/schema/raw/master/csl-citation.json"}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(Ibrahim et al., 2019)</w:t>
      </w:r>
      <w:r w:rsidRPr="00CE0262">
        <w:rPr>
          <w:rFonts w:ascii="Arial" w:hAnsi="Arial" w:cs="Arial"/>
          <w:color w:val="000000" w:themeColor="text1"/>
        </w:rPr>
        <w:fldChar w:fldCharType="end"/>
      </w:r>
      <w:r w:rsidRPr="00CE0262">
        <w:rPr>
          <w:rFonts w:ascii="Arial" w:hAnsi="Arial" w:cs="Arial"/>
          <w:color w:val="000000" w:themeColor="text1"/>
        </w:rPr>
        <w:t xml:space="preserve">. The combination of symptoms </w:t>
      </w:r>
      <w:r w:rsidR="006F3F4D">
        <w:rPr>
          <w:rFonts w:ascii="Arial" w:hAnsi="Arial" w:cs="Arial"/>
          <w:color w:val="000000" w:themeColor="text1"/>
        </w:rPr>
        <w:t xml:space="preserve">is </w:t>
      </w:r>
      <w:r w:rsidRPr="00CE0262">
        <w:rPr>
          <w:rFonts w:ascii="Arial" w:hAnsi="Arial" w:cs="Arial"/>
          <w:color w:val="000000" w:themeColor="text1"/>
        </w:rPr>
        <w:t>potentially due to anaphylaxis</w:t>
      </w:r>
      <w:r w:rsidR="006F3F4D">
        <w:rPr>
          <w:rFonts w:ascii="Arial" w:hAnsi="Arial" w:cs="Arial"/>
          <w:color w:val="000000" w:themeColor="text1"/>
        </w:rPr>
        <w:t>,</w:t>
      </w:r>
      <w:r w:rsidRPr="00CE0262">
        <w:rPr>
          <w:rFonts w:ascii="Arial" w:hAnsi="Arial" w:cs="Arial"/>
          <w:color w:val="000000" w:themeColor="text1"/>
        </w:rPr>
        <w:t xml:space="preserve"> severe allergic reactions, which are characteristically associated with two or more organ systems simultaneously, including the skin and respiratory tract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{"citationID":"a2jrikddnmu","properties":{"formattedCitation":"(Cardona et al., 2020)","plainCitation":"(Cardona et al., 2020)","noteIndex":0},"citationItems":[{"id":8071,"uris":["http://zotero.org/users/2543086/items/J4SQGQJ8"],"itemData":{"id":8071,"type":"article-journal","abstract":"Anaphylaxis is the most severe clinical presentation of acute systemic allergic reactions. The occurrence of anaphylaxis has increased in recent years, and subsequently, there is a need to continue disseminating knowledge on the diagnosis and management, so every healthcare professional is prepared to deal with such emergencies. The rationale of this updated position document is the need to keep guidance aligned with the current state of the art of knowledge in anaphylaxis management. The World Allergy Organization (WAO) anaphylaxis guidelines were published in 2011, and the current guidance adopts their major indications, incorporating some novel changes. Intramuscular epinephrine (adrenaline) continues to be the first-line treatment for anaphylaxis. Nevertheless, its use remains suboptimal. After an anaphylaxis occurrence, patients should be referred to a specialist to assess the potential cause and to be educated on prevention of recurrences and self-management. The limited availability of epinephrine auto-injectors remains a major problem in many countries, as well as their affordability for some patients.","container-title":"World Allergy Organization Journal","DOI":"10.1016/j.waojou.2020.100472","ISSN":"1939-4551","issue":"10","journalAbbreviation":"World Allergy Organization Journal","page":"100472","source":"ScienceDirect","title":"World Allergy Organization Anaphylaxis Guidance 2020","volume":"13","author":[{"family":"Cardona","given":"Victoria"},{"family":"Ansotegui","given":"Ignacio J."},{"family":"Ebisawa","given":"Motohiro"},{"family":"El-Gamal","given":"Yehia"},{"family":"Fernandez Rivas","given":"Montserrat"},{"family":"Fineman","given":"Stanley"},{"family":"Geller","given":"Mario"},{"family":"Gonzalez-Estrada","given":"Alexei"},{"family":"Greenberger","given":"Paul A."},{"family":"Sanchez Borges","given":"Mario"},{"family":"Senna","given":"Gianenrico"},{"family":"Sheikh","given":"Aziz"},{"family":"Tanno","given":"Luciana Kase"},{"family":"Thong","given":"Bernard Y."},{"family":"Turner","given":"Paul J."},{"family":"Worm","given":"Margitta"}],"issued":{"date-parts":[["2020",10,1]]}}}],"schema":"https://github.com/citation-style-language/schema/raw/master/csl-citation.json"}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(Cardona et al., 2020)</w:t>
      </w:r>
      <w:r w:rsidRPr="00CE0262">
        <w:rPr>
          <w:rFonts w:ascii="Arial" w:hAnsi="Arial" w:cs="Arial"/>
          <w:color w:val="000000" w:themeColor="text1"/>
        </w:rPr>
        <w:fldChar w:fldCharType="end"/>
      </w:r>
      <w:r w:rsidRPr="00CE0262">
        <w:rPr>
          <w:rFonts w:ascii="Arial" w:hAnsi="Arial" w:cs="Arial"/>
          <w:color w:val="000000" w:themeColor="text1"/>
        </w:rPr>
        <w:t xml:space="preserve">. These symptoms result from the activation of mast cells and basophils, which is associated with the crosslinking of </w:t>
      </w:r>
      <w:proofErr w:type="spellStart"/>
      <w:r w:rsidRPr="00CE0262">
        <w:rPr>
          <w:rFonts w:ascii="Arial" w:hAnsi="Arial" w:cs="Arial"/>
          <w:color w:val="000000" w:themeColor="text1"/>
        </w:rPr>
        <w:t>IgE</w:t>
      </w:r>
      <w:proofErr w:type="spellEnd"/>
      <w:r w:rsidRPr="00CE0262">
        <w:rPr>
          <w:rFonts w:ascii="Arial" w:hAnsi="Arial" w:cs="Arial"/>
          <w:color w:val="000000" w:themeColor="text1"/>
        </w:rPr>
        <w:t xml:space="preserve"> on </w:t>
      </w:r>
      <w:proofErr w:type="spellStart"/>
      <w:r w:rsidRPr="00CE0262">
        <w:rPr>
          <w:rFonts w:ascii="Arial" w:hAnsi="Arial" w:cs="Arial"/>
          <w:color w:val="000000" w:themeColor="text1"/>
        </w:rPr>
        <w:t>FcεRI</w:t>
      </w:r>
      <w:proofErr w:type="spellEnd"/>
      <w:r w:rsidRPr="00CE0262">
        <w:rPr>
          <w:rFonts w:ascii="Arial" w:hAnsi="Arial" w:cs="Arial"/>
          <w:color w:val="000000" w:themeColor="text1"/>
        </w:rPr>
        <w:t xml:space="preserve">, leading to the immediate release of histamine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{"citationID":"ah3qecpa5h","properties":{"formattedCitation":"(Peavy &amp; Metcalfe, 2008)","plainCitation":"(Peavy &amp; Metcalfe, 2008)","noteIndex":0},"citationItems":[{"id":8074,"uris":["http://zotero.org/users/2543086/items/7QF2LDQW"],"itemData":{"id":8074,"type":"article-journal","abstract":"Purpose of review\nThe present review considers recent reports that identify the roles of key intermediate signaling components and mediators during and after mast cell activation and degranulation leading to anaphylaxis.\n\nRecent findings\nMechanisms of anaphylaxis are becoming better understood as the interaction of several regulatory systems in the mast cell activation and degranulation signaling cascade. Multiple tyrosine kinases, activated after immunoglobulin E binding to the high-affinity receptors for immunoglobulin E (FcεRI), exert both positive and negative regulation on the signaling cascade, which may vary with genetic background or mutations in signaling proteins. Calcium influx, the essential, proximal intracellular event leading to mast cell degranulation, is controlled also by both negative and positive regulation through calcium channels. Sphingosine-1-phosphate is emerging as a newly realized mediator of anaphylaxis, acting as a signaling component within the mast cell and as a circulating mediator.\n\nSummary\nAnaphylaxis is a systemic reaction involving multiple organ systems, but it is believed that it may be influenced by cellular events in mast cells and basophils resulting in the release of mediators. Therefore, understanding the mechanisms of mast cell activation and degranulation is critical to understanding the mechanisms of anaphylaxis. Recent reports have identified important regulatory components of the signaling cascade and, consequently, potential targets for therapeutic intervention.","container-title":"Current opinion in allergy and clinical immunology","DOI":"10.1097/ACI.0b013e3283036a90","ISSN":"1528-4050","issue":"4","journalAbbreviation":"Curr Opin Allergy Clin Immunol","note":"PMID: 18596587\nPMCID: PMC2683407","page":"310-315","source":"PubMed Central","title":"Understanding the mechanisms of anaphylaxis","volume":"8","author":[{"family":"Peavy","given":"Richard D."},{"family":"Metcalfe","given":"Dean D."}],"issued":{"date-parts":[["2008",8]]}}}],"schema":"https://github.com/citation-style-language/schema/raw/master/csl-citation.json"}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 xml:space="preserve">(Peavy </w:t>
      </w:r>
      <w:r w:rsidR="00DD6C5F">
        <w:rPr>
          <w:rFonts w:ascii="Arial" w:hAnsi="Arial" w:cs="Arial"/>
          <w:color w:val="000000"/>
        </w:rPr>
        <w:t>and</w:t>
      </w:r>
      <w:r w:rsidR="00416159">
        <w:rPr>
          <w:rFonts w:ascii="Arial" w:hAnsi="Arial" w:cs="Arial"/>
          <w:color w:val="000000"/>
        </w:rPr>
        <w:t xml:space="preserve"> Metcalfe, 2008)</w:t>
      </w:r>
      <w:r w:rsidRPr="00CE0262">
        <w:rPr>
          <w:rFonts w:ascii="Arial" w:hAnsi="Arial" w:cs="Arial"/>
          <w:color w:val="000000" w:themeColor="text1"/>
        </w:rPr>
        <w:fldChar w:fldCharType="end"/>
      </w:r>
      <w:r w:rsidRPr="00CE0262">
        <w:rPr>
          <w:rFonts w:ascii="Arial" w:hAnsi="Arial" w:cs="Arial"/>
          <w:color w:val="000000" w:themeColor="text1"/>
        </w:rPr>
        <w:t xml:space="preserve">. </w:t>
      </w:r>
      <w:r w:rsidRPr="00CE0262">
        <w:rPr>
          <w:rFonts w:ascii="Arial" w:hAnsi="Arial" w:cs="Arial"/>
          <w:color w:val="000000" w:themeColor="text1"/>
          <w:lang w:bidi="ar-IQ"/>
        </w:rPr>
        <w:t xml:space="preserve">The skin is the largest immune organ, supported by a complex mixture of immune cells, particularly mast cells, which are mainly located in the dermis and orchestrate the defense mechanisms. Mast cells play a pivotal role as the first line of defense against microbial antigens, and they contain a large number of proinflammatory mediators within their cytoplasmic secretory granules, primarily histamines </w:t>
      </w:r>
      <w:r w:rsidRPr="00CE0262">
        <w:rPr>
          <w:rFonts w:ascii="Arial" w:hAnsi="Arial" w:cs="Arial"/>
          <w:color w:val="000000" w:themeColor="text1"/>
          <w:lang w:bidi="ar-IQ"/>
        </w:rPr>
        <w:fldChar w:fldCharType="begin"/>
      </w:r>
      <w:r w:rsidR="00416159">
        <w:rPr>
          <w:rFonts w:ascii="Arial" w:hAnsi="Arial" w:cs="Arial"/>
          <w:color w:val="000000" w:themeColor="text1"/>
          <w:lang w:bidi="ar-IQ"/>
        </w:rPr>
        <w:instrText xml:space="preserve"> ADDIN ZOTERO_ITEM CSL_CITATION {"citationID":"a29m4ephvn4","properties":{"formattedCitation":"(Banafea et al., 2022)","plainCitation":"(Banafea et al., 2022)","noteIndex":0},"citationItems":[{"id":8155,"uris":["http://zotero.org/users/2543086/items/HM4ZUEQX"],"itemData":{"id":8155,"type":"article-journal","abstract":"Mast cells are tissue-inhabiting cells that play an important role in inflammatory diseases of the airway tract. Mast cells arise in the bone marrow as progenitor cells and complete their differentiation in tissues exposed to the external environment, such as the skin and respiratory tract, and are among the first to respond to bacterial and parasitic infections. Mast cells express a variety of receptors that enable them to respond to a wide range of stimulants, including the high-affinity FcεRI receptor. Upon initial contact with an antigen, mast cells are sensitized with IgE to recognize the allergen upon further contact. FcεRI-activated mast cells are known to release histamine and proteases that contribute to asthma symptoms. They release a variety of cytokines and lipid mediators that contribute to immune cell accumulation and tissue remodeling in asthma. Mast cell mediators trigger inflammation and also have a protective effect. This review aims to update the existing knowledge on the mediators released by human FcεRI-activated mast cells, and to unravel their pathological and protective roles in asthma and allergy. In addition, we highlight other diseases that arise from mast cell dysfunction, the therapeutic approaches used to address them, and fill the gaps in our current knowledge. Mast cell mediators not only trigger inflammation but may also have a protective effect. Given the differences between human and animal mast cells, this review focuses on the mediators released by human FcεRI-activated mast cells and the role they play in asthma and allergy.","container-title":"Bioengineered","DOI":"10.1080/21655979.2022.2044278","ISSN":"2165-5979","issue":"3","note":"publisher: Taylor &amp; Francis\n_eprint: https://doi.org/10.1080/21655979.2022.2044278\nPMID: 35266441","page":"7049-7064","source":"Taylor and Francis+NEJM","title":"The role of human mast cells in allergy and asthma","volume":"13","author":[{"family":"Banafea","given":"Ghalya H"},{"family":"","given":"Bakhashab ,Sherin"},{"family":"","given":"Alshaibi ,Huda F"},{"family":"","given":"Natesan Pushparaj ,Peter"},{"family":"Rasool","given":"Mahmood","non-dropping-particle":"and"}],"issued":{"date-parts":[["2022",3,1]]}}}],"schema":"https://github.com/citation-style-language/schema/raw/master/csl-citation.json"} </w:instrText>
      </w:r>
      <w:r w:rsidRPr="00CE0262">
        <w:rPr>
          <w:rFonts w:ascii="Arial" w:hAnsi="Arial" w:cs="Arial"/>
          <w:color w:val="000000" w:themeColor="text1"/>
          <w:lang w:bidi="ar-IQ"/>
        </w:rPr>
        <w:fldChar w:fldCharType="separate"/>
      </w:r>
      <w:r w:rsidR="00416159">
        <w:rPr>
          <w:rFonts w:ascii="Arial" w:hAnsi="Arial" w:cs="Arial"/>
          <w:color w:val="000000"/>
        </w:rPr>
        <w:t>(Banafea et al., 2022)</w:t>
      </w:r>
      <w:r w:rsidRPr="00CE0262">
        <w:rPr>
          <w:rFonts w:ascii="Arial" w:hAnsi="Arial" w:cs="Arial"/>
          <w:color w:val="000000" w:themeColor="text1"/>
          <w:lang w:bidi="ar-IQ"/>
        </w:rPr>
        <w:fldChar w:fldCharType="end"/>
      </w:r>
      <w:r w:rsidRPr="00CE0262">
        <w:rPr>
          <w:rFonts w:ascii="Arial" w:hAnsi="Arial" w:cs="Arial"/>
          <w:color w:val="000000" w:themeColor="text1"/>
          <w:lang w:bidi="ar-IQ"/>
        </w:rPr>
        <w:t xml:space="preserve">. Histamine triggers an itch sensation on the skin, prompting the desire to scratch. </w:t>
      </w:r>
      <w:r w:rsidRPr="00CE0262">
        <w:rPr>
          <w:rFonts w:ascii="Arial" w:hAnsi="Arial" w:cs="Arial"/>
          <w:color w:val="000000" w:themeColor="text1"/>
        </w:rPr>
        <w:t xml:space="preserve">Skin irritation, including itching, pruritus, and rashes, is a common hallmark of allergic reactions due to histamine release, reflecting the complex immune mechanisms triggered by allergen exposure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{"citationID":"a5c2gp4n8g","properties":{"formattedCitation":"(Umehara et al., 2021)","plainCitation":"(Umehara et al., 2021)","noteIndex":0},"citationItems":[{"id":8157,"uris":["http://zotero.org/users/2543086/items/B7ESRBTI"],"itemData":{"id":8157,"type":"article-journal","abstract":"Itch or pruritus is the hallmark of atopic dermatitis and is defined as an unpleasant sensation that evokes the desire to scratch. It is also believed that itch is a signal of danger from various environmental factors or physiological abnormalities. Because histamine is a well-known substance inducing itch, H1-antihistamines are the most frequently used drugs to treat pruritus. However, H1-antihistamines are not fully effective against intractable itch in patients with atopic dermatitis. Given that intractable itch is a clinical problem that markedly decreases quality of life, its treatment in atopic dermatitis is of high importance. Histamine-independent itch may be elicited by various pruritogens, including proteases, cytokines, neuropeptides, lipids, and opioids, and their cognate receptors, such as protease-activated receptors, cytokine receptors, Mas-related G protein-coupled receptors, opioid receptors, and transient receptor potential channels. In addition, cutaneous hyperinnervation is partly involved in itch sensitization in the periphery. It is believed that dry skin is a key feature of intractable itch in atopic dermatitis. Treatment of the underlying conditions that cause itch is necessary to improve the quality of life of patients with atopic dermatitis. This review describes current insights into the pathophysiology of itch and its treatment in atopic dermatitis.","container-title":"Biomedicines","DOI":"10.3390/biomedicines9030229","ISSN":"2227-9059","issue":"3","journalAbbreviation":"Biomedicines","note":"PMID: 33668714\nPMCID: PMC7996203","page":"229","source":"PubMed Central","title":"Intractable Itch in Atopic Dermatitis: Causes and Treatments","title-short":"Intractable Itch in Atopic Dermatitis","volume":"9","author":[{"family":"Umehara","given":"Yoshie"},{"family":"Kiatsurayanon","given":"Chanisa"},{"family":"Trujillo-Paez","given":"Juan Valentin"},{"family":"Chieosilapatham","given":"Panjit"},{"family":"Peng","given":"Ge"},{"family":"Yue","given":"Hainan"},{"family":"Nguyen","given":"Hai Le Thanh"},{"family":"Song","given":"Pu"},{"family":"Okumura","given":"Ko"},{"family":"Ogawa","given":"Hideoki"},{"family":"Niyonsaba","given":"François"}],"issued":{"date-parts":[["2021",2,25]]}}}],"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(Umehara et al., 2021)</w:t>
      </w:r>
      <w:r w:rsidRPr="00CE0262">
        <w:rPr>
          <w:rFonts w:ascii="Arial" w:hAnsi="Arial" w:cs="Arial"/>
          <w:color w:val="000000" w:themeColor="text1"/>
        </w:rPr>
        <w:fldChar w:fldCharType="end"/>
      </w:r>
      <w:r w:rsidRPr="00CE0262">
        <w:rPr>
          <w:rFonts w:ascii="Arial" w:hAnsi="Arial" w:cs="Arial"/>
          <w:color w:val="000000" w:themeColor="text1"/>
        </w:rPr>
        <w:t xml:space="preserve">. Accordingly, </w:t>
      </w:r>
      <w:r w:rsidRPr="00CE0262">
        <w:rPr>
          <w:rFonts w:ascii="Arial" w:hAnsi="Arial" w:cs="Arial"/>
          <w:color w:val="000000" w:themeColor="text1"/>
          <w:lang w:bidi="ar-IQ"/>
        </w:rPr>
        <w:t>cutaneous symptoms are the predominant signs observed in the population studied. An inflammatory immune response may also develop, leading to hypersensitivity reactions triggered by allergens, which are typically characterized by skin redness and swelling, such as contact dermatitis and atopic dermatitis.</w:t>
      </w:r>
      <w:r w:rsidRPr="00CE0262">
        <w:rPr>
          <w:rFonts w:ascii="Arial" w:hAnsi="Arial" w:cs="Arial"/>
          <w:color w:val="000000" w:themeColor="text1"/>
        </w:rPr>
        <w:t> Conversely,</w:t>
      </w:r>
      <w:r w:rsidRPr="00CE0262">
        <w:rPr>
          <w:rStyle w:val="whitespace-nowrap"/>
          <w:rFonts w:ascii="Arial" w:hAnsi="Arial" w:cs="Arial"/>
          <w:color w:val="000000" w:themeColor="text1"/>
        </w:rPr>
        <w:t xml:space="preserve"> digestive symptoms are presented less commonly, which aligns with the recognized gastrointestinal effects of food allergies, where immune-mediated responses lead to symptoms such as abdominal pain, nausea, or vomiting</w:t>
      </w:r>
      <w:r w:rsidRPr="00CE0262">
        <w:rPr>
          <w:rFonts w:ascii="Arial" w:hAnsi="Arial" w:cs="Arial"/>
          <w:color w:val="000000" w:themeColor="text1"/>
        </w:rPr>
        <w:t xml:space="preserve">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{"citationID":"a2jkv9u1f4a","properties":{"formattedCitation":"(Brown-Whitehorn &amp; Spergel, 2020)","plainCitation":"(Brown-Whitehorn &amp; Spergel, 2020)","noteIndex":0},"citationItems":[{"id":8160,"uris":["http://zotero.org/users/2543086/items/T83J3JHZ"],"itemData":{"id":8160,"type":"article-journal","abstract":"Eosinophilic esophagitis (EoE) is a non–immunoglobulin E mediated disorder that has been seen with increasing frequency over the past 25 years. Although the presentation varies per age group from vomiting and refusal to eat in infants and toddlers to abdominal pain and dysphagia in school-aged children, and food impaction and indigestion in adolescents and adults. Treatment options include proton-pump inhibitors, dietary avoidance, swallowed steroids, or a combination of these. Newer therapies with biologics show promise in early studies. Cow's milk is the most common food trigger of EoE across all age groups, followed by wheat and eggs. Different dietary avoidance strategies have been used, and help from a knowledgeable nutritionist is often key to success. Patients with EoE commonly have other baseline atopic disease. Clinicians who take care of patients who are atopic, therefore, should have a higher index of suspicion for EoE in patients with dysphagia. The goals of treatment are both a decrease in symptoms and normalization of esophageal histology. Eosinophilic gastrointestinal diseases are less common and less likely to respond to dietary therapies and/or avoidance. Pathogenesis seems to be different and may be more autoimmune mediated. Trialing dietary restrictions is certainly an option in this cohort of patients. For persistent symptoms and abnormalities, systemic medications have been used, although biologics may be used in the future. Additional studies are needed to determine which patients will respond to which therapies.","container-title":"Journal of Food Allergy","DOI":"10.2500/jfa.2020.2.200010","ISSN":"2689-0267","issue":"1","journalAbbreviation":"J Food Allergy","note":"PMID: 39022152\nPMCID: PMC11250641","page":"39-43","source":"PubMed Central","title":"Food allergy and eosinophilic gastrointestinal disorders","volume":"2","author":[{"family":"Brown-Whitehorn","given":"Terri"},{"family":"Spergel","given":"Jonathan M."}],"issued":{"date-parts":[["2020",9,1]]}}}],"schema":"https://github.com/citation-style-language/schema/raw/master/csl-citation.json"}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 xml:space="preserve">(Brown-Whitehorn </w:t>
      </w:r>
      <w:r w:rsidR="00DD6C5F">
        <w:rPr>
          <w:rFonts w:ascii="Arial" w:hAnsi="Arial" w:cs="Arial"/>
          <w:color w:val="000000"/>
        </w:rPr>
        <w:t>and</w:t>
      </w:r>
      <w:r w:rsidR="00416159">
        <w:rPr>
          <w:rFonts w:ascii="Arial" w:hAnsi="Arial" w:cs="Arial"/>
          <w:color w:val="000000"/>
        </w:rPr>
        <w:t xml:space="preserve"> Spergel, 2020)</w:t>
      </w:r>
      <w:r w:rsidRPr="00CE0262">
        <w:rPr>
          <w:rFonts w:ascii="Arial" w:hAnsi="Arial" w:cs="Arial"/>
          <w:color w:val="000000" w:themeColor="text1"/>
        </w:rPr>
        <w:fldChar w:fldCharType="end"/>
      </w:r>
      <w:r w:rsidRPr="00CE0262">
        <w:rPr>
          <w:rFonts w:ascii="Arial" w:hAnsi="Arial" w:cs="Arial"/>
          <w:color w:val="000000" w:themeColor="text1"/>
        </w:rPr>
        <w:t xml:space="preserve">. This pattern of symptoms emphasizes the </w:t>
      </w:r>
      <w:r w:rsidRPr="00CE0262">
        <w:rPr>
          <w:rFonts w:ascii="Arial" w:hAnsi="Arial" w:cs="Arial"/>
          <w:color w:val="000000" w:themeColor="text1"/>
        </w:rPr>
        <w:lastRenderedPageBreak/>
        <w:t>complex interaction and involvement of the skin, respiratory tract, and gastrointestinal organs in the immune system during allergic reactions. From a clinical perspective, these results point out the importance of identifying specific allergens to draw certain strategies for preventing or avoiding severe allergic reactions that require urgent medical attention, particularly in Basrah province.</w:t>
      </w:r>
      <w:r w:rsidR="004032BE">
        <w:rPr>
          <w:rFonts w:ascii="Arial" w:hAnsi="Arial" w:cs="Arial"/>
          <w:color w:val="000000" w:themeColor="text1"/>
        </w:rPr>
        <w:t xml:space="preserve"> </w:t>
      </w:r>
      <w:r w:rsidRPr="00CE0262">
        <w:rPr>
          <w:rFonts w:ascii="Arial" w:hAnsi="Arial" w:cs="Arial"/>
          <w:color w:val="000000" w:themeColor="text1"/>
          <w:lang w:bidi="ar-IQ"/>
        </w:rPr>
        <w:t xml:space="preserve">This study had several limitations. Firstly, a small </w:t>
      </w:r>
      <w:r w:rsidR="006F3F4D">
        <w:rPr>
          <w:rFonts w:ascii="Arial" w:hAnsi="Arial" w:cs="Arial"/>
          <w:color w:val="000000" w:themeColor="text1"/>
          <w:lang w:bidi="ar-IQ"/>
        </w:rPr>
        <w:t xml:space="preserve">sample </w:t>
      </w:r>
      <w:r w:rsidRPr="00CE0262">
        <w:rPr>
          <w:rFonts w:ascii="Arial" w:hAnsi="Arial" w:cs="Arial"/>
          <w:color w:val="000000" w:themeColor="text1"/>
          <w:lang w:bidi="ar-IQ"/>
        </w:rPr>
        <w:t xml:space="preserve">size of participants may be considered one of these limitations. Second, the definitions of allergy symptoms collected from questionnaire choices may not represent the actual symptoms, and the conclusions obtained may be biased. </w:t>
      </w:r>
    </w:p>
    <w:p w14:paraId="5F2D8D7F" w14:textId="77777777" w:rsidR="0013405D" w:rsidRPr="00CE0262" w:rsidRDefault="0013405D" w:rsidP="0013405D">
      <w:pPr>
        <w:spacing w:line="480" w:lineRule="auto"/>
        <w:jc w:val="both"/>
        <w:rPr>
          <w:rFonts w:ascii="Arial" w:hAnsi="Arial" w:cs="Arial"/>
          <w:color w:val="000000" w:themeColor="text1"/>
          <w:lang w:bidi="ar-IQ"/>
        </w:rPr>
      </w:pPr>
    </w:p>
    <w:p w14:paraId="719A228A" w14:textId="5CDC4DA5" w:rsidR="0013405D" w:rsidRPr="00CE0262" w:rsidRDefault="00613337" w:rsidP="0013405D">
      <w:pPr>
        <w:spacing w:line="480" w:lineRule="auto"/>
        <w:jc w:val="center"/>
        <w:rPr>
          <w:rFonts w:ascii="Arial" w:hAnsi="Arial" w:cs="Arial"/>
          <w:b/>
          <w:bCs/>
          <w:color w:val="000000" w:themeColor="text1"/>
          <w:lang w:bidi="ar-IQ"/>
        </w:rPr>
      </w:pPr>
      <w:r w:rsidRPr="00CE0262">
        <w:rPr>
          <w:rFonts w:ascii="Arial" w:hAnsi="Arial" w:cs="Arial"/>
          <w:b/>
          <w:bCs/>
          <w:color w:val="000000" w:themeColor="text1"/>
          <w:lang w:bidi="ar-IQ"/>
        </w:rPr>
        <w:t>CONCLUSION</w:t>
      </w:r>
    </w:p>
    <w:p w14:paraId="5935F747" w14:textId="163BBD63" w:rsidR="0037286B" w:rsidRPr="00CE0262" w:rsidRDefault="0013405D" w:rsidP="009B6E5A">
      <w:pPr>
        <w:spacing w:line="480" w:lineRule="auto"/>
        <w:jc w:val="both"/>
        <w:rPr>
          <w:rFonts w:ascii="Arial" w:hAnsi="Arial" w:cs="Arial"/>
          <w:color w:val="000000" w:themeColor="text1"/>
        </w:rPr>
      </w:pPr>
      <w:r w:rsidRPr="00CE0262">
        <w:rPr>
          <w:rFonts w:ascii="Arial" w:hAnsi="Arial" w:cs="Arial"/>
          <w:color w:val="000000" w:themeColor="text1"/>
        </w:rPr>
        <w:t>These findings reveal that dust-contaminated air is identified as the predominant environmental trigger, followed by spicy foods, perfume, pollen, cleaning products, fruits, penicillin, and gluten. Gluten emerges as the most potent active allergen in younger individuals and is associated with the highest symptom severity. Developing strategies to mitigate exposure to dust, pollen, and particularly gluten can enhance allergy management and medical support services. Further research is needed to address and reduce the impact of allergic diseases in this area.</w:t>
      </w:r>
    </w:p>
    <w:p w14:paraId="267D060E" w14:textId="77777777" w:rsidR="0013405D" w:rsidRPr="00CE0262" w:rsidRDefault="0013405D" w:rsidP="0013405D">
      <w:pPr>
        <w:spacing w:line="480" w:lineRule="auto"/>
        <w:rPr>
          <w:rFonts w:ascii="Arial" w:hAnsi="Arial" w:cs="Arial"/>
          <w:color w:val="000000" w:themeColor="text1"/>
        </w:rPr>
      </w:pPr>
      <w:bookmarkStart w:id="0" w:name="_GoBack"/>
      <w:bookmarkEnd w:id="0"/>
      <w:r w:rsidRPr="00CE0262">
        <w:rPr>
          <w:rFonts w:ascii="Arial" w:hAnsi="Arial" w:cs="Arial"/>
          <w:b/>
          <w:bCs/>
          <w:color w:val="000000" w:themeColor="text1"/>
        </w:rPr>
        <w:t>Informed Consent Statement</w:t>
      </w:r>
    </w:p>
    <w:p w14:paraId="1B271F82" w14:textId="3656D404" w:rsidR="004328AE" w:rsidRPr="009B6E5A" w:rsidRDefault="0013405D" w:rsidP="009B6E5A">
      <w:pPr>
        <w:shd w:val="clear" w:color="auto" w:fill="FFFFFF"/>
        <w:spacing w:line="480" w:lineRule="auto"/>
        <w:jc w:val="both"/>
        <w:rPr>
          <w:rFonts w:ascii="Arial" w:hAnsi="Arial" w:cs="Arial"/>
          <w:color w:val="000000" w:themeColor="text1"/>
        </w:rPr>
      </w:pPr>
      <w:r w:rsidRPr="00CE0262">
        <w:rPr>
          <w:rFonts w:ascii="Arial" w:hAnsi="Arial" w:cs="Arial"/>
          <w:color w:val="000000" w:themeColor="text1"/>
        </w:rPr>
        <w:t>Informed consent was obtained from all subjects involved in the study.</w:t>
      </w:r>
    </w:p>
    <w:p w14:paraId="256749B0" w14:textId="3CCCE2D7" w:rsidR="0013405D" w:rsidRPr="00CE0262" w:rsidRDefault="0013405D" w:rsidP="0013405D">
      <w:pPr>
        <w:spacing w:line="480" w:lineRule="auto"/>
        <w:outlineLvl w:val="2"/>
        <w:rPr>
          <w:rFonts w:ascii="Arial" w:hAnsi="Arial" w:cs="Arial"/>
          <w:b/>
          <w:bCs/>
          <w:color w:val="000000" w:themeColor="text1"/>
        </w:rPr>
      </w:pPr>
      <w:r w:rsidRPr="00CE0262">
        <w:rPr>
          <w:rFonts w:ascii="Arial" w:hAnsi="Arial" w:cs="Arial"/>
          <w:b/>
          <w:bCs/>
          <w:color w:val="000000" w:themeColor="text1"/>
        </w:rPr>
        <w:t>Conflict of interest</w:t>
      </w:r>
    </w:p>
    <w:p w14:paraId="0682ACCC" w14:textId="77777777" w:rsidR="0013405D" w:rsidRDefault="0013405D" w:rsidP="0013405D">
      <w:pPr>
        <w:spacing w:line="480" w:lineRule="auto"/>
        <w:outlineLvl w:val="2"/>
        <w:rPr>
          <w:rFonts w:ascii="Arial" w:hAnsi="Arial" w:cs="Arial"/>
          <w:color w:val="000000" w:themeColor="text1"/>
        </w:rPr>
      </w:pPr>
      <w:r w:rsidRPr="00CE0262">
        <w:rPr>
          <w:rFonts w:ascii="Arial" w:hAnsi="Arial" w:cs="Arial"/>
          <w:color w:val="000000" w:themeColor="text1"/>
        </w:rPr>
        <w:t>The authors declare no conflict of interest.</w:t>
      </w:r>
    </w:p>
    <w:p w14:paraId="5D7E3CFF" w14:textId="77777777" w:rsidR="004328AE" w:rsidRPr="00CE0262" w:rsidRDefault="004328AE" w:rsidP="0013405D">
      <w:pPr>
        <w:spacing w:line="480" w:lineRule="auto"/>
        <w:outlineLvl w:val="2"/>
        <w:rPr>
          <w:rFonts w:ascii="Arial" w:hAnsi="Arial" w:cs="Arial"/>
          <w:b/>
          <w:bCs/>
          <w:color w:val="000000" w:themeColor="text1"/>
        </w:rPr>
      </w:pPr>
    </w:p>
    <w:p w14:paraId="5E2BC900" w14:textId="661C62F4" w:rsidR="0013405D" w:rsidRPr="00CE0262" w:rsidRDefault="00613337" w:rsidP="00613337">
      <w:pPr>
        <w:spacing w:line="480" w:lineRule="auto"/>
        <w:jc w:val="center"/>
        <w:rPr>
          <w:rFonts w:ascii="Arial" w:hAnsi="Arial" w:cs="Arial"/>
          <w:b/>
          <w:bCs/>
          <w:color w:val="000000" w:themeColor="text1"/>
          <w:lang w:bidi="ar-IQ"/>
        </w:rPr>
      </w:pPr>
      <w:r w:rsidRPr="00CE0262">
        <w:rPr>
          <w:rFonts w:ascii="Arial" w:hAnsi="Arial" w:cs="Arial"/>
          <w:b/>
          <w:bCs/>
          <w:color w:val="000000" w:themeColor="text1"/>
          <w:lang w:bidi="ar-IQ"/>
        </w:rPr>
        <w:t>REFERENCES</w:t>
      </w:r>
    </w:p>
    <w:p w14:paraId="61C5A740" w14:textId="56AA4BDC" w:rsidR="00416159" w:rsidRPr="00416159" w:rsidRDefault="0013405D" w:rsidP="00672DC0">
      <w:pPr>
        <w:pStyle w:val="Bibliography"/>
        <w:jc w:val="both"/>
        <w:rPr>
          <w:rFonts w:ascii="Arial" w:eastAsiaTheme="minorHAnsi" w:hAnsi="Arial" w:cs="Arial"/>
          <w:lang w:val="en-GB" w:eastAsia="en-US"/>
        </w:rPr>
      </w:pPr>
      <w:r w:rsidRPr="00CE0262">
        <w:rPr>
          <w:rFonts w:ascii="Arial" w:hAnsi="Arial" w:cs="Arial"/>
        </w:rPr>
        <w:fldChar w:fldCharType="begin"/>
      </w:r>
      <w:r w:rsidR="00416159">
        <w:rPr>
          <w:rFonts w:ascii="Arial" w:hAnsi="Arial" w:cs="Arial"/>
        </w:rPr>
        <w:instrText xml:space="preserve"> ADDIN ZOTERO_BIBL {"uncited":[],"omitted":[],"custom":[]} CSL_BIBLIOGRAPHY </w:instrText>
      </w:r>
      <w:r w:rsidRPr="00CE0262">
        <w:rPr>
          <w:rFonts w:ascii="Arial" w:hAnsi="Arial" w:cs="Arial"/>
        </w:rPr>
        <w:fldChar w:fldCharType="separate"/>
      </w:r>
      <w:r w:rsidR="00416159" w:rsidRPr="00416159">
        <w:rPr>
          <w:rFonts w:ascii="Arial" w:eastAsiaTheme="minorHAnsi" w:hAnsi="Arial" w:cs="Arial"/>
          <w:lang w:val="en-GB" w:eastAsia="en-US"/>
        </w:rPr>
        <w:t xml:space="preserve">Abrams, E. M., Alqurashi, W., Fischer, D. A., Vander Leek, T. K., </w:t>
      </w:r>
      <w:r w:rsidR="00DD6C5F">
        <w:rPr>
          <w:rFonts w:ascii="Arial" w:eastAsiaTheme="minorHAnsi" w:hAnsi="Arial" w:cs="Arial"/>
          <w:lang w:val="en-GB" w:eastAsia="en-US"/>
        </w:rPr>
        <w:t>and</w:t>
      </w:r>
      <w:r w:rsidR="00416159" w:rsidRPr="00416159">
        <w:rPr>
          <w:rFonts w:ascii="Arial" w:eastAsiaTheme="minorHAnsi" w:hAnsi="Arial" w:cs="Arial"/>
          <w:lang w:val="en-GB" w:eastAsia="en-US"/>
        </w:rPr>
        <w:t xml:space="preserve"> Ellis, A. K. (2024). Anaphylaxis. </w:t>
      </w:r>
      <w:r w:rsidR="00416159" w:rsidRPr="00416159">
        <w:rPr>
          <w:rFonts w:ascii="Arial" w:eastAsiaTheme="minorHAnsi" w:hAnsi="Arial" w:cs="Arial"/>
          <w:i/>
          <w:iCs/>
          <w:lang w:val="en-GB" w:eastAsia="en-US"/>
        </w:rPr>
        <w:t xml:space="preserve">Allergy, Asthma </w:t>
      </w:r>
      <w:r w:rsidR="00DD6C5F">
        <w:rPr>
          <w:rFonts w:ascii="Arial" w:eastAsiaTheme="minorHAnsi" w:hAnsi="Arial" w:cs="Arial"/>
          <w:i/>
          <w:iCs/>
          <w:lang w:val="en-GB" w:eastAsia="en-US"/>
        </w:rPr>
        <w:t>and</w:t>
      </w:r>
      <w:r w:rsidR="00416159" w:rsidRPr="00416159">
        <w:rPr>
          <w:rFonts w:ascii="Arial" w:eastAsiaTheme="minorHAnsi" w:hAnsi="Arial" w:cs="Arial"/>
          <w:i/>
          <w:iCs/>
          <w:lang w:val="en-GB" w:eastAsia="en-US"/>
        </w:rPr>
        <w:t xml:space="preserve"> Clinical Immunology</w:t>
      </w:r>
      <w:r w:rsidR="00416159" w:rsidRPr="00416159">
        <w:rPr>
          <w:rFonts w:ascii="Arial" w:eastAsiaTheme="minorHAnsi" w:hAnsi="Arial" w:cs="Arial"/>
          <w:lang w:val="en-GB" w:eastAsia="en-US"/>
        </w:rPr>
        <w:t xml:space="preserve">, </w:t>
      </w:r>
      <w:r w:rsidR="00416159" w:rsidRPr="00416159">
        <w:rPr>
          <w:rFonts w:ascii="Arial" w:eastAsiaTheme="minorHAnsi" w:hAnsi="Arial" w:cs="Arial"/>
          <w:i/>
          <w:iCs/>
          <w:lang w:val="en-GB" w:eastAsia="en-US"/>
        </w:rPr>
        <w:t>20</w:t>
      </w:r>
      <w:r w:rsidR="00416159" w:rsidRPr="00416159">
        <w:rPr>
          <w:rFonts w:ascii="Arial" w:eastAsiaTheme="minorHAnsi" w:hAnsi="Arial" w:cs="Arial"/>
          <w:lang w:val="en-GB" w:eastAsia="en-US"/>
        </w:rPr>
        <w:t>(3), 62. https://doi.org/10.1186/s13223-024-00926-3</w:t>
      </w:r>
    </w:p>
    <w:p w14:paraId="76AE35A3" w14:textId="052A7503"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lastRenderedPageBreak/>
        <w:t xml:space="preserve">Acevedo, N., Sánchez, J., Zakzuk, J., Bornacelly, A., Quiróz, C., Alvarez, Á., Puello, M., Mendoza, K., Martínez, D., Mercado, D., Jiménez, S.,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Caraballo, L. (2012). Particular characteristics of allergic symptoms in tropical environments: Follow up to 24 months in the FRAAT birth cohort study. </w:t>
      </w:r>
      <w:r w:rsidRPr="00416159">
        <w:rPr>
          <w:rFonts w:ascii="Arial" w:eastAsiaTheme="minorHAnsi" w:hAnsi="Arial" w:cs="Arial"/>
          <w:i/>
          <w:iCs/>
          <w:lang w:val="en-GB" w:eastAsia="en-US"/>
        </w:rPr>
        <w:t>BMC Pulmonary Medicine</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12</w:t>
      </w:r>
      <w:r w:rsidRPr="00416159">
        <w:rPr>
          <w:rFonts w:ascii="Arial" w:eastAsiaTheme="minorHAnsi" w:hAnsi="Arial" w:cs="Arial"/>
          <w:lang w:val="en-GB" w:eastAsia="en-US"/>
        </w:rPr>
        <w:t>, 13. https://doi.org/10.1186/1471-2466-12-13</w:t>
      </w:r>
    </w:p>
    <w:p w14:paraId="144CA3EE" w14:textId="05D0C16A"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Aitella, E., Romano, C., Ginaldi, L.,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Cozzolino, D. (2025). Mast Cells at the Crossroads of Hypersensitivity Reactions and Neurogenic Inflammation. </w:t>
      </w:r>
      <w:r w:rsidRPr="00416159">
        <w:rPr>
          <w:rFonts w:ascii="Arial" w:eastAsiaTheme="minorHAnsi" w:hAnsi="Arial" w:cs="Arial"/>
          <w:i/>
          <w:iCs/>
          <w:lang w:val="en-GB" w:eastAsia="en-US"/>
        </w:rPr>
        <w:t>International Journal of Molecular Sciences</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26</w:t>
      </w:r>
      <w:r w:rsidRPr="00416159">
        <w:rPr>
          <w:rFonts w:ascii="Arial" w:eastAsiaTheme="minorHAnsi" w:hAnsi="Arial" w:cs="Arial"/>
          <w:lang w:val="en-GB" w:eastAsia="en-US"/>
        </w:rPr>
        <w:t>(3). https://doi.org/10.3390/ijms26030927</w:t>
      </w:r>
    </w:p>
    <w:p w14:paraId="5B39A2B9" w14:textId="7AE592E4"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Aldakheel, F. M. (2021). Allergic Diseases: A Comprehensive Review on Risk Factors, Immunological Mechanisms, Link with COVID-19, Potential Treatments, and Role of Allergen Bioinformatics. </w:t>
      </w:r>
      <w:r w:rsidRPr="00416159">
        <w:rPr>
          <w:rFonts w:ascii="Arial" w:eastAsiaTheme="minorHAnsi" w:hAnsi="Arial" w:cs="Arial"/>
          <w:i/>
          <w:iCs/>
          <w:lang w:val="en-GB" w:eastAsia="en-US"/>
        </w:rPr>
        <w:t>International Journal of Environmental Research and Public Health</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18</w:t>
      </w:r>
      <w:r w:rsidRPr="00416159">
        <w:rPr>
          <w:rFonts w:ascii="Arial" w:eastAsiaTheme="minorHAnsi" w:hAnsi="Arial" w:cs="Arial"/>
          <w:lang w:val="en-GB" w:eastAsia="en-US"/>
        </w:rPr>
        <w:t>(22). https://doi.org/10.3390/ijerph182212105</w:t>
      </w:r>
    </w:p>
    <w:p w14:paraId="4D247510" w14:textId="7F73DBB8"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Anvari, S., Miller, J., Yeh, C.</w:t>
      </w:r>
      <w:r w:rsidR="009A3C4A">
        <w:rPr>
          <w:rFonts w:ascii="Arial" w:eastAsiaTheme="minorHAnsi" w:hAnsi="Arial" w:cs="Arial"/>
          <w:lang w:val="en-GB" w:eastAsia="en-US"/>
        </w:rPr>
        <w:t xml:space="preserve"> </w:t>
      </w:r>
      <w:r w:rsidRPr="00416159">
        <w:rPr>
          <w:rFonts w:ascii="Arial" w:eastAsiaTheme="minorHAnsi" w:hAnsi="Arial" w:cs="Arial"/>
          <w:lang w:val="en-GB" w:eastAsia="en-US"/>
        </w:rPr>
        <w:t xml:space="preserve">Y.,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Davis, C. M. (2019). IgE-Mediated Food Allergy. </w:t>
      </w:r>
      <w:r w:rsidRPr="00416159">
        <w:rPr>
          <w:rFonts w:ascii="Arial" w:eastAsiaTheme="minorHAnsi" w:hAnsi="Arial" w:cs="Arial"/>
          <w:i/>
          <w:iCs/>
          <w:lang w:val="en-GB" w:eastAsia="en-US"/>
        </w:rPr>
        <w:t xml:space="preserve">Clinical Reviews in Allergy </w:t>
      </w:r>
      <w:r w:rsidR="00DD6C5F">
        <w:rPr>
          <w:rFonts w:ascii="Arial" w:eastAsiaTheme="minorHAnsi" w:hAnsi="Arial" w:cs="Arial"/>
          <w:i/>
          <w:iCs/>
          <w:lang w:val="en-GB" w:eastAsia="en-US"/>
        </w:rPr>
        <w:t>and</w:t>
      </w:r>
      <w:r w:rsidRPr="00416159">
        <w:rPr>
          <w:rFonts w:ascii="Arial" w:eastAsiaTheme="minorHAnsi" w:hAnsi="Arial" w:cs="Arial"/>
          <w:i/>
          <w:iCs/>
          <w:lang w:val="en-GB" w:eastAsia="en-US"/>
        </w:rPr>
        <w:t xml:space="preserve"> Immunology</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57</w:t>
      </w:r>
      <w:r w:rsidRPr="00416159">
        <w:rPr>
          <w:rFonts w:ascii="Arial" w:eastAsiaTheme="minorHAnsi" w:hAnsi="Arial" w:cs="Arial"/>
          <w:lang w:val="en-GB" w:eastAsia="en-US"/>
        </w:rPr>
        <w:t>(2), 244–260. https://doi.org/10.1007/s12016-018-8710-3</w:t>
      </w:r>
    </w:p>
    <w:p w14:paraId="0AABC932" w14:textId="7D13F357"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Banafea, G. H., Bakhashab,</w:t>
      </w:r>
      <w:r w:rsidR="007C355F">
        <w:rPr>
          <w:rFonts w:ascii="Arial" w:eastAsiaTheme="minorHAnsi" w:hAnsi="Arial" w:cs="Arial"/>
          <w:lang w:val="en-GB" w:eastAsia="en-US"/>
        </w:rPr>
        <w:t xml:space="preserve"> </w:t>
      </w:r>
      <w:r w:rsidRPr="00416159">
        <w:rPr>
          <w:rFonts w:ascii="Arial" w:eastAsiaTheme="minorHAnsi" w:hAnsi="Arial" w:cs="Arial"/>
          <w:lang w:val="en-GB" w:eastAsia="en-US"/>
        </w:rPr>
        <w:t>Sherin, Alshaibi,</w:t>
      </w:r>
      <w:r w:rsidR="007C355F">
        <w:rPr>
          <w:rFonts w:ascii="Arial" w:eastAsiaTheme="minorHAnsi" w:hAnsi="Arial" w:cs="Arial"/>
          <w:lang w:val="en-GB" w:eastAsia="en-US"/>
        </w:rPr>
        <w:t xml:space="preserve"> </w:t>
      </w:r>
      <w:r w:rsidRPr="00416159">
        <w:rPr>
          <w:rFonts w:ascii="Arial" w:eastAsiaTheme="minorHAnsi" w:hAnsi="Arial" w:cs="Arial"/>
          <w:lang w:val="en-GB" w:eastAsia="en-US"/>
        </w:rPr>
        <w:t>Huda F, Natesan P</w:t>
      </w:r>
      <w:r w:rsidR="007C355F">
        <w:rPr>
          <w:rFonts w:ascii="Arial" w:eastAsiaTheme="minorHAnsi" w:hAnsi="Arial" w:cs="Arial"/>
          <w:lang w:val="en-GB" w:eastAsia="en-US"/>
        </w:rPr>
        <w:t>.</w:t>
      </w:r>
      <w:r w:rsidRPr="00416159">
        <w:rPr>
          <w:rFonts w:ascii="Arial" w:eastAsiaTheme="minorHAnsi" w:hAnsi="Arial" w:cs="Arial"/>
          <w:lang w:val="en-GB" w:eastAsia="en-US"/>
        </w:rPr>
        <w:t>,</w:t>
      </w:r>
      <w:r w:rsidR="007C355F" w:rsidRPr="00416159">
        <w:rPr>
          <w:rFonts w:ascii="Arial" w:eastAsiaTheme="minorHAnsi" w:hAnsi="Arial" w:cs="Arial"/>
          <w:lang w:val="en-GB" w:eastAsia="en-US"/>
        </w:rPr>
        <w:t xml:space="preserve">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Rasool, M. (2022). The role of human mast cells in allergy and asthma. </w:t>
      </w:r>
      <w:r w:rsidRPr="00416159">
        <w:rPr>
          <w:rFonts w:ascii="Arial" w:eastAsiaTheme="minorHAnsi" w:hAnsi="Arial" w:cs="Arial"/>
          <w:i/>
          <w:iCs/>
          <w:lang w:val="en-GB" w:eastAsia="en-US"/>
        </w:rPr>
        <w:t>Bioengineered</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13</w:t>
      </w:r>
      <w:r w:rsidRPr="00416159">
        <w:rPr>
          <w:rFonts w:ascii="Arial" w:eastAsiaTheme="minorHAnsi" w:hAnsi="Arial" w:cs="Arial"/>
          <w:lang w:val="en-GB" w:eastAsia="en-US"/>
        </w:rPr>
        <w:t>(3), 7049–7064. https://doi.org/10.1080/21655979.2022.2044278</w:t>
      </w:r>
    </w:p>
    <w:p w14:paraId="7B524998" w14:textId="29A7E716"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Brindicci, V. F., Franceschini, S., Gnasso, I., Alcini, P., Tassi, E. A., Santarelli, L., Cristofori, F., Dargenio, V. N., Castellaneta, S.,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Francavilla, R. (2024). Self-Reported Nonceliac Gluten Sensitivity in Italian Young Adults: A Cross-Sectional Study. A Dietary Fad? </w:t>
      </w:r>
      <w:r w:rsidRPr="00416159">
        <w:rPr>
          <w:rFonts w:ascii="Arial" w:eastAsiaTheme="minorHAnsi" w:hAnsi="Arial" w:cs="Arial"/>
          <w:i/>
          <w:iCs/>
          <w:lang w:val="en-GB" w:eastAsia="en-US"/>
        </w:rPr>
        <w:t>Official Journal of the American College of Gastroenterology | ACG</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119</w:t>
      </w:r>
      <w:r w:rsidRPr="00416159">
        <w:rPr>
          <w:rFonts w:ascii="Arial" w:eastAsiaTheme="minorHAnsi" w:hAnsi="Arial" w:cs="Arial"/>
          <w:lang w:val="en-GB" w:eastAsia="en-US"/>
        </w:rPr>
        <w:t>(10), 2114. https://doi.org/10.14309/ajg.0000000000002885</w:t>
      </w:r>
    </w:p>
    <w:p w14:paraId="1EDE4288" w14:textId="509D55F0"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Brown-Whitehorn, T.,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Spergel, J. M. (2020). Food allergy and eosinophilic gastrointestinal disorders. </w:t>
      </w:r>
      <w:r w:rsidRPr="00416159">
        <w:rPr>
          <w:rFonts w:ascii="Arial" w:eastAsiaTheme="minorHAnsi" w:hAnsi="Arial" w:cs="Arial"/>
          <w:i/>
          <w:iCs/>
          <w:lang w:val="en-GB" w:eastAsia="en-US"/>
        </w:rPr>
        <w:t>Journal of Food Allergy</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2</w:t>
      </w:r>
      <w:r w:rsidRPr="00416159">
        <w:rPr>
          <w:rFonts w:ascii="Arial" w:eastAsiaTheme="minorHAnsi" w:hAnsi="Arial" w:cs="Arial"/>
          <w:lang w:val="en-GB" w:eastAsia="en-US"/>
        </w:rPr>
        <w:t>(1), 39–43. https://doi.org/10.2500/jfa.2020.2.200010</w:t>
      </w:r>
    </w:p>
    <w:p w14:paraId="4FAB2E0D" w14:textId="1B0F9196"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lastRenderedPageBreak/>
        <w:t xml:space="preserve">Cardona, V., Ansotegui, I. J., Ebisawa, M., El-Gamal, Y., Fernandez Rivas, M., Fineman, S., Geller, M., Gonzalez-Estrada, A., Greenberger, P. A., Sanchez Borges, M., Senna, G., Sheikh, A., Tanno, L. K., Thong, B. Y., Turner, P. J.,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Worm, M. (2020). World Allergy Organization Anaphylaxis Guidance 2020. </w:t>
      </w:r>
      <w:r w:rsidRPr="00416159">
        <w:rPr>
          <w:rFonts w:ascii="Arial" w:eastAsiaTheme="minorHAnsi" w:hAnsi="Arial" w:cs="Arial"/>
          <w:i/>
          <w:iCs/>
          <w:lang w:val="en-GB" w:eastAsia="en-US"/>
        </w:rPr>
        <w:t>World Allergy Organization Journal</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13</w:t>
      </w:r>
      <w:r w:rsidRPr="00416159">
        <w:rPr>
          <w:rFonts w:ascii="Arial" w:eastAsiaTheme="minorHAnsi" w:hAnsi="Arial" w:cs="Arial"/>
          <w:lang w:val="en-GB" w:eastAsia="en-US"/>
        </w:rPr>
        <w:t>(10), 100472. https://doi.org/10.1016/j.waojou.2020.100472</w:t>
      </w:r>
    </w:p>
    <w:p w14:paraId="75128FF9" w14:textId="1D040139"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Chan Gomez, J., Saleem, T., Snyder, S., Joseph, M.,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Kanderi, T. (2020). Drug-Induced Immune Hemolytic Anemia due to Amoxicillin-Clavulanate: A Case Report and Review. </w:t>
      </w:r>
      <w:r w:rsidRPr="00416159">
        <w:rPr>
          <w:rFonts w:ascii="Arial" w:eastAsiaTheme="minorHAnsi" w:hAnsi="Arial" w:cs="Arial"/>
          <w:i/>
          <w:iCs/>
          <w:lang w:val="en-GB" w:eastAsia="en-US"/>
        </w:rPr>
        <w:t>Cureus</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12</w:t>
      </w:r>
      <w:r w:rsidRPr="00416159">
        <w:rPr>
          <w:rFonts w:ascii="Arial" w:eastAsiaTheme="minorHAnsi" w:hAnsi="Arial" w:cs="Arial"/>
          <w:lang w:val="en-GB" w:eastAsia="en-US"/>
        </w:rPr>
        <w:t>(6), e8666. https://doi.org/10.7759/cureus.8666</w:t>
      </w:r>
    </w:p>
    <w:p w14:paraId="642A28D5" w14:textId="1B6B22AC"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Copaescu, A. M., Mak, H. F., Vogrin, S., Holmes, N. E., Trubiano, J. A.,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Li, P. H. (2025). Global differences and risk factors influencing drug hypersensitivity quality of life: A multicenter, multiethnic study of drug allergy across 3 continents. </w:t>
      </w:r>
      <w:r w:rsidRPr="00416159">
        <w:rPr>
          <w:rFonts w:ascii="Arial" w:eastAsiaTheme="minorHAnsi" w:hAnsi="Arial" w:cs="Arial"/>
          <w:i/>
          <w:iCs/>
          <w:lang w:val="en-GB" w:eastAsia="en-US"/>
        </w:rPr>
        <w:t>Journal of Allergy and Clinical Immunology: Global</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4</w:t>
      </w:r>
      <w:r w:rsidRPr="00416159">
        <w:rPr>
          <w:rFonts w:ascii="Arial" w:eastAsiaTheme="minorHAnsi" w:hAnsi="Arial" w:cs="Arial"/>
          <w:lang w:val="en-GB" w:eastAsia="en-US"/>
        </w:rPr>
        <w:t>(1), 100354. https://doi.org/10.1016/j.jacig.2024.100354</w:t>
      </w:r>
    </w:p>
    <w:p w14:paraId="406D6A71" w14:textId="11A882D7"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d’Alessandro, M., Bergantini, L., Perrone, A., Cameli, P., Beltrami, V., Alderighi, L., Pini, L., Bargagli, E.,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Saletti, M. (2021). House Dust Mite Allergy and the Der p1 Conundrum: A Literature Review and Case Series. </w:t>
      </w:r>
      <w:r w:rsidRPr="00416159">
        <w:rPr>
          <w:rFonts w:ascii="Arial" w:eastAsiaTheme="minorHAnsi" w:hAnsi="Arial" w:cs="Arial"/>
          <w:i/>
          <w:iCs/>
          <w:lang w:val="en-GB" w:eastAsia="en-US"/>
        </w:rPr>
        <w:t>Allergies</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1</w:t>
      </w:r>
      <w:r w:rsidRPr="00416159">
        <w:rPr>
          <w:rFonts w:ascii="Arial" w:eastAsiaTheme="minorHAnsi" w:hAnsi="Arial" w:cs="Arial"/>
          <w:lang w:val="en-GB" w:eastAsia="en-US"/>
        </w:rPr>
        <w:t>(2). https://doi.org/10.3390/allergies1020008</w:t>
      </w:r>
    </w:p>
    <w:p w14:paraId="40993C94" w14:textId="04AFD14A"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Díaz-Guerrero, P., Panzani, S., Sanmartin, C., Muntoni, C., Taglieri, I.,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Venturi, F. (2025). “Pepper”: Different Spices, One Name—Analysis of Sensory and Biological Aspects. </w:t>
      </w:r>
      <w:r w:rsidRPr="00416159">
        <w:rPr>
          <w:rFonts w:ascii="Arial" w:eastAsiaTheme="minorHAnsi" w:hAnsi="Arial" w:cs="Arial"/>
          <w:i/>
          <w:iCs/>
          <w:lang w:val="en-GB" w:eastAsia="en-US"/>
        </w:rPr>
        <w:t>Molecules</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30</w:t>
      </w:r>
      <w:r w:rsidRPr="00416159">
        <w:rPr>
          <w:rFonts w:ascii="Arial" w:eastAsiaTheme="minorHAnsi" w:hAnsi="Arial" w:cs="Arial"/>
          <w:lang w:val="en-GB" w:eastAsia="en-US"/>
        </w:rPr>
        <w:t>(9). https://doi.org/10.3390/molecules30091891</w:t>
      </w:r>
    </w:p>
    <w:p w14:paraId="51B5D733" w14:textId="0ED94A17"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Duman, H.,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Dursun, A. B. (2023). The Prevalence of Questionnare Based Food Allergy in Adult Population of Eastern Blacksea Region of Turkey. </w:t>
      </w:r>
      <w:r w:rsidRPr="00416159">
        <w:rPr>
          <w:rFonts w:ascii="Arial" w:eastAsiaTheme="minorHAnsi" w:hAnsi="Arial" w:cs="Arial"/>
          <w:i/>
          <w:iCs/>
          <w:lang w:val="en-GB" w:eastAsia="en-US"/>
        </w:rPr>
        <w:t>Middle Black Sea Journal of Health Science</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9</w:t>
      </w:r>
      <w:r w:rsidRPr="00416159">
        <w:rPr>
          <w:rFonts w:ascii="Arial" w:eastAsiaTheme="minorHAnsi" w:hAnsi="Arial" w:cs="Arial"/>
          <w:lang w:val="en-GB" w:eastAsia="en-US"/>
        </w:rPr>
        <w:t>(3), 489–497. https://doi.org/10.19127/mbsjohs.1177217</w:t>
      </w:r>
    </w:p>
    <w:p w14:paraId="480DACC6" w14:textId="2185B3E1"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Feng, Y., Xu, L., Zhang, J., Bin, J., Pang, X., He, S.,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Fang, L. (2024). Allergenic protein-induced type I hypersensitivity models: A review. </w:t>
      </w:r>
      <w:r w:rsidRPr="00416159">
        <w:rPr>
          <w:rFonts w:ascii="Arial" w:eastAsiaTheme="minorHAnsi" w:hAnsi="Arial" w:cs="Arial"/>
          <w:i/>
          <w:iCs/>
          <w:lang w:val="en-GB" w:eastAsia="en-US"/>
        </w:rPr>
        <w:t>Frontiers in Allergy</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5</w:t>
      </w:r>
      <w:r w:rsidRPr="00416159">
        <w:rPr>
          <w:rFonts w:ascii="Arial" w:eastAsiaTheme="minorHAnsi" w:hAnsi="Arial" w:cs="Arial"/>
          <w:lang w:val="en-GB" w:eastAsia="en-US"/>
        </w:rPr>
        <w:t>. https://doi.org/10.3389/falgy.2024.1481011</w:t>
      </w:r>
    </w:p>
    <w:p w14:paraId="4FA9FB53" w14:textId="77777777"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lastRenderedPageBreak/>
        <w:t xml:space="preserve">Frew, J. W. (2019). The Hygiene Hypothesis, Old Friends, and New Genes. </w:t>
      </w:r>
      <w:r w:rsidRPr="00416159">
        <w:rPr>
          <w:rFonts w:ascii="Arial" w:eastAsiaTheme="minorHAnsi" w:hAnsi="Arial" w:cs="Arial"/>
          <w:i/>
          <w:iCs/>
          <w:lang w:val="en-GB" w:eastAsia="en-US"/>
        </w:rPr>
        <w:t>Frontiers in Immunology</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10</w:t>
      </w:r>
      <w:r w:rsidRPr="00416159">
        <w:rPr>
          <w:rFonts w:ascii="Arial" w:eastAsiaTheme="minorHAnsi" w:hAnsi="Arial" w:cs="Arial"/>
          <w:lang w:val="en-GB" w:eastAsia="en-US"/>
        </w:rPr>
        <w:t>. https://doi.org/10.3389/fimmu.2019.00388</w:t>
      </w:r>
    </w:p>
    <w:p w14:paraId="471B7F5C" w14:textId="6D0BD224"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Gelincik, A., Büyüköztürk, S., H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w:t>
      </w:r>
      <w:r w:rsidR="00252C91" w:rsidRPr="00252C91">
        <w:rPr>
          <w:rFonts w:ascii="Arial" w:eastAsiaTheme="minorHAnsi" w:hAnsi="Arial" w:cs="Arial"/>
          <w:lang w:val="en-GB" w:eastAsia="en-US"/>
        </w:rPr>
        <w:t xml:space="preserve">Gül, H., Işik, E., Işsever, H., Ozşeker, F., Colakoğlu, B., Dal, M., Ayvaz, O., Güngör, G., </w:t>
      </w:r>
      <w:r w:rsidR="006F7E39">
        <w:rPr>
          <w:rFonts w:ascii="Arial" w:eastAsiaTheme="minorHAnsi" w:hAnsi="Arial" w:cs="Arial"/>
          <w:lang w:val="en-GB" w:eastAsia="en-US"/>
        </w:rPr>
        <w:t>and</w:t>
      </w:r>
      <w:r w:rsidR="00252C91" w:rsidRPr="00252C91">
        <w:rPr>
          <w:rFonts w:ascii="Arial" w:eastAsiaTheme="minorHAnsi" w:hAnsi="Arial" w:cs="Arial"/>
          <w:lang w:val="en-GB" w:eastAsia="en-US"/>
        </w:rPr>
        <w:t xml:space="preserve"> Akkor, A</w:t>
      </w:r>
      <w:r w:rsidRPr="00416159">
        <w:rPr>
          <w:rFonts w:ascii="Arial" w:eastAsiaTheme="minorHAnsi" w:hAnsi="Arial" w:cs="Arial"/>
          <w:lang w:val="en-GB" w:eastAsia="en-US"/>
        </w:rPr>
        <w:t xml:space="preserve">. (2008). Confirmed prevalence of food allergy and non-allergic food hypersensitivity in a Mediterranean population. </w:t>
      </w:r>
      <w:r w:rsidRPr="00416159">
        <w:rPr>
          <w:rFonts w:ascii="Arial" w:eastAsiaTheme="minorHAnsi" w:hAnsi="Arial" w:cs="Arial"/>
          <w:i/>
          <w:iCs/>
          <w:lang w:val="en-GB" w:eastAsia="en-US"/>
        </w:rPr>
        <w:t>Clinical and Experimental Allergy : Journal of the British Society for Allergy and Clinical Immunology</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38</w:t>
      </w:r>
      <w:r w:rsidRPr="00416159">
        <w:rPr>
          <w:rFonts w:ascii="Arial" w:eastAsiaTheme="minorHAnsi" w:hAnsi="Arial" w:cs="Arial"/>
          <w:lang w:val="en-GB" w:eastAsia="en-US"/>
        </w:rPr>
        <w:t>(8). https://doi.org/10.1111/j.1365-2222.2008.03019.x</w:t>
      </w:r>
    </w:p>
    <w:p w14:paraId="04F1CEF5" w14:textId="228666AE"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Ibrahim, N. K., Alghamdi, A. A., Almehmadi, M. M., Alzahrani, A. A., Turkistani, A. K.,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Alghamdi, K. (2019). Allergy and related clinical symptoms among medical students and interns. </w:t>
      </w:r>
      <w:r w:rsidRPr="00416159">
        <w:rPr>
          <w:rFonts w:ascii="Arial" w:eastAsiaTheme="minorHAnsi" w:hAnsi="Arial" w:cs="Arial"/>
          <w:i/>
          <w:iCs/>
          <w:lang w:val="en-GB" w:eastAsia="en-US"/>
        </w:rPr>
        <w:t>Pakistan Journal of Medical Sciences</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35</w:t>
      </w:r>
      <w:r w:rsidRPr="00416159">
        <w:rPr>
          <w:rFonts w:ascii="Arial" w:eastAsiaTheme="minorHAnsi" w:hAnsi="Arial" w:cs="Arial"/>
          <w:lang w:val="en-GB" w:eastAsia="en-US"/>
        </w:rPr>
        <w:t>(4), 1060–1065. https://doi.org/10.12669/pjms.35.4.1281</w:t>
      </w:r>
    </w:p>
    <w:p w14:paraId="4B9D3B02" w14:textId="285E36A5"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Jansson-Knodell, C. L.,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Rubio-Tapia, A. (2024). Gluten-related Disorders From Bench to Bedside. </w:t>
      </w:r>
      <w:r w:rsidRPr="00416159">
        <w:rPr>
          <w:rFonts w:ascii="Arial" w:eastAsiaTheme="minorHAnsi" w:hAnsi="Arial" w:cs="Arial"/>
          <w:i/>
          <w:iCs/>
          <w:lang w:val="en-GB" w:eastAsia="en-US"/>
        </w:rPr>
        <w:t>Clinical Gastroenterology and Hepatology</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22</w:t>
      </w:r>
      <w:r w:rsidRPr="00416159">
        <w:rPr>
          <w:rFonts w:ascii="Arial" w:eastAsiaTheme="minorHAnsi" w:hAnsi="Arial" w:cs="Arial"/>
          <w:lang w:val="en-GB" w:eastAsia="en-US"/>
        </w:rPr>
        <w:t>(4), 693-704.e1. https://doi.org/10.1016/j.cgh.2023.09.042</w:t>
      </w:r>
    </w:p>
    <w:p w14:paraId="69EDA9CB" w14:textId="081B867B"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Klain, A., Senatore, A. A., Licari, A., Galletta, F., Bettini, I., Tomei, L., Manti, S., Mori, F., Miraglia del Giudice, M.,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Indolfi, C. (2024). The Prevention of House Dust Mite Allergies in Pediatric Asthma. </w:t>
      </w:r>
      <w:r w:rsidRPr="00416159">
        <w:rPr>
          <w:rFonts w:ascii="Arial" w:eastAsiaTheme="minorHAnsi" w:hAnsi="Arial" w:cs="Arial"/>
          <w:i/>
          <w:iCs/>
          <w:lang w:val="en-GB" w:eastAsia="en-US"/>
        </w:rPr>
        <w:t>Children</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11</w:t>
      </w:r>
      <w:r w:rsidRPr="00416159">
        <w:rPr>
          <w:rFonts w:ascii="Arial" w:eastAsiaTheme="minorHAnsi" w:hAnsi="Arial" w:cs="Arial"/>
          <w:lang w:val="en-GB" w:eastAsia="en-US"/>
        </w:rPr>
        <w:t>(4). https://doi.org/10.3390/children11040469</w:t>
      </w:r>
    </w:p>
    <w:p w14:paraId="5D97CA6E" w14:textId="4D878876"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Knol, E. F.,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Gilles, S. (2022). Allergy: Type I, II, III, and IV. In C. Traidl-Hoffmann, T. Zuberbier,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T. Werfel (Eds), </w:t>
      </w:r>
      <w:r w:rsidRPr="00416159">
        <w:rPr>
          <w:rFonts w:ascii="Arial" w:eastAsiaTheme="minorHAnsi" w:hAnsi="Arial" w:cs="Arial"/>
          <w:i/>
          <w:iCs/>
          <w:lang w:val="en-GB" w:eastAsia="en-US"/>
        </w:rPr>
        <w:t>Allergic Diseases – From Basic Mechanisms to Comprehensive Management and Prevention</w:t>
      </w:r>
      <w:r w:rsidRPr="00416159">
        <w:rPr>
          <w:rFonts w:ascii="Arial" w:eastAsiaTheme="minorHAnsi" w:hAnsi="Arial" w:cs="Arial"/>
          <w:lang w:val="en-GB" w:eastAsia="en-US"/>
        </w:rPr>
        <w:t xml:space="preserve"> (pp. 31–41). Springer International Publishing. https://doi.org/10.1007/164_2021_510</w:t>
      </w:r>
    </w:p>
    <w:p w14:paraId="233DB734" w14:textId="641BC31B"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Krikeerati, T., Rodsaward, P., Nawiboonwong, J., Pinyopornpanish, K., Phusawang, S.,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Sompornrattanaphan, M. (2023). Revisiting Fruit Allergy: Prevalence across the Globe, Diagnosis, and Current Management. </w:t>
      </w:r>
      <w:r w:rsidRPr="00416159">
        <w:rPr>
          <w:rFonts w:ascii="Arial" w:eastAsiaTheme="minorHAnsi" w:hAnsi="Arial" w:cs="Arial"/>
          <w:i/>
          <w:iCs/>
          <w:lang w:val="en-GB" w:eastAsia="en-US"/>
        </w:rPr>
        <w:t>Foods</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12</w:t>
      </w:r>
      <w:r w:rsidRPr="00416159">
        <w:rPr>
          <w:rFonts w:ascii="Arial" w:eastAsiaTheme="minorHAnsi" w:hAnsi="Arial" w:cs="Arial"/>
          <w:lang w:val="en-GB" w:eastAsia="en-US"/>
        </w:rPr>
        <w:t>(22), 4083. https://doi.org/10.3390/foods12224083</w:t>
      </w:r>
    </w:p>
    <w:p w14:paraId="11AA062F" w14:textId="709652C9"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lastRenderedPageBreak/>
        <w:t xml:space="preserve">Lee, Y. Z., Kow, A. S. F., Jacquet, A., Lee, M. T.,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Tham, C. L. (2023). House dust mite allergy in Malaysia: Review of research gaps in the current scenario and the way forward. </w:t>
      </w:r>
      <w:r w:rsidRPr="00416159">
        <w:rPr>
          <w:rFonts w:ascii="Arial" w:eastAsiaTheme="minorHAnsi" w:hAnsi="Arial" w:cs="Arial"/>
          <w:i/>
          <w:iCs/>
          <w:lang w:val="en-GB" w:eastAsia="en-US"/>
        </w:rPr>
        <w:t xml:space="preserve">Experimental </w:t>
      </w:r>
      <w:r w:rsidR="00DD6C5F">
        <w:rPr>
          <w:rFonts w:ascii="Arial" w:eastAsiaTheme="minorHAnsi" w:hAnsi="Arial" w:cs="Arial"/>
          <w:i/>
          <w:iCs/>
          <w:lang w:val="en-GB" w:eastAsia="en-US"/>
        </w:rPr>
        <w:t>and</w:t>
      </w:r>
      <w:r w:rsidRPr="00416159">
        <w:rPr>
          <w:rFonts w:ascii="Arial" w:eastAsiaTheme="minorHAnsi" w:hAnsi="Arial" w:cs="Arial"/>
          <w:i/>
          <w:iCs/>
          <w:lang w:val="en-GB" w:eastAsia="en-US"/>
        </w:rPr>
        <w:t xml:space="preserve"> Applied Acarology</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91</w:t>
      </w:r>
      <w:r w:rsidRPr="00416159">
        <w:rPr>
          <w:rFonts w:ascii="Arial" w:eastAsiaTheme="minorHAnsi" w:hAnsi="Arial" w:cs="Arial"/>
          <w:lang w:val="en-GB" w:eastAsia="en-US"/>
        </w:rPr>
        <w:t>(4), 509–539. https://doi.org/10.1007/s10493-023-00857-5</w:t>
      </w:r>
    </w:p>
    <w:p w14:paraId="42BBE6B5" w14:textId="6C51FF40"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Luintel, A., Healy, J., Blank, M., Luintel, A., Dryden, S., Das, A., Darzi, A.,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Cooke, G. (2025). The global prevalence of reported penicillin allergy: A systematic review and meta-analysis. </w:t>
      </w:r>
      <w:r w:rsidRPr="00416159">
        <w:rPr>
          <w:rFonts w:ascii="Arial" w:eastAsiaTheme="minorHAnsi" w:hAnsi="Arial" w:cs="Arial"/>
          <w:i/>
          <w:iCs/>
          <w:lang w:val="en-GB" w:eastAsia="en-US"/>
        </w:rPr>
        <w:t>Journal of Infection</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90</w:t>
      </w:r>
      <w:r w:rsidRPr="00416159">
        <w:rPr>
          <w:rFonts w:ascii="Arial" w:eastAsiaTheme="minorHAnsi" w:hAnsi="Arial" w:cs="Arial"/>
          <w:lang w:val="en-GB" w:eastAsia="en-US"/>
        </w:rPr>
        <w:t>(2). https://doi.org/10.1016/j.jinf.2025.106429</w:t>
      </w:r>
    </w:p>
    <w:p w14:paraId="3D8E78FB" w14:textId="4057EC0F"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Maker, J. H., Stroup, C. M., Huang, V.,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James, S. F. (2019). Antibiotic Hypersensitivity Mechanisms. </w:t>
      </w:r>
      <w:r w:rsidRPr="00416159">
        <w:rPr>
          <w:rFonts w:ascii="Arial" w:eastAsiaTheme="minorHAnsi" w:hAnsi="Arial" w:cs="Arial"/>
          <w:i/>
          <w:iCs/>
          <w:lang w:val="en-GB" w:eastAsia="en-US"/>
        </w:rPr>
        <w:t>Pharmacy</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7</w:t>
      </w:r>
      <w:r w:rsidRPr="00416159">
        <w:rPr>
          <w:rFonts w:ascii="Arial" w:eastAsiaTheme="minorHAnsi" w:hAnsi="Arial" w:cs="Arial"/>
          <w:lang w:val="en-GB" w:eastAsia="en-US"/>
        </w:rPr>
        <w:t>(3). https://doi.org/10.3390/pharmacy7030122</w:t>
      </w:r>
    </w:p>
    <w:p w14:paraId="1DC41D1D" w14:textId="12BE78B1"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Ogulur, I., Mitamura, Y., Yazici, D., Pat, Y., Ardicli, S., Li, M., D’Avino, P., Beha, C., Babayev, H., Zhao, B., Zeyneloglu, C., Giannelli Viscardi, O., Ardicli, O., Kiykim, A., Garcia-Sanchez, A., Lopez, J.</w:t>
      </w:r>
      <w:r w:rsidR="00807CC4">
        <w:rPr>
          <w:rFonts w:ascii="Arial" w:eastAsiaTheme="minorHAnsi" w:hAnsi="Arial" w:cs="Arial"/>
          <w:lang w:val="en-GB" w:eastAsia="en-US"/>
        </w:rPr>
        <w:t xml:space="preserve"> </w:t>
      </w:r>
      <w:r w:rsidRPr="00416159">
        <w:rPr>
          <w:rFonts w:ascii="Arial" w:eastAsiaTheme="minorHAnsi" w:hAnsi="Arial" w:cs="Arial"/>
          <w:lang w:val="en-GB" w:eastAsia="en-US"/>
        </w:rPr>
        <w:t xml:space="preserve">F., Shi, L., Yang, M., Schneider, S. R., … Akdis, C. A. (2025). Type 2 immunity in allergic diseases. </w:t>
      </w:r>
      <w:r w:rsidRPr="00416159">
        <w:rPr>
          <w:rFonts w:ascii="Arial" w:eastAsiaTheme="minorHAnsi" w:hAnsi="Arial" w:cs="Arial"/>
          <w:i/>
          <w:iCs/>
          <w:lang w:val="en-GB" w:eastAsia="en-US"/>
        </w:rPr>
        <w:t xml:space="preserve">Cellular </w:t>
      </w:r>
      <w:r w:rsidR="00DD6C5F">
        <w:rPr>
          <w:rFonts w:ascii="Arial" w:eastAsiaTheme="minorHAnsi" w:hAnsi="Arial" w:cs="Arial"/>
          <w:i/>
          <w:iCs/>
          <w:lang w:val="en-GB" w:eastAsia="en-US"/>
        </w:rPr>
        <w:t>and</w:t>
      </w:r>
      <w:r w:rsidRPr="00416159">
        <w:rPr>
          <w:rFonts w:ascii="Arial" w:eastAsiaTheme="minorHAnsi" w:hAnsi="Arial" w:cs="Arial"/>
          <w:i/>
          <w:iCs/>
          <w:lang w:val="en-GB" w:eastAsia="en-US"/>
        </w:rPr>
        <w:t xml:space="preserve"> Molecular Immunology</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22</w:t>
      </w:r>
      <w:r w:rsidRPr="00416159">
        <w:rPr>
          <w:rFonts w:ascii="Arial" w:eastAsiaTheme="minorHAnsi" w:hAnsi="Arial" w:cs="Arial"/>
          <w:lang w:val="en-GB" w:eastAsia="en-US"/>
        </w:rPr>
        <w:t>(3), 211–242. https://doi.org/10.1038/s41423-025-01261-2</w:t>
      </w:r>
    </w:p>
    <w:p w14:paraId="079D928B" w14:textId="046E2385"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Ontiveros, N., Real-Delor, R. E., Mora-Melgem, J. A., Beltrán-Cárdenas, C. E., Figueroa-Salcido, O. G., Vergara-Jiménez, M. de J., Cárdenas-Torres, F. I., Flores-Mendoza, L. K., Arámburo-Gálvez, J. G.,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Cabrera-Chávez, F. (2021). Prevalence of Wheat/Gluten-Related Disorders and Gluten-Free Diet in Paraguay: An Online Survey-Based Study. </w:t>
      </w:r>
      <w:r w:rsidRPr="00416159">
        <w:rPr>
          <w:rFonts w:ascii="Arial" w:eastAsiaTheme="minorHAnsi" w:hAnsi="Arial" w:cs="Arial"/>
          <w:i/>
          <w:iCs/>
          <w:lang w:val="en-GB" w:eastAsia="en-US"/>
        </w:rPr>
        <w:t>Nutrients</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13</w:t>
      </w:r>
      <w:r w:rsidRPr="00416159">
        <w:rPr>
          <w:rFonts w:ascii="Arial" w:eastAsiaTheme="minorHAnsi" w:hAnsi="Arial" w:cs="Arial"/>
          <w:lang w:val="en-GB" w:eastAsia="en-US"/>
        </w:rPr>
        <w:t>(2). https://doi.org/10.3390/nu13020396</w:t>
      </w:r>
    </w:p>
    <w:p w14:paraId="430B8A08" w14:textId="32118BB0"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Pallardy, M., Galbiati, V.,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Martin, S. F. (2023). Editorial: Chemical allergy and the relevance of new models. </w:t>
      </w:r>
      <w:r w:rsidRPr="00416159">
        <w:rPr>
          <w:rFonts w:ascii="Arial" w:eastAsiaTheme="minorHAnsi" w:hAnsi="Arial" w:cs="Arial"/>
          <w:i/>
          <w:iCs/>
          <w:lang w:val="en-GB" w:eastAsia="en-US"/>
        </w:rPr>
        <w:t>Frontiers in Toxicology</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5</w:t>
      </w:r>
      <w:r w:rsidRPr="00416159">
        <w:rPr>
          <w:rFonts w:ascii="Arial" w:eastAsiaTheme="minorHAnsi" w:hAnsi="Arial" w:cs="Arial"/>
          <w:lang w:val="en-GB" w:eastAsia="en-US"/>
        </w:rPr>
        <w:t>, 1228175. https://doi.org/10.3389/ftox.2023.1228175</w:t>
      </w:r>
    </w:p>
    <w:p w14:paraId="2CBB1CD7" w14:textId="4408F32C"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Peavy, R. D.,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Metcalfe, D. D. (2008). Understanding the mechanisms of anaphylaxis. </w:t>
      </w:r>
      <w:r w:rsidRPr="00416159">
        <w:rPr>
          <w:rFonts w:ascii="Arial" w:eastAsiaTheme="minorHAnsi" w:hAnsi="Arial" w:cs="Arial"/>
          <w:i/>
          <w:iCs/>
          <w:lang w:val="en-GB" w:eastAsia="en-US"/>
        </w:rPr>
        <w:t>Current Opinion in Allergy and Clinical Immunology</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8</w:t>
      </w:r>
      <w:r w:rsidRPr="00416159">
        <w:rPr>
          <w:rFonts w:ascii="Arial" w:eastAsiaTheme="minorHAnsi" w:hAnsi="Arial" w:cs="Arial"/>
          <w:lang w:val="en-GB" w:eastAsia="en-US"/>
        </w:rPr>
        <w:t>(4), 310–315. https://doi.org/10.1097/ACI.0b013e3283036a90</w:t>
      </w:r>
    </w:p>
    <w:p w14:paraId="214E25F8" w14:textId="259E9D47"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lastRenderedPageBreak/>
        <w:t xml:space="preserve">Salonen, H., Salthammer, T., Castagnoli, E., Täubel, M.,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Morawska, L. (2024). Cleaning products: Their chemistry, effects on indoor air quality, and implications for human health. </w:t>
      </w:r>
      <w:r w:rsidRPr="00416159">
        <w:rPr>
          <w:rFonts w:ascii="Arial" w:eastAsiaTheme="minorHAnsi" w:hAnsi="Arial" w:cs="Arial"/>
          <w:i/>
          <w:iCs/>
          <w:lang w:val="en-GB" w:eastAsia="en-US"/>
        </w:rPr>
        <w:t>Environment International</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190</w:t>
      </w:r>
      <w:r w:rsidRPr="00416159">
        <w:rPr>
          <w:rFonts w:ascii="Arial" w:eastAsiaTheme="minorHAnsi" w:hAnsi="Arial" w:cs="Arial"/>
          <w:lang w:val="en-GB" w:eastAsia="en-US"/>
        </w:rPr>
        <w:t>, 108836. https://doi.org/10.1016/j.envint.2024.108836</w:t>
      </w:r>
    </w:p>
    <w:p w14:paraId="4E1367F8" w14:textId="322CEEE0"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Sapone, A., Bai, J. C., Ciacci, C., Dolinsek, J., Green, P. H., Hadjivassiliou, M., Kaukinen, K., Rostami, K., Sanders, D. S., Schumann, M., Ullrich, R., Villalta, D., Volta, U., Catassi, C.,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Fasano, A. (2012). Spectrum of gluten-related disorders: Consensus on new nomenclature and classification. </w:t>
      </w:r>
      <w:r w:rsidRPr="00416159">
        <w:rPr>
          <w:rFonts w:ascii="Arial" w:eastAsiaTheme="minorHAnsi" w:hAnsi="Arial" w:cs="Arial"/>
          <w:i/>
          <w:iCs/>
          <w:lang w:val="en-GB" w:eastAsia="en-US"/>
        </w:rPr>
        <w:t>BMC Medicine</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10</w:t>
      </w:r>
      <w:r w:rsidRPr="00416159">
        <w:rPr>
          <w:rFonts w:ascii="Arial" w:eastAsiaTheme="minorHAnsi" w:hAnsi="Arial" w:cs="Arial"/>
          <w:lang w:val="en-GB" w:eastAsia="en-US"/>
        </w:rPr>
        <w:t>(1), 13. https://doi.org/10.1186/1741-7015-10-13</w:t>
      </w:r>
    </w:p>
    <w:p w14:paraId="59887CDE" w14:textId="7EF6AD7F"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Sayed, K. M.,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Ali, A. H. (2022). </w:t>
      </w:r>
      <w:r w:rsidRPr="00416159">
        <w:rPr>
          <w:rFonts w:ascii="Arial" w:eastAsiaTheme="minorHAnsi" w:hAnsi="Arial" w:cs="Arial"/>
          <w:i/>
          <w:iCs/>
          <w:lang w:val="en-GB" w:eastAsia="en-US"/>
        </w:rPr>
        <w:t>IgE Mediated Wheat Allergy Associated with Resistant and Severe Forms of Allergic Conjunctivitis</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16</w:t>
      </w:r>
      <w:r w:rsidRPr="00416159">
        <w:rPr>
          <w:rFonts w:ascii="Arial" w:eastAsiaTheme="minorHAnsi" w:hAnsi="Arial" w:cs="Arial"/>
          <w:lang w:val="en-GB" w:eastAsia="en-US"/>
        </w:rPr>
        <w:t>, e187430642208170. https://doi.org/10.2174/18743064-v16-e2208170</w:t>
      </w:r>
    </w:p>
    <w:p w14:paraId="642B4071" w14:textId="18E611A3"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Shah, R.,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Grammer, L. C. (2012). Chapter 1: An overview of allergens. </w:t>
      </w:r>
      <w:r w:rsidRPr="00416159">
        <w:rPr>
          <w:rFonts w:ascii="Arial" w:eastAsiaTheme="minorHAnsi" w:hAnsi="Arial" w:cs="Arial"/>
          <w:i/>
          <w:iCs/>
          <w:lang w:val="en-GB" w:eastAsia="en-US"/>
        </w:rPr>
        <w:t>Allergy and Asthma Proceedings</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33 Suppl 1</w:t>
      </w:r>
      <w:r w:rsidRPr="00416159">
        <w:rPr>
          <w:rFonts w:ascii="Arial" w:eastAsiaTheme="minorHAnsi" w:hAnsi="Arial" w:cs="Arial"/>
          <w:lang w:val="en-GB" w:eastAsia="en-US"/>
        </w:rPr>
        <w:t>, 2–5. https://doi.org/10.2500/aap.2012.33.3531</w:t>
      </w:r>
    </w:p>
    <w:p w14:paraId="6A540930" w14:textId="14D5BFF6"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Sharpe, R. A., Cocq, K. L., Nikolaou, V., Osborne, N. J.,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Thornton, C. R. (2016). Identifying risk factors for exposure to culturable allergenic moulds in energy efficient homes by using highly specific monoclonal antibodies. </w:t>
      </w:r>
      <w:r w:rsidRPr="00416159">
        <w:rPr>
          <w:rFonts w:ascii="Arial" w:eastAsiaTheme="minorHAnsi" w:hAnsi="Arial" w:cs="Arial"/>
          <w:i/>
          <w:iCs/>
          <w:lang w:val="en-GB" w:eastAsia="en-US"/>
        </w:rPr>
        <w:t>Environmental Research</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144</w:t>
      </w:r>
      <w:r w:rsidRPr="00416159">
        <w:rPr>
          <w:rFonts w:ascii="Arial" w:eastAsiaTheme="minorHAnsi" w:hAnsi="Arial" w:cs="Arial"/>
          <w:lang w:val="en-GB" w:eastAsia="en-US"/>
        </w:rPr>
        <w:t>(Pt A), 32–42. https://doi.org/10.1016/j.envres.2015.10.029</w:t>
      </w:r>
    </w:p>
    <w:p w14:paraId="34F163FC" w14:textId="03F9C4E9"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Shin, Y. H., Hwang, J., Kwon, R., Lee, S. W., Kim, M. S., Shin, J. I.,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Yon, D. K. (2023). Global, regional, and national burden of allergic disorders and their risk factors in 204 countries and territories, from 1990 to 2019: A systematic analysis for the Global Burden of Disease Study 2019. </w:t>
      </w:r>
      <w:r w:rsidRPr="00416159">
        <w:rPr>
          <w:rFonts w:ascii="Arial" w:eastAsiaTheme="minorHAnsi" w:hAnsi="Arial" w:cs="Arial"/>
          <w:i/>
          <w:iCs/>
          <w:lang w:val="en-GB" w:eastAsia="en-US"/>
        </w:rPr>
        <w:t>Allergy</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78</w:t>
      </w:r>
      <w:r w:rsidRPr="00416159">
        <w:rPr>
          <w:rFonts w:ascii="Arial" w:eastAsiaTheme="minorHAnsi" w:hAnsi="Arial" w:cs="Arial"/>
          <w:lang w:val="en-GB" w:eastAsia="en-US"/>
        </w:rPr>
        <w:t>(8), 2232–2254. https://doi.org/10.1111/all.15807</w:t>
      </w:r>
    </w:p>
    <w:p w14:paraId="2B958374" w14:textId="4CB7EB69"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Taraghikhah, N., Ashtari, S., Asri, N., Shahbazkhani, B., Al-Dulaimi, D., Rostami-Nejad, M., Rezaei-Tavirani, M., Razzaghi, M. R.,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Zali, M. R. (2020). An updated overview </w:t>
      </w:r>
      <w:r w:rsidRPr="00416159">
        <w:rPr>
          <w:rFonts w:ascii="Arial" w:eastAsiaTheme="minorHAnsi" w:hAnsi="Arial" w:cs="Arial"/>
          <w:lang w:val="en-GB" w:eastAsia="en-US"/>
        </w:rPr>
        <w:lastRenderedPageBreak/>
        <w:t xml:space="preserve">of spectrum of gluten-related disorders: Clinical and diagnostic aspects. </w:t>
      </w:r>
      <w:r w:rsidRPr="00416159">
        <w:rPr>
          <w:rFonts w:ascii="Arial" w:eastAsiaTheme="minorHAnsi" w:hAnsi="Arial" w:cs="Arial"/>
          <w:i/>
          <w:iCs/>
          <w:lang w:val="en-GB" w:eastAsia="en-US"/>
        </w:rPr>
        <w:t>BMC Gastroenterology</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20</w:t>
      </w:r>
      <w:r w:rsidRPr="00416159">
        <w:rPr>
          <w:rFonts w:ascii="Arial" w:eastAsiaTheme="minorHAnsi" w:hAnsi="Arial" w:cs="Arial"/>
          <w:lang w:val="en-GB" w:eastAsia="en-US"/>
        </w:rPr>
        <w:t>, 258. https://doi.org/10.1186/s12876-020-01390-0</w:t>
      </w:r>
    </w:p>
    <w:p w14:paraId="21E0C8DE" w14:textId="16EB1449"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Tham, E. H.,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Leung, D. Y. M. (2018). How Different Parts of the World Provide New Insights Into Food Allergy. </w:t>
      </w:r>
      <w:r w:rsidRPr="00416159">
        <w:rPr>
          <w:rFonts w:ascii="Arial" w:eastAsiaTheme="minorHAnsi" w:hAnsi="Arial" w:cs="Arial"/>
          <w:i/>
          <w:iCs/>
          <w:lang w:val="en-GB" w:eastAsia="en-US"/>
        </w:rPr>
        <w:t xml:space="preserve">Allergy, Asthma </w:t>
      </w:r>
      <w:r w:rsidR="00DD6C5F">
        <w:rPr>
          <w:rFonts w:ascii="Arial" w:eastAsiaTheme="minorHAnsi" w:hAnsi="Arial" w:cs="Arial"/>
          <w:i/>
          <w:iCs/>
          <w:lang w:val="en-GB" w:eastAsia="en-US"/>
        </w:rPr>
        <w:t>and</w:t>
      </w:r>
      <w:r w:rsidRPr="00416159">
        <w:rPr>
          <w:rFonts w:ascii="Arial" w:eastAsiaTheme="minorHAnsi" w:hAnsi="Arial" w:cs="Arial"/>
          <w:i/>
          <w:iCs/>
          <w:lang w:val="en-GB" w:eastAsia="en-US"/>
        </w:rPr>
        <w:t xml:space="preserve"> Immunology Research</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10</w:t>
      </w:r>
      <w:r w:rsidRPr="00416159">
        <w:rPr>
          <w:rFonts w:ascii="Arial" w:eastAsiaTheme="minorHAnsi" w:hAnsi="Arial" w:cs="Arial"/>
          <w:lang w:val="en-GB" w:eastAsia="en-US"/>
        </w:rPr>
        <w:t>(4), 290–299. https://doi.org/10.4168/aair.2018.10.4.290</w:t>
      </w:r>
    </w:p>
    <w:p w14:paraId="4786AA50" w14:textId="6EA5240C"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Thangam, E. B., Jemima, E. A., Singh, H., Baig, M. S., Khan, M., Mathias, C. B., Church, M. K.,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Saluja, R. (2018). The Role of Histamine and Histamine Receptors in Mast Cell-Mediated Allergy and Inflammation: The Hunt for New Therapeutic Targets. </w:t>
      </w:r>
      <w:r w:rsidRPr="00416159">
        <w:rPr>
          <w:rFonts w:ascii="Arial" w:eastAsiaTheme="minorHAnsi" w:hAnsi="Arial" w:cs="Arial"/>
          <w:i/>
          <w:iCs/>
          <w:lang w:val="en-GB" w:eastAsia="en-US"/>
        </w:rPr>
        <w:t>Frontiers in Immunology</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9</w:t>
      </w:r>
      <w:r w:rsidRPr="00416159">
        <w:rPr>
          <w:rFonts w:ascii="Arial" w:eastAsiaTheme="minorHAnsi" w:hAnsi="Arial" w:cs="Arial"/>
          <w:lang w:val="en-GB" w:eastAsia="en-US"/>
        </w:rPr>
        <w:t>. https://doi.org/10.3389/fimmu.2018.01873</w:t>
      </w:r>
    </w:p>
    <w:p w14:paraId="1440ABB6" w14:textId="4513F395"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Umehara, Y., Kiatsurayanon, C., Trujillo-Paez, J. V., Chieosilapatham, P., Peng, G., Yue, H., Nguyen, H. L. T., Song, P., Okumura, K., Ogawa, H.,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Niyonsaba, F. (2021). Intractable Itch in Atopic Dermatitis: Causes and Treatments. </w:t>
      </w:r>
      <w:r w:rsidRPr="00416159">
        <w:rPr>
          <w:rFonts w:ascii="Arial" w:eastAsiaTheme="minorHAnsi" w:hAnsi="Arial" w:cs="Arial"/>
          <w:i/>
          <w:iCs/>
          <w:lang w:val="en-GB" w:eastAsia="en-US"/>
        </w:rPr>
        <w:t>Biomedicines</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9</w:t>
      </w:r>
      <w:r w:rsidRPr="00416159">
        <w:rPr>
          <w:rFonts w:ascii="Arial" w:eastAsiaTheme="minorHAnsi" w:hAnsi="Arial" w:cs="Arial"/>
          <w:lang w:val="en-GB" w:eastAsia="en-US"/>
        </w:rPr>
        <w:t>(3), 229. https://doi.org/10.3390/biomedicines9030229</w:t>
      </w:r>
    </w:p>
    <w:p w14:paraId="10082722" w14:textId="76945529"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Wang, J., Zhou, Y., Zhang, H., Hu, L., Liu, J., Wang, L., Wang, T., Zhang, H., Cong, L.,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Wang, Q. (2023). Pathogenesis of allergic diseases and implications for therapeutic interventions. </w:t>
      </w:r>
      <w:r w:rsidRPr="00416159">
        <w:rPr>
          <w:rFonts w:ascii="Arial" w:eastAsiaTheme="minorHAnsi" w:hAnsi="Arial" w:cs="Arial"/>
          <w:i/>
          <w:iCs/>
          <w:lang w:val="en-GB" w:eastAsia="en-US"/>
        </w:rPr>
        <w:t>Signal Transduction and Targeted Therapy</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8</w:t>
      </w:r>
      <w:r w:rsidRPr="00416159">
        <w:rPr>
          <w:rFonts w:ascii="Arial" w:eastAsiaTheme="minorHAnsi" w:hAnsi="Arial" w:cs="Arial"/>
          <w:lang w:val="en-GB" w:eastAsia="en-US"/>
        </w:rPr>
        <w:t>(1), 1–30. https://doi.org/10.1038/s41392-023-01344-4</w:t>
      </w:r>
    </w:p>
    <w:p w14:paraId="23D1F7CE" w14:textId="51673712" w:rsidR="00416159" w:rsidRPr="00416159" w:rsidRDefault="00416159" w:rsidP="00672DC0">
      <w:pPr>
        <w:pStyle w:val="Bibliography"/>
        <w:jc w:val="both"/>
        <w:rPr>
          <w:rFonts w:ascii="Arial" w:eastAsiaTheme="minorHAnsi" w:hAnsi="Arial" w:cs="Arial"/>
          <w:lang w:val="en-GB" w:eastAsia="en-US"/>
        </w:rPr>
      </w:pPr>
      <w:r w:rsidRPr="00416159">
        <w:rPr>
          <w:rFonts w:ascii="Arial" w:eastAsiaTheme="minorHAnsi" w:hAnsi="Arial" w:cs="Arial"/>
          <w:lang w:val="en-GB" w:eastAsia="en-US"/>
        </w:rPr>
        <w:t xml:space="preserve">Wang, R., Lan, C., Benlagha, K., Camara, N. O. S., Miller, H., Kubo, M., Heegaard, S., Lee, P., Yang, L., Forsman, H., Li, X., Zhai, Z., </w:t>
      </w:r>
      <w:r w:rsidR="00DD6C5F">
        <w:rPr>
          <w:rFonts w:ascii="Arial" w:eastAsiaTheme="minorHAnsi" w:hAnsi="Arial" w:cs="Arial"/>
          <w:lang w:val="en-GB" w:eastAsia="en-US"/>
        </w:rPr>
        <w:t>and</w:t>
      </w:r>
      <w:r w:rsidRPr="00416159">
        <w:rPr>
          <w:rFonts w:ascii="Arial" w:eastAsiaTheme="minorHAnsi" w:hAnsi="Arial" w:cs="Arial"/>
          <w:lang w:val="en-GB" w:eastAsia="en-US"/>
        </w:rPr>
        <w:t xml:space="preserve"> Liu, C. (2024). The interaction of innate immune and adaptive immune system. </w:t>
      </w:r>
      <w:r w:rsidRPr="00416159">
        <w:rPr>
          <w:rFonts w:ascii="Arial" w:eastAsiaTheme="minorHAnsi" w:hAnsi="Arial" w:cs="Arial"/>
          <w:i/>
          <w:iCs/>
          <w:lang w:val="en-GB" w:eastAsia="en-US"/>
        </w:rPr>
        <w:t>MedComm</w:t>
      </w:r>
      <w:r w:rsidRPr="00416159">
        <w:rPr>
          <w:rFonts w:ascii="Arial" w:eastAsiaTheme="minorHAnsi" w:hAnsi="Arial" w:cs="Arial"/>
          <w:lang w:val="en-GB" w:eastAsia="en-US"/>
        </w:rPr>
        <w:t xml:space="preserve">, </w:t>
      </w:r>
      <w:r w:rsidRPr="00416159">
        <w:rPr>
          <w:rFonts w:ascii="Arial" w:eastAsiaTheme="minorHAnsi" w:hAnsi="Arial" w:cs="Arial"/>
          <w:i/>
          <w:iCs/>
          <w:lang w:val="en-GB" w:eastAsia="en-US"/>
        </w:rPr>
        <w:t>5</w:t>
      </w:r>
      <w:r w:rsidRPr="00416159">
        <w:rPr>
          <w:rFonts w:ascii="Arial" w:eastAsiaTheme="minorHAnsi" w:hAnsi="Arial" w:cs="Arial"/>
          <w:lang w:val="en-GB" w:eastAsia="en-US"/>
        </w:rPr>
        <w:t>(10), e714. https://doi.org/10.1002/mco2.714</w:t>
      </w:r>
    </w:p>
    <w:p w14:paraId="169C5A72" w14:textId="491C5302" w:rsidR="004C5AF5" w:rsidRPr="00CE0262" w:rsidRDefault="0013405D" w:rsidP="00416159">
      <w:pPr>
        <w:pStyle w:val="Bibliography"/>
        <w:ind w:left="386" w:hanging="386"/>
        <w:rPr>
          <w:rFonts w:ascii="Arial" w:hAnsi="Arial" w:cs="Arial"/>
        </w:rPr>
      </w:pPr>
      <w:r w:rsidRPr="00CE0262">
        <w:rPr>
          <w:rFonts w:ascii="Arial" w:hAnsi="Arial" w:cs="Arial"/>
        </w:rPr>
        <w:fldChar w:fldCharType="end"/>
      </w:r>
    </w:p>
    <w:sectPr w:rsidR="004C5AF5" w:rsidRPr="00CE0262" w:rsidSect="000C56A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C5BB9" w14:textId="77777777" w:rsidR="0052400C" w:rsidRDefault="0052400C">
      <w:r>
        <w:separator/>
      </w:r>
    </w:p>
  </w:endnote>
  <w:endnote w:type="continuationSeparator" w:id="0">
    <w:p w14:paraId="7EBEE1C9" w14:textId="77777777" w:rsidR="0052400C" w:rsidRDefault="0052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713925702"/>
      <w:docPartObj>
        <w:docPartGallery w:val="Page Numbers (Bottom of Page)"/>
        <w:docPartUnique/>
      </w:docPartObj>
    </w:sdtPr>
    <w:sdtEndPr>
      <w:rPr>
        <w:rStyle w:val="PageNumber"/>
      </w:rPr>
    </w:sdtEndPr>
    <w:sdtContent>
      <w:p w14:paraId="305C2ABA" w14:textId="77777777" w:rsidR="0013405D" w:rsidRDefault="0013405D">
        <w:pPr>
          <w:pStyle w:val="Footer"/>
          <w:framePr w:wrap="none" w:vAnchor="text" w:hAnchor="text" w:xAlign="center"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14:paraId="5ADFED8C" w14:textId="77777777" w:rsidR="0013405D" w:rsidRDefault="00134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2057608473"/>
      <w:docPartObj>
        <w:docPartGallery w:val="Page Numbers (Bottom of Page)"/>
        <w:docPartUnique/>
      </w:docPartObj>
    </w:sdtPr>
    <w:sdtEndPr>
      <w:rPr>
        <w:rStyle w:val="PageNumber"/>
      </w:rPr>
    </w:sdtEndPr>
    <w:sdtContent>
      <w:p w14:paraId="7BC1F18A" w14:textId="77777777" w:rsidR="0013405D" w:rsidRDefault="0013405D">
        <w:pPr>
          <w:pStyle w:val="Footer"/>
          <w:framePr w:wrap="none" w:vAnchor="text" w:hAnchor="text" w:xAlign="center"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noProof/>
            <w:rtl/>
          </w:rPr>
          <w:t>3</w:t>
        </w:r>
        <w:r>
          <w:rPr>
            <w:rStyle w:val="PageNumber"/>
            <w:rtl/>
          </w:rPr>
          <w:fldChar w:fldCharType="end"/>
        </w:r>
      </w:p>
    </w:sdtContent>
  </w:sdt>
  <w:p w14:paraId="5A5C3723" w14:textId="77777777" w:rsidR="0013405D" w:rsidRDefault="00134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AE5E" w14:textId="77777777" w:rsidR="000C56AE" w:rsidRDefault="000C5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03442" w14:textId="77777777" w:rsidR="0052400C" w:rsidRDefault="0052400C">
      <w:r>
        <w:separator/>
      </w:r>
    </w:p>
  </w:footnote>
  <w:footnote w:type="continuationSeparator" w:id="0">
    <w:p w14:paraId="0E948299" w14:textId="77777777" w:rsidR="0052400C" w:rsidRDefault="00524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9FF14" w14:textId="3A0735ED" w:rsidR="000C56AE" w:rsidRDefault="000C56AE">
    <w:pPr>
      <w:pStyle w:val="Header"/>
    </w:pPr>
    <w:r>
      <w:rPr>
        <w:noProof/>
      </w:rPr>
      <w:pict w14:anchorId="33A41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094"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CF7E8" w14:textId="4106AE39" w:rsidR="000C56AE" w:rsidRDefault="000C56AE">
    <w:pPr>
      <w:pStyle w:val="Header"/>
    </w:pPr>
    <w:r>
      <w:rPr>
        <w:noProof/>
      </w:rPr>
      <w:pict w14:anchorId="02959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095"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8477C" w14:textId="3136D5B6" w:rsidR="000C56AE" w:rsidRDefault="000C56AE">
    <w:pPr>
      <w:pStyle w:val="Header"/>
    </w:pPr>
    <w:r>
      <w:rPr>
        <w:noProof/>
      </w:rPr>
      <w:pict w14:anchorId="1E154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093"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5D"/>
    <w:rsid w:val="00006CD7"/>
    <w:rsid w:val="00007012"/>
    <w:rsid w:val="0001125D"/>
    <w:rsid w:val="00011A2E"/>
    <w:rsid w:val="00011D84"/>
    <w:rsid w:val="000234F1"/>
    <w:rsid w:val="0004054B"/>
    <w:rsid w:val="00046DB1"/>
    <w:rsid w:val="0006553A"/>
    <w:rsid w:val="0007421D"/>
    <w:rsid w:val="000744CE"/>
    <w:rsid w:val="000A03C3"/>
    <w:rsid w:val="000A0480"/>
    <w:rsid w:val="000A0E35"/>
    <w:rsid w:val="000C3661"/>
    <w:rsid w:val="000C4892"/>
    <w:rsid w:val="000C56AE"/>
    <w:rsid w:val="000D012C"/>
    <w:rsid w:val="000F6648"/>
    <w:rsid w:val="00116357"/>
    <w:rsid w:val="00116B00"/>
    <w:rsid w:val="0011731E"/>
    <w:rsid w:val="0012184C"/>
    <w:rsid w:val="001335F9"/>
    <w:rsid w:val="0013405D"/>
    <w:rsid w:val="00135D84"/>
    <w:rsid w:val="001457F4"/>
    <w:rsid w:val="00150B5F"/>
    <w:rsid w:val="001551BF"/>
    <w:rsid w:val="00161A5E"/>
    <w:rsid w:val="0016550E"/>
    <w:rsid w:val="00166536"/>
    <w:rsid w:val="0016695A"/>
    <w:rsid w:val="001859D8"/>
    <w:rsid w:val="00194A6C"/>
    <w:rsid w:val="001A4335"/>
    <w:rsid w:val="001A4A67"/>
    <w:rsid w:val="001B1D49"/>
    <w:rsid w:val="001B1E85"/>
    <w:rsid w:val="001B39F5"/>
    <w:rsid w:val="001B533A"/>
    <w:rsid w:val="001B7354"/>
    <w:rsid w:val="001D67D4"/>
    <w:rsid w:val="001D7601"/>
    <w:rsid w:val="001E1B75"/>
    <w:rsid w:val="001E520F"/>
    <w:rsid w:val="001E666A"/>
    <w:rsid w:val="001F1AC2"/>
    <w:rsid w:val="00200648"/>
    <w:rsid w:val="00202C73"/>
    <w:rsid w:val="00204BB2"/>
    <w:rsid w:val="002055F1"/>
    <w:rsid w:val="00206DBF"/>
    <w:rsid w:val="0021209A"/>
    <w:rsid w:val="00213DF4"/>
    <w:rsid w:val="00233577"/>
    <w:rsid w:val="00236CF2"/>
    <w:rsid w:val="0023708B"/>
    <w:rsid w:val="00244C8C"/>
    <w:rsid w:val="002519EE"/>
    <w:rsid w:val="00252C91"/>
    <w:rsid w:val="0025429C"/>
    <w:rsid w:val="0025508A"/>
    <w:rsid w:val="00255512"/>
    <w:rsid w:val="002558C9"/>
    <w:rsid w:val="0025668E"/>
    <w:rsid w:val="00261A48"/>
    <w:rsid w:val="00265299"/>
    <w:rsid w:val="00271435"/>
    <w:rsid w:val="00275CB5"/>
    <w:rsid w:val="00276D9C"/>
    <w:rsid w:val="0028791D"/>
    <w:rsid w:val="00291337"/>
    <w:rsid w:val="00293BAE"/>
    <w:rsid w:val="00294BF4"/>
    <w:rsid w:val="00294FF9"/>
    <w:rsid w:val="002A0E5A"/>
    <w:rsid w:val="002A41D6"/>
    <w:rsid w:val="002A48DA"/>
    <w:rsid w:val="002A55C8"/>
    <w:rsid w:val="002B5203"/>
    <w:rsid w:val="002C03D3"/>
    <w:rsid w:val="002C2A8A"/>
    <w:rsid w:val="002D775A"/>
    <w:rsid w:val="002E1A09"/>
    <w:rsid w:val="002E5F1A"/>
    <w:rsid w:val="002F1A7C"/>
    <w:rsid w:val="0030582C"/>
    <w:rsid w:val="00307F8A"/>
    <w:rsid w:val="00312EEA"/>
    <w:rsid w:val="00323982"/>
    <w:rsid w:val="003324D5"/>
    <w:rsid w:val="00337691"/>
    <w:rsid w:val="00352197"/>
    <w:rsid w:val="00354633"/>
    <w:rsid w:val="0036068F"/>
    <w:rsid w:val="00360AFC"/>
    <w:rsid w:val="0036386D"/>
    <w:rsid w:val="00371DD1"/>
    <w:rsid w:val="0037286B"/>
    <w:rsid w:val="00380933"/>
    <w:rsid w:val="003861C4"/>
    <w:rsid w:val="003903E3"/>
    <w:rsid w:val="003907F9"/>
    <w:rsid w:val="003B3998"/>
    <w:rsid w:val="003B4126"/>
    <w:rsid w:val="003C1E35"/>
    <w:rsid w:val="003D323C"/>
    <w:rsid w:val="004018DB"/>
    <w:rsid w:val="004032BE"/>
    <w:rsid w:val="004065B4"/>
    <w:rsid w:val="00412C2F"/>
    <w:rsid w:val="00413D1D"/>
    <w:rsid w:val="00416159"/>
    <w:rsid w:val="00426B52"/>
    <w:rsid w:val="00427624"/>
    <w:rsid w:val="00431A88"/>
    <w:rsid w:val="004328AE"/>
    <w:rsid w:val="004334FD"/>
    <w:rsid w:val="004359EB"/>
    <w:rsid w:val="00436506"/>
    <w:rsid w:val="00436C97"/>
    <w:rsid w:val="00451FFB"/>
    <w:rsid w:val="00453182"/>
    <w:rsid w:val="00460912"/>
    <w:rsid w:val="00464DF1"/>
    <w:rsid w:val="00473035"/>
    <w:rsid w:val="0048051F"/>
    <w:rsid w:val="00481F75"/>
    <w:rsid w:val="00487153"/>
    <w:rsid w:val="00493A6E"/>
    <w:rsid w:val="00493CC1"/>
    <w:rsid w:val="00494D85"/>
    <w:rsid w:val="004A2F15"/>
    <w:rsid w:val="004B13E1"/>
    <w:rsid w:val="004C1ED9"/>
    <w:rsid w:val="004C5AF5"/>
    <w:rsid w:val="004D5A0B"/>
    <w:rsid w:val="004E07BB"/>
    <w:rsid w:val="004E17B6"/>
    <w:rsid w:val="004E3623"/>
    <w:rsid w:val="004F32A3"/>
    <w:rsid w:val="004F7815"/>
    <w:rsid w:val="00510DB3"/>
    <w:rsid w:val="0051488E"/>
    <w:rsid w:val="00515E1E"/>
    <w:rsid w:val="0052364C"/>
    <w:rsid w:val="0052400C"/>
    <w:rsid w:val="0053103E"/>
    <w:rsid w:val="00536048"/>
    <w:rsid w:val="00550A2A"/>
    <w:rsid w:val="00566946"/>
    <w:rsid w:val="00577833"/>
    <w:rsid w:val="00592FE0"/>
    <w:rsid w:val="0059477D"/>
    <w:rsid w:val="005A7E44"/>
    <w:rsid w:val="005B3C4E"/>
    <w:rsid w:val="005C6897"/>
    <w:rsid w:val="005C7E0D"/>
    <w:rsid w:val="005D14EF"/>
    <w:rsid w:val="005D3CF3"/>
    <w:rsid w:val="005D566C"/>
    <w:rsid w:val="005E1F06"/>
    <w:rsid w:val="005F05E2"/>
    <w:rsid w:val="00601529"/>
    <w:rsid w:val="00604693"/>
    <w:rsid w:val="00612ED0"/>
    <w:rsid w:val="00613337"/>
    <w:rsid w:val="00615613"/>
    <w:rsid w:val="00615E5C"/>
    <w:rsid w:val="00622618"/>
    <w:rsid w:val="0062307B"/>
    <w:rsid w:val="0062694A"/>
    <w:rsid w:val="00627401"/>
    <w:rsid w:val="0062790A"/>
    <w:rsid w:val="00637E2C"/>
    <w:rsid w:val="0064201E"/>
    <w:rsid w:val="0065134C"/>
    <w:rsid w:val="00657C73"/>
    <w:rsid w:val="00663A9C"/>
    <w:rsid w:val="006644F4"/>
    <w:rsid w:val="006700A1"/>
    <w:rsid w:val="00671B6B"/>
    <w:rsid w:val="00672DC0"/>
    <w:rsid w:val="00683384"/>
    <w:rsid w:val="00692D6E"/>
    <w:rsid w:val="00696104"/>
    <w:rsid w:val="006B6FAA"/>
    <w:rsid w:val="006B7ED4"/>
    <w:rsid w:val="006D4586"/>
    <w:rsid w:val="006D677E"/>
    <w:rsid w:val="006E58CE"/>
    <w:rsid w:val="006F3F4D"/>
    <w:rsid w:val="006F7E39"/>
    <w:rsid w:val="00703C50"/>
    <w:rsid w:val="00705573"/>
    <w:rsid w:val="00707021"/>
    <w:rsid w:val="00717C13"/>
    <w:rsid w:val="00720980"/>
    <w:rsid w:val="00720B2C"/>
    <w:rsid w:val="00730451"/>
    <w:rsid w:val="007317D9"/>
    <w:rsid w:val="007333FA"/>
    <w:rsid w:val="00736B0E"/>
    <w:rsid w:val="007449F5"/>
    <w:rsid w:val="00752F53"/>
    <w:rsid w:val="0075570A"/>
    <w:rsid w:val="00761A7F"/>
    <w:rsid w:val="007644B6"/>
    <w:rsid w:val="007649A1"/>
    <w:rsid w:val="00771F06"/>
    <w:rsid w:val="00774A35"/>
    <w:rsid w:val="00793E40"/>
    <w:rsid w:val="00796F30"/>
    <w:rsid w:val="007A4F55"/>
    <w:rsid w:val="007C06F3"/>
    <w:rsid w:val="007C1941"/>
    <w:rsid w:val="007C355F"/>
    <w:rsid w:val="007D7960"/>
    <w:rsid w:val="007E0CEA"/>
    <w:rsid w:val="007E6456"/>
    <w:rsid w:val="007F7938"/>
    <w:rsid w:val="007F7DBF"/>
    <w:rsid w:val="00804ED0"/>
    <w:rsid w:val="00805309"/>
    <w:rsid w:val="00805D31"/>
    <w:rsid w:val="00807CC4"/>
    <w:rsid w:val="00812168"/>
    <w:rsid w:val="00813764"/>
    <w:rsid w:val="00825969"/>
    <w:rsid w:val="008264BE"/>
    <w:rsid w:val="00830B9E"/>
    <w:rsid w:val="00831F8A"/>
    <w:rsid w:val="0083222B"/>
    <w:rsid w:val="00840B0B"/>
    <w:rsid w:val="008438E4"/>
    <w:rsid w:val="008445F0"/>
    <w:rsid w:val="0085221F"/>
    <w:rsid w:val="00857FA1"/>
    <w:rsid w:val="00865AD7"/>
    <w:rsid w:val="0088059A"/>
    <w:rsid w:val="008805ED"/>
    <w:rsid w:val="0088350D"/>
    <w:rsid w:val="0088407C"/>
    <w:rsid w:val="00885C0C"/>
    <w:rsid w:val="00896246"/>
    <w:rsid w:val="008A0414"/>
    <w:rsid w:val="008A2A29"/>
    <w:rsid w:val="008A3BDB"/>
    <w:rsid w:val="008B6466"/>
    <w:rsid w:val="008B7139"/>
    <w:rsid w:val="008B76C7"/>
    <w:rsid w:val="008C0A7D"/>
    <w:rsid w:val="008C320F"/>
    <w:rsid w:val="008D2FF9"/>
    <w:rsid w:val="008E1C63"/>
    <w:rsid w:val="008E4FAB"/>
    <w:rsid w:val="008E7647"/>
    <w:rsid w:val="008F21A4"/>
    <w:rsid w:val="008F5266"/>
    <w:rsid w:val="00907B47"/>
    <w:rsid w:val="00916A9F"/>
    <w:rsid w:val="0093587A"/>
    <w:rsid w:val="00940A59"/>
    <w:rsid w:val="00944730"/>
    <w:rsid w:val="009473F5"/>
    <w:rsid w:val="00954E67"/>
    <w:rsid w:val="009739A2"/>
    <w:rsid w:val="00977A53"/>
    <w:rsid w:val="009828A3"/>
    <w:rsid w:val="009865B4"/>
    <w:rsid w:val="0098710A"/>
    <w:rsid w:val="009922D0"/>
    <w:rsid w:val="0099625B"/>
    <w:rsid w:val="009A2CA2"/>
    <w:rsid w:val="009A3C4A"/>
    <w:rsid w:val="009A5433"/>
    <w:rsid w:val="009A7DA1"/>
    <w:rsid w:val="009B0B3D"/>
    <w:rsid w:val="009B4D1B"/>
    <w:rsid w:val="009B59E3"/>
    <w:rsid w:val="009B627B"/>
    <w:rsid w:val="009B633D"/>
    <w:rsid w:val="009B6E5A"/>
    <w:rsid w:val="009C2548"/>
    <w:rsid w:val="009C3279"/>
    <w:rsid w:val="009E5F5A"/>
    <w:rsid w:val="009F0CBD"/>
    <w:rsid w:val="00A03572"/>
    <w:rsid w:val="00A10A07"/>
    <w:rsid w:val="00A1580A"/>
    <w:rsid w:val="00A15EF6"/>
    <w:rsid w:val="00A26BEC"/>
    <w:rsid w:val="00A30716"/>
    <w:rsid w:val="00A44A94"/>
    <w:rsid w:val="00A51131"/>
    <w:rsid w:val="00A52F84"/>
    <w:rsid w:val="00A6637A"/>
    <w:rsid w:val="00A66CF7"/>
    <w:rsid w:val="00A7122B"/>
    <w:rsid w:val="00A722FB"/>
    <w:rsid w:val="00A73070"/>
    <w:rsid w:val="00A74856"/>
    <w:rsid w:val="00A8776D"/>
    <w:rsid w:val="00A9407D"/>
    <w:rsid w:val="00A94B06"/>
    <w:rsid w:val="00AA2CE9"/>
    <w:rsid w:val="00AB0CF0"/>
    <w:rsid w:val="00AB2A15"/>
    <w:rsid w:val="00AC1B76"/>
    <w:rsid w:val="00AC38E8"/>
    <w:rsid w:val="00AD73E2"/>
    <w:rsid w:val="00AE3ABF"/>
    <w:rsid w:val="00AE6F4A"/>
    <w:rsid w:val="00AF16EB"/>
    <w:rsid w:val="00B17DAD"/>
    <w:rsid w:val="00B3159B"/>
    <w:rsid w:val="00B338B6"/>
    <w:rsid w:val="00B34212"/>
    <w:rsid w:val="00B44C3C"/>
    <w:rsid w:val="00B50694"/>
    <w:rsid w:val="00B522F5"/>
    <w:rsid w:val="00B5435B"/>
    <w:rsid w:val="00B73B16"/>
    <w:rsid w:val="00B76061"/>
    <w:rsid w:val="00B77958"/>
    <w:rsid w:val="00B9633D"/>
    <w:rsid w:val="00BA3FE6"/>
    <w:rsid w:val="00BA4E64"/>
    <w:rsid w:val="00BA690C"/>
    <w:rsid w:val="00BB757C"/>
    <w:rsid w:val="00BD570C"/>
    <w:rsid w:val="00C00CF9"/>
    <w:rsid w:val="00C011FE"/>
    <w:rsid w:val="00C054F9"/>
    <w:rsid w:val="00C101C0"/>
    <w:rsid w:val="00C10F40"/>
    <w:rsid w:val="00C13987"/>
    <w:rsid w:val="00C2151E"/>
    <w:rsid w:val="00C21727"/>
    <w:rsid w:val="00C2517E"/>
    <w:rsid w:val="00C344B3"/>
    <w:rsid w:val="00C34B82"/>
    <w:rsid w:val="00C36167"/>
    <w:rsid w:val="00C54297"/>
    <w:rsid w:val="00C54528"/>
    <w:rsid w:val="00C6077F"/>
    <w:rsid w:val="00C63AE7"/>
    <w:rsid w:val="00C73DF1"/>
    <w:rsid w:val="00C7765C"/>
    <w:rsid w:val="00C779C0"/>
    <w:rsid w:val="00C809BF"/>
    <w:rsid w:val="00C84041"/>
    <w:rsid w:val="00C86EB3"/>
    <w:rsid w:val="00C93F88"/>
    <w:rsid w:val="00C94639"/>
    <w:rsid w:val="00C94F9B"/>
    <w:rsid w:val="00CA044B"/>
    <w:rsid w:val="00CA56B1"/>
    <w:rsid w:val="00CA7ECB"/>
    <w:rsid w:val="00CB7E88"/>
    <w:rsid w:val="00CC5827"/>
    <w:rsid w:val="00CC71F9"/>
    <w:rsid w:val="00CD21F5"/>
    <w:rsid w:val="00CE0262"/>
    <w:rsid w:val="00CE2B18"/>
    <w:rsid w:val="00CE384B"/>
    <w:rsid w:val="00CE5317"/>
    <w:rsid w:val="00CE7A77"/>
    <w:rsid w:val="00CF1F95"/>
    <w:rsid w:val="00CF3BEC"/>
    <w:rsid w:val="00D04249"/>
    <w:rsid w:val="00D117BC"/>
    <w:rsid w:val="00D11A79"/>
    <w:rsid w:val="00D142C6"/>
    <w:rsid w:val="00D144F2"/>
    <w:rsid w:val="00D1668B"/>
    <w:rsid w:val="00D40796"/>
    <w:rsid w:val="00D42A36"/>
    <w:rsid w:val="00D46D09"/>
    <w:rsid w:val="00D57627"/>
    <w:rsid w:val="00D919E9"/>
    <w:rsid w:val="00DA00F5"/>
    <w:rsid w:val="00DA6E59"/>
    <w:rsid w:val="00DA78CA"/>
    <w:rsid w:val="00DC2B8B"/>
    <w:rsid w:val="00DD02EE"/>
    <w:rsid w:val="00DD3816"/>
    <w:rsid w:val="00DD6C5F"/>
    <w:rsid w:val="00DE0E69"/>
    <w:rsid w:val="00DE2A80"/>
    <w:rsid w:val="00DE4E0E"/>
    <w:rsid w:val="00E13E6A"/>
    <w:rsid w:val="00E14499"/>
    <w:rsid w:val="00E14872"/>
    <w:rsid w:val="00E1601D"/>
    <w:rsid w:val="00E1777E"/>
    <w:rsid w:val="00E22E11"/>
    <w:rsid w:val="00E27C2A"/>
    <w:rsid w:val="00E36CCE"/>
    <w:rsid w:val="00E4285C"/>
    <w:rsid w:val="00E42BE0"/>
    <w:rsid w:val="00E43D33"/>
    <w:rsid w:val="00E602DA"/>
    <w:rsid w:val="00E61BA8"/>
    <w:rsid w:val="00E646E1"/>
    <w:rsid w:val="00E65823"/>
    <w:rsid w:val="00E716A2"/>
    <w:rsid w:val="00E71881"/>
    <w:rsid w:val="00EA0F90"/>
    <w:rsid w:val="00EA11CD"/>
    <w:rsid w:val="00EA56AB"/>
    <w:rsid w:val="00EA6F67"/>
    <w:rsid w:val="00EB3471"/>
    <w:rsid w:val="00EB754B"/>
    <w:rsid w:val="00EC2C09"/>
    <w:rsid w:val="00EC66BA"/>
    <w:rsid w:val="00EC71F0"/>
    <w:rsid w:val="00ED0F3A"/>
    <w:rsid w:val="00EE0E6B"/>
    <w:rsid w:val="00EE14BE"/>
    <w:rsid w:val="00EE7960"/>
    <w:rsid w:val="00EF1EF8"/>
    <w:rsid w:val="00EF72D5"/>
    <w:rsid w:val="00F0073B"/>
    <w:rsid w:val="00F03BB0"/>
    <w:rsid w:val="00F10C58"/>
    <w:rsid w:val="00F11D8F"/>
    <w:rsid w:val="00F1324E"/>
    <w:rsid w:val="00F16B06"/>
    <w:rsid w:val="00F24CE9"/>
    <w:rsid w:val="00F24F54"/>
    <w:rsid w:val="00F25D23"/>
    <w:rsid w:val="00F261F3"/>
    <w:rsid w:val="00F30686"/>
    <w:rsid w:val="00F32F84"/>
    <w:rsid w:val="00F36AC4"/>
    <w:rsid w:val="00F43B97"/>
    <w:rsid w:val="00F47AA2"/>
    <w:rsid w:val="00F60198"/>
    <w:rsid w:val="00F640A4"/>
    <w:rsid w:val="00F713FE"/>
    <w:rsid w:val="00F81EA0"/>
    <w:rsid w:val="00F833E1"/>
    <w:rsid w:val="00F96928"/>
    <w:rsid w:val="00FA25B6"/>
    <w:rsid w:val="00FA4F7C"/>
    <w:rsid w:val="00FB05B2"/>
    <w:rsid w:val="00FB1357"/>
    <w:rsid w:val="00FC0C5A"/>
    <w:rsid w:val="00FC2A10"/>
    <w:rsid w:val="00FD0101"/>
    <w:rsid w:val="00FD1C60"/>
    <w:rsid w:val="00FD6F54"/>
    <w:rsid w:val="00FD7D76"/>
    <w:rsid w:val="00FE1871"/>
    <w:rsid w:val="00FE5334"/>
    <w:rsid w:val="00FF068B"/>
    <w:rsid w:val="00FF15DA"/>
    <w:rsid w:val="00FF4244"/>
    <w:rsid w:val="00FF70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47C7B6"/>
  <w15:chartTrackingRefBased/>
  <w15:docId w15:val="{EF090448-38D5-5843-9F72-E9E87C0B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05D"/>
    <w:rPr>
      <w:rFonts w:ascii="Times New Roman" w:eastAsia="Times New Roman" w:hAnsi="Times New Roman" w:cs="Times New Roman"/>
      <w:kern w:val="0"/>
      <w:lang w:val="en-US" w:eastAsia="en-GB"/>
      <w14:ligatures w14:val="none"/>
    </w:rPr>
  </w:style>
  <w:style w:type="paragraph" w:styleId="Heading1">
    <w:name w:val="heading 1"/>
    <w:basedOn w:val="Normal"/>
    <w:next w:val="Normal"/>
    <w:link w:val="Heading1Char"/>
    <w:uiPriority w:val="9"/>
    <w:qFormat/>
    <w:rsid w:val="0013405D"/>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3405D"/>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3405D"/>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3405D"/>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3405D"/>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3405D"/>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3405D"/>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3405D"/>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3405D"/>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05D"/>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13405D"/>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13405D"/>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13405D"/>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3405D"/>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13405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3405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3405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3405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3405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3405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3405D"/>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3405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3405D"/>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3405D"/>
    <w:rPr>
      <w:i/>
      <w:iCs/>
      <w:color w:val="404040" w:themeColor="text1" w:themeTint="BF"/>
      <w:lang w:val="en-US"/>
    </w:rPr>
  </w:style>
  <w:style w:type="paragraph" w:styleId="ListParagraph">
    <w:name w:val="List Paragraph"/>
    <w:basedOn w:val="Normal"/>
    <w:uiPriority w:val="34"/>
    <w:qFormat/>
    <w:rsid w:val="0013405D"/>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3405D"/>
    <w:rPr>
      <w:i/>
      <w:iCs/>
      <w:color w:val="2F5496" w:themeColor="accent1" w:themeShade="BF"/>
    </w:rPr>
  </w:style>
  <w:style w:type="paragraph" w:styleId="IntenseQuote">
    <w:name w:val="Intense Quote"/>
    <w:basedOn w:val="Normal"/>
    <w:next w:val="Normal"/>
    <w:link w:val="IntenseQuoteChar"/>
    <w:uiPriority w:val="30"/>
    <w:qFormat/>
    <w:rsid w:val="0013405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3405D"/>
    <w:rPr>
      <w:i/>
      <w:iCs/>
      <w:color w:val="2F5496" w:themeColor="accent1" w:themeShade="BF"/>
      <w:lang w:val="en-US"/>
    </w:rPr>
  </w:style>
  <w:style w:type="character" w:styleId="IntenseReference">
    <w:name w:val="Intense Reference"/>
    <w:basedOn w:val="DefaultParagraphFont"/>
    <w:uiPriority w:val="32"/>
    <w:qFormat/>
    <w:rsid w:val="0013405D"/>
    <w:rPr>
      <w:b/>
      <w:bCs/>
      <w:smallCaps/>
      <w:color w:val="2F5496" w:themeColor="accent1" w:themeShade="BF"/>
      <w:spacing w:val="5"/>
    </w:rPr>
  </w:style>
  <w:style w:type="paragraph" w:styleId="Footer">
    <w:name w:val="footer"/>
    <w:basedOn w:val="Normal"/>
    <w:link w:val="FooterChar"/>
    <w:uiPriority w:val="99"/>
    <w:unhideWhenUsed/>
    <w:rsid w:val="0013405D"/>
    <w:pPr>
      <w:tabs>
        <w:tab w:val="center" w:pos="4153"/>
        <w:tab w:val="right" w:pos="8306"/>
      </w:tabs>
      <w:bidi/>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3405D"/>
    <w:rPr>
      <w:kern w:val="0"/>
      <w:sz w:val="22"/>
      <w:szCs w:val="22"/>
      <w:lang w:val="en-US"/>
      <w14:ligatures w14:val="none"/>
    </w:rPr>
  </w:style>
  <w:style w:type="paragraph" w:styleId="NormalWeb">
    <w:name w:val="Normal (Web)"/>
    <w:basedOn w:val="Normal"/>
    <w:uiPriority w:val="99"/>
    <w:unhideWhenUsed/>
    <w:rsid w:val="0013405D"/>
    <w:pPr>
      <w:spacing w:before="100" w:beforeAutospacing="1" w:after="100" w:afterAutospacing="1"/>
    </w:pPr>
  </w:style>
  <w:style w:type="paragraph" w:styleId="Bibliography">
    <w:name w:val="Bibliography"/>
    <w:basedOn w:val="Normal"/>
    <w:next w:val="Normal"/>
    <w:uiPriority w:val="37"/>
    <w:unhideWhenUsed/>
    <w:rsid w:val="0013405D"/>
    <w:pPr>
      <w:tabs>
        <w:tab w:val="left" w:pos="380"/>
      </w:tabs>
      <w:spacing w:line="480" w:lineRule="auto"/>
      <w:ind w:left="720" w:hanging="720"/>
    </w:pPr>
  </w:style>
  <w:style w:type="character" w:styleId="PageNumber">
    <w:name w:val="page number"/>
    <w:basedOn w:val="DefaultParagraphFont"/>
    <w:uiPriority w:val="99"/>
    <w:semiHidden/>
    <w:unhideWhenUsed/>
    <w:rsid w:val="0013405D"/>
  </w:style>
  <w:style w:type="character" w:styleId="Strong">
    <w:name w:val="Strong"/>
    <w:basedOn w:val="DefaultParagraphFont"/>
    <w:uiPriority w:val="22"/>
    <w:qFormat/>
    <w:rsid w:val="0013405D"/>
    <w:rPr>
      <w:b/>
      <w:bCs/>
    </w:rPr>
  </w:style>
  <w:style w:type="paragraph" w:customStyle="1" w:styleId="my-0">
    <w:name w:val="my-0"/>
    <w:basedOn w:val="Normal"/>
    <w:rsid w:val="0013405D"/>
    <w:pPr>
      <w:spacing w:before="100" w:beforeAutospacing="1" w:after="100" w:afterAutospacing="1"/>
    </w:pPr>
    <w:rPr>
      <w:lang w:val="en-GB"/>
    </w:rPr>
  </w:style>
  <w:style w:type="character" w:customStyle="1" w:styleId="whitespace-nowrap">
    <w:name w:val="whitespace-nowrap"/>
    <w:basedOn w:val="DefaultParagraphFont"/>
    <w:rsid w:val="0013405D"/>
  </w:style>
  <w:style w:type="paragraph" w:styleId="BodyText">
    <w:name w:val="Body Text"/>
    <w:basedOn w:val="Normal"/>
    <w:link w:val="BodyTextChar"/>
    <w:uiPriority w:val="1"/>
    <w:qFormat/>
    <w:rsid w:val="0013405D"/>
    <w:pPr>
      <w:widowControl w:val="0"/>
      <w:autoSpaceDE w:val="0"/>
      <w:autoSpaceDN w:val="0"/>
      <w:spacing w:line="480" w:lineRule="auto"/>
      <w:ind w:right="48"/>
      <w:jc w:val="both"/>
    </w:pPr>
    <w:rPr>
      <w:rFonts w:ascii="Arial" w:hAnsi="Arial" w:cs="Arial"/>
      <w:color w:val="242424"/>
      <w:shd w:val="clear" w:color="auto" w:fill="FFFFFF"/>
      <w:lang w:eastAsia="en-US"/>
    </w:rPr>
  </w:style>
  <w:style w:type="character" w:customStyle="1" w:styleId="BodyTextChar">
    <w:name w:val="Body Text Char"/>
    <w:basedOn w:val="DefaultParagraphFont"/>
    <w:link w:val="BodyText"/>
    <w:uiPriority w:val="1"/>
    <w:rsid w:val="0013405D"/>
    <w:rPr>
      <w:rFonts w:ascii="Arial" w:eastAsia="Times New Roman" w:hAnsi="Arial" w:cs="Arial"/>
      <w:color w:val="242424"/>
      <w:kern w:val="0"/>
      <w:lang w:val="en-US"/>
      <w14:ligatures w14:val="none"/>
    </w:rPr>
  </w:style>
  <w:style w:type="table" w:styleId="TableGrid">
    <w:name w:val="Table Grid"/>
    <w:basedOn w:val="TableNormal"/>
    <w:uiPriority w:val="39"/>
    <w:rsid w:val="0013405D"/>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bd-Pendahul10">
    <w:name w:val="jbd-Pendahul10"/>
    <w:basedOn w:val="Normal"/>
    <w:qFormat/>
    <w:rsid w:val="0013405D"/>
    <w:pPr>
      <w:keepNext/>
      <w:spacing w:before="480" w:after="240"/>
      <w:jc w:val="center"/>
    </w:pPr>
    <w:rPr>
      <w:rFonts w:eastAsia="Batang" w:cs="Arial"/>
      <w:b/>
      <w:bCs/>
      <w:caps/>
      <w:sz w:val="20"/>
      <w:szCs w:val="18"/>
      <w:lang w:val="id-ID"/>
    </w:rPr>
  </w:style>
  <w:style w:type="character" w:styleId="LineNumber">
    <w:name w:val="line number"/>
    <w:basedOn w:val="DefaultParagraphFont"/>
    <w:uiPriority w:val="99"/>
    <w:semiHidden/>
    <w:unhideWhenUsed/>
    <w:rsid w:val="0013405D"/>
  </w:style>
  <w:style w:type="character" w:styleId="Hyperlink">
    <w:name w:val="Hyperlink"/>
    <w:basedOn w:val="DefaultParagraphFont"/>
    <w:uiPriority w:val="99"/>
    <w:unhideWhenUsed/>
    <w:rsid w:val="00AF16EB"/>
    <w:rPr>
      <w:color w:val="0563C1" w:themeColor="hyperlink"/>
      <w:u w:val="single"/>
    </w:rPr>
  </w:style>
  <w:style w:type="character" w:styleId="UnresolvedMention">
    <w:name w:val="Unresolved Mention"/>
    <w:basedOn w:val="DefaultParagraphFont"/>
    <w:uiPriority w:val="99"/>
    <w:semiHidden/>
    <w:unhideWhenUsed/>
    <w:rsid w:val="004018DB"/>
    <w:rPr>
      <w:color w:val="605E5C"/>
      <w:shd w:val="clear" w:color="auto" w:fill="E1DFDD"/>
    </w:rPr>
  </w:style>
  <w:style w:type="paragraph" w:styleId="Header">
    <w:name w:val="header"/>
    <w:basedOn w:val="Normal"/>
    <w:link w:val="HeaderChar"/>
    <w:uiPriority w:val="99"/>
    <w:unhideWhenUsed/>
    <w:rsid w:val="000C56AE"/>
    <w:pPr>
      <w:tabs>
        <w:tab w:val="center" w:pos="4680"/>
        <w:tab w:val="right" w:pos="9360"/>
      </w:tabs>
    </w:pPr>
  </w:style>
  <w:style w:type="character" w:customStyle="1" w:styleId="HeaderChar">
    <w:name w:val="Header Char"/>
    <w:basedOn w:val="DefaultParagraphFont"/>
    <w:link w:val="Header"/>
    <w:uiPriority w:val="99"/>
    <w:rsid w:val="000C56AE"/>
    <w:rPr>
      <w:rFonts w:ascii="Times New Roman" w:eastAsia="Times New Roman" w:hAnsi="Times New Roman" w:cs="Times New Roman"/>
      <w:kern w:val="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E6307C-3B70-A244-8A09-67887E4924F3}">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BFB97-433C-4FFF-8C3F-84A1ECE8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20</Pages>
  <Words>21419</Words>
  <Characters>122092</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Marwan Al-Maqtoofi</dc:creator>
  <cp:keywords/>
  <dc:description/>
  <cp:lastModifiedBy>SDI 1084</cp:lastModifiedBy>
  <cp:revision>293</cp:revision>
  <cp:lastPrinted>2025-10-17T16:09:00Z</cp:lastPrinted>
  <dcterms:created xsi:type="dcterms:W3CDTF">2025-10-17T15:09:00Z</dcterms:created>
  <dcterms:modified xsi:type="dcterms:W3CDTF">2025-10-18T09:51:00Z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zotero-version="7.0.26"&gt;&lt;session id="c0k52bX0"/&gt;&lt;style id="http://www.zotero.org/styles/apa" locale="en-GB" hasBibliography="1" bibliographyStyleHasBeenSet="1"/&gt;&lt;prefs&gt;&lt;pref name="fieldType" value="Field"/&gt;&lt;pref name="delayCitationU</vt:lpwstr>
  </property>
  <property fmtid="{D5CDD505-2E9C-101B-9397-08002B2CF9AE}" pid="3" name="ZOTERO_PREF_2">
    <vt:lpwstr>pdates" value="true"/&gt;&lt;pref name="dontAskDelayCitationUpdates" value="true"/&gt;&lt;/prefs&gt;&lt;/data&gt;</vt:lpwstr>
  </property>
  <property fmtid="{D5CDD505-2E9C-101B-9397-08002B2CF9AE}" pid="4" name="grammarly_documentId">
    <vt:lpwstr>documentId_374</vt:lpwstr>
  </property>
  <property fmtid="{D5CDD505-2E9C-101B-9397-08002B2CF9AE}" pid="5" name="grammarly_documentContext">
    <vt:lpwstr>{"goals":[],"domain":"general","emotions":[],"dialect":"american"}</vt:lpwstr>
  </property>
</Properties>
</file>