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18B3" w14:textId="07BA63A1" w:rsidR="00BB6BEB" w:rsidRDefault="00BB6BEB" w:rsidP="00B81D4F">
      <w:pPr>
        <w:jc w:val="center"/>
        <w:rPr>
          <w:rFonts w:ascii="Times New Roman" w:hAnsi="Times New Roman" w:cs="Times New Roman"/>
          <w:b/>
          <w:bCs/>
          <w:sz w:val="24"/>
          <w:szCs w:val="24"/>
        </w:rPr>
      </w:pPr>
      <w:bookmarkStart w:id="0" w:name="_Hlk214372614"/>
      <w:bookmarkEnd w:id="0"/>
      <w:r w:rsidRPr="00256BC1">
        <w:rPr>
          <w:rFonts w:ascii="Times New Roman" w:hAnsi="Times New Roman" w:cs="Times New Roman"/>
          <w:b/>
          <w:bCs/>
          <w:sz w:val="24"/>
          <w:szCs w:val="24"/>
        </w:rPr>
        <w:t>“Impact of Integrated Nutrient Management on Soil Fertility and Economics of Indian Mustard (</w:t>
      </w:r>
      <w:r w:rsidR="0028203F" w:rsidRPr="0028203F">
        <w:rPr>
          <w:rFonts w:ascii="Times New Roman" w:hAnsi="Times New Roman" w:cs="Times New Roman"/>
          <w:b/>
          <w:bCs/>
          <w:i/>
          <w:iCs/>
          <w:sz w:val="24"/>
          <w:szCs w:val="24"/>
        </w:rPr>
        <w:t xml:space="preserve">Brassica </w:t>
      </w:r>
      <w:proofErr w:type="spellStart"/>
      <w:r w:rsidR="0028203F" w:rsidRPr="0028203F">
        <w:rPr>
          <w:rFonts w:ascii="Times New Roman" w:hAnsi="Times New Roman" w:cs="Times New Roman"/>
          <w:b/>
          <w:bCs/>
          <w:i/>
          <w:iCs/>
          <w:sz w:val="24"/>
          <w:szCs w:val="24"/>
        </w:rPr>
        <w:t>juncea</w:t>
      </w:r>
      <w:proofErr w:type="spellEnd"/>
      <w:r w:rsidR="0028203F" w:rsidRPr="0028203F">
        <w:rPr>
          <w:rFonts w:ascii="Times New Roman" w:hAnsi="Times New Roman" w:cs="Times New Roman"/>
          <w:b/>
          <w:bCs/>
          <w:i/>
          <w:iCs/>
          <w:sz w:val="24"/>
          <w:szCs w:val="24"/>
        </w:rPr>
        <w:t xml:space="preserve"> </w:t>
      </w:r>
      <w:r w:rsidRPr="00256BC1">
        <w:rPr>
          <w:rFonts w:ascii="Times New Roman" w:hAnsi="Times New Roman" w:cs="Times New Roman"/>
          <w:b/>
          <w:bCs/>
          <w:sz w:val="24"/>
          <w:szCs w:val="24"/>
        </w:rPr>
        <w:t>L.) in Dehradun”</w:t>
      </w:r>
    </w:p>
    <w:p w14:paraId="5DF5CF78" w14:textId="532B82A6" w:rsidR="004B77EE" w:rsidRDefault="004B77EE" w:rsidP="0053471D">
      <w:pPr>
        <w:spacing w:after="0"/>
        <w:jc w:val="center"/>
        <w:rPr>
          <w:rFonts w:ascii="Times New Roman" w:hAnsi="Times New Roman" w:cs="Times New Roman"/>
          <w:sz w:val="24"/>
          <w:szCs w:val="24"/>
        </w:rPr>
      </w:pPr>
      <w:bookmarkStart w:id="1" w:name="_Hlk208496213"/>
    </w:p>
    <w:p w14:paraId="47400B72" w14:textId="77777777" w:rsidR="00035179" w:rsidRPr="0053471D" w:rsidRDefault="00035179" w:rsidP="0053471D">
      <w:pPr>
        <w:spacing w:after="0"/>
        <w:jc w:val="center"/>
        <w:rPr>
          <w:rFonts w:ascii="Times New Roman" w:hAnsi="Times New Roman" w:cs="Times New Roman"/>
          <w:sz w:val="24"/>
          <w:szCs w:val="24"/>
        </w:rPr>
      </w:pPr>
      <w:bookmarkStart w:id="2" w:name="_GoBack"/>
      <w:bookmarkEnd w:id="2"/>
    </w:p>
    <w:bookmarkEnd w:id="1"/>
    <w:p w14:paraId="3E56E60B" w14:textId="77777777" w:rsidR="0053471D" w:rsidRDefault="0053471D" w:rsidP="00B81D4F">
      <w:pPr>
        <w:jc w:val="center"/>
        <w:rPr>
          <w:rFonts w:ascii="Times New Roman" w:hAnsi="Times New Roman" w:cs="Times New Roman"/>
          <w:b/>
          <w:bCs/>
          <w:sz w:val="24"/>
          <w:szCs w:val="24"/>
        </w:rPr>
      </w:pPr>
    </w:p>
    <w:p w14:paraId="70E007CA" w14:textId="0321AF83" w:rsidR="00F965F4" w:rsidRPr="00F965F4" w:rsidRDefault="00F965F4" w:rsidP="00B81D4F">
      <w:pPr>
        <w:jc w:val="center"/>
        <w:rPr>
          <w:rFonts w:ascii="Times New Roman" w:hAnsi="Times New Roman" w:cs="Times New Roman"/>
          <w:b/>
          <w:bCs/>
          <w:sz w:val="24"/>
          <w:szCs w:val="24"/>
        </w:rPr>
      </w:pPr>
      <w:r w:rsidRPr="00F965F4">
        <w:rPr>
          <w:rFonts w:ascii="Times New Roman" w:hAnsi="Times New Roman" w:cs="Times New Roman"/>
          <w:b/>
          <w:bCs/>
          <w:sz w:val="24"/>
          <w:szCs w:val="24"/>
        </w:rPr>
        <w:t>Abstract</w:t>
      </w:r>
    </w:p>
    <w:p w14:paraId="7BE5EC45" w14:textId="7872DF1F" w:rsidR="0044423E" w:rsidRDefault="0044423E" w:rsidP="00256BC1">
      <w:pPr>
        <w:jc w:val="both"/>
        <w:rPr>
          <w:rFonts w:ascii="Times New Roman" w:hAnsi="Times New Roman" w:cs="Times New Roman"/>
          <w:sz w:val="24"/>
          <w:szCs w:val="24"/>
        </w:rPr>
      </w:pPr>
      <w:r w:rsidRPr="0044423E">
        <w:rPr>
          <w:rFonts w:ascii="Times New Roman" w:hAnsi="Times New Roman" w:cs="Times New Roman"/>
          <w:sz w:val="24"/>
          <w:szCs w:val="24"/>
        </w:rPr>
        <w:t>Maintaining soil fertility and making the most of input costs are both very important for the long-term growth of Indian mustard (</w:t>
      </w:r>
      <w:r w:rsidR="0028203F" w:rsidRPr="0028203F">
        <w:rPr>
          <w:rFonts w:ascii="Times New Roman" w:hAnsi="Times New Roman" w:cs="Times New Roman"/>
          <w:i/>
          <w:iCs/>
          <w:sz w:val="24"/>
          <w:szCs w:val="24"/>
        </w:rPr>
        <w:t xml:space="preserve">Brassica </w:t>
      </w:r>
      <w:proofErr w:type="spellStart"/>
      <w:r w:rsidR="0028203F" w:rsidRPr="0028203F">
        <w:rPr>
          <w:rFonts w:ascii="Times New Roman" w:hAnsi="Times New Roman" w:cs="Times New Roman"/>
          <w:i/>
          <w:iCs/>
          <w:sz w:val="24"/>
          <w:szCs w:val="24"/>
        </w:rPr>
        <w:t>juncea</w:t>
      </w:r>
      <w:proofErr w:type="spellEnd"/>
      <w:r w:rsidR="0028203F" w:rsidRPr="0028203F">
        <w:rPr>
          <w:rFonts w:ascii="Times New Roman" w:hAnsi="Times New Roman" w:cs="Times New Roman"/>
          <w:i/>
          <w:iCs/>
          <w:sz w:val="24"/>
          <w:szCs w:val="24"/>
        </w:rPr>
        <w:t xml:space="preserve"> </w:t>
      </w:r>
      <w:r w:rsidRPr="0044423E">
        <w:rPr>
          <w:rFonts w:ascii="Times New Roman" w:hAnsi="Times New Roman" w:cs="Times New Roman"/>
          <w:sz w:val="24"/>
          <w:szCs w:val="24"/>
        </w:rPr>
        <w:t xml:space="preserve">L.). In many places where mustard is grown, using too many chemical fertilizers has caused nutritional imbalances, soil degradation, and lower profits. Integrated nutrient management (INM) is a good way to keep productivity up while improving soil health. It mixes chemical fertilizers with organic amendments and biofertilizers. A field experiment was conducted at </w:t>
      </w:r>
      <w:proofErr w:type="spellStart"/>
      <w:r w:rsidRPr="0044423E">
        <w:rPr>
          <w:rFonts w:ascii="Times New Roman" w:hAnsi="Times New Roman" w:cs="Times New Roman"/>
          <w:sz w:val="24"/>
          <w:szCs w:val="24"/>
        </w:rPr>
        <w:t>Jigyasa</w:t>
      </w:r>
      <w:proofErr w:type="spellEnd"/>
      <w:r w:rsidRPr="0044423E">
        <w:rPr>
          <w:rFonts w:ascii="Times New Roman" w:hAnsi="Times New Roman" w:cs="Times New Roman"/>
          <w:sz w:val="24"/>
          <w:szCs w:val="24"/>
        </w:rPr>
        <w:t xml:space="preserve"> University's Agronomy Research Farm in Dehradun during the Rabi season of 2023–2024 to assess the impact of INM on soil fertility and the economics of mustard agriculture. The randomized block design trial included nine treatments that were different mixes of vermicompost, biofertilizers (</w:t>
      </w:r>
      <w:proofErr w:type="spellStart"/>
      <w:r w:rsidR="00A41B6C" w:rsidRPr="00A41B6C">
        <w:rPr>
          <w:rFonts w:ascii="Times New Roman" w:hAnsi="Times New Roman" w:cs="Times New Roman"/>
          <w:i/>
          <w:iCs/>
          <w:sz w:val="24"/>
          <w:szCs w:val="24"/>
        </w:rPr>
        <w:t>Azotobacter</w:t>
      </w:r>
      <w:proofErr w:type="spellEnd"/>
      <w:r w:rsidRPr="0044423E">
        <w:rPr>
          <w:rFonts w:ascii="Times New Roman" w:hAnsi="Times New Roman" w:cs="Times New Roman"/>
          <w:sz w:val="24"/>
          <w:szCs w:val="24"/>
        </w:rPr>
        <w:t xml:space="preserve"> + PSB), and recommended doses of fertilizers (RDF). Before planting and after harvesting, the soil was tested for pH, electrical conductivity (EC), organic carbon (OC), available nitrogen (N), and phosphorus (P). We also looked at economic factors like the benefit–cost (B:C) ratio, net return, gross return, and cost of cultivation. When comparing INM to RDF alone, the results showed that the soil became much more fertile. The combination of 80% RDF, vermicompost, and biofertilizer (T4) gave the highest amount of organic carbon in the soil after harvest (1.11%), while using only RDF (T1) gave the lowest amount (0.49%). T4 also had the most nitrogen (165.10 kg/ha) and phosphorus (15.43 kg/ha) available. This shows how organics and biofertilizers work together to mineralize and dissolve nutrients. The pH and EC of the soil stabilized when integrated treatments were used, showing how organics can improve the chemical properties of the soil. T4 showed that integrated methods can still be profitable, even though they cost a little more to grow. It had the highest gross return (₹124,111.70/ha), net return (₹80,125.66/ha), and B:C ratio (1.82). Vermicompost (T8) and solo biofertilizer (T9), on the other hand, were the least profitable because they had lower yields and higher input costs. It has been established that integrated nutrient management, incorporating vermicompost and biofertilizers alongside 80% RDF, enhances soil fertility, ensures heightened productivity, and boosts economic returns in mustard cultivation. This strategy gives mustard farmers in Dehradun and other </w:t>
      </w:r>
      <w:proofErr w:type="spellStart"/>
      <w:r w:rsidRPr="0044423E">
        <w:rPr>
          <w:rFonts w:ascii="Times New Roman" w:hAnsi="Times New Roman" w:cs="Times New Roman"/>
          <w:sz w:val="24"/>
          <w:szCs w:val="24"/>
        </w:rPr>
        <w:t>agro</w:t>
      </w:r>
      <w:proofErr w:type="spellEnd"/>
      <w:r w:rsidRPr="0044423E">
        <w:rPr>
          <w:rFonts w:ascii="Times New Roman" w:hAnsi="Times New Roman" w:cs="Times New Roman"/>
          <w:sz w:val="24"/>
          <w:szCs w:val="24"/>
        </w:rPr>
        <w:t xml:space="preserve">-ecological zones a good and profitable alternative to systems that only use fertilizer. </w:t>
      </w:r>
    </w:p>
    <w:p w14:paraId="2D278713" w14:textId="1269B232" w:rsidR="00F965F4" w:rsidRPr="00F965F4" w:rsidRDefault="00F965F4" w:rsidP="00256BC1">
      <w:pPr>
        <w:jc w:val="both"/>
        <w:rPr>
          <w:rFonts w:ascii="Times New Roman" w:hAnsi="Times New Roman" w:cs="Times New Roman"/>
          <w:sz w:val="24"/>
          <w:szCs w:val="24"/>
        </w:rPr>
      </w:pPr>
      <w:r w:rsidRPr="00F965F4">
        <w:rPr>
          <w:rFonts w:ascii="Times New Roman" w:hAnsi="Times New Roman" w:cs="Times New Roman"/>
          <w:sz w:val="24"/>
          <w:szCs w:val="24"/>
        </w:rPr>
        <w:t>Keywords: Integrated nutrient management, mustard, soil fertility, vermicompost, biofertilizer, economics</w:t>
      </w:r>
    </w:p>
    <w:p w14:paraId="52F18F2D" w14:textId="2F960EC1" w:rsidR="00BB6BEB" w:rsidRPr="00BB6BEB" w:rsidRDefault="00BB6BEB" w:rsidP="00256BC1">
      <w:pPr>
        <w:jc w:val="both"/>
        <w:rPr>
          <w:rFonts w:ascii="Times New Roman" w:hAnsi="Times New Roman" w:cs="Times New Roman"/>
          <w:b/>
          <w:bCs/>
          <w:sz w:val="24"/>
          <w:szCs w:val="24"/>
        </w:rPr>
      </w:pPr>
      <w:r w:rsidRPr="00BB6BEB">
        <w:rPr>
          <w:rFonts w:ascii="Times New Roman" w:hAnsi="Times New Roman" w:cs="Times New Roman"/>
          <w:b/>
          <w:bCs/>
          <w:sz w:val="24"/>
          <w:szCs w:val="24"/>
        </w:rPr>
        <w:t>Introduction</w:t>
      </w:r>
    </w:p>
    <w:p w14:paraId="3B8480E4" w14:textId="18EBB3BA" w:rsidR="00C17E20" w:rsidRDefault="00C17E20" w:rsidP="00256BC1">
      <w:pPr>
        <w:jc w:val="both"/>
        <w:rPr>
          <w:rFonts w:ascii="Times New Roman" w:hAnsi="Times New Roman" w:cs="Times New Roman"/>
          <w:sz w:val="24"/>
          <w:szCs w:val="24"/>
        </w:rPr>
      </w:pPr>
      <w:r w:rsidRPr="00C17E20">
        <w:rPr>
          <w:rFonts w:ascii="Times New Roman" w:hAnsi="Times New Roman" w:cs="Times New Roman"/>
          <w:sz w:val="24"/>
          <w:szCs w:val="24"/>
        </w:rPr>
        <w:t>The sustainability of mustard (</w:t>
      </w:r>
      <w:r w:rsidRPr="00C17E20">
        <w:rPr>
          <w:rFonts w:ascii="Times New Roman" w:hAnsi="Times New Roman" w:cs="Times New Roman"/>
          <w:i/>
          <w:iCs/>
          <w:sz w:val="24"/>
          <w:szCs w:val="24"/>
        </w:rPr>
        <w:t xml:space="preserve">Brassica </w:t>
      </w:r>
      <w:proofErr w:type="spellStart"/>
      <w:r w:rsidRPr="00C17E20">
        <w:rPr>
          <w:rFonts w:ascii="Times New Roman" w:hAnsi="Times New Roman" w:cs="Times New Roman"/>
          <w:i/>
          <w:iCs/>
          <w:sz w:val="24"/>
          <w:szCs w:val="24"/>
        </w:rPr>
        <w:t>juncea</w:t>
      </w:r>
      <w:proofErr w:type="spellEnd"/>
      <w:r w:rsidRPr="00C17E20">
        <w:rPr>
          <w:rFonts w:ascii="Times New Roman" w:hAnsi="Times New Roman" w:cs="Times New Roman"/>
          <w:sz w:val="24"/>
          <w:szCs w:val="24"/>
        </w:rPr>
        <w:t xml:space="preserve"> L.) cultivation in India is directly linked to the nitrogen cycle, soil fertility, and input economics. Mustard is frequently cultivated in regions with limited resources and rainfed soils. However, continued cultivation and the use of high-yielding cultivars have led to a loss of soil nutrients, particularly </w:t>
      </w:r>
      <w:proofErr w:type="spellStart"/>
      <w:r w:rsidRPr="00C17E20">
        <w:rPr>
          <w:rFonts w:ascii="Times New Roman" w:hAnsi="Times New Roman" w:cs="Times New Roman"/>
          <w:sz w:val="24"/>
          <w:szCs w:val="24"/>
        </w:rPr>
        <w:t>sulfur</w:t>
      </w:r>
      <w:proofErr w:type="spellEnd"/>
      <w:r w:rsidRPr="00C17E20">
        <w:rPr>
          <w:rFonts w:ascii="Times New Roman" w:hAnsi="Times New Roman" w:cs="Times New Roman"/>
          <w:sz w:val="24"/>
          <w:szCs w:val="24"/>
        </w:rPr>
        <w:t>, phosphorus, and nitrogen (</w:t>
      </w:r>
      <w:proofErr w:type="spellStart"/>
      <w:r w:rsidRPr="00C17E20">
        <w:rPr>
          <w:rFonts w:ascii="Times New Roman" w:hAnsi="Times New Roman" w:cs="Times New Roman"/>
          <w:sz w:val="24"/>
          <w:szCs w:val="24"/>
        </w:rPr>
        <w:t>Ajnar</w:t>
      </w:r>
      <w:proofErr w:type="spellEnd"/>
      <w:r w:rsidRPr="00C17E20">
        <w:rPr>
          <w:rFonts w:ascii="Times New Roman" w:hAnsi="Times New Roman" w:cs="Times New Roman"/>
          <w:sz w:val="24"/>
          <w:szCs w:val="24"/>
        </w:rPr>
        <w:t xml:space="preserve"> &amp; </w:t>
      </w:r>
      <w:proofErr w:type="spellStart"/>
      <w:r w:rsidRPr="00C17E20">
        <w:rPr>
          <w:rFonts w:ascii="Times New Roman" w:hAnsi="Times New Roman" w:cs="Times New Roman"/>
          <w:sz w:val="24"/>
          <w:szCs w:val="24"/>
        </w:rPr>
        <w:t>Namdeo</w:t>
      </w:r>
      <w:proofErr w:type="spellEnd"/>
      <w:r w:rsidRPr="00C17E20">
        <w:rPr>
          <w:rFonts w:ascii="Times New Roman" w:hAnsi="Times New Roman" w:cs="Times New Roman"/>
          <w:sz w:val="24"/>
          <w:szCs w:val="24"/>
        </w:rPr>
        <w:t xml:space="preserve">, 2021; </w:t>
      </w:r>
      <w:proofErr w:type="spellStart"/>
      <w:r w:rsidR="00367447" w:rsidRPr="00367447">
        <w:rPr>
          <w:rFonts w:ascii="Times New Roman" w:hAnsi="Times New Roman" w:cs="Times New Roman"/>
          <w:sz w:val="24"/>
          <w:szCs w:val="24"/>
        </w:rPr>
        <w:t>Dongarwar</w:t>
      </w:r>
      <w:proofErr w:type="spellEnd"/>
      <w:r>
        <w:rPr>
          <w:rFonts w:ascii="Times New Roman" w:hAnsi="Times New Roman" w:cs="Times New Roman"/>
          <w:sz w:val="24"/>
          <w:szCs w:val="24"/>
        </w:rPr>
        <w:t xml:space="preserve"> </w:t>
      </w:r>
      <w:r w:rsidRPr="00C17E20">
        <w:rPr>
          <w:rFonts w:ascii="Times New Roman" w:hAnsi="Times New Roman" w:cs="Times New Roman"/>
          <w:i/>
          <w:iCs/>
          <w:sz w:val="24"/>
          <w:szCs w:val="24"/>
        </w:rPr>
        <w:t>et al.,</w:t>
      </w:r>
      <w:r w:rsidRPr="00C17E20">
        <w:rPr>
          <w:rFonts w:ascii="Times New Roman" w:hAnsi="Times New Roman" w:cs="Times New Roman"/>
          <w:sz w:val="24"/>
          <w:szCs w:val="24"/>
        </w:rPr>
        <w:t xml:space="preserve"> 20</w:t>
      </w:r>
      <w:r w:rsidR="00367447">
        <w:rPr>
          <w:rFonts w:ascii="Times New Roman" w:hAnsi="Times New Roman" w:cs="Times New Roman"/>
          <w:sz w:val="24"/>
          <w:szCs w:val="24"/>
        </w:rPr>
        <w:t>07</w:t>
      </w:r>
      <w:r w:rsidRPr="00C17E20">
        <w:rPr>
          <w:rFonts w:ascii="Times New Roman" w:hAnsi="Times New Roman" w:cs="Times New Roman"/>
          <w:sz w:val="24"/>
          <w:szCs w:val="24"/>
        </w:rPr>
        <w:t xml:space="preserve">). Conventional fertilizer use has not only been insufficient to maintain soil productivity over time but has also occasionally resulted </w:t>
      </w:r>
      <w:r w:rsidRPr="00C17E20">
        <w:rPr>
          <w:rFonts w:ascii="Times New Roman" w:hAnsi="Times New Roman" w:cs="Times New Roman"/>
          <w:sz w:val="24"/>
          <w:szCs w:val="24"/>
        </w:rPr>
        <w:lastRenderedPageBreak/>
        <w:t xml:space="preserve">in environmental problems, nutrient imbalances, and soil degradation. Integrated nutrient management (INM), which incorporates the wise use of agricultural wastes, chemical fertilizers, organic manures, and biofertilizers, is a comprehensive approach to preserving soil fertility and ensuring balanced nutrient availability (Chandan </w:t>
      </w:r>
      <w:r w:rsidRPr="00C17E20">
        <w:rPr>
          <w:rFonts w:ascii="Times New Roman" w:hAnsi="Times New Roman" w:cs="Times New Roman"/>
          <w:i/>
          <w:iCs/>
          <w:sz w:val="24"/>
          <w:szCs w:val="24"/>
        </w:rPr>
        <w:t>et al.,</w:t>
      </w:r>
      <w:r w:rsidRPr="00C17E20">
        <w:rPr>
          <w:rFonts w:ascii="Times New Roman" w:hAnsi="Times New Roman" w:cs="Times New Roman"/>
          <w:sz w:val="24"/>
          <w:szCs w:val="24"/>
        </w:rPr>
        <w:t xml:space="preserve"> 2019; Tripathi</w:t>
      </w:r>
      <w:r>
        <w:rPr>
          <w:rFonts w:ascii="Times New Roman" w:hAnsi="Times New Roman" w:cs="Times New Roman"/>
          <w:sz w:val="24"/>
          <w:szCs w:val="24"/>
        </w:rPr>
        <w:t xml:space="preserve"> </w:t>
      </w:r>
      <w:r w:rsidRPr="00C17E20">
        <w:rPr>
          <w:rFonts w:ascii="Times New Roman" w:hAnsi="Times New Roman" w:cs="Times New Roman"/>
          <w:i/>
          <w:iCs/>
          <w:sz w:val="24"/>
          <w:szCs w:val="24"/>
        </w:rPr>
        <w:t>et al.,</w:t>
      </w:r>
      <w:r>
        <w:rPr>
          <w:rFonts w:ascii="Times New Roman" w:hAnsi="Times New Roman" w:cs="Times New Roman"/>
          <w:sz w:val="24"/>
          <w:szCs w:val="24"/>
        </w:rPr>
        <w:t xml:space="preserve"> </w:t>
      </w:r>
      <w:r w:rsidRPr="00C17E20">
        <w:rPr>
          <w:rFonts w:ascii="Times New Roman" w:hAnsi="Times New Roman" w:cs="Times New Roman"/>
          <w:sz w:val="24"/>
          <w:szCs w:val="24"/>
        </w:rPr>
        <w:t>2010). Organic sources such as vermicompost and farmyard manure enhance the physical and biological properties of soil, whereas biofertilizers increase microbial activity, nutrient solubilization, and rhizosphere health</w:t>
      </w:r>
      <w:r w:rsidR="008A3766">
        <w:rPr>
          <w:rFonts w:ascii="Times New Roman" w:hAnsi="Times New Roman" w:cs="Times New Roman"/>
          <w:sz w:val="24"/>
          <w:szCs w:val="24"/>
        </w:rPr>
        <w:t xml:space="preserve"> (</w:t>
      </w:r>
      <w:proofErr w:type="spellStart"/>
      <w:r w:rsidR="008A3766" w:rsidRPr="00A871D6">
        <w:rPr>
          <w:rFonts w:ascii="Times New Roman" w:hAnsi="Times New Roman" w:cs="Times New Roman"/>
          <w:sz w:val="24"/>
          <w:szCs w:val="24"/>
        </w:rPr>
        <w:t>Chaurasiya</w:t>
      </w:r>
      <w:proofErr w:type="spellEnd"/>
      <w:r w:rsidR="008A3766">
        <w:rPr>
          <w:rFonts w:ascii="Times New Roman" w:hAnsi="Times New Roman" w:cs="Times New Roman"/>
          <w:sz w:val="24"/>
          <w:szCs w:val="24"/>
        </w:rPr>
        <w:t xml:space="preserve"> </w:t>
      </w:r>
      <w:r w:rsidR="008A3766" w:rsidRPr="008A3766">
        <w:rPr>
          <w:rFonts w:ascii="Times New Roman" w:hAnsi="Times New Roman" w:cs="Times New Roman"/>
          <w:i/>
          <w:iCs/>
          <w:sz w:val="24"/>
          <w:szCs w:val="24"/>
        </w:rPr>
        <w:t>et al.,</w:t>
      </w:r>
      <w:r w:rsidR="008A3766">
        <w:rPr>
          <w:rFonts w:ascii="Times New Roman" w:hAnsi="Times New Roman" w:cs="Times New Roman"/>
          <w:sz w:val="24"/>
          <w:szCs w:val="24"/>
        </w:rPr>
        <w:t xml:space="preserve"> 2024)</w:t>
      </w:r>
      <w:r w:rsidRPr="00C17E20">
        <w:rPr>
          <w:rFonts w:ascii="Times New Roman" w:hAnsi="Times New Roman" w:cs="Times New Roman"/>
          <w:sz w:val="24"/>
          <w:szCs w:val="24"/>
        </w:rPr>
        <w:t>. These inputs enhance nutrient-use efficiency, lower environmental risks, and preserve soil quality when paired with mineral fertilizers. Strategies for managing nutrients have a direct effect on the profitability, input costs, and gross returns of mustard farming (</w:t>
      </w:r>
      <w:proofErr w:type="spellStart"/>
      <w:r w:rsidRPr="00C17E20">
        <w:rPr>
          <w:rFonts w:ascii="Times New Roman" w:hAnsi="Times New Roman" w:cs="Times New Roman"/>
          <w:sz w:val="24"/>
          <w:szCs w:val="24"/>
        </w:rPr>
        <w:t>Ajnar</w:t>
      </w:r>
      <w:proofErr w:type="spellEnd"/>
      <w:r w:rsidRPr="00C17E20">
        <w:rPr>
          <w:rFonts w:ascii="Times New Roman" w:hAnsi="Times New Roman" w:cs="Times New Roman"/>
          <w:sz w:val="24"/>
          <w:szCs w:val="24"/>
        </w:rPr>
        <w:t xml:space="preserve"> &amp; </w:t>
      </w:r>
      <w:proofErr w:type="spellStart"/>
      <w:r w:rsidRPr="00C17E20">
        <w:rPr>
          <w:rFonts w:ascii="Times New Roman" w:hAnsi="Times New Roman" w:cs="Times New Roman"/>
          <w:sz w:val="24"/>
          <w:szCs w:val="24"/>
        </w:rPr>
        <w:t>Namdeo</w:t>
      </w:r>
      <w:proofErr w:type="spellEnd"/>
      <w:r w:rsidRPr="00C17E20">
        <w:rPr>
          <w:rFonts w:ascii="Times New Roman" w:hAnsi="Times New Roman" w:cs="Times New Roman"/>
          <w:sz w:val="24"/>
          <w:szCs w:val="24"/>
        </w:rPr>
        <w:t xml:space="preserve">, 2021). Balanced fertilization and organic amendments can help improve cost-benefit ratios by increasing the yield per unit of input, making the system less dependent on fertilizers, and ensuring that the production system will last for a long time. To make long-term production plans, it is important to look at how both organic and inorganic fertilizer sources affect soil properties and farm economics (Chandan </w:t>
      </w:r>
      <w:r w:rsidRPr="00C17E20">
        <w:rPr>
          <w:rFonts w:ascii="Times New Roman" w:hAnsi="Times New Roman" w:cs="Times New Roman"/>
          <w:i/>
          <w:iCs/>
          <w:sz w:val="24"/>
          <w:szCs w:val="24"/>
        </w:rPr>
        <w:t>et al.,</w:t>
      </w:r>
      <w:r w:rsidRPr="00C17E20">
        <w:rPr>
          <w:rFonts w:ascii="Times New Roman" w:hAnsi="Times New Roman" w:cs="Times New Roman"/>
          <w:sz w:val="24"/>
          <w:szCs w:val="24"/>
        </w:rPr>
        <w:t xml:space="preserve"> 2019).</w:t>
      </w:r>
    </w:p>
    <w:p w14:paraId="4031D395" w14:textId="3A0A62FE" w:rsidR="00EE3164" w:rsidRDefault="00EE3164" w:rsidP="00256BC1">
      <w:pPr>
        <w:jc w:val="both"/>
        <w:rPr>
          <w:rFonts w:ascii="Times New Roman" w:hAnsi="Times New Roman" w:cs="Times New Roman"/>
          <w:sz w:val="24"/>
          <w:szCs w:val="24"/>
        </w:rPr>
      </w:pPr>
      <w:r w:rsidRPr="00EE3164">
        <w:rPr>
          <w:rFonts w:ascii="Times New Roman" w:hAnsi="Times New Roman" w:cs="Times New Roman"/>
          <w:sz w:val="24"/>
          <w:szCs w:val="24"/>
        </w:rPr>
        <w:t xml:space="preserve">The current study seeks to evaluate the impacts of different Integrated Nutrient Management (INM) treatments on soil fertility indices and economic returns in mustard agriculture, aiming to provide small and marginal farmers with insights into sustainable nutrient management. </w:t>
      </w:r>
    </w:p>
    <w:p w14:paraId="497D459A" w14:textId="56ACD9F1" w:rsidR="00281D1E" w:rsidRPr="00256BC1" w:rsidRDefault="00256BC1" w:rsidP="00256BC1">
      <w:pPr>
        <w:jc w:val="both"/>
        <w:rPr>
          <w:rFonts w:ascii="Times New Roman" w:hAnsi="Times New Roman" w:cs="Times New Roman"/>
          <w:b/>
          <w:bCs/>
          <w:sz w:val="24"/>
          <w:szCs w:val="24"/>
        </w:rPr>
      </w:pPr>
      <w:r w:rsidRPr="00256BC1">
        <w:rPr>
          <w:rFonts w:ascii="Times New Roman" w:hAnsi="Times New Roman" w:cs="Times New Roman"/>
          <w:b/>
          <w:bCs/>
          <w:sz w:val="24"/>
          <w:szCs w:val="24"/>
        </w:rPr>
        <w:t>2. Review of literature</w:t>
      </w:r>
    </w:p>
    <w:p w14:paraId="75B4F7DF" w14:textId="1685C3C9" w:rsidR="00DC3378" w:rsidRPr="00DC3378" w:rsidRDefault="00D52A3F" w:rsidP="00DC3378">
      <w:pPr>
        <w:jc w:val="both"/>
        <w:rPr>
          <w:rFonts w:ascii="Times New Roman" w:hAnsi="Times New Roman" w:cs="Times New Roman"/>
          <w:sz w:val="24"/>
          <w:szCs w:val="24"/>
        </w:rPr>
      </w:pPr>
      <w:r w:rsidRPr="00D52A3F">
        <w:rPr>
          <w:rFonts w:ascii="Times New Roman" w:hAnsi="Times New Roman" w:cs="Times New Roman"/>
          <w:sz w:val="24"/>
          <w:szCs w:val="24"/>
        </w:rPr>
        <w:t xml:space="preserve">When organic and inorganic nutrient sources are combined under integrated nutrient management (INM), it has been shown to greatly improve soil fertility, nutrient uptake, and farm profitability in mustard farming. </w:t>
      </w:r>
      <w:r w:rsidR="007B0037" w:rsidRPr="007B0037">
        <w:rPr>
          <w:rFonts w:ascii="Times New Roman" w:hAnsi="Times New Roman" w:cs="Times New Roman"/>
          <w:sz w:val="24"/>
          <w:szCs w:val="24"/>
        </w:rPr>
        <w:t xml:space="preserve">The economic viability of </w:t>
      </w:r>
      <w:proofErr w:type="spellStart"/>
      <w:r w:rsidR="007B0037" w:rsidRPr="007B0037">
        <w:rPr>
          <w:rFonts w:ascii="Times New Roman" w:hAnsi="Times New Roman" w:cs="Times New Roman"/>
          <w:sz w:val="24"/>
          <w:szCs w:val="24"/>
        </w:rPr>
        <w:t>Pantnagar</w:t>
      </w:r>
      <w:proofErr w:type="spellEnd"/>
      <w:r w:rsidR="007B0037" w:rsidRPr="007B0037">
        <w:rPr>
          <w:rFonts w:ascii="Times New Roman" w:hAnsi="Times New Roman" w:cs="Times New Roman"/>
          <w:sz w:val="24"/>
          <w:szCs w:val="24"/>
        </w:rPr>
        <w:t xml:space="preserve"> was further confirmed by P</w:t>
      </w:r>
      <w:r w:rsidR="009467F1">
        <w:rPr>
          <w:rFonts w:ascii="Times New Roman" w:hAnsi="Times New Roman" w:cs="Times New Roman"/>
          <w:sz w:val="24"/>
          <w:szCs w:val="24"/>
        </w:rPr>
        <w:t xml:space="preserve">al </w:t>
      </w:r>
      <w:proofErr w:type="gramStart"/>
      <w:r w:rsidR="009467F1">
        <w:rPr>
          <w:rFonts w:ascii="Times New Roman" w:hAnsi="Times New Roman" w:cs="Times New Roman"/>
          <w:sz w:val="24"/>
          <w:szCs w:val="24"/>
        </w:rPr>
        <w:t>and</w:t>
      </w:r>
      <w:r w:rsidR="007B0037" w:rsidRPr="007B0037">
        <w:rPr>
          <w:rFonts w:ascii="Times New Roman" w:hAnsi="Times New Roman" w:cs="Times New Roman"/>
          <w:sz w:val="24"/>
          <w:szCs w:val="24"/>
        </w:rPr>
        <w:t xml:space="preserve">  </w:t>
      </w:r>
      <w:r w:rsidR="009467F1">
        <w:rPr>
          <w:rFonts w:ascii="Times New Roman" w:hAnsi="Times New Roman" w:cs="Times New Roman"/>
          <w:sz w:val="24"/>
          <w:szCs w:val="24"/>
        </w:rPr>
        <w:t>Pathak</w:t>
      </w:r>
      <w:proofErr w:type="gramEnd"/>
      <w:r w:rsidR="009467F1">
        <w:rPr>
          <w:rFonts w:ascii="Times New Roman" w:hAnsi="Times New Roman" w:cs="Times New Roman"/>
          <w:sz w:val="24"/>
          <w:szCs w:val="24"/>
        </w:rPr>
        <w:t xml:space="preserve"> </w:t>
      </w:r>
      <w:r w:rsidR="007B0037" w:rsidRPr="007B0037">
        <w:rPr>
          <w:rFonts w:ascii="Times New Roman" w:hAnsi="Times New Roman" w:cs="Times New Roman"/>
          <w:sz w:val="24"/>
          <w:szCs w:val="24"/>
        </w:rPr>
        <w:t>(20</w:t>
      </w:r>
      <w:r w:rsidR="009467F1">
        <w:rPr>
          <w:rFonts w:ascii="Times New Roman" w:hAnsi="Times New Roman" w:cs="Times New Roman"/>
          <w:sz w:val="24"/>
          <w:szCs w:val="24"/>
        </w:rPr>
        <w:t>16</w:t>
      </w:r>
      <w:r w:rsidR="007B0037" w:rsidRPr="007B0037">
        <w:rPr>
          <w:rFonts w:ascii="Times New Roman" w:hAnsi="Times New Roman" w:cs="Times New Roman"/>
          <w:sz w:val="24"/>
          <w:szCs w:val="24"/>
        </w:rPr>
        <w:t xml:space="preserve">), who found a maximum benefit–cost ratio (1.92) and 38% higher gross returns with 100% NPK + FYM compared to control. </w:t>
      </w:r>
      <w:proofErr w:type="spellStart"/>
      <w:r w:rsidR="007B0037" w:rsidRPr="007B0037">
        <w:rPr>
          <w:rFonts w:ascii="Times New Roman" w:hAnsi="Times New Roman" w:cs="Times New Roman"/>
          <w:sz w:val="24"/>
          <w:szCs w:val="24"/>
        </w:rPr>
        <w:t>Ajnar</w:t>
      </w:r>
      <w:proofErr w:type="spellEnd"/>
      <w:r w:rsidR="007B0037" w:rsidRPr="007B0037">
        <w:rPr>
          <w:rFonts w:ascii="Times New Roman" w:hAnsi="Times New Roman" w:cs="Times New Roman"/>
          <w:sz w:val="24"/>
          <w:szCs w:val="24"/>
        </w:rPr>
        <w:t xml:space="preserve"> and </w:t>
      </w:r>
      <w:proofErr w:type="spellStart"/>
      <w:r w:rsidR="007B0037" w:rsidRPr="007B0037">
        <w:rPr>
          <w:rFonts w:ascii="Times New Roman" w:hAnsi="Times New Roman" w:cs="Times New Roman"/>
          <w:sz w:val="24"/>
          <w:szCs w:val="24"/>
        </w:rPr>
        <w:t>Namdeo</w:t>
      </w:r>
      <w:proofErr w:type="spellEnd"/>
      <w:r w:rsidR="007B0037" w:rsidRPr="007B0037">
        <w:rPr>
          <w:rFonts w:ascii="Times New Roman" w:hAnsi="Times New Roman" w:cs="Times New Roman"/>
          <w:sz w:val="24"/>
          <w:szCs w:val="24"/>
        </w:rPr>
        <w:t xml:space="preserve"> (2021) found that 75% RDF combined with vermicompost, </w:t>
      </w:r>
      <w:proofErr w:type="spellStart"/>
      <w:r w:rsidR="007B0037" w:rsidRPr="007B0037">
        <w:rPr>
          <w:rFonts w:ascii="Times New Roman" w:hAnsi="Times New Roman" w:cs="Times New Roman"/>
          <w:sz w:val="24"/>
          <w:szCs w:val="24"/>
        </w:rPr>
        <w:t>sulfur</w:t>
      </w:r>
      <w:proofErr w:type="spellEnd"/>
      <w:r w:rsidR="007B0037" w:rsidRPr="007B0037">
        <w:rPr>
          <w:rFonts w:ascii="Times New Roman" w:hAnsi="Times New Roman" w:cs="Times New Roman"/>
          <w:sz w:val="24"/>
          <w:szCs w:val="24"/>
        </w:rPr>
        <w:t>, and biofertilizers resulted in the maximum nutrient uptake</w:t>
      </w:r>
      <w:r w:rsidR="00367447">
        <w:rPr>
          <w:rFonts w:ascii="Times New Roman" w:hAnsi="Times New Roman" w:cs="Times New Roman"/>
          <w:sz w:val="24"/>
          <w:szCs w:val="24"/>
        </w:rPr>
        <w:t xml:space="preserve">. </w:t>
      </w:r>
      <w:r w:rsidR="00E64C6C">
        <w:rPr>
          <w:rFonts w:ascii="Times New Roman" w:hAnsi="Times New Roman" w:cs="Times New Roman"/>
          <w:sz w:val="24"/>
          <w:szCs w:val="24"/>
        </w:rPr>
        <w:t>Bora</w:t>
      </w:r>
      <w:r w:rsidR="007B0037" w:rsidRPr="007B0037">
        <w:rPr>
          <w:rFonts w:ascii="Times New Roman" w:hAnsi="Times New Roman" w:cs="Times New Roman"/>
          <w:sz w:val="24"/>
          <w:szCs w:val="24"/>
        </w:rPr>
        <w:t xml:space="preserve"> </w:t>
      </w:r>
      <w:r w:rsidR="0028203F" w:rsidRPr="0028203F">
        <w:rPr>
          <w:rFonts w:ascii="Times New Roman" w:hAnsi="Times New Roman" w:cs="Times New Roman"/>
          <w:i/>
          <w:iCs/>
          <w:sz w:val="24"/>
          <w:szCs w:val="24"/>
        </w:rPr>
        <w:t>et al</w:t>
      </w:r>
      <w:r w:rsidR="007B0037" w:rsidRPr="007B0037">
        <w:rPr>
          <w:rFonts w:ascii="Times New Roman" w:hAnsi="Times New Roman" w:cs="Times New Roman"/>
          <w:sz w:val="24"/>
          <w:szCs w:val="24"/>
        </w:rPr>
        <w:t>. (20</w:t>
      </w:r>
      <w:r w:rsidR="00E64C6C">
        <w:rPr>
          <w:rFonts w:ascii="Times New Roman" w:hAnsi="Times New Roman" w:cs="Times New Roman"/>
          <w:sz w:val="24"/>
          <w:szCs w:val="24"/>
        </w:rPr>
        <w:t>20</w:t>
      </w:r>
      <w:r w:rsidR="007B0037" w:rsidRPr="007B0037">
        <w:rPr>
          <w:rFonts w:ascii="Times New Roman" w:hAnsi="Times New Roman" w:cs="Times New Roman"/>
          <w:sz w:val="24"/>
          <w:szCs w:val="24"/>
        </w:rPr>
        <w:t xml:space="preserve">) emphasized the role of FYM in maintaining soil moisture and increasing productivity under late-sown </w:t>
      </w:r>
      <w:proofErr w:type="spellStart"/>
      <w:r w:rsidR="007B0037" w:rsidRPr="007B0037">
        <w:rPr>
          <w:rFonts w:ascii="Times New Roman" w:hAnsi="Times New Roman" w:cs="Times New Roman"/>
          <w:sz w:val="24"/>
          <w:szCs w:val="24"/>
        </w:rPr>
        <w:t>toria</w:t>
      </w:r>
      <w:proofErr w:type="spellEnd"/>
      <w:r w:rsidR="007B0037" w:rsidRPr="007B0037">
        <w:rPr>
          <w:rFonts w:ascii="Times New Roman" w:hAnsi="Times New Roman" w:cs="Times New Roman"/>
          <w:sz w:val="24"/>
          <w:szCs w:val="24"/>
        </w:rPr>
        <w:t xml:space="preserve">, while </w:t>
      </w:r>
      <w:r w:rsidR="004D199E">
        <w:rPr>
          <w:rFonts w:ascii="Times New Roman" w:hAnsi="Times New Roman" w:cs="Times New Roman"/>
          <w:sz w:val="24"/>
          <w:szCs w:val="24"/>
        </w:rPr>
        <w:t>Singh</w:t>
      </w:r>
      <w:r w:rsidR="007B0037" w:rsidRPr="007B0037">
        <w:rPr>
          <w:rFonts w:ascii="Times New Roman" w:hAnsi="Times New Roman" w:cs="Times New Roman"/>
          <w:sz w:val="24"/>
          <w:szCs w:val="24"/>
        </w:rPr>
        <w:t xml:space="preserve"> </w:t>
      </w:r>
      <w:r w:rsidR="0028203F" w:rsidRPr="0028203F">
        <w:rPr>
          <w:rFonts w:ascii="Times New Roman" w:hAnsi="Times New Roman" w:cs="Times New Roman"/>
          <w:i/>
          <w:iCs/>
          <w:sz w:val="24"/>
          <w:szCs w:val="24"/>
        </w:rPr>
        <w:t>et al</w:t>
      </w:r>
      <w:r w:rsidR="007B0037" w:rsidRPr="007B0037">
        <w:rPr>
          <w:rFonts w:ascii="Times New Roman" w:hAnsi="Times New Roman" w:cs="Times New Roman"/>
          <w:sz w:val="24"/>
          <w:szCs w:val="24"/>
        </w:rPr>
        <w:t>. (20</w:t>
      </w:r>
      <w:r w:rsidR="004D199E">
        <w:rPr>
          <w:rFonts w:ascii="Times New Roman" w:hAnsi="Times New Roman" w:cs="Times New Roman"/>
          <w:sz w:val="24"/>
          <w:szCs w:val="24"/>
        </w:rPr>
        <w:t>21</w:t>
      </w:r>
      <w:r w:rsidR="007B0037" w:rsidRPr="007B0037">
        <w:rPr>
          <w:rFonts w:ascii="Times New Roman" w:hAnsi="Times New Roman" w:cs="Times New Roman"/>
          <w:sz w:val="24"/>
          <w:szCs w:val="24"/>
        </w:rPr>
        <w:t>) demonstrated that combining organics with urea improved soil organic carbon, microbial activity, and farm profitability.</w:t>
      </w:r>
      <w:r w:rsidR="00C17E20">
        <w:rPr>
          <w:rFonts w:ascii="Times New Roman" w:hAnsi="Times New Roman" w:cs="Times New Roman"/>
          <w:sz w:val="24"/>
          <w:szCs w:val="24"/>
        </w:rPr>
        <w:t xml:space="preserve"> </w:t>
      </w:r>
      <w:r w:rsidR="00DC3378" w:rsidRPr="00DC3378">
        <w:rPr>
          <w:rFonts w:ascii="Times New Roman" w:hAnsi="Times New Roman" w:cs="Times New Roman"/>
          <w:sz w:val="24"/>
          <w:szCs w:val="24"/>
        </w:rPr>
        <w:t xml:space="preserve">When combined with </w:t>
      </w:r>
      <w:proofErr w:type="spellStart"/>
      <w:r w:rsidR="00DC3378" w:rsidRPr="00DC3378">
        <w:rPr>
          <w:rFonts w:ascii="Times New Roman" w:hAnsi="Times New Roman" w:cs="Times New Roman"/>
          <w:sz w:val="24"/>
          <w:szCs w:val="24"/>
        </w:rPr>
        <w:t>sulfur</w:t>
      </w:r>
      <w:proofErr w:type="spellEnd"/>
      <w:r w:rsidR="00DC3378" w:rsidRPr="00DC3378">
        <w:rPr>
          <w:rFonts w:ascii="Times New Roman" w:hAnsi="Times New Roman" w:cs="Times New Roman"/>
          <w:sz w:val="24"/>
          <w:szCs w:val="24"/>
        </w:rPr>
        <w:t xml:space="preserve"> and micronutrients, vermicompost improved the </w:t>
      </w:r>
      <w:proofErr w:type="spellStart"/>
      <w:r w:rsidR="00DC3378" w:rsidRPr="00DC3378">
        <w:rPr>
          <w:rFonts w:ascii="Times New Roman" w:hAnsi="Times New Roman" w:cs="Times New Roman"/>
          <w:sz w:val="24"/>
          <w:szCs w:val="24"/>
        </w:rPr>
        <w:t>physico</w:t>
      </w:r>
      <w:proofErr w:type="spellEnd"/>
      <w:r w:rsidR="00DC3378" w:rsidRPr="00DC3378">
        <w:rPr>
          <w:rFonts w:ascii="Times New Roman" w:hAnsi="Times New Roman" w:cs="Times New Roman"/>
          <w:sz w:val="24"/>
          <w:szCs w:val="24"/>
        </w:rPr>
        <w:t xml:space="preserve">-chemical properties, nutrient availability, and oilseed quality of soil, per complementing studies by Chandan </w:t>
      </w:r>
      <w:r w:rsidR="0028203F" w:rsidRPr="0028203F">
        <w:rPr>
          <w:rFonts w:ascii="Times New Roman" w:hAnsi="Times New Roman" w:cs="Times New Roman"/>
          <w:i/>
          <w:iCs/>
          <w:sz w:val="24"/>
          <w:szCs w:val="24"/>
        </w:rPr>
        <w:t>et al</w:t>
      </w:r>
      <w:r w:rsidR="00DC3378" w:rsidRPr="00DC3378">
        <w:rPr>
          <w:rFonts w:ascii="Times New Roman" w:hAnsi="Times New Roman" w:cs="Times New Roman"/>
          <w:sz w:val="24"/>
          <w:szCs w:val="24"/>
        </w:rPr>
        <w:t>. (2018). Since INM increases soil fertility, nutrient cycling, and economic returns while reducing dependency on chemical fertilizers, all of these studies demonstrate that it is a sustainable approach for mustard-based systems.</w:t>
      </w:r>
    </w:p>
    <w:p w14:paraId="4E1ACE1C" w14:textId="74993B78" w:rsidR="00735A6A" w:rsidRPr="00735A6A" w:rsidRDefault="00735A6A" w:rsidP="00735A6A">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735A6A">
        <w:rPr>
          <w:rFonts w:ascii="Times New Roman" w:hAnsi="Times New Roman" w:cs="Times New Roman"/>
          <w:b/>
          <w:bCs/>
          <w:sz w:val="24"/>
          <w:szCs w:val="24"/>
        </w:rPr>
        <w:t>Materials and Methods</w:t>
      </w:r>
    </w:p>
    <w:p w14:paraId="1133722C" w14:textId="14E0BA66" w:rsidR="005C3951" w:rsidRPr="005C3951" w:rsidRDefault="005C3951" w:rsidP="005C3951">
      <w:pPr>
        <w:jc w:val="both"/>
        <w:rPr>
          <w:rFonts w:ascii="Times New Roman" w:hAnsi="Times New Roman" w:cs="Times New Roman"/>
          <w:sz w:val="24"/>
          <w:szCs w:val="24"/>
        </w:rPr>
      </w:pPr>
      <w:r w:rsidRPr="005C3951">
        <w:rPr>
          <w:rFonts w:ascii="Times New Roman" w:hAnsi="Times New Roman" w:cs="Times New Roman"/>
          <w:sz w:val="24"/>
          <w:szCs w:val="24"/>
        </w:rPr>
        <w:t>The field experiment "Effects of Integrated Nutrient Management on Soil Fertility and Economics of Indian Mustard (</w:t>
      </w:r>
      <w:r w:rsidR="0028203F" w:rsidRPr="0028203F">
        <w:rPr>
          <w:rFonts w:ascii="Times New Roman" w:hAnsi="Times New Roman" w:cs="Times New Roman"/>
          <w:i/>
          <w:iCs/>
          <w:sz w:val="24"/>
          <w:szCs w:val="24"/>
        </w:rPr>
        <w:t xml:space="preserve">Brassica </w:t>
      </w:r>
      <w:proofErr w:type="spellStart"/>
      <w:r w:rsidR="0028203F" w:rsidRPr="0028203F">
        <w:rPr>
          <w:rFonts w:ascii="Times New Roman" w:hAnsi="Times New Roman" w:cs="Times New Roman"/>
          <w:i/>
          <w:iCs/>
          <w:sz w:val="24"/>
          <w:szCs w:val="24"/>
        </w:rPr>
        <w:t>juncea</w:t>
      </w:r>
      <w:proofErr w:type="spellEnd"/>
      <w:r w:rsidR="0028203F" w:rsidRPr="0028203F">
        <w:rPr>
          <w:rFonts w:ascii="Times New Roman" w:hAnsi="Times New Roman" w:cs="Times New Roman"/>
          <w:i/>
          <w:iCs/>
          <w:sz w:val="24"/>
          <w:szCs w:val="24"/>
        </w:rPr>
        <w:t xml:space="preserve"> </w:t>
      </w:r>
      <w:r w:rsidRPr="005C3951">
        <w:rPr>
          <w:rFonts w:ascii="Times New Roman" w:hAnsi="Times New Roman" w:cs="Times New Roman"/>
          <w:sz w:val="24"/>
          <w:szCs w:val="24"/>
        </w:rPr>
        <w:t xml:space="preserve">L.) in Dehradun, Uttarakhand" was carried out by the Agronomy Research Farm at </w:t>
      </w:r>
      <w:proofErr w:type="spellStart"/>
      <w:r w:rsidRPr="005C3951">
        <w:rPr>
          <w:rFonts w:ascii="Times New Roman" w:hAnsi="Times New Roman" w:cs="Times New Roman"/>
          <w:sz w:val="24"/>
          <w:szCs w:val="24"/>
        </w:rPr>
        <w:t>Jigyasa</w:t>
      </w:r>
      <w:proofErr w:type="spellEnd"/>
      <w:r w:rsidRPr="005C3951">
        <w:rPr>
          <w:rFonts w:ascii="Times New Roman" w:hAnsi="Times New Roman" w:cs="Times New Roman"/>
          <w:sz w:val="24"/>
          <w:szCs w:val="24"/>
        </w:rPr>
        <w:t xml:space="preserve"> University (formerly </w:t>
      </w:r>
      <w:proofErr w:type="spellStart"/>
      <w:r w:rsidRPr="005C3951">
        <w:rPr>
          <w:rFonts w:ascii="Times New Roman" w:hAnsi="Times New Roman" w:cs="Times New Roman"/>
          <w:sz w:val="24"/>
          <w:szCs w:val="24"/>
        </w:rPr>
        <w:t>Himgiri</w:t>
      </w:r>
      <w:proofErr w:type="spellEnd"/>
      <w:r w:rsidRPr="005C3951">
        <w:rPr>
          <w:rFonts w:ascii="Times New Roman" w:hAnsi="Times New Roman" w:cs="Times New Roman"/>
          <w:sz w:val="24"/>
          <w:szCs w:val="24"/>
        </w:rPr>
        <w:t xml:space="preserve"> Zee University) in Dehradun, Uttarakhand, during the Rabi season of 2023–2024. At 31°21′50″ N latitude and 78°18′27″ E longitude, the experimental site is situated 650 meters above mean sea level and represents the Shivalik foothill zone of the Western Himalayas. The soil's characteristics included a sandy loam texture, a pH of 7.47, a moderate level of alkalinity, a high level of available K, a medium level of accessible N and P, and 0.75% organic carbon. 1.37 µS/cm was its electrical conductivity.</w:t>
      </w:r>
    </w:p>
    <w:p w14:paraId="4AA6568B" w14:textId="77777777" w:rsidR="00735A6A" w:rsidRPr="00735A6A" w:rsidRDefault="00735A6A" w:rsidP="00735A6A">
      <w:pPr>
        <w:jc w:val="both"/>
        <w:rPr>
          <w:rFonts w:ascii="Times New Roman" w:hAnsi="Times New Roman" w:cs="Times New Roman"/>
          <w:sz w:val="24"/>
          <w:szCs w:val="24"/>
        </w:rPr>
      </w:pPr>
      <w:r w:rsidRPr="00735A6A">
        <w:rPr>
          <w:rFonts w:ascii="Times New Roman" w:hAnsi="Times New Roman" w:cs="Times New Roman"/>
          <w:sz w:val="24"/>
          <w:szCs w:val="24"/>
        </w:rPr>
        <w:lastRenderedPageBreak/>
        <w:t>The experiment was conducted in a Randomized Block Design (RBD) with three replications and nine treatment combinations integrating inorganic fertilizers, organic manure, and biofertilizers. The treatments were:</w:t>
      </w:r>
    </w:p>
    <w:p w14:paraId="79D7DDC6" w14:textId="7A21E00F" w:rsidR="00735A6A" w:rsidRPr="00735A6A" w:rsidRDefault="00735A6A" w:rsidP="00735A6A">
      <w:pPr>
        <w:jc w:val="both"/>
        <w:rPr>
          <w:rFonts w:ascii="Times New Roman" w:hAnsi="Times New Roman" w:cs="Times New Roman"/>
          <w:sz w:val="24"/>
          <w:szCs w:val="24"/>
        </w:rPr>
      </w:pPr>
      <w:bookmarkStart w:id="3" w:name="_Hlk208335300"/>
      <w:r w:rsidRPr="00735A6A">
        <w:rPr>
          <w:rFonts w:ascii="Times New Roman" w:hAnsi="Times New Roman" w:cs="Times New Roman"/>
          <w:b/>
          <w:bCs/>
          <w:sz w:val="24"/>
          <w:szCs w:val="24"/>
        </w:rPr>
        <w:t>T₁</w:t>
      </w:r>
      <w:r w:rsidRPr="00735A6A">
        <w:rPr>
          <w:rFonts w:ascii="Times New Roman" w:hAnsi="Times New Roman" w:cs="Times New Roman"/>
          <w:sz w:val="24"/>
          <w:szCs w:val="24"/>
        </w:rPr>
        <w:t>: Control (no nutrient application)</w:t>
      </w:r>
      <w:r>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w:t>
      </w:r>
      <w:proofErr w:type="spellStart"/>
      <w:r w:rsidR="00A41B6C" w:rsidRPr="00A41B6C">
        <w:rPr>
          <w:rFonts w:ascii="Times New Roman" w:hAnsi="Times New Roman" w:cs="Times New Roman"/>
          <w:i/>
          <w:iCs/>
          <w:sz w:val="24"/>
          <w:szCs w:val="24"/>
        </w:rPr>
        <w:t>Azotobacter</w:t>
      </w:r>
      <w:proofErr w:type="spellEnd"/>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50% RDF + Vermicompost @ 5 t/ha + Biofertilizers</w:t>
      </w:r>
      <w:r>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w:t>
      </w:r>
      <w:proofErr w:type="spellStart"/>
      <w:r w:rsidR="00A41B6C" w:rsidRPr="00A41B6C">
        <w:rPr>
          <w:rFonts w:ascii="Times New Roman" w:hAnsi="Times New Roman" w:cs="Times New Roman"/>
          <w:i/>
          <w:iCs/>
          <w:sz w:val="24"/>
          <w:szCs w:val="24"/>
        </w:rPr>
        <w:t>Azotobacter</w:t>
      </w:r>
      <w:proofErr w:type="spellEnd"/>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w:t>
      </w:r>
      <w:proofErr w:type="spellStart"/>
      <w:r w:rsidR="00A41B6C" w:rsidRPr="00A41B6C">
        <w:rPr>
          <w:rFonts w:ascii="Times New Roman" w:hAnsi="Times New Roman" w:cs="Times New Roman"/>
          <w:i/>
          <w:iCs/>
          <w:sz w:val="24"/>
          <w:szCs w:val="24"/>
        </w:rPr>
        <w:t>Azotobacter</w:t>
      </w:r>
      <w:proofErr w:type="spellEnd"/>
      <w:r w:rsidRPr="00735A6A">
        <w:rPr>
          <w:rFonts w:ascii="Times New Roman" w:hAnsi="Times New Roman" w:cs="Times New Roman"/>
          <w:sz w:val="24"/>
          <w:szCs w:val="24"/>
        </w:rPr>
        <w:t xml:space="preserve"> + PSB) alone</w:t>
      </w:r>
      <w:r>
        <w:rPr>
          <w:rFonts w:ascii="Times New Roman" w:hAnsi="Times New Roman" w:cs="Times New Roman"/>
          <w:sz w:val="24"/>
          <w:szCs w:val="24"/>
        </w:rPr>
        <w:t>.</w:t>
      </w:r>
    </w:p>
    <w:bookmarkEnd w:id="3"/>
    <w:p w14:paraId="579A7A90" w14:textId="77777777" w:rsidR="00C12A77" w:rsidRDefault="00C12A77" w:rsidP="00C12A77">
      <w:pPr>
        <w:jc w:val="both"/>
        <w:rPr>
          <w:rFonts w:ascii="Times New Roman" w:hAnsi="Times New Roman" w:cs="Times New Roman"/>
          <w:sz w:val="24"/>
          <w:szCs w:val="24"/>
        </w:rPr>
      </w:pPr>
      <w:r w:rsidRPr="00C12A77">
        <w:rPr>
          <w:rFonts w:ascii="Times New Roman" w:hAnsi="Times New Roman" w:cs="Times New Roman"/>
          <w:sz w:val="24"/>
          <w:szCs w:val="24"/>
        </w:rPr>
        <w:t>October 20, 2023, saw the planting of the test crop, HY-805 mustard, which was harvested on March 5, 2024. Standard recommendations and treatment parameters were followed when applying fertilizer and using cultural procedures.</w:t>
      </w:r>
    </w:p>
    <w:p w14:paraId="0F9A5E19" w14:textId="7187AB69" w:rsidR="005A16EF" w:rsidRPr="005A16EF" w:rsidRDefault="00C12A77" w:rsidP="005A16EF">
      <w:pPr>
        <w:jc w:val="both"/>
        <w:rPr>
          <w:rFonts w:ascii="Times New Roman" w:hAnsi="Times New Roman" w:cs="Times New Roman"/>
          <w:sz w:val="24"/>
          <w:szCs w:val="24"/>
        </w:rPr>
      </w:pPr>
      <w:r w:rsidRPr="00C12A77">
        <w:rPr>
          <w:rFonts w:ascii="Times New Roman" w:hAnsi="Times New Roman" w:cs="Times New Roman"/>
          <w:sz w:val="24"/>
          <w:szCs w:val="24"/>
        </w:rPr>
        <w:t xml:space="preserve"> To evaluate the fertility of the soil, composite soil samples were collected from each plot at a depth of 0 to 15 cm both before and after harvest. The samples were tested for soil pH and electrical conductivity (EC) using a conductivity meter and a digital pH meter (Jackson, 1973). The organic carbon was calculated using the Walkley and Black (1934) method.</w:t>
      </w:r>
      <w:r>
        <w:rPr>
          <w:rFonts w:ascii="Times New Roman" w:hAnsi="Times New Roman" w:cs="Times New Roman"/>
          <w:sz w:val="24"/>
          <w:szCs w:val="24"/>
        </w:rPr>
        <w:t xml:space="preserve"> </w:t>
      </w:r>
      <w:r w:rsidR="005A16EF" w:rsidRPr="005A16EF">
        <w:rPr>
          <w:rFonts w:ascii="Times New Roman" w:hAnsi="Times New Roman" w:cs="Times New Roman"/>
          <w:sz w:val="24"/>
          <w:szCs w:val="24"/>
        </w:rPr>
        <w:t xml:space="preserve">The alkaline </w:t>
      </w:r>
      <w:proofErr w:type="spellStart"/>
      <w:r w:rsidR="005A16EF" w:rsidRPr="005A16EF">
        <w:rPr>
          <w:rFonts w:ascii="Times New Roman" w:hAnsi="Times New Roman" w:cs="Times New Roman"/>
          <w:sz w:val="24"/>
          <w:szCs w:val="24"/>
        </w:rPr>
        <w:t>KMnO</w:t>
      </w:r>
      <w:proofErr w:type="spellEnd"/>
      <w:r w:rsidR="005A16EF" w:rsidRPr="005A16EF">
        <w:rPr>
          <w:rFonts w:ascii="Times New Roman" w:hAnsi="Times New Roman" w:cs="Times New Roman"/>
          <w:sz w:val="24"/>
          <w:szCs w:val="24"/>
        </w:rPr>
        <w:t xml:space="preserve">₄ method (Subbiah &amp; </w:t>
      </w:r>
      <w:proofErr w:type="spellStart"/>
      <w:r w:rsidR="005A16EF" w:rsidRPr="005A16EF">
        <w:rPr>
          <w:rFonts w:ascii="Times New Roman" w:hAnsi="Times New Roman" w:cs="Times New Roman"/>
          <w:sz w:val="24"/>
          <w:szCs w:val="24"/>
        </w:rPr>
        <w:t>Asija</w:t>
      </w:r>
      <w:proofErr w:type="spellEnd"/>
      <w:r w:rsidR="005A16EF" w:rsidRPr="005A16EF">
        <w:rPr>
          <w:rFonts w:ascii="Times New Roman" w:hAnsi="Times New Roman" w:cs="Times New Roman"/>
          <w:sz w:val="24"/>
          <w:szCs w:val="24"/>
        </w:rPr>
        <w:t xml:space="preserve">, 1956), Olsen's method (Olsen </w:t>
      </w:r>
      <w:r w:rsidR="0028203F" w:rsidRPr="0028203F">
        <w:rPr>
          <w:rFonts w:ascii="Times New Roman" w:hAnsi="Times New Roman" w:cs="Times New Roman"/>
          <w:i/>
          <w:iCs/>
          <w:sz w:val="24"/>
          <w:szCs w:val="24"/>
        </w:rPr>
        <w:t>et al</w:t>
      </w:r>
      <w:r w:rsidR="005A16EF" w:rsidRPr="005A16EF">
        <w:rPr>
          <w:rFonts w:ascii="Times New Roman" w:hAnsi="Times New Roman" w:cs="Times New Roman"/>
          <w:sz w:val="24"/>
          <w:szCs w:val="24"/>
        </w:rPr>
        <w:t>., 1954), and flame photometry were used to estimate the available N, P, and K.</w:t>
      </w:r>
    </w:p>
    <w:p w14:paraId="149F1801" w14:textId="331D6E07" w:rsidR="00735A6A" w:rsidRPr="00735A6A" w:rsidRDefault="00CA5D54" w:rsidP="00735A6A">
      <w:pPr>
        <w:jc w:val="both"/>
        <w:rPr>
          <w:rFonts w:ascii="Times New Roman" w:hAnsi="Times New Roman" w:cs="Times New Roman"/>
          <w:sz w:val="24"/>
          <w:szCs w:val="24"/>
        </w:rPr>
      </w:pPr>
      <w:r w:rsidRPr="00CA5D54">
        <w:rPr>
          <w:rFonts w:ascii="Times New Roman" w:hAnsi="Times New Roman" w:cs="Times New Roman"/>
          <w:sz w:val="24"/>
          <w:szCs w:val="24"/>
        </w:rPr>
        <w:t>For economic evaluation, the cost of cultivation for each treatment was determined using the current input prices on the market (</w:t>
      </w:r>
      <w:proofErr w:type="spellStart"/>
      <w:r w:rsidRPr="00CA5D54">
        <w:rPr>
          <w:rFonts w:ascii="Times New Roman" w:hAnsi="Times New Roman" w:cs="Times New Roman"/>
          <w:sz w:val="24"/>
          <w:szCs w:val="24"/>
        </w:rPr>
        <w:t>labor</w:t>
      </w:r>
      <w:proofErr w:type="spellEnd"/>
      <w:r w:rsidRPr="00CA5D54">
        <w:rPr>
          <w:rFonts w:ascii="Times New Roman" w:hAnsi="Times New Roman" w:cs="Times New Roman"/>
          <w:sz w:val="24"/>
          <w:szCs w:val="24"/>
        </w:rPr>
        <w:t>, fertilizers, vermicompost, and biofertilizers). Gross returns were calculated by multiplying seed yield by market price; net returns were calculated by deducting cultivation costs from gross returns.</w:t>
      </w:r>
      <w:r>
        <w:rPr>
          <w:rFonts w:ascii="Times New Roman" w:hAnsi="Times New Roman" w:cs="Times New Roman"/>
          <w:sz w:val="24"/>
          <w:szCs w:val="24"/>
        </w:rPr>
        <w:t xml:space="preserve"> </w:t>
      </w:r>
      <w:r w:rsidR="00735A6A" w:rsidRPr="00735A6A">
        <w:rPr>
          <w:rFonts w:ascii="Times New Roman" w:hAnsi="Times New Roman" w:cs="Times New Roman"/>
          <w:sz w:val="24"/>
          <w:szCs w:val="24"/>
        </w:rPr>
        <w:t>The benefit–cost (B:C) ratio was calculated as:</w:t>
      </w:r>
      <w:r w:rsidR="00735A6A">
        <w:rPr>
          <w:rFonts w:ascii="Times New Roman" w:hAnsi="Times New Roman" w:cs="Times New Roman"/>
          <w:sz w:val="24"/>
          <w:szCs w:val="24"/>
        </w:rPr>
        <w:t xml:space="preserve"> </w:t>
      </w:r>
      <w:r w:rsidR="00735A6A" w:rsidRPr="00735A6A">
        <w:rPr>
          <w:rFonts w:ascii="Times New Roman" w:hAnsi="Times New Roman" w:cs="Times New Roman"/>
          <w:sz w:val="24"/>
          <w:szCs w:val="24"/>
        </w:rPr>
        <w:t>B:C ratio=</w:t>
      </w:r>
      <w:r w:rsidR="00735A6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return (₹/ha)</m:t>
            </m:r>
          </m:num>
          <m:den>
            <m:r>
              <w:rPr>
                <w:rFonts w:ascii="Cambria Math" w:hAnsi="Cambria Math" w:cs="Times New Roman"/>
                <w:sz w:val="24"/>
                <w:szCs w:val="24"/>
              </w:rPr>
              <m:t>Cost of cultivation (₹/ha)</m:t>
            </m:r>
            <m:r>
              <m:rPr>
                <m:sty m:val="p"/>
              </m:rPr>
              <w:rPr>
                <w:rFonts w:ascii="Cambria Math" w:hAnsi="Cambria Math" w:cs="Times New Roman"/>
                <w:sz w:val="24"/>
                <w:szCs w:val="24"/>
              </w:rPr>
              <m:t xml:space="preserve"> </m:t>
            </m:r>
          </m:den>
        </m:f>
      </m:oMath>
      <w:r w:rsidR="00735A6A">
        <w:rPr>
          <w:rFonts w:ascii="Times New Roman" w:hAnsi="Times New Roman" w:cs="Times New Roman"/>
          <w:sz w:val="24"/>
          <w:szCs w:val="24"/>
        </w:rPr>
        <w:t xml:space="preserve"> </w:t>
      </w:r>
    </w:p>
    <w:p w14:paraId="38687359" w14:textId="77777777" w:rsidR="00652755" w:rsidRPr="00652755" w:rsidRDefault="00652755" w:rsidP="00652755">
      <w:pPr>
        <w:jc w:val="both"/>
        <w:rPr>
          <w:rFonts w:ascii="Times New Roman" w:hAnsi="Times New Roman" w:cs="Times New Roman"/>
          <w:sz w:val="24"/>
          <w:szCs w:val="24"/>
        </w:rPr>
      </w:pPr>
      <w:r w:rsidRPr="00652755">
        <w:rPr>
          <w:rFonts w:ascii="Times New Roman" w:hAnsi="Times New Roman" w:cs="Times New Roman"/>
          <w:sz w:val="24"/>
          <w:szCs w:val="24"/>
        </w:rPr>
        <w:t>ANOVA was used to statistically evaluate the gathered data in accordance with Gomez and Gomez's (1984) technique. The 5% level of significance was applied for comparing treatment means.</w:t>
      </w:r>
    </w:p>
    <w:p w14:paraId="0C1EEB5F" w14:textId="08A54B26" w:rsidR="00735A6A" w:rsidRPr="00F91CFC" w:rsidRDefault="00F91CFC" w:rsidP="00256BC1">
      <w:pPr>
        <w:jc w:val="both"/>
        <w:rPr>
          <w:rFonts w:ascii="Times New Roman" w:hAnsi="Times New Roman" w:cs="Times New Roman"/>
          <w:b/>
          <w:bCs/>
          <w:sz w:val="24"/>
          <w:szCs w:val="24"/>
        </w:rPr>
      </w:pPr>
      <w:r w:rsidRPr="00F91CFC">
        <w:rPr>
          <w:rFonts w:ascii="Times New Roman" w:hAnsi="Times New Roman" w:cs="Times New Roman"/>
          <w:b/>
          <w:bCs/>
          <w:sz w:val="24"/>
          <w:szCs w:val="24"/>
        </w:rPr>
        <w:t>4. Result and discussion</w:t>
      </w:r>
    </w:p>
    <w:p w14:paraId="5D75B711" w14:textId="4A43117E" w:rsidR="00FB74EE" w:rsidRDefault="00F91CFC" w:rsidP="00FB74EE">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FB74EE" w:rsidRPr="00FB74EE">
        <w:rPr>
          <w:rFonts w:ascii="Times New Roman" w:hAnsi="Times New Roman" w:cs="Times New Roman"/>
          <w:b/>
          <w:bCs/>
          <w:sz w:val="24"/>
          <w:szCs w:val="24"/>
        </w:rPr>
        <w:t>Effect on Soil Fertility Parameters</w:t>
      </w:r>
    </w:p>
    <w:p w14:paraId="35AFDAC5" w14:textId="56E3D130" w:rsidR="005A16EF" w:rsidRPr="00F91CFC" w:rsidRDefault="005A16EF" w:rsidP="005A16EF">
      <w:pPr>
        <w:jc w:val="both"/>
        <w:rPr>
          <w:rFonts w:ascii="Times New Roman" w:hAnsi="Times New Roman" w:cs="Times New Roman"/>
          <w:sz w:val="24"/>
          <w:szCs w:val="24"/>
        </w:rPr>
      </w:pPr>
      <w:r w:rsidRPr="00F91CFC">
        <w:rPr>
          <w:rFonts w:ascii="Times New Roman" w:hAnsi="Times New Roman" w:cs="Times New Roman"/>
          <w:sz w:val="24"/>
          <w:szCs w:val="24"/>
        </w:rPr>
        <w:t>The results presented in Table</w:t>
      </w:r>
      <w:r>
        <w:rPr>
          <w:rFonts w:ascii="Times New Roman" w:hAnsi="Times New Roman" w:cs="Times New Roman"/>
          <w:sz w:val="24"/>
          <w:szCs w:val="24"/>
        </w:rPr>
        <w:t xml:space="preserve"> 1</w:t>
      </w:r>
      <w:r w:rsidRPr="00F91CFC">
        <w:rPr>
          <w:rFonts w:ascii="Times New Roman" w:hAnsi="Times New Roman" w:cs="Times New Roman"/>
          <w:sz w:val="24"/>
          <w:szCs w:val="24"/>
        </w:rPr>
        <w:t xml:space="preserve"> and </w:t>
      </w:r>
      <w:r>
        <w:rPr>
          <w:rFonts w:ascii="Times New Roman" w:hAnsi="Times New Roman" w:cs="Times New Roman"/>
          <w:sz w:val="24"/>
          <w:szCs w:val="24"/>
        </w:rPr>
        <w:t>Fig.1</w:t>
      </w:r>
      <w:r w:rsidRPr="00F91CFC">
        <w:rPr>
          <w:rFonts w:ascii="Times New Roman" w:hAnsi="Times New Roman" w:cs="Times New Roman"/>
          <w:sz w:val="24"/>
          <w:szCs w:val="24"/>
        </w:rPr>
        <w:t xml:space="preserve"> indicate that integrated nutrient management significantly influenced the availability of soil nutrients after mustard harvest.</w:t>
      </w:r>
    </w:p>
    <w:p w14:paraId="242DB4A2" w14:textId="3C3342BF"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Post-harvest soil had a pH between 7.39 and 7.73. Treatments with vermicompost and biofertilizer caused a slight drop in pH (T4), indicating that organics improve soil responsiveness (</w:t>
      </w:r>
      <w:proofErr w:type="spellStart"/>
      <w:r w:rsidRPr="008A3766">
        <w:rPr>
          <w:rFonts w:ascii="Times New Roman" w:hAnsi="Times New Roman" w:cs="Times New Roman"/>
          <w:sz w:val="24"/>
          <w:szCs w:val="24"/>
        </w:rPr>
        <w:t>Ajnar</w:t>
      </w:r>
      <w:proofErr w:type="spellEnd"/>
      <w:r w:rsidRPr="008A3766">
        <w:rPr>
          <w:rFonts w:ascii="Times New Roman" w:hAnsi="Times New Roman" w:cs="Times New Roman"/>
          <w:sz w:val="24"/>
          <w:szCs w:val="24"/>
        </w:rPr>
        <w:t xml:space="preserve"> &amp; </w:t>
      </w:r>
      <w:proofErr w:type="spellStart"/>
      <w:r w:rsidRPr="008A3766">
        <w:rPr>
          <w:rFonts w:ascii="Times New Roman" w:hAnsi="Times New Roman" w:cs="Times New Roman"/>
          <w:sz w:val="24"/>
          <w:szCs w:val="24"/>
        </w:rPr>
        <w:t>Namdeo</w:t>
      </w:r>
      <w:proofErr w:type="spellEnd"/>
      <w:r w:rsidRPr="008A3766">
        <w:rPr>
          <w:rFonts w:ascii="Times New Roman" w:hAnsi="Times New Roman" w:cs="Times New Roman"/>
          <w:sz w:val="24"/>
          <w:szCs w:val="24"/>
        </w:rPr>
        <w:t>, 2021;</w:t>
      </w:r>
      <w:r w:rsidR="003E1666">
        <w:rPr>
          <w:rFonts w:ascii="Times New Roman" w:hAnsi="Times New Roman" w:cs="Times New Roman"/>
          <w:sz w:val="24"/>
          <w:szCs w:val="24"/>
        </w:rPr>
        <w:t xml:space="preserve"> </w:t>
      </w:r>
      <w:r w:rsidR="004D199E" w:rsidRPr="004D199E">
        <w:rPr>
          <w:rFonts w:ascii="Times New Roman" w:hAnsi="Times New Roman" w:cs="Times New Roman"/>
          <w:sz w:val="24"/>
          <w:szCs w:val="24"/>
        </w:rPr>
        <w:t>Solanki</w:t>
      </w:r>
      <w:r w:rsidR="004D199E">
        <w:rPr>
          <w:rFonts w:ascii="Times New Roman" w:hAnsi="Times New Roman" w:cs="Times New Roman"/>
          <w:sz w:val="24"/>
          <w:szCs w:val="24"/>
        </w:rPr>
        <w:t xml:space="preserve"> </w:t>
      </w:r>
      <w:r w:rsidR="004D199E" w:rsidRPr="004D199E">
        <w:rPr>
          <w:rFonts w:ascii="Times New Roman" w:hAnsi="Times New Roman" w:cs="Times New Roman"/>
          <w:i/>
          <w:iCs/>
          <w:sz w:val="24"/>
          <w:szCs w:val="24"/>
        </w:rPr>
        <w:t>et al.,</w:t>
      </w:r>
      <w:r w:rsidR="004D199E">
        <w:rPr>
          <w:rFonts w:ascii="Times New Roman" w:hAnsi="Times New Roman" w:cs="Times New Roman"/>
          <w:sz w:val="24"/>
          <w:szCs w:val="24"/>
        </w:rPr>
        <w:t xml:space="preserve"> </w:t>
      </w:r>
      <w:r w:rsidR="003E1666">
        <w:rPr>
          <w:rFonts w:ascii="Times New Roman" w:hAnsi="Times New Roman" w:cs="Times New Roman"/>
          <w:sz w:val="24"/>
          <w:szCs w:val="24"/>
        </w:rPr>
        <w:t>201</w:t>
      </w:r>
      <w:r w:rsidR="004D199E">
        <w:rPr>
          <w:rFonts w:ascii="Times New Roman" w:hAnsi="Times New Roman" w:cs="Times New Roman"/>
          <w:sz w:val="24"/>
          <w:szCs w:val="24"/>
        </w:rPr>
        <w:t>5</w:t>
      </w:r>
      <w:r w:rsidR="003E1666">
        <w:rPr>
          <w:rFonts w:ascii="Times New Roman" w:hAnsi="Times New Roman" w:cs="Times New Roman"/>
          <w:sz w:val="24"/>
          <w:szCs w:val="24"/>
        </w:rPr>
        <w:t xml:space="preserve"> and</w:t>
      </w:r>
      <w:r w:rsidRPr="008A3766">
        <w:rPr>
          <w:rFonts w:ascii="Times New Roman" w:hAnsi="Times New Roman" w:cs="Times New Roman"/>
          <w:sz w:val="24"/>
          <w:szCs w:val="24"/>
        </w:rPr>
        <w:t xml:space="preserve"> Chandan</w:t>
      </w:r>
      <w:r>
        <w:rPr>
          <w:rFonts w:ascii="Times New Roman" w:hAnsi="Times New Roman" w:cs="Times New Roman"/>
          <w:sz w:val="24"/>
          <w:szCs w:val="24"/>
        </w:rPr>
        <w:t xml:space="preserve"> </w:t>
      </w:r>
      <w:r w:rsidRPr="008A3766">
        <w:rPr>
          <w:rFonts w:ascii="Times New Roman" w:hAnsi="Times New Roman" w:cs="Times New Roman"/>
          <w:i/>
          <w:iCs/>
          <w:sz w:val="24"/>
          <w:szCs w:val="24"/>
        </w:rPr>
        <w:t>et al.,</w:t>
      </w:r>
      <w:r>
        <w:rPr>
          <w:rFonts w:ascii="Times New Roman" w:hAnsi="Times New Roman" w:cs="Times New Roman"/>
          <w:sz w:val="24"/>
          <w:szCs w:val="24"/>
        </w:rPr>
        <w:t xml:space="preserve"> </w:t>
      </w:r>
      <w:r w:rsidRPr="008A3766">
        <w:rPr>
          <w:rFonts w:ascii="Times New Roman" w:hAnsi="Times New Roman" w:cs="Times New Roman"/>
          <w:sz w:val="24"/>
          <w:szCs w:val="24"/>
        </w:rPr>
        <w:t xml:space="preserve">2019). The lowest EC, which ranged from 1.36 to 1.55 </w:t>
      </w:r>
      <w:proofErr w:type="spellStart"/>
      <w:r w:rsidRPr="008A3766">
        <w:rPr>
          <w:rFonts w:ascii="Times New Roman" w:hAnsi="Times New Roman" w:cs="Times New Roman"/>
          <w:sz w:val="24"/>
          <w:szCs w:val="24"/>
        </w:rPr>
        <w:t>dS</w:t>
      </w:r>
      <w:proofErr w:type="spellEnd"/>
      <w:r w:rsidRPr="008A3766">
        <w:rPr>
          <w:rFonts w:ascii="Times New Roman" w:hAnsi="Times New Roman" w:cs="Times New Roman"/>
          <w:sz w:val="24"/>
          <w:szCs w:val="24"/>
        </w:rPr>
        <w:t xml:space="preserve"> m⁻¹, was found in T5, suggesting that organic inputs help stabilize soil salt levels (Tripathi</w:t>
      </w:r>
      <w:r>
        <w:rPr>
          <w:rFonts w:ascii="Times New Roman" w:hAnsi="Times New Roman" w:cs="Times New Roman"/>
          <w:sz w:val="24"/>
          <w:szCs w:val="24"/>
        </w:rPr>
        <w:t xml:space="preserve"> </w:t>
      </w:r>
      <w:r w:rsidRPr="008A3766">
        <w:rPr>
          <w:rFonts w:ascii="Times New Roman" w:hAnsi="Times New Roman" w:cs="Times New Roman"/>
          <w:i/>
          <w:iCs/>
          <w:sz w:val="24"/>
          <w:szCs w:val="24"/>
        </w:rPr>
        <w:t>et al</w:t>
      </w:r>
      <w:r>
        <w:rPr>
          <w:rFonts w:ascii="Times New Roman" w:hAnsi="Times New Roman" w:cs="Times New Roman"/>
          <w:sz w:val="24"/>
          <w:szCs w:val="24"/>
        </w:rPr>
        <w:t>.,</w:t>
      </w:r>
      <w:r w:rsidRPr="008A3766">
        <w:rPr>
          <w:rFonts w:ascii="Times New Roman" w:hAnsi="Times New Roman" w:cs="Times New Roman"/>
          <w:sz w:val="24"/>
          <w:szCs w:val="24"/>
        </w:rPr>
        <w:t xml:space="preserve"> 2010). Soil organic carbon (SOC) significantly improved as a result of integrated therapies. T1 (100% RDF) had the lowest SOC (0.49 g kg⁻¹), while T4 had the highest (4.11 g kg⁻¹). The increase in SOC may be due to the addition of organic wastes from vermicompost and biofertilizers (Meena</w:t>
      </w:r>
      <w:r>
        <w:rPr>
          <w:rFonts w:ascii="Times New Roman" w:hAnsi="Times New Roman" w:cs="Times New Roman"/>
          <w:sz w:val="24"/>
          <w:szCs w:val="24"/>
        </w:rPr>
        <w:t xml:space="preserve"> </w:t>
      </w:r>
      <w:r w:rsidRPr="008A3766">
        <w:rPr>
          <w:rFonts w:ascii="Times New Roman" w:hAnsi="Times New Roman" w:cs="Times New Roman"/>
          <w:i/>
          <w:iCs/>
          <w:sz w:val="24"/>
          <w:szCs w:val="24"/>
        </w:rPr>
        <w:t>et al</w:t>
      </w:r>
      <w:r>
        <w:rPr>
          <w:rFonts w:ascii="Times New Roman" w:hAnsi="Times New Roman" w:cs="Times New Roman"/>
          <w:sz w:val="24"/>
          <w:szCs w:val="24"/>
        </w:rPr>
        <w:t>.</w:t>
      </w:r>
      <w:r w:rsidRPr="008A3766">
        <w:rPr>
          <w:rFonts w:ascii="Times New Roman" w:hAnsi="Times New Roman" w:cs="Times New Roman"/>
          <w:sz w:val="24"/>
          <w:szCs w:val="24"/>
        </w:rPr>
        <w:t>, 201</w:t>
      </w:r>
      <w:r w:rsidR="009467F1">
        <w:rPr>
          <w:rFonts w:ascii="Times New Roman" w:hAnsi="Times New Roman" w:cs="Times New Roman"/>
          <w:sz w:val="24"/>
          <w:szCs w:val="24"/>
        </w:rPr>
        <w:t>3</w:t>
      </w:r>
      <w:r w:rsidRPr="008A3766">
        <w:rPr>
          <w:rFonts w:ascii="Times New Roman" w:hAnsi="Times New Roman" w:cs="Times New Roman"/>
          <w:sz w:val="24"/>
          <w:szCs w:val="24"/>
        </w:rPr>
        <w:t xml:space="preserve">; Chandan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2019).</w:t>
      </w:r>
    </w:p>
    <w:p w14:paraId="0877647A" w14:textId="78CAE41F"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The soil's available nitrogen content ranged from 212.40 to 269.85 kg/ha after different treatments. The maximum nitrogen content (269.85 kg/ha) was found in T4 (80% RDF @ N: </w:t>
      </w:r>
      <w:r w:rsidRPr="008A3766">
        <w:rPr>
          <w:rFonts w:ascii="Times New Roman" w:hAnsi="Times New Roman" w:cs="Times New Roman"/>
          <w:sz w:val="24"/>
          <w:szCs w:val="24"/>
        </w:rPr>
        <w:lastRenderedPageBreak/>
        <w:t>69.65 g, P: 62.60 g, K: 32 g + Vermicompost @ 9 kg + Biofertilizer [</w:t>
      </w:r>
      <w:proofErr w:type="spellStart"/>
      <w:r w:rsidRPr="008A3766">
        <w:rPr>
          <w:rFonts w:ascii="Times New Roman" w:hAnsi="Times New Roman" w:cs="Times New Roman"/>
          <w:sz w:val="24"/>
          <w:szCs w:val="24"/>
        </w:rPr>
        <w:t>Azotobacter</w:t>
      </w:r>
      <w:proofErr w:type="spellEnd"/>
      <w:r w:rsidRPr="008A3766">
        <w:rPr>
          <w:rFonts w:ascii="Times New Roman" w:hAnsi="Times New Roman" w:cs="Times New Roman"/>
          <w:sz w:val="24"/>
          <w:szCs w:val="24"/>
        </w:rPr>
        <w:t xml:space="preserve"> + PSB]), whereas the lowest was found in T1 (100% RDF). The higher available N in integrated treatments could be due to biological N fixation by </w:t>
      </w:r>
      <w:proofErr w:type="spellStart"/>
      <w:r w:rsidRPr="008A3766">
        <w:rPr>
          <w:rFonts w:ascii="Times New Roman" w:hAnsi="Times New Roman" w:cs="Times New Roman"/>
          <w:sz w:val="24"/>
          <w:szCs w:val="24"/>
        </w:rPr>
        <w:t>Azotobacter</w:t>
      </w:r>
      <w:proofErr w:type="spellEnd"/>
      <w:r w:rsidRPr="008A3766">
        <w:rPr>
          <w:rFonts w:ascii="Times New Roman" w:hAnsi="Times New Roman" w:cs="Times New Roman"/>
          <w:sz w:val="24"/>
          <w:szCs w:val="24"/>
        </w:rPr>
        <w:t xml:space="preserve">, enhanced mineralization processes, and a steady release of nitrogen from vermicompost. Our findings are in line with those of Meena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(201</w:t>
      </w:r>
      <w:r w:rsidR="009467F1">
        <w:rPr>
          <w:rFonts w:ascii="Times New Roman" w:hAnsi="Times New Roman" w:cs="Times New Roman"/>
          <w:sz w:val="24"/>
          <w:szCs w:val="24"/>
        </w:rPr>
        <w:t>3</w:t>
      </w:r>
      <w:r w:rsidRPr="008A3766">
        <w:rPr>
          <w:rFonts w:ascii="Times New Roman" w:hAnsi="Times New Roman" w:cs="Times New Roman"/>
          <w:sz w:val="24"/>
          <w:szCs w:val="24"/>
        </w:rPr>
        <w:t>)</w:t>
      </w:r>
      <w:r w:rsidR="0031742E">
        <w:rPr>
          <w:rFonts w:ascii="Times New Roman" w:hAnsi="Times New Roman" w:cs="Times New Roman"/>
          <w:sz w:val="24"/>
          <w:szCs w:val="24"/>
        </w:rPr>
        <w:t xml:space="preserve">, </w:t>
      </w:r>
      <w:r w:rsidR="0031742E" w:rsidRPr="0031742E">
        <w:rPr>
          <w:rFonts w:ascii="Times New Roman" w:hAnsi="Times New Roman" w:cs="Times New Roman"/>
          <w:sz w:val="24"/>
          <w:szCs w:val="24"/>
        </w:rPr>
        <w:t>Shankar</w:t>
      </w:r>
      <w:r w:rsidR="0031742E">
        <w:rPr>
          <w:rFonts w:ascii="Times New Roman" w:hAnsi="Times New Roman" w:cs="Times New Roman"/>
          <w:sz w:val="24"/>
          <w:szCs w:val="24"/>
        </w:rPr>
        <w:t xml:space="preserve"> </w:t>
      </w:r>
      <w:r w:rsidR="0031742E" w:rsidRPr="0031742E">
        <w:rPr>
          <w:rFonts w:ascii="Times New Roman" w:hAnsi="Times New Roman" w:cs="Times New Roman"/>
          <w:i/>
          <w:iCs/>
          <w:sz w:val="24"/>
          <w:szCs w:val="24"/>
        </w:rPr>
        <w:t>et al.,</w:t>
      </w:r>
      <w:r w:rsidR="0031742E">
        <w:rPr>
          <w:rFonts w:ascii="Times New Roman" w:hAnsi="Times New Roman" w:cs="Times New Roman"/>
          <w:sz w:val="24"/>
          <w:szCs w:val="24"/>
        </w:rPr>
        <w:t xml:space="preserve"> (2002)</w:t>
      </w:r>
      <w:r w:rsidRPr="008A3766">
        <w:rPr>
          <w:rFonts w:ascii="Times New Roman" w:hAnsi="Times New Roman" w:cs="Times New Roman"/>
          <w:sz w:val="24"/>
          <w:szCs w:val="24"/>
        </w:rPr>
        <w:t xml:space="preserve"> and </w:t>
      </w:r>
      <w:proofErr w:type="spellStart"/>
      <w:r w:rsidRPr="008A3766">
        <w:rPr>
          <w:rFonts w:ascii="Times New Roman" w:hAnsi="Times New Roman" w:cs="Times New Roman"/>
          <w:sz w:val="24"/>
          <w:szCs w:val="24"/>
        </w:rPr>
        <w:t>Ajnar</w:t>
      </w:r>
      <w:proofErr w:type="spellEnd"/>
      <w:r w:rsidRPr="008A3766">
        <w:rPr>
          <w:rFonts w:ascii="Times New Roman" w:hAnsi="Times New Roman" w:cs="Times New Roman"/>
          <w:sz w:val="24"/>
          <w:szCs w:val="24"/>
        </w:rPr>
        <w:t xml:space="preserve"> and </w:t>
      </w:r>
      <w:proofErr w:type="spellStart"/>
      <w:r w:rsidRPr="008A3766">
        <w:rPr>
          <w:rFonts w:ascii="Times New Roman" w:hAnsi="Times New Roman" w:cs="Times New Roman"/>
          <w:sz w:val="24"/>
          <w:szCs w:val="24"/>
        </w:rPr>
        <w:t>Namdeo</w:t>
      </w:r>
      <w:proofErr w:type="spellEnd"/>
      <w:r w:rsidRPr="008A3766">
        <w:rPr>
          <w:rFonts w:ascii="Times New Roman" w:hAnsi="Times New Roman" w:cs="Times New Roman"/>
          <w:sz w:val="24"/>
          <w:szCs w:val="24"/>
        </w:rPr>
        <w:t xml:space="preserve"> (2021), who reported that applying biofertilizers and organic manures together increased soil nitrogen availability compared to inorganic fertilizers alone.</w:t>
      </w:r>
    </w:p>
    <w:p w14:paraId="67564395" w14:textId="12700052"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Availability of phosphorus (kg/ha) ranged between 16.80–23.74 kg/ha. While T4 had the highest value (23.74 kg/ha), T1 had the lowest (16.80 kg/ha). The increase in soil P under integrated treatments is caused by organic acids produced during the breakdown of vermicompost and the solubilizing action of phosphate-solubilizing bacteria (PSB). Similar findings were reported by </w:t>
      </w:r>
      <w:r w:rsidR="00367447" w:rsidRPr="00367447">
        <w:rPr>
          <w:rFonts w:ascii="Times New Roman" w:hAnsi="Times New Roman" w:cs="Times New Roman"/>
          <w:sz w:val="24"/>
          <w:szCs w:val="24"/>
        </w:rPr>
        <w:t>Banerjee</w:t>
      </w:r>
      <w:r>
        <w:rPr>
          <w:rFonts w:ascii="Times New Roman" w:hAnsi="Times New Roman" w:cs="Times New Roman"/>
          <w:sz w:val="24"/>
          <w:szCs w:val="24"/>
        </w:rPr>
        <w:t xml:space="preserve"> </w:t>
      </w:r>
      <w:r w:rsidRPr="008A3766">
        <w:rPr>
          <w:rFonts w:ascii="Times New Roman" w:hAnsi="Times New Roman" w:cs="Times New Roman"/>
          <w:i/>
          <w:iCs/>
          <w:sz w:val="24"/>
          <w:szCs w:val="24"/>
        </w:rPr>
        <w:t>et al</w:t>
      </w:r>
      <w:r>
        <w:rPr>
          <w:rFonts w:ascii="Times New Roman" w:hAnsi="Times New Roman" w:cs="Times New Roman"/>
          <w:sz w:val="24"/>
          <w:szCs w:val="24"/>
        </w:rPr>
        <w:t>.</w:t>
      </w:r>
      <w:r w:rsidRPr="008A3766">
        <w:rPr>
          <w:rFonts w:ascii="Times New Roman" w:hAnsi="Times New Roman" w:cs="Times New Roman"/>
          <w:sz w:val="24"/>
          <w:szCs w:val="24"/>
        </w:rPr>
        <w:t>,</w:t>
      </w:r>
      <w:r w:rsidR="009467F1">
        <w:rPr>
          <w:rFonts w:ascii="Times New Roman" w:hAnsi="Times New Roman" w:cs="Times New Roman"/>
          <w:sz w:val="24"/>
          <w:szCs w:val="24"/>
        </w:rPr>
        <w:t xml:space="preserve"> </w:t>
      </w:r>
      <w:r w:rsidRPr="008A3766">
        <w:rPr>
          <w:rFonts w:ascii="Times New Roman" w:hAnsi="Times New Roman" w:cs="Times New Roman"/>
          <w:sz w:val="24"/>
          <w:szCs w:val="24"/>
        </w:rPr>
        <w:t>(201</w:t>
      </w:r>
      <w:r w:rsidR="00367447">
        <w:rPr>
          <w:rFonts w:ascii="Times New Roman" w:hAnsi="Times New Roman" w:cs="Times New Roman"/>
          <w:sz w:val="24"/>
          <w:szCs w:val="24"/>
        </w:rPr>
        <w:t>1</w:t>
      </w:r>
      <w:r w:rsidRPr="008A3766">
        <w:rPr>
          <w:rFonts w:ascii="Times New Roman" w:hAnsi="Times New Roman" w:cs="Times New Roman"/>
          <w:sz w:val="24"/>
          <w:szCs w:val="24"/>
        </w:rPr>
        <w:t xml:space="preserve">) and </w:t>
      </w:r>
      <w:r w:rsidR="009467F1">
        <w:rPr>
          <w:rFonts w:ascii="Times New Roman" w:hAnsi="Times New Roman" w:cs="Times New Roman"/>
          <w:sz w:val="24"/>
          <w:szCs w:val="24"/>
        </w:rPr>
        <w:t xml:space="preserve">Singh </w:t>
      </w:r>
      <w:r w:rsidR="009467F1" w:rsidRPr="009467F1">
        <w:rPr>
          <w:rFonts w:ascii="Times New Roman" w:hAnsi="Times New Roman" w:cs="Times New Roman"/>
          <w:i/>
          <w:iCs/>
          <w:sz w:val="24"/>
          <w:szCs w:val="24"/>
        </w:rPr>
        <w:t>et al</w:t>
      </w:r>
      <w:r w:rsidR="009467F1">
        <w:rPr>
          <w:rFonts w:ascii="Times New Roman" w:hAnsi="Times New Roman" w:cs="Times New Roman"/>
          <w:sz w:val="24"/>
          <w:szCs w:val="24"/>
        </w:rPr>
        <w:t>.,</w:t>
      </w:r>
      <w:r w:rsidRPr="008A3766">
        <w:rPr>
          <w:rFonts w:ascii="Times New Roman" w:hAnsi="Times New Roman" w:cs="Times New Roman"/>
          <w:sz w:val="24"/>
          <w:szCs w:val="24"/>
        </w:rPr>
        <w:t xml:space="preserve"> (20</w:t>
      </w:r>
      <w:r w:rsidR="009467F1">
        <w:rPr>
          <w:rFonts w:ascii="Times New Roman" w:hAnsi="Times New Roman" w:cs="Times New Roman"/>
          <w:sz w:val="24"/>
          <w:szCs w:val="24"/>
        </w:rPr>
        <w:t>11</w:t>
      </w:r>
      <w:r w:rsidRPr="008A3766">
        <w:rPr>
          <w:rFonts w:ascii="Times New Roman" w:hAnsi="Times New Roman" w:cs="Times New Roman"/>
          <w:sz w:val="24"/>
          <w:szCs w:val="24"/>
        </w:rPr>
        <w:t>), who emphasized that the addition of organics to RDF significantly boosted soil phosphorus availability.</w:t>
      </w:r>
    </w:p>
    <w:p w14:paraId="736B8BDC" w14:textId="77777777"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When chemical fertilizers, biofertilizers, and organic manures were applied together, more nutrients became available than when either fertilizer was administered alone. Microbial activity, mineralization, and cation exchange capacity (CEC) all increased when soil organic matter was enhanced by organic manures. Biofertilizers (PSB and </w:t>
      </w:r>
      <w:proofErr w:type="spellStart"/>
      <w:r w:rsidRPr="008A3766">
        <w:rPr>
          <w:rFonts w:ascii="Times New Roman" w:hAnsi="Times New Roman" w:cs="Times New Roman"/>
          <w:sz w:val="24"/>
          <w:szCs w:val="24"/>
        </w:rPr>
        <w:t>Azotobacter</w:t>
      </w:r>
      <w:proofErr w:type="spellEnd"/>
      <w:r w:rsidRPr="008A3766">
        <w:rPr>
          <w:rFonts w:ascii="Times New Roman" w:hAnsi="Times New Roman" w:cs="Times New Roman"/>
          <w:sz w:val="24"/>
          <w:szCs w:val="24"/>
        </w:rPr>
        <w:t>) were necessary for biological N fixation and solubilization of scarce P to increase nutrient-use efficiency.</w:t>
      </w:r>
    </w:p>
    <w:p w14:paraId="7FE163DD" w14:textId="4C16E271"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These findings indicate that by maintaining higher amounts of available N and P, integrated nutrient management sustains soil fertility, which is essential for long-term productivity (Meena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201</w:t>
      </w:r>
      <w:r w:rsidR="009467F1">
        <w:rPr>
          <w:rFonts w:ascii="Times New Roman" w:hAnsi="Times New Roman" w:cs="Times New Roman"/>
          <w:sz w:val="24"/>
          <w:szCs w:val="24"/>
        </w:rPr>
        <w:t>3</w:t>
      </w:r>
      <w:r w:rsidRPr="008A3766">
        <w:rPr>
          <w:rFonts w:ascii="Times New Roman" w:hAnsi="Times New Roman" w:cs="Times New Roman"/>
          <w:sz w:val="24"/>
          <w:szCs w:val="24"/>
        </w:rPr>
        <w:t xml:space="preserve">; </w:t>
      </w:r>
      <w:proofErr w:type="spellStart"/>
      <w:r w:rsidRPr="008A3766">
        <w:rPr>
          <w:rFonts w:ascii="Times New Roman" w:hAnsi="Times New Roman" w:cs="Times New Roman"/>
          <w:sz w:val="24"/>
          <w:szCs w:val="24"/>
        </w:rPr>
        <w:t>Ajnar</w:t>
      </w:r>
      <w:proofErr w:type="spellEnd"/>
      <w:r w:rsidRPr="008A3766">
        <w:rPr>
          <w:rFonts w:ascii="Times New Roman" w:hAnsi="Times New Roman" w:cs="Times New Roman"/>
          <w:sz w:val="24"/>
          <w:szCs w:val="24"/>
        </w:rPr>
        <w:t xml:space="preserve"> &amp; </w:t>
      </w:r>
      <w:proofErr w:type="spellStart"/>
      <w:r w:rsidRPr="008A3766">
        <w:rPr>
          <w:rFonts w:ascii="Times New Roman" w:hAnsi="Times New Roman" w:cs="Times New Roman"/>
          <w:sz w:val="24"/>
          <w:szCs w:val="24"/>
        </w:rPr>
        <w:t>Namdeo</w:t>
      </w:r>
      <w:proofErr w:type="spellEnd"/>
      <w:r w:rsidRPr="008A3766">
        <w:rPr>
          <w:rFonts w:ascii="Times New Roman" w:hAnsi="Times New Roman" w:cs="Times New Roman"/>
          <w:sz w:val="24"/>
          <w:szCs w:val="24"/>
        </w:rPr>
        <w:t>, 2021).</w:t>
      </w:r>
    </w:p>
    <w:p w14:paraId="1AE0A0FE" w14:textId="5F5CB0CE" w:rsidR="00FB74EE" w:rsidRPr="00FB74EE" w:rsidRDefault="00FB74EE" w:rsidP="00FB74EE">
      <w:pPr>
        <w:jc w:val="both"/>
        <w:rPr>
          <w:rFonts w:ascii="Times New Roman" w:hAnsi="Times New Roman" w:cs="Times New Roman"/>
          <w:b/>
          <w:bCs/>
          <w:sz w:val="24"/>
          <w:szCs w:val="24"/>
        </w:rPr>
      </w:pPr>
      <w:r w:rsidRPr="00FB74EE">
        <w:rPr>
          <w:rFonts w:ascii="Times New Roman" w:hAnsi="Times New Roman" w:cs="Times New Roman"/>
          <w:b/>
          <w:bCs/>
          <w:sz w:val="24"/>
          <w:szCs w:val="24"/>
        </w:rPr>
        <w:t>4.</w:t>
      </w:r>
      <w:r w:rsidR="00F91CFC">
        <w:rPr>
          <w:rFonts w:ascii="Times New Roman" w:hAnsi="Times New Roman" w:cs="Times New Roman"/>
          <w:b/>
          <w:bCs/>
          <w:sz w:val="24"/>
          <w:szCs w:val="24"/>
        </w:rPr>
        <w:t>2.</w:t>
      </w:r>
      <w:r w:rsidRPr="00FB74EE">
        <w:rPr>
          <w:rFonts w:ascii="Times New Roman" w:hAnsi="Times New Roman" w:cs="Times New Roman"/>
          <w:b/>
          <w:bCs/>
          <w:sz w:val="24"/>
          <w:szCs w:val="24"/>
        </w:rPr>
        <w:t xml:space="preserve"> Effect on Economics of Mustard Cultivation</w:t>
      </w:r>
    </w:p>
    <w:p w14:paraId="595658CA" w14:textId="77777777"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Each treatment incurred varying cultivation costs depending on the type and quantity of inorganic and organic inputs. The 100% RDF treatment (60 kg N, 30 kg P₂O₅/ha) had the lowest cost, as chemical fertilizers such as urea and single superphosphate were less expensive than organic manures. In contrast, the 10 t/ha FYM treatment had the highest cost due to bulk manure, transportation, and </w:t>
      </w:r>
      <w:proofErr w:type="spellStart"/>
      <w:r w:rsidRPr="008A3766">
        <w:rPr>
          <w:rFonts w:ascii="Times New Roman" w:hAnsi="Times New Roman" w:cs="Times New Roman"/>
          <w:sz w:val="24"/>
          <w:szCs w:val="24"/>
        </w:rPr>
        <w:t>labor</w:t>
      </w:r>
      <w:proofErr w:type="spellEnd"/>
      <w:r w:rsidRPr="008A3766">
        <w:rPr>
          <w:rFonts w:ascii="Times New Roman" w:hAnsi="Times New Roman" w:cs="Times New Roman"/>
          <w:sz w:val="24"/>
          <w:szCs w:val="24"/>
        </w:rPr>
        <w:t xml:space="preserve"> (</w:t>
      </w:r>
      <w:proofErr w:type="spellStart"/>
      <w:r w:rsidRPr="008A3766">
        <w:rPr>
          <w:rFonts w:ascii="Times New Roman" w:hAnsi="Times New Roman" w:cs="Times New Roman"/>
          <w:sz w:val="24"/>
          <w:szCs w:val="24"/>
        </w:rPr>
        <w:t>Ajnar</w:t>
      </w:r>
      <w:proofErr w:type="spellEnd"/>
      <w:r w:rsidRPr="008A3766">
        <w:rPr>
          <w:rFonts w:ascii="Times New Roman" w:hAnsi="Times New Roman" w:cs="Times New Roman"/>
          <w:sz w:val="24"/>
          <w:szCs w:val="24"/>
        </w:rPr>
        <w:t xml:space="preserve"> &amp; </w:t>
      </w:r>
      <w:proofErr w:type="spellStart"/>
      <w:r w:rsidRPr="008A3766">
        <w:rPr>
          <w:rFonts w:ascii="Times New Roman" w:hAnsi="Times New Roman" w:cs="Times New Roman"/>
          <w:sz w:val="24"/>
          <w:szCs w:val="24"/>
        </w:rPr>
        <w:t>Namdeo</w:t>
      </w:r>
      <w:proofErr w:type="spellEnd"/>
      <w:r w:rsidRPr="008A3766">
        <w:rPr>
          <w:rFonts w:ascii="Times New Roman" w:hAnsi="Times New Roman" w:cs="Times New Roman"/>
          <w:sz w:val="24"/>
          <w:szCs w:val="24"/>
        </w:rPr>
        <w:t>, 2021).</w:t>
      </w:r>
    </w:p>
    <w:p w14:paraId="6099320B" w14:textId="768C02C2"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Gross returns were highest under integrated treatments. The 75% RDF + 5 t/ha FYM treatment produced the highest gross returns, while the 2.5 t/ha poultry manure + 25% RDF treatment had lower returns, likely due to insufficient N supply (Tripathi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Moderate yield gains in some treatments were offset by higher input costs, resulting in the highest net returns with 75% RDF + 5 t/ha FYM and the lowest with 25% RDF + 5 t/ha poultry manure </w:t>
      </w:r>
      <w:r w:rsidR="00E64C6C">
        <w:rPr>
          <w:rFonts w:ascii="Times New Roman" w:hAnsi="Times New Roman" w:cs="Times New Roman"/>
          <w:sz w:val="24"/>
          <w:szCs w:val="24"/>
        </w:rPr>
        <w:t>(Singh and Singh,</w:t>
      </w:r>
      <w:r w:rsidRPr="008A3766">
        <w:rPr>
          <w:rFonts w:ascii="Times New Roman" w:hAnsi="Times New Roman" w:cs="Times New Roman"/>
          <w:sz w:val="24"/>
          <w:szCs w:val="24"/>
        </w:rPr>
        <w:t xml:space="preserve"> 201</w:t>
      </w:r>
      <w:r w:rsidR="00E64C6C">
        <w:rPr>
          <w:rFonts w:ascii="Times New Roman" w:hAnsi="Times New Roman" w:cs="Times New Roman"/>
          <w:sz w:val="24"/>
          <w:szCs w:val="24"/>
        </w:rPr>
        <w:t>4</w:t>
      </w:r>
      <w:r w:rsidRPr="008A3766">
        <w:rPr>
          <w:rFonts w:ascii="Times New Roman" w:hAnsi="Times New Roman" w:cs="Times New Roman"/>
          <w:sz w:val="24"/>
          <w:szCs w:val="24"/>
        </w:rPr>
        <w:t>).</w:t>
      </w:r>
    </w:p>
    <w:p w14:paraId="7021C914" w14:textId="24B4AC6B"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The benefit-cost (B:C) ratio, a key profitability indicator, was highest for 75% RDF + 5 t/ha FYM, demonstrating the economic advantage of combining chemical fertilizers with organics. Solely organic treatments had lower B:C ratios due to high input costs and relatively lower yields. These findings are in line with </w:t>
      </w:r>
      <w:r w:rsidR="00E64C6C">
        <w:rPr>
          <w:rFonts w:ascii="Times New Roman" w:hAnsi="Times New Roman" w:cs="Times New Roman"/>
          <w:sz w:val="24"/>
          <w:szCs w:val="24"/>
        </w:rPr>
        <w:t>Dhaka</w:t>
      </w:r>
      <w:r w:rsidR="003E1666">
        <w:rPr>
          <w:rFonts w:ascii="Times New Roman" w:hAnsi="Times New Roman" w:cs="Times New Roman"/>
          <w:sz w:val="24"/>
          <w:szCs w:val="24"/>
        </w:rPr>
        <w:t xml:space="preserve"> </w:t>
      </w:r>
      <w:proofErr w:type="gramStart"/>
      <w:r w:rsidR="003E1666" w:rsidRPr="00E64C6C">
        <w:rPr>
          <w:rFonts w:ascii="Times New Roman" w:hAnsi="Times New Roman" w:cs="Times New Roman"/>
          <w:i/>
          <w:iCs/>
          <w:sz w:val="24"/>
          <w:szCs w:val="24"/>
        </w:rPr>
        <w:t>et al</w:t>
      </w:r>
      <w:r w:rsidR="003E1666">
        <w:rPr>
          <w:rFonts w:ascii="Times New Roman" w:hAnsi="Times New Roman" w:cs="Times New Roman"/>
          <w:sz w:val="24"/>
          <w:szCs w:val="24"/>
        </w:rPr>
        <w:t>.,(</w:t>
      </w:r>
      <w:proofErr w:type="gramEnd"/>
      <w:r w:rsidR="003E1666">
        <w:rPr>
          <w:rFonts w:ascii="Times New Roman" w:hAnsi="Times New Roman" w:cs="Times New Roman"/>
          <w:sz w:val="24"/>
          <w:szCs w:val="24"/>
        </w:rPr>
        <w:t>202</w:t>
      </w:r>
      <w:r w:rsidR="00E64C6C">
        <w:rPr>
          <w:rFonts w:ascii="Times New Roman" w:hAnsi="Times New Roman" w:cs="Times New Roman"/>
          <w:sz w:val="24"/>
          <w:szCs w:val="24"/>
        </w:rPr>
        <w:t>4</w:t>
      </w:r>
      <w:r w:rsidR="003E1666">
        <w:rPr>
          <w:rFonts w:ascii="Times New Roman" w:hAnsi="Times New Roman" w:cs="Times New Roman"/>
          <w:sz w:val="24"/>
          <w:szCs w:val="24"/>
        </w:rPr>
        <w:t xml:space="preserve">), </w:t>
      </w:r>
      <w:r w:rsidRPr="008A3766">
        <w:rPr>
          <w:rFonts w:ascii="Times New Roman" w:hAnsi="Times New Roman" w:cs="Times New Roman"/>
          <w:sz w:val="24"/>
          <w:szCs w:val="24"/>
        </w:rPr>
        <w:t xml:space="preserve">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and </w:t>
      </w:r>
      <w:r w:rsidR="00E64C6C">
        <w:rPr>
          <w:rFonts w:ascii="Times New Roman" w:hAnsi="Times New Roman" w:cs="Times New Roman"/>
          <w:sz w:val="24"/>
          <w:szCs w:val="24"/>
        </w:rPr>
        <w:t>Singh and Singh,</w:t>
      </w:r>
      <w:r w:rsidR="00E64C6C" w:rsidRPr="008A3766">
        <w:rPr>
          <w:rFonts w:ascii="Times New Roman" w:hAnsi="Times New Roman" w:cs="Times New Roman"/>
          <w:sz w:val="24"/>
          <w:szCs w:val="24"/>
        </w:rPr>
        <w:t xml:space="preserve"> </w:t>
      </w:r>
      <w:r w:rsidRPr="008A3766">
        <w:rPr>
          <w:rFonts w:ascii="Times New Roman" w:hAnsi="Times New Roman" w:cs="Times New Roman"/>
          <w:sz w:val="24"/>
          <w:szCs w:val="24"/>
        </w:rPr>
        <w:t>(201</w:t>
      </w:r>
      <w:r w:rsidR="00E64C6C">
        <w:rPr>
          <w:rFonts w:ascii="Times New Roman" w:hAnsi="Times New Roman" w:cs="Times New Roman"/>
          <w:sz w:val="24"/>
          <w:szCs w:val="24"/>
        </w:rPr>
        <w:t>4</w:t>
      </w:r>
      <w:r w:rsidRPr="008A3766">
        <w:rPr>
          <w:rFonts w:ascii="Times New Roman" w:hAnsi="Times New Roman" w:cs="Times New Roman"/>
          <w:sz w:val="24"/>
          <w:szCs w:val="24"/>
        </w:rPr>
        <w:t>), who reported that INM improves the B:C ratio by balancing cost, yield, and market returns.</w:t>
      </w:r>
    </w:p>
    <w:p w14:paraId="1AB96B4A" w14:textId="5D933D3D" w:rsidR="00F91CFC" w:rsidRPr="00F91CFC" w:rsidRDefault="00F91CFC" w:rsidP="007D3E76">
      <w:pPr>
        <w:jc w:val="both"/>
        <w:rPr>
          <w:rFonts w:ascii="Times New Roman" w:hAnsi="Times New Roman" w:cs="Times New Roman"/>
          <w:sz w:val="24"/>
          <w:szCs w:val="24"/>
        </w:rPr>
      </w:pPr>
      <w:r w:rsidRPr="00F91CFC">
        <w:rPr>
          <w:rFonts w:ascii="Times New Roman" w:hAnsi="Times New Roman" w:cs="Times New Roman"/>
          <w:b/>
          <w:bCs/>
          <w:sz w:val="24"/>
          <w:szCs w:val="24"/>
        </w:rPr>
        <w:t>Summary</w:t>
      </w:r>
      <w:r w:rsidRPr="00F91CFC">
        <w:rPr>
          <w:rFonts w:ascii="Times New Roman" w:hAnsi="Times New Roman" w:cs="Times New Roman"/>
          <w:sz w:val="24"/>
          <w:szCs w:val="24"/>
        </w:rPr>
        <w:br/>
      </w:r>
      <w:r w:rsidR="007D3E76" w:rsidRPr="007D3E76">
        <w:rPr>
          <w:rFonts w:ascii="Times New Roman" w:hAnsi="Times New Roman" w:cs="Times New Roman"/>
          <w:sz w:val="24"/>
          <w:szCs w:val="24"/>
        </w:rPr>
        <w:t xml:space="preserve">Studies of soil after harvest showed that INM techniques made the soil healthier than just using chemical fertilizers. The lowest soil pH (7.39) and EC (1.36 </w:t>
      </w:r>
      <w:proofErr w:type="spellStart"/>
      <w:r w:rsidR="007D3E76" w:rsidRPr="007D3E76">
        <w:rPr>
          <w:rFonts w:ascii="Times New Roman" w:hAnsi="Times New Roman" w:cs="Times New Roman"/>
          <w:sz w:val="24"/>
          <w:szCs w:val="24"/>
        </w:rPr>
        <w:t>dS</w:t>
      </w:r>
      <w:proofErr w:type="spellEnd"/>
      <w:r w:rsidR="007D3E76" w:rsidRPr="007D3E76">
        <w:rPr>
          <w:rFonts w:ascii="Times New Roman" w:hAnsi="Times New Roman" w:cs="Times New Roman"/>
          <w:sz w:val="24"/>
          <w:szCs w:val="24"/>
        </w:rPr>
        <w:t xml:space="preserve"> m⁻¹) were seen with integrated </w:t>
      </w:r>
      <w:r w:rsidR="007D3E76" w:rsidRPr="007D3E76">
        <w:rPr>
          <w:rFonts w:ascii="Times New Roman" w:hAnsi="Times New Roman" w:cs="Times New Roman"/>
          <w:sz w:val="24"/>
          <w:szCs w:val="24"/>
        </w:rPr>
        <w:lastRenderedPageBreak/>
        <w:t xml:space="preserve">treatments, which shows that organics had a positive effect. The addition of organic matter caused a large increase in carbon, as shown by the highest soil organic carbon (SOC) level (4.11 g/kg) under T4. In the same way, treatments with 100% RDF and vermicompost increased the amount of available K, while T4 increased the amount of available N and P. These results show that INM is a better way to keep soil fertile than just giving it inorganic nutrients. </w:t>
      </w:r>
      <w:r w:rsidR="007D3E76">
        <w:rPr>
          <w:rFonts w:ascii="Times New Roman" w:hAnsi="Times New Roman" w:cs="Times New Roman"/>
          <w:sz w:val="24"/>
          <w:szCs w:val="24"/>
        </w:rPr>
        <w:t xml:space="preserve"> </w:t>
      </w:r>
      <w:r w:rsidR="007D3E76" w:rsidRPr="007D3E76">
        <w:rPr>
          <w:rFonts w:ascii="Times New Roman" w:hAnsi="Times New Roman" w:cs="Times New Roman"/>
          <w:sz w:val="24"/>
          <w:szCs w:val="24"/>
        </w:rPr>
        <w:t>T4 had the highest economic net return (₹80,125.66/ha) and B:C ratio (1.82), even though it cost more to grow. Treatments that mixed fertilizers and organics came next. T9 (biofertilizer alone), on the other hand, had the lowest returns and profits.</w:t>
      </w:r>
    </w:p>
    <w:p w14:paraId="3330B0DB" w14:textId="77777777" w:rsidR="009E0792" w:rsidRDefault="00F91CFC" w:rsidP="009E0792">
      <w:pPr>
        <w:jc w:val="both"/>
        <w:rPr>
          <w:rFonts w:ascii="Times New Roman" w:hAnsi="Times New Roman" w:cs="Times New Roman"/>
          <w:sz w:val="24"/>
          <w:szCs w:val="24"/>
        </w:rPr>
      </w:pPr>
      <w:r w:rsidRPr="00F91CFC">
        <w:rPr>
          <w:rFonts w:ascii="Times New Roman" w:hAnsi="Times New Roman" w:cs="Times New Roman"/>
          <w:b/>
          <w:bCs/>
          <w:sz w:val="24"/>
          <w:szCs w:val="24"/>
        </w:rPr>
        <w:t>Conclusion</w:t>
      </w:r>
      <w:r w:rsidRPr="00F91CFC">
        <w:rPr>
          <w:rFonts w:ascii="Times New Roman" w:hAnsi="Times New Roman" w:cs="Times New Roman"/>
          <w:sz w:val="24"/>
          <w:szCs w:val="24"/>
        </w:rPr>
        <w:br/>
      </w:r>
      <w:r w:rsidR="009E0792" w:rsidRPr="009E0792">
        <w:rPr>
          <w:rFonts w:ascii="Times New Roman" w:hAnsi="Times New Roman" w:cs="Times New Roman"/>
          <w:sz w:val="24"/>
          <w:szCs w:val="24"/>
        </w:rPr>
        <w:t>In addition to raising mustard output, integrated nutrient management may be stated to preserve soil fertility by boosting organic carbon and nutrient availability. The greater cultivation expenses linked to integrated techniques are compensated for by increased yields and profitability. Thus, INM turns out to be a useful and sustainable way to manage the nutrients in mustard, ensuring long-term soil health and financial sustainability.</w:t>
      </w:r>
    </w:p>
    <w:p w14:paraId="2DBF1FEC" w14:textId="2E84FD82" w:rsidR="009E0792" w:rsidRDefault="00A871D6" w:rsidP="00256BC1">
      <w:pPr>
        <w:jc w:val="both"/>
        <w:rPr>
          <w:rFonts w:ascii="Times New Roman" w:hAnsi="Times New Roman" w:cs="Times New Roman"/>
          <w:b/>
          <w:bCs/>
          <w:sz w:val="24"/>
          <w:szCs w:val="24"/>
        </w:rPr>
      </w:pPr>
      <w:r w:rsidRPr="00A871D6">
        <w:rPr>
          <w:rFonts w:ascii="Times New Roman" w:hAnsi="Times New Roman" w:cs="Times New Roman"/>
          <w:b/>
          <w:bCs/>
          <w:sz w:val="24"/>
          <w:szCs w:val="24"/>
        </w:rPr>
        <w:t>References</w:t>
      </w:r>
    </w:p>
    <w:p w14:paraId="3CDCF56A" w14:textId="77777777" w:rsidR="00D85FB2" w:rsidRDefault="00D85FB2" w:rsidP="00C17E20">
      <w:pPr>
        <w:numPr>
          <w:ilvl w:val="0"/>
          <w:numId w:val="4"/>
        </w:numPr>
        <w:jc w:val="both"/>
        <w:rPr>
          <w:rFonts w:ascii="Times New Roman" w:hAnsi="Times New Roman" w:cs="Times New Roman"/>
          <w:sz w:val="24"/>
          <w:szCs w:val="24"/>
        </w:rPr>
      </w:pPr>
      <w:proofErr w:type="spellStart"/>
      <w:r w:rsidRPr="00D85FB2">
        <w:rPr>
          <w:rFonts w:ascii="Times New Roman" w:hAnsi="Times New Roman" w:cs="Times New Roman"/>
          <w:sz w:val="24"/>
          <w:szCs w:val="24"/>
        </w:rPr>
        <w:t>Ajnar</w:t>
      </w:r>
      <w:proofErr w:type="spellEnd"/>
      <w:r w:rsidRPr="00D85FB2">
        <w:rPr>
          <w:rFonts w:ascii="Times New Roman" w:hAnsi="Times New Roman" w:cs="Times New Roman"/>
          <w:sz w:val="24"/>
          <w:szCs w:val="24"/>
        </w:rPr>
        <w:t xml:space="preserve">, P., &amp; </w:t>
      </w:r>
      <w:proofErr w:type="spellStart"/>
      <w:r w:rsidRPr="00D85FB2">
        <w:rPr>
          <w:rFonts w:ascii="Times New Roman" w:hAnsi="Times New Roman" w:cs="Times New Roman"/>
          <w:sz w:val="24"/>
          <w:szCs w:val="24"/>
        </w:rPr>
        <w:t>Namdeo</w:t>
      </w:r>
      <w:proofErr w:type="spellEnd"/>
      <w:r w:rsidRPr="00D85FB2">
        <w:rPr>
          <w:rFonts w:ascii="Times New Roman" w:hAnsi="Times New Roman" w:cs="Times New Roman"/>
          <w:sz w:val="24"/>
          <w:szCs w:val="24"/>
        </w:rPr>
        <w:t>, S. (2021). Effect of integrated nutrient management on Indian mustard yield attributes and yield. </w:t>
      </w:r>
      <w:r w:rsidRPr="00D85FB2">
        <w:rPr>
          <w:rFonts w:ascii="Times New Roman" w:hAnsi="Times New Roman" w:cs="Times New Roman"/>
          <w:i/>
          <w:iCs/>
          <w:sz w:val="24"/>
          <w:szCs w:val="24"/>
        </w:rPr>
        <w:t>Journal of Pharmacognosy and Phytochemistry</w:t>
      </w:r>
      <w:r w:rsidRPr="00D85FB2">
        <w:rPr>
          <w:rFonts w:ascii="Times New Roman" w:hAnsi="Times New Roman" w:cs="Times New Roman"/>
          <w:sz w:val="24"/>
          <w:szCs w:val="24"/>
        </w:rPr>
        <w:t>, </w:t>
      </w:r>
      <w:r w:rsidRPr="00D85FB2">
        <w:rPr>
          <w:rFonts w:ascii="Times New Roman" w:hAnsi="Times New Roman" w:cs="Times New Roman"/>
          <w:i/>
          <w:iCs/>
          <w:sz w:val="24"/>
          <w:szCs w:val="24"/>
        </w:rPr>
        <w:t>10</w:t>
      </w:r>
      <w:r w:rsidRPr="00D85FB2">
        <w:rPr>
          <w:rFonts w:ascii="Times New Roman" w:hAnsi="Times New Roman" w:cs="Times New Roman"/>
          <w:sz w:val="24"/>
          <w:szCs w:val="24"/>
        </w:rPr>
        <w:t>(2), 545-548.</w:t>
      </w:r>
    </w:p>
    <w:p w14:paraId="7F543074" w14:textId="7A417972"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Chandan, S. K., Singh, S. K., &amp; Pandey, A. N. I. L. (2019). Influence of integrated nutrient management on yield and quality of Indian mustard (</w:t>
      </w:r>
      <w:r w:rsidRPr="00367447">
        <w:rPr>
          <w:rFonts w:ascii="Times New Roman" w:hAnsi="Times New Roman" w:cs="Times New Roman"/>
          <w:i/>
          <w:iCs/>
          <w:sz w:val="24"/>
          <w:szCs w:val="24"/>
        </w:rPr>
        <w:t xml:space="preserve">Brassica </w:t>
      </w:r>
      <w:proofErr w:type="spellStart"/>
      <w:r w:rsidRPr="00367447">
        <w:rPr>
          <w:rFonts w:ascii="Times New Roman" w:hAnsi="Times New Roman" w:cs="Times New Roman"/>
          <w:i/>
          <w:iCs/>
          <w:sz w:val="24"/>
          <w:szCs w:val="24"/>
        </w:rPr>
        <w:t>juncea</w:t>
      </w:r>
      <w:proofErr w:type="spellEnd"/>
      <w:r w:rsidRPr="00367447">
        <w:rPr>
          <w:rFonts w:ascii="Times New Roman" w:hAnsi="Times New Roman" w:cs="Times New Roman"/>
          <w:sz w:val="24"/>
          <w:szCs w:val="24"/>
        </w:rPr>
        <w:t xml:space="preserve"> L.) in calcareous soil of Bihar. </w:t>
      </w:r>
      <w:r w:rsidRPr="00367447">
        <w:rPr>
          <w:rFonts w:ascii="Times New Roman" w:hAnsi="Times New Roman" w:cs="Times New Roman"/>
          <w:i/>
          <w:iCs/>
          <w:sz w:val="24"/>
          <w:szCs w:val="24"/>
        </w:rPr>
        <w:t>Annals</w:t>
      </w:r>
      <w:r>
        <w:rPr>
          <w:rFonts w:ascii="Times New Roman" w:hAnsi="Times New Roman" w:cs="Times New Roman"/>
          <w:i/>
          <w:iCs/>
          <w:sz w:val="24"/>
          <w:szCs w:val="24"/>
        </w:rPr>
        <w:t xml:space="preserve"> of</w:t>
      </w:r>
      <w:r w:rsidRPr="00367447">
        <w:rPr>
          <w:rFonts w:ascii="Times New Roman" w:hAnsi="Times New Roman" w:cs="Times New Roman"/>
          <w:i/>
          <w:iCs/>
          <w:sz w:val="24"/>
          <w:szCs w:val="24"/>
        </w:rPr>
        <w:t xml:space="preserve"> Plant </w:t>
      </w:r>
      <w:r>
        <w:rPr>
          <w:rFonts w:ascii="Times New Roman" w:hAnsi="Times New Roman" w:cs="Times New Roman"/>
          <w:i/>
          <w:iCs/>
          <w:sz w:val="24"/>
          <w:szCs w:val="24"/>
        </w:rPr>
        <w:t xml:space="preserve">and </w:t>
      </w:r>
      <w:r w:rsidRPr="00367447">
        <w:rPr>
          <w:rFonts w:ascii="Times New Roman" w:hAnsi="Times New Roman" w:cs="Times New Roman"/>
          <w:i/>
          <w:iCs/>
          <w:sz w:val="24"/>
          <w:szCs w:val="24"/>
        </w:rPr>
        <w:t xml:space="preserve">Soil </w:t>
      </w:r>
      <w:proofErr w:type="spellStart"/>
      <w:r w:rsidRPr="00367447">
        <w:rPr>
          <w:rFonts w:ascii="Times New Roman" w:hAnsi="Times New Roman" w:cs="Times New Roman"/>
          <w:i/>
          <w:iCs/>
          <w:sz w:val="24"/>
          <w:szCs w:val="24"/>
        </w:rPr>
        <w:t>Res</w:t>
      </w:r>
      <w:r>
        <w:rPr>
          <w:rFonts w:ascii="Times New Roman" w:hAnsi="Times New Roman" w:cs="Times New Roman"/>
          <w:i/>
          <w:iCs/>
          <w:sz w:val="24"/>
          <w:szCs w:val="24"/>
        </w:rPr>
        <w:t>erach</w:t>
      </w:r>
      <w:proofErr w:type="spellEnd"/>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 76-81.</w:t>
      </w:r>
    </w:p>
    <w:p w14:paraId="322CEFCF" w14:textId="23F168F4" w:rsidR="00367447" w:rsidRDefault="00367447" w:rsidP="00C17E20">
      <w:pPr>
        <w:numPr>
          <w:ilvl w:val="0"/>
          <w:numId w:val="4"/>
        </w:numPr>
        <w:jc w:val="both"/>
        <w:rPr>
          <w:rFonts w:ascii="Times New Roman" w:hAnsi="Times New Roman" w:cs="Times New Roman"/>
          <w:sz w:val="24"/>
          <w:szCs w:val="24"/>
        </w:rPr>
      </w:pPr>
      <w:proofErr w:type="spellStart"/>
      <w:r w:rsidRPr="00367447">
        <w:rPr>
          <w:rFonts w:ascii="Times New Roman" w:hAnsi="Times New Roman" w:cs="Times New Roman"/>
          <w:sz w:val="24"/>
          <w:szCs w:val="24"/>
        </w:rPr>
        <w:t>Chaurasiya</w:t>
      </w:r>
      <w:proofErr w:type="spellEnd"/>
      <w:r w:rsidRPr="00367447">
        <w:rPr>
          <w:rFonts w:ascii="Times New Roman" w:hAnsi="Times New Roman" w:cs="Times New Roman"/>
          <w:sz w:val="24"/>
          <w:szCs w:val="24"/>
        </w:rPr>
        <w:t>, S., Singh, R. K., Kumar, S., &amp; Yadav, P. K. (2024). Effect of Different Levels of Integrated Nutrient Management in Mustard (</w:t>
      </w:r>
      <w:r w:rsidRPr="00367447">
        <w:rPr>
          <w:rFonts w:ascii="Times New Roman" w:hAnsi="Times New Roman" w:cs="Times New Roman"/>
          <w:i/>
          <w:iCs/>
          <w:sz w:val="24"/>
          <w:szCs w:val="24"/>
        </w:rPr>
        <w:t xml:space="preserve">Brassica </w:t>
      </w:r>
      <w:proofErr w:type="spellStart"/>
      <w:r w:rsidRPr="00367447">
        <w:rPr>
          <w:rFonts w:ascii="Times New Roman" w:hAnsi="Times New Roman" w:cs="Times New Roman"/>
          <w:i/>
          <w:iCs/>
          <w:sz w:val="24"/>
          <w:szCs w:val="24"/>
        </w:rPr>
        <w:t>juncea</w:t>
      </w:r>
      <w:proofErr w:type="spellEnd"/>
      <w:r w:rsidRPr="00367447">
        <w:rPr>
          <w:rFonts w:ascii="Times New Roman" w:hAnsi="Times New Roman" w:cs="Times New Roman"/>
          <w:sz w:val="24"/>
          <w:szCs w:val="24"/>
        </w:rPr>
        <w:t xml:space="preserve"> L.). </w:t>
      </w:r>
      <w:r w:rsidRPr="00367447">
        <w:rPr>
          <w:rFonts w:ascii="Times New Roman" w:hAnsi="Times New Roman" w:cs="Times New Roman"/>
          <w:i/>
          <w:iCs/>
          <w:sz w:val="24"/>
          <w:szCs w:val="24"/>
        </w:rPr>
        <w:t>Asian research journal of agriculture</w:t>
      </w:r>
      <w:r w:rsidRPr="00367447">
        <w:rPr>
          <w:rFonts w:ascii="Times New Roman" w:hAnsi="Times New Roman" w:cs="Times New Roman"/>
          <w:sz w:val="24"/>
          <w:szCs w:val="24"/>
        </w:rPr>
        <w:t>, </w:t>
      </w:r>
      <w:r w:rsidRPr="00367447">
        <w:rPr>
          <w:rFonts w:ascii="Times New Roman" w:hAnsi="Times New Roman" w:cs="Times New Roman"/>
          <w:i/>
          <w:iCs/>
          <w:sz w:val="24"/>
          <w:szCs w:val="24"/>
        </w:rPr>
        <w:t>17</w:t>
      </w:r>
      <w:r w:rsidRPr="00367447">
        <w:rPr>
          <w:rFonts w:ascii="Times New Roman" w:hAnsi="Times New Roman" w:cs="Times New Roman"/>
          <w:sz w:val="24"/>
          <w:szCs w:val="24"/>
        </w:rPr>
        <w:t>(3), 17-21.</w:t>
      </w:r>
    </w:p>
    <w:p w14:paraId="0EF26E4F" w14:textId="0EB789C4" w:rsidR="00367447" w:rsidRDefault="00367447" w:rsidP="00C17E20">
      <w:pPr>
        <w:numPr>
          <w:ilvl w:val="0"/>
          <w:numId w:val="4"/>
        </w:numPr>
        <w:jc w:val="both"/>
        <w:rPr>
          <w:rFonts w:ascii="Times New Roman" w:hAnsi="Times New Roman" w:cs="Times New Roman"/>
          <w:sz w:val="24"/>
          <w:szCs w:val="24"/>
        </w:rPr>
      </w:pPr>
      <w:proofErr w:type="spellStart"/>
      <w:r w:rsidRPr="00367447">
        <w:rPr>
          <w:rFonts w:ascii="Times New Roman" w:hAnsi="Times New Roman" w:cs="Times New Roman"/>
          <w:sz w:val="24"/>
          <w:szCs w:val="24"/>
        </w:rPr>
        <w:t>Dongarwar</w:t>
      </w:r>
      <w:proofErr w:type="spellEnd"/>
      <w:r w:rsidRPr="00367447">
        <w:rPr>
          <w:rFonts w:ascii="Times New Roman" w:hAnsi="Times New Roman" w:cs="Times New Roman"/>
          <w:sz w:val="24"/>
          <w:szCs w:val="24"/>
        </w:rPr>
        <w:t xml:space="preserve">, U. R., </w:t>
      </w:r>
      <w:proofErr w:type="spellStart"/>
      <w:r w:rsidRPr="00367447">
        <w:rPr>
          <w:rFonts w:ascii="Times New Roman" w:hAnsi="Times New Roman" w:cs="Times New Roman"/>
          <w:sz w:val="24"/>
          <w:szCs w:val="24"/>
        </w:rPr>
        <w:t>Bhalerao</w:t>
      </w:r>
      <w:proofErr w:type="spellEnd"/>
      <w:r w:rsidRPr="00367447">
        <w:rPr>
          <w:rFonts w:ascii="Times New Roman" w:hAnsi="Times New Roman" w:cs="Times New Roman"/>
          <w:sz w:val="24"/>
          <w:szCs w:val="24"/>
        </w:rPr>
        <w:t xml:space="preserve">, P. D., &amp; </w:t>
      </w:r>
      <w:proofErr w:type="spellStart"/>
      <w:r w:rsidRPr="00367447">
        <w:rPr>
          <w:rFonts w:ascii="Times New Roman" w:hAnsi="Times New Roman" w:cs="Times New Roman"/>
          <w:sz w:val="24"/>
          <w:szCs w:val="24"/>
        </w:rPr>
        <w:t>Negduie</w:t>
      </w:r>
      <w:proofErr w:type="spellEnd"/>
      <w:r w:rsidRPr="00367447">
        <w:rPr>
          <w:rFonts w:ascii="Times New Roman" w:hAnsi="Times New Roman" w:cs="Times New Roman"/>
          <w:sz w:val="24"/>
          <w:szCs w:val="24"/>
        </w:rPr>
        <w:t>, S. J. (2007). Effect of irrigation and INM on growth and yield of Indian mustard. </w:t>
      </w:r>
      <w:r w:rsidRPr="00367447">
        <w:rPr>
          <w:rFonts w:ascii="Times New Roman" w:hAnsi="Times New Roman" w:cs="Times New Roman"/>
          <w:i/>
          <w:iCs/>
          <w:sz w:val="24"/>
          <w:szCs w:val="24"/>
        </w:rPr>
        <w:t>Annals physiology</w:t>
      </w:r>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(2), 182-185.</w:t>
      </w:r>
    </w:p>
    <w:p w14:paraId="07304D86" w14:textId="5769BFDD"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Gomez, K. A., &amp; Gomez, A. A. (1984). </w:t>
      </w:r>
      <w:r w:rsidRPr="00367447">
        <w:rPr>
          <w:rFonts w:ascii="Times New Roman" w:hAnsi="Times New Roman" w:cs="Times New Roman"/>
          <w:i/>
          <w:iCs/>
          <w:sz w:val="24"/>
          <w:szCs w:val="24"/>
        </w:rPr>
        <w:t>Statistical procedures for agricultural research</w:t>
      </w:r>
      <w:r w:rsidRPr="00367447">
        <w:rPr>
          <w:rFonts w:ascii="Times New Roman" w:hAnsi="Times New Roman" w:cs="Times New Roman"/>
          <w:sz w:val="24"/>
          <w:szCs w:val="24"/>
        </w:rPr>
        <w:t xml:space="preserve">. John </w:t>
      </w:r>
      <w:proofErr w:type="spellStart"/>
      <w:r w:rsidRPr="00367447">
        <w:rPr>
          <w:rFonts w:ascii="Times New Roman" w:hAnsi="Times New Roman" w:cs="Times New Roman"/>
          <w:sz w:val="24"/>
          <w:szCs w:val="24"/>
        </w:rPr>
        <w:t>wiley</w:t>
      </w:r>
      <w:proofErr w:type="spellEnd"/>
      <w:r w:rsidRPr="00367447">
        <w:rPr>
          <w:rFonts w:ascii="Times New Roman" w:hAnsi="Times New Roman" w:cs="Times New Roman"/>
          <w:sz w:val="24"/>
          <w:szCs w:val="24"/>
        </w:rPr>
        <w:t xml:space="preserve"> &amp; sons.</w:t>
      </w:r>
    </w:p>
    <w:p w14:paraId="5D778B3C" w14:textId="7D8C373E"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Banerjee, A., Datta, J. K., Mondal, N. K., &amp; Chanda, T. (2011). Influence of integrated nutrient management on soil properties of old alluvial soil under mustard cropping system. </w:t>
      </w:r>
      <w:r w:rsidRPr="00367447">
        <w:rPr>
          <w:rFonts w:ascii="Times New Roman" w:hAnsi="Times New Roman" w:cs="Times New Roman"/>
          <w:i/>
          <w:iCs/>
          <w:sz w:val="24"/>
          <w:szCs w:val="24"/>
        </w:rPr>
        <w:t>Communications in soil science and plant analysis</w:t>
      </w:r>
      <w:r w:rsidRPr="00367447">
        <w:rPr>
          <w:rFonts w:ascii="Times New Roman" w:hAnsi="Times New Roman" w:cs="Times New Roman"/>
          <w:sz w:val="24"/>
          <w:szCs w:val="24"/>
        </w:rPr>
        <w:t>, </w:t>
      </w:r>
      <w:r w:rsidRPr="00367447">
        <w:rPr>
          <w:rFonts w:ascii="Times New Roman" w:hAnsi="Times New Roman" w:cs="Times New Roman"/>
          <w:i/>
          <w:iCs/>
          <w:sz w:val="24"/>
          <w:szCs w:val="24"/>
        </w:rPr>
        <w:t>42</w:t>
      </w:r>
      <w:r w:rsidRPr="00367447">
        <w:rPr>
          <w:rFonts w:ascii="Times New Roman" w:hAnsi="Times New Roman" w:cs="Times New Roman"/>
          <w:sz w:val="24"/>
          <w:szCs w:val="24"/>
        </w:rPr>
        <w:t>(20), 2473-2492.</w:t>
      </w:r>
    </w:p>
    <w:p w14:paraId="21CB342B" w14:textId="1FAD7BEA"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Jackson, M. L. (1958). Soil chemical analysis practice Hall of India. </w:t>
      </w:r>
      <w:r w:rsidRPr="00367447">
        <w:rPr>
          <w:rFonts w:ascii="Times New Roman" w:hAnsi="Times New Roman" w:cs="Times New Roman"/>
          <w:i/>
          <w:iCs/>
          <w:sz w:val="24"/>
          <w:szCs w:val="24"/>
        </w:rPr>
        <w:t>New Delhi</w:t>
      </w:r>
      <w:r w:rsidRPr="00367447">
        <w:rPr>
          <w:rFonts w:ascii="Times New Roman" w:hAnsi="Times New Roman" w:cs="Times New Roman"/>
          <w:sz w:val="24"/>
          <w:szCs w:val="24"/>
        </w:rPr>
        <w:t>, </w:t>
      </w:r>
      <w:r w:rsidRPr="00367447">
        <w:rPr>
          <w:rFonts w:ascii="Times New Roman" w:hAnsi="Times New Roman" w:cs="Times New Roman"/>
          <w:i/>
          <w:iCs/>
          <w:sz w:val="24"/>
          <w:szCs w:val="24"/>
        </w:rPr>
        <w:t>29</w:t>
      </w:r>
      <w:r w:rsidRPr="00367447">
        <w:rPr>
          <w:rFonts w:ascii="Times New Roman" w:hAnsi="Times New Roman" w:cs="Times New Roman"/>
          <w:sz w:val="24"/>
          <w:szCs w:val="24"/>
        </w:rPr>
        <w:t>.</w:t>
      </w:r>
    </w:p>
    <w:p w14:paraId="0A28191A" w14:textId="658B0853"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 xml:space="preserve">Dhaka, P., </w:t>
      </w:r>
      <w:proofErr w:type="spellStart"/>
      <w:r w:rsidRPr="00E64C6C">
        <w:rPr>
          <w:rFonts w:ascii="Times New Roman" w:hAnsi="Times New Roman" w:cs="Times New Roman"/>
          <w:sz w:val="24"/>
          <w:szCs w:val="24"/>
        </w:rPr>
        <w:t>Dhaker</w:t>
      </w:r>
      <w:proofErr w:type="spellEnd"/>
      <w:r w:rsidRPr="00E64C6C">
        <w:rPr>
          <w:rFonts w:ascii="Times New Roman" w:hAnsi="Times New Roman" w:cs="Times New Roman"/>
          <w:sz w:val="24"/>
          <w:szCs w:val="24"/>
        </w:rPr>
        <w:t xml:space="preserve">, D. L., Sharma, O. P., &amp; Dhaka, M. (2024). Effect of integrated nutrient management on productivity and profitability of mustard [Brassica </w:t>
      </w:r>
      <w:proofErr w:type="spellStart"/>
      <w:r w:rsidRPr="00E64C6C">
        <w:rPr>
          <w:rFonts w:ascii="Times New Roman" w:hAnsi="Times New Roman" w:cs="Times New Roman"/>
          <w:sz w:val="24"/>
          <w:szCs w:val="24"/>
        </w:rPr>
        <w:t>juncea</w:t>
      </w:r>
      <w:proofErr w:type="spellEnd"/>
      <w:r w:rsidRPr="00E64C6C">
        <w:rPr>
          <w:rFonts w:ascii="Times New Roman" w:hAnsi="Times New Roman" w:cs="Times New Roman"/>
          <w:sz w:val="24"/>
          <w:szCs w:val="24"/>
        </w:rPr>
        <w:t xml:space="preserve"> (L.) </w:t>
      </w:r>
      <w:proofErr w:type="spellStart"/>
      <w:r w:rsidRPr="00E64C6C">
        <w:rPr>
          <w:rFonts w:ascii="Times New Roman" w:hAnsi="Times New Roman" w:cs="Times New Roman"/>
          <w:sz w:val="24"/>
          <w:szCs w:val="24"/>
        </w:rPr>
        <w:t>Czern</w:t>
      </w:r>
      <w:proofErr w:type="spellEnd"/>
      <w:r w:rsidRPr="00E64C6C">
        <w:rPr>
          <w:rFonts w:ascii="Times New Roman" w:hAnsi="Times New Roman" w:cs="Times New Roman"/>
          <w:sz w:val="24"/>
          <w:szCs w:val="24"/>
        </w:rPr>
        <w:t xml:space="preserve"> &amp; </w:t>
      </w:r>
      <w:proofErr w:type="spellStart"/>
      <w:r w:rsidRPr="00E64C6C">
        <w:rPr>
          <w:rFonts w:ascii="Times New Roman" w:hAnsi="Times New Roman" w:cs="Times New Roman"/>
          <w:sz w:val="24"/>
          <w:szCs w:val="24"/>
        </w:rPr>
        <w:t>Coss</w:t>
      </w:r>
      <w:proofErr w:type="spellEnd"/>
      <w:r w:rsidRPr="00E64C6C">
        <w:rPr>
          <w:rFonts w:ascii="Times New Roman" w:hAnsi="Times New Roman" w:cs="Times New Roman"/>
          <w:sz w:val="24"/>
          <w:szCs w:val="24"/>
        </w:rPr>
        <w:t>]. </w:t>
      </w:r>
      <w:r w:rsidRPr="00E64C6C">
        <w:rPr>
          <w:rFonts w:ascii="Times New Roman" w:hAnsi="Times New Roman" w:cs="Times New Roman"/>
          <w:i/>
          <w:iCs/>
          <w:sz w:val="24"/>
          <w:szCs w:val="24"/>
        </w:rPr>
        <w:t>Annals of Agricultural Research</w:t>
      </w:r>
      <w:r w:rsidRPr="00E64C6C">
        <w:rPr>
          <w:rFonts w:ascii="Times New Roman" w:hAnsi="Times New Roman" w:cs="Times New Roman"/>
          <w:sz w:val="24"/>
          <w:szCs w:val="24"/>
        </w:rPr>
        <w:t>, </w:t>
      </w:r>
      <w:r w:rsidRPr="00E64C6C">
        <w:rPr>
          <w:rFonts w:ascii="Times New Roman" w:hAnsi="Times New Roman" w:cs="Times New Roman"/>
          <w:i/>
          <w:iCs/>
          <w:sz w:val="24"/>
          <w:szCs w:val="24"/>
        </w:rPr>
        <w:t>44</w:t>
      </w:r>
      <w:r w:rsidRPr="00E64C6C">
        <w:rPr>
          <w:rFonts w:ascii="Times New Roman" w:hAnsi="Times New Roman" w:cs="Times New Roman"/>
          <w:sz w:val="24"/>
          <w:szCs w:val="24"/>
        </w:rPr>
        <w:t>(4), 454-458.</w:t>
      </w:r>
    </w:p>
    <w:p w14:paraId="0BD9E772" w14:textId="2B522A28"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 xml:space="preserve">Singh, R. K., &amp; Singh, A. K. (2014). Production potential, nutrient uptake and economics of Indian mustard (Brassica </w:t>
      </w:r>
      <w:proofErr w:type="spellStart"/>
      <w:r w:rsidRPr="00E64C6C">
        <w:rPr>
          <w:rFonts w:ascii="Times New Roman" w:hAnsi="Times New Roman" w:cs="Times New Roman"/>
          <w:sz w:val="24"/>
          <w:szCs w:val="24"/>
        </w:rPr>
        <w:t>juncea</w:t>
      </w:r>
      <w:proofErr w:type="spellEnd"/>
      <w:r w:rsidRPr="00E64C6C">
        <w:rPr>
          <w:rFonts w:ascii="Times New Roman" w:hAnsi="Times New Roman" w:cs="Times New Roman"/>
          <w:sz w:val="24"/>
          <w:szCs w:val="24"/>
        </w:rPr>
        <w:t>) under integrated nutrient management practices. </w:t>
      </w:r>
      <w:r w:rsidRPr="00E64C6C">
        <w:rPr>
          <w:rFonts w:ascii="Times New Roman" w:hAnsi="Times New Roman" w:cs="Times New Roman"/>
          <w:i/>
          <w:iCs/>
          <w:sz w:val="24"/>
          <w:szCs w:val="24"/>
        </w:rPr>
        <w:t>Indian Journal of Agricultural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84</w:t>
      </w:r>
      <w:r w:rsidRPr="00E64C6C">
        <w:rPr>
          <w:rFonts w:ascii="Times New Roman" w:hAnsi="Times New Roman" w:cs="Times New Roman"/>
          <w:sz w:val="24"/>
          <w:szCs w:val="24"/>
        </w:rPr>
        <w:t>(1), 142-8.</w:t>
      </w:r>
    </w:p>
    <w:p w14:paraId="37EF0F3D" w14:textId="396FAA02"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 xml:space="preserve">Bora, P., Ojha, N. J., &amp; </w:t>
      </w:r>
      <w:proofErr w:type="spellStart"/>
      <w:r w:rsidRPr="00E64C6C">
        <w:rPr>
          <w:rFonts w:ascii="Times New Roman" w:hAnsi="Times New Roman" w:cs="Times New Roman"/>
          <w:sz w:val="24"/>
          <w:szCs w:val="24"/>
        </w:rPr>
        <w:t>Basumatary</w:t>
      </w:r>
      <w:proofErr w:type="spellEnd"/>
      <w:r w:rsidRPr="00E64C6C">
        <w:rPr>
          <w:rFonts w:ascii="Times New Roman" w:hAnsi="Times New Roman" w:cs="Times New Roman"/>
          <w:sz w:val="24"/>
          <w:szCs w:val="24"/>
        </w:rPr>
        <w:t xml:space="preserve">, A. (2020). Effect of Integrated Nutrient Management on Nutrient Content and Uptake by Late Sown </w:t>
      </w:r>
      <w:proofErr w:type="spellStart"/>
      <w:r w:rsidRPr="00E64C6C">
        <w:rPr>
          <w:rFonts w:ascii="Times New Roman" w:hAnsi="Times New Roman" w:cs="Times New Roman"/>
          <w:sz w:val="24"/>
          <w:szCs w:val="24"/>
        </w:rPr>
        <w:t>toria</w:t>
      </w:r>
      <w:proofErr w:type="spellEnd"/>
      <w:r w:rsidRPr="00E64C6C">
        <w:rPr>
          <w:rFonts w:ascii="Times New Roman" w:hAnsi="Times New Roman" w:cs="Times New Roman"/>
          <w:sz w:val="24"/>
          <w:szCs w:val="24"/>
        </w:rPr>
        <w:t xml:space="preserve"> (Brassica campestris </w:t>
      </w:r>
      <w:r w:rsidRPr="00E64C6C">
        <w:rPr>
          <w:rFonts w:ascii="Times New Roman" w:hAnsi="Times New Roman" w:cs="Times New Roman"/>
          <w:sz w:val="24"/>
          <w:szCs w:val="24"/>
        </w:rPr>
        <w:lastRenderedPageBreak/>
        <w:t xml:space="preserve">var </w:t>
      </w:r>
      <w:proofErr w:type="spellStart"/>
      <w:r w:rsidRPr="00E64C6C">
        <w:rPr>
          <w:rFonts w:ascii="Times New Roman" w:hAnsi="Times New Roman" w:cs="Times New Roman"/>
          <w:sz w:val="24"/>
          <w:szCs w:val="24"/>
        </w:rPr>
        <w:t>toria</w:t>
      </w:r>
      <w:proofErr w:type="spellEnd"/>
      <w:r w:rsidRPr="00E64C6C">
        <w:rPr>
          <w:rFonts w:ascii="Times New Roman" w:hAnsi="Times New Roman" w:cs="Times New Roman"/>
          <w:sz w:val="24"/>
          <w:szCs w:val="24"/>
        </w:rPr>
        <w:t>) and Availability of Nutrients in the Soil. </w:t>
      </w:r>
      <w:r w:rsidRPr="00E64C6C">
        <w:rPr>
          <w:rFonts w:ascii="Times New Roman" w:hAnsi="Times New Roman" w:cs="Times New Roman"/>
          <w:i/>
          <w:iCs/>
          <w:sz w:val="24"/>
          <w:szCs w:val="24"/>
        </w:rPr>
        <w:t> International Journal of Current Microbiology and Applied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9</w:t>
      </w:r>
      <w:r w:rsidRPr="00E64C6C">
        <w:rPr>
          <w:rFonts w:ascii="Times New Roman" w:hAnsi="Times New Roman" w:cs="Times New Roman"/>
          <w:sz w:val="24"/>
          <w:szCs w:val="24"/>
        </w:rPr>
        <w:t>(12), 920-928.</w:t>
      </w:r>
    </w:p>
    <w:p w14:paraId="283E5BD9" w14:textId="5C9AC11B" w:rsidR="009467F1" w:rsidRDefault="009467F1" w:rsidP="00C17E20">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 xml:space="preserve">Meena, D. S., </w:t>
      </w:r>
      <w:proofErr w:type="spellStart"/>
      <w:r w:rsidRPr="009467F1">
        <w:rPr>
          <w:rFonts w:ascii="Times New Roman" w:hAnsi="Times New Roman" w:cs="Times New Roman"/>
          <w:sz w:val="24"/>
          <w:szCs w:val="24"/>
        </w:rPr>
        <w:t>Tetarwal</w:t>
      </w:r>
      <w:proofErr w:type="spellEnd"/>
      <w:r w:rsidRPr="009467F1">
        <w:rPr>
          <w:rFonts w:ascii="Times New Roman" w:hAnsi="Times New Roman" w:cs="Times New Roman"/>
          <w:sz w:val="24"/>
          <w:szCs w:val="24"/>
        </w:rPr>
        <w:t xml:space="preserve">, J. P., &amp; Ram, B. (2013). Effect of chemical and bio-fertilizers on productivity, profitability and quality of Indian mustard (Brassica </w:t>
      </w:r>
      <w:proofErr w:type="spellStart"/>
      <w:r w:rsidRPr="009467F1">
        <w:rPr>
          <w:rFonts w:ascii="Times New Roman" w:hAnsi="Times New Roman" w:cs="Times New Roman"/>
          <w:sz w:val="24"/>
          <w:szCs w:val="24"/>
        </w:rPr>
        <w:t>juncea</w:t>
      </w:r>
      <w:proofErr w:type="spellEnd"/>
      <w:r w:rsidRPr="009467F1">
        <w:rPr>
          <w:rFonts w:ascii="Times New Roman" w:hAnsi="Times New Roman" w:cs="Times New Roman"/>
          <w:sz w:val="24"/>
          <w:szCs w:val="24"/>
        </w:rPr>
        <w:t xml:space="preserve">) in </w:t>
      </w:r>
      <w:proofErr w:type="spellStart"/>
      <w:r w:rsidRPr="009467F1">
        <w:rPr>
          <w:rFonts w:ascii="Times New Roman" w:hAnsi="Times New Roman" w:cs="Times New Roman"/>
          <w:sz w:val="24"/>
          <w:szCs w:val="24"/>
        </w:rPr>
        <w:t>Vertisols</w:t>
      </w:r>
      <w:proofErr w:type="spellEnd"/>
      <w:r w:rsidRPr="009467F1">
        <w:rPr>
          <w:rFonts w:ascii="Times New Roman" w:hAnsi="Times New Roman" w:cs="Times New Roman"/>
          <w:sz w:val="24"/>
          <w:szCs w:val="24"/>
        </w:rPr>
        <w:t>.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58</w:t>
      </w:r>
      <w:r w:rsidRPr="009467F1">
        <w:rPr>
          <w:rFonts w:ascii="Times New Roman" w:hAnsi="Times New Roman" w:cs="Times New Roman"/>
          <w:sz w:val="24"/>
          <w:szCs w:val="24"/>
        </w:rPr>
        <w:t>(1), 96-99.</w:t>
      </w:r>
    </w:p>
    <w:p w14:paraId="3769059D" w14:textId="6EC8CBC6" w:rsidR="00C17E20" w:rsidRPr="00C17E20" w:rsidRDefault="00C17E20" w:rsidP="00C17E20">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Olsen, S. R., Cole, C. V., Watanabe, F. S., &amp; Dean, L. A. (1954). Estimation of available phosphorus in soils by extraction with sodium bicarbonate (USDA Circular 939). United States Department of Agriculture. </w:t>
      </w:r>
    </w:p>
    <w:p w14:paraId="4CC29250" w14:textId="77777777"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Pal, R. L., &amp; Pathak, J. (2016). Effect of integrated nutrient management on yield and economics of mustard. </w:t>
      </w:r>
      <w:r w:rsidRPr="009467F1">
        <w:rPr>
          <w:rFonts w:ascii="Times New Roman" w:hAnsi="Times New Roman" w:cs="Times New Roman"/>
          <w:i/>
          <w:iCs/>
          <w:sz w:val="24"/>
          <w:szCs w:val="24"/>
        </w:rPr>
        <w:t>International journal of science and nature</w:t>
      </w:r>
      <w:r w:rsidRPr="009467F1">
        <w:rPr>
          <w:rFonts w:ascii="Times New Roman" w:hAnsi="Times New Roman" w:cs="Times New Roman"/>
          <w:sz w:val="24"/>
          <w:szCs w:val="24"/>
        </w:rPr>
        <w:t>, </w:t>
      </w:r>
      <w:r w:rsidRPr="009467F1">
        <w:rPr>
          <w:rFonts w:ascii="Times New Roman" w:hAnsi="Times New Roman" w:cs="Times New Roman"/>
          <w:i/>
          <w:iCs/>
          <w:sz w:val="24"/>
          <w:szCs w:val="24"/>
        </w:rPr>
        <w:t>2</w:t>
      </w:r>
      <w:r w:rsidRPr="009467F1">
        <w:rPr>
          <w:rFonts w:ascii="Times New Roman" w:hAnsi="Times New Roman" w:cs="Times New Roman"/>
          <w:sz w:val="24"/>
          <w:szCs w:val="24"/>
        </w:rPr>
        <w:t>, 255-261.</w:t>
      </w:r>
    </w:p>
    <w:p w14:paraId="5F762303" w14:textId="4E05BA22"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 xml:space="preserve">Singh, S. P., &amp; Pal, M. S. (2011). Effect of integrated nutrient management on productivity, quality, nutrient uptake and economics of mustard (Brassica </w:t>
      </w:r>
      <w:proofErr w:type="spellStart"/>
      <w:r w:rsidRPr="009467F1">
        <w:rPr>
          <w:rFonts w:ascii="Times New Roman" w:hAnsi="Times New Roman" w:cs="Times New Roman"/>
          <w:sz w:val="24"/>
          <w:szCs w:val="24"/>
        </w:rPr>
        <w:t>juncea</w:t>
      </w:r>
      <w:proofErr w:type="spellEnd"/>
      <w:r w:rsidRPr="009467F1">
        <w:rPr>
          <w:rFonts w:ascii="Times New Roman" w:hAnsi="Times New Roman" w:cs="Times New Roman"/>
          <w:sz w:val="24"/>
          <w:szCs w:val="24"/>
        </w:rPr>
        <w:t>).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56</w:t>
      </w:r>
      <w:r w:rsidRPr="009467F1">
        <w:rPr>
          <w:rFonts w:ascii="Times New Roman" w:hAnsi="Times New Roman" w:cs="Times New Roman"/>
          <w:sz w:val="24"/>
          <w:szCs w:val="24"/>
        </w:rPr>
        <w:t>(4), 381-387.</w:t>
      </w:r>
    </w:p>
    <w:p w14:paraId="2FD3ABC8" w14:textId="500EB658" w:rsidR="004D199E" w:rsidRDefault="004D199E" w:rsidP="00D72AD2">
      <w:pPr>
        <w:numPr>
          <w:ilvl w:val="0"/>
          <w:numId w:val="4"/>
        </w:numPr>
        <w:jc w:val="both"/>
        <w:rPr>
          <w:rFonts w:ascii="Times New Roman" w:hAnsi="Times New Roman" w:cs="Times New Roman"/>
          <w:sz w:val="24"/>
          <w:szCs w:val="24"/>
        </w:rPr>
      </w:pPr>
      <w:r w:rsidRPr="004D199E">
        <w:rPr>
          <w:rFonts w:ascii="Times New Roman" w:hAnsi="Times New Roman" w:cs="Times New Roman"/>
          <w:sz w:val="24"/>
          <w:szCs w:val="24"/>
        </w:rPr>
        <w:t xml:space="preserve">Singh, S. K., Chandan, S., Tiwari, S., &amp; Singh, P. (2021). Effect of Integrated Nutrient Management on Soil Properties, Yield and Quality of Indian Mustard (Brassica </w:t>
      </w:r>
      <w:proofErr w:type="spellStart"/>
      <w:r w:rsidRPr="004D199E">
        <w:rPr>
          <w:rFonts w:ascii="Times New Roman" w:hAnsi="Times New Roman" w:cs="Times New Roman"/>
          <w:sz w:val="24"/>
          <w:szCs w:val="24"/>
        </w:rPr>
        <w:t>juncea</w:t>
      </w:r>
      <w:proofErr w:type="spellEnd"/>
      <w:r w:rsidRPr="004D199E">
        <w:rPr>
          <w:rFonts w:ascii="Times New Roman" w:hAnsi="Times New Roman" w:cs="Times New Roman"/>
          <w:sz w:val="24"/>
          <w:szCs w:val="24"/>
        </w:rPr>
        <w:t xml:space="preserve"> L.).</w:t>
      </w:r>
      <w:r>
        <w:rPr>
          <w:rFonts w:ascii="Times New Roman" w:hAnsi="Times New Roman" w:cs="Times New Roman"/>
          <w:sz w:val="24"/>
          <w:szCs w:val="24"/>
        </w:rPr>
        <w:t xml:space="preserve"> </w:t>
      </w:r>
      <w:proofErr w:type="spellStart"/>
      <w:r w:rsidRPr="004D199E">
        <w:rPr>
          <w:rFonts w:ascii="Times New Roman" w:hAnsi="Times New Roman" w:cs="Times New Roman"/>
          <w:i/>
          <w:iCs/>
          <w:sz w:val="24"/>
          <w:szCs w:val="24"/>
        </w:rPr>
        <w:t>Agropedology</w:t>
      </w:r>
      <w:proofErr w:type="spellEnd"/>
      <w:r w:rsidRPr="004D199E">
        <w:rPr>
          <w:rFonts w:ascii="Times New Roman" w:hAnsi="Times New Roman" w:cs="Times New Roman"/>
          <w:sz w:val="24"/>
          <w:szCs w:val="24"/>
        </w:rPr>
        <w:t>, 31 (01), 65-75</w:t>
      </w:r>
    </w:p>
    <w:p w14:paraId="49A2A5F6" w14:textId="39E56154" w:rsidR="004D199E" w:rsidRDefault="004D199E" w:rsidP="00D72AD2">
      <w:pPr>
        <w:numPr>
          <w:ilvl w:val="0"/>
          <w:numId w:val="4"/>
        </w:numPr>
        <w:jc w:val="both"/>
        <w:rPr>
          <w:rFonts w:ascii="Times New Roman" w:hAnsi="Times New Roman" w:cs="Times New Roman"/>
          <w:sz w:val="24"/>
          <w:szCs w:val="24"/>
        </w:rPr>
      </w:pPr>
      <w:r w:rsidRPr="004D199E">
        <w:rPr>
          <w:rFonts w:ascii="Times New Roman" w:hAnsi="Times New Roman" w:cs="Times New Roman"/>
          <w:sz w:val="24"/>
          <w:szCs w:val="24"/>
        </w:rPr>
        <w:t xml:space="preserve">Solanki, R. L., </w:t>
      </w:r>
      <w:proofErr w:type="spellStart"/>
      <w:r w:rsidRPr="004D199E">
        <w:rPr>
          <w:rFonts w:ascii="Times New Roman" w:hAnsi="Times New Roman" w:cs="Times New Roman"/>
          <w:sz w:val="24"/>
          <w:szCs w:val="24"/>
        </w:rPr>
        <w:t>Mahendra</w:t>
      </w:r>
      <w:proofErr w:type="spellEnd"/>
      <w:r w:rsidRPr="004D199E">
        <w:rPr>
          <w:rFonts w:ascii="Times New Roman" w:hAnsi="Times New Roman" w:cs="Times New Roman"/>
          <w:sz w:val="24"/>
          <w:szCs w:val="24"/>
        </w:rPr>
        <w:t>, S., Sharma, S. K., Purohit, H. S., &amp; Arvind, V. (2015). Effect of different level of phosphorus, sulphur and PSB on the yield of Indian mustard (</w:t>
      </w:r>
      <w:r w:rsidRPr="004D199E">
        <w:rPr>
          <w:rFonts w:ascii="Times New Roman" w:hAnsi="Times New Roman" w:cs="Times New Roman"/>
          <w:i/>
          <w:iCs/>
          <w:sz w:val="24"/>
          <w:szCs w:val="24"/>
        </w:rPr>
        <w:t xml:space="preserve">Brassica </w:t>
      </w:r>
      <w:proofErr w:type="spellStart"/>
      <w:r w:rsidRPr="004D199E">
        <w:rPr>
          <w:rFonts w:ascii="Times New Roman" w:hAnsi="Times New Roman" w:cs="Times New Roman"/>
          <w:i/>
          <w:iCs/>
          <w:sz w:val="24"/>
          <w:szCs w:val="24"/>
        </w:rPr>
        <w:t>juncea</w:t>
      </w:r>
      <w:proofErr w:type="spellEnd"/>
      <w:r w:rsidRPr="004D199E">
        <w:rPr>
          <w:rFonts w:ascii="Times New Roman" w:hAnsi="Times New Roman" w:cs="Times New Roman"/>
          <w:sz w:val="24"/>
          <w:szCs w:val="24"/>
        </w:rPr>
        <w:t xml:space="preserve"> L.) and soil properties and available macronutrients. </w:t>
      </w:r>
      <w:r w:rsidRPr="004D199E">
        <w:rPr>
          <w:rFonts w:ascii="Times New Roman" w:hAnsi="Times New Roman" w:cs="Times New Roman"/>
          <w:i/>
          <w:iCs/>
          <w:sz w:val="24"/>
          <w:szCs w:val="24"/>
        </w:rPr>
        <w:t>Scholarly Journal of Agricultural Science</w:t>
      </w:r>
      <w:r w:rsidRPr="004D199E">
        <w:rPr>
          <w:rFonts w:ascii="Times New Roman" w:hAnsi="Times New Roman" w:cs="Times New Roman"/>
          <w:sz w:val="24"/>
          <w:szCs w:val="24"/>
        </w:rPr>
        <w:t>, </w:t>
      </w:r>
      <w:r w:rsidRPr="004D199E">
        <w:rPr>
          <w:rFonts w:ascii="Times New Roman" w:hAnsi="Times New Roman" w:cs="Times New Roman"/>
          <w:i/>
          <w:iCs/>
          <w:sz w:val="24"/>
          <w:szCs w:val="24"/>
        </w:rPr>
        <w:t>5</w:t>
      </w:r>
      <w:r w:rsidRPr="004D199E">
        <w:rPr>
          <w:rFonts w:ascii="Times New Roman" w:hAnsi="Times New Roman" w:cs="Times New Roman"/>
          <w:sz w:val="24"/>
          <w:szCs w:val="24"/>
        </w:rPr>
        <w:t>(9), 305-310.</w:t>
      </w:r>
    </w:p>
    <w:p w14:paraId="7A26ECBD" w14:textId="3FE18470" w:rsidR="0031742E" w:rsidRPr="00D72AD2" w:rsidRDefault="0031742E" w:rsidP="00D72AD2">
      <w:pPr>
        <w:numPr>
          <w:ilvl w:val="0"/>
          <w:numId w:val="4"/>
        </w:numPr>
        <w:jc w:val="both"/>
        <w:rPr>
          <w:rFonts w:ascii="Times New Roman" w:hAnsi="Times New Roman" w:cs="Times New Roman"/>
          <w:sz w:val="24"/>
          <w:szCs w:val="24"/>
        </w:rPr>
      </w:pPr>
      <w:r w:rsidRPr="0031742E">
        <w:rPr>
          <w:rFonts w:ascii="Times New Roman" w:hAnsi="Times New Roman" w:cs="Times New Roman"/>
          <w:sz w:val="24"/>
          <w:szCs w:val="24"/>
        </w:rPr>
        <w:t>Shankar, G., Verma, L. P., &amp; Singh, R. (2002). Effect of integrated nutrient management on yield and quality of Indian mustard (</w:t>
      </w:r>
      <w:r w:rsidRPr="0031742E">
        <w:rPr>
          <w:rFonts w:ascii="Times New Roman" w:hAnsi="Times New Roman" w:cs="Times New Roman"/>
          <w:i/>
          <w:iCs/>
          <w:sz w:val="24"/>
          <w:szCs w:val="24"/>
        </w:rPr>
        <w:t xml:space="preserve">Brassica </w:t>
      </w:r>
      <w:proofErr w:type="spellStart"/>
      <w:r w:rsidRPr="0031742E">
        <w:rPr>
          <w:rFonts w:ascii="Times New Roman" w:hAnsi="Times New Roman" w:cs="Times New Roman"/>
          <w:i/>
          <w:iCs/>
          <w:sz w:val="24"/>
          <w:szCs w:val="24"/>
        </w:rPr>
        <w:t>juncea</w:t>
      </w:r>
      <w:proofErr w:type="spellEnd"/>
      <w:r w:rsidRPr="0031742E">
        <w:rPr>
          <w:rFonts w:ascii="Times New Roman" w:hAnsi="Times New Roman" w:cs="Times New Roman"/>
          <w:sz w:val="24"/>
          <w:szCs w:val="24"/>
        </w:rPr>
        <w:t>) and properties of soil. </w:t>
      </w:r>
      <w:r w:rsidRPr="0031742E">
        <w:rPr>
          <w:rFonts w:ascii="Times New Roman" w:hAnsi="Times New Roman" w:cs="Times New Roman"/>
          <w:i/>
          <w:iCs/>
          <w:sz w:val="24"/>
          <w:szCs w:val="24"/>
        </w:rPr>
        <w:t>The Indian Journal of Agricultural Sciences</w:t>
      </w:r>
      <w:r w:rsidRPr="0031742E">
        <w:rPr>
          <w:rFonts w:ascii="Times New Roman" w:hAnsi="Times New Roman" w:cs="Times New Roman"/>
          <w:sz w:val="24"/>
          <w:szCs w:val="24"/>
        </w:rPr>
        <w:t>, </w:t>
      </w:r>
      <w:r w:rsidRPr="0031742E">
        <w:rPr>
          <w:rFonts w:ascii="Times New Roman" w:hAnsi="Times New Roman" w:cs="Times New Roman"/>
          <w:i/>
          <w:iCs/>
          <w:sz w:val="24"/>
          <w:szCs w:val="24"/>
        </w:rPr>
        <w:t>72</w:t>
      </w:r>
      <w:r w:rsidRPr="0031742E">
        <w:rPr>
          <w:rFonts w:ascii="Times New Roman" w:hAnsi="Times New Roman" w:cs="Times New Roman"/>
          <w:sz w:val="24"/>
          <w:szCs w:val="24"/>
        </w:rPr>
        <w:t>(9).</w:t>
      </w:r>
    </w:p>
    <w:p w14:paraId="5C59E1D7" w14:textId="77777777" w:rsidR="003E2278" w:rsidRDefault="003E2278" w:rsidP="00D72AD2">
      <w:pPr>
        <w:numPr>
          <w:ilvl w:val="0"/>
          <w:numId w:val="4"/>
        </w:numPr>
        <w:jc w:val="both"/>
        <w:rPr>
          <w:rFonts w:ascii="Times New Roman" w:hAnsi="Times New Roman" w:cs="Times New Roman"/>
          <w:sz w:val="24"/>
          <w:szCs w:val="24"/>
        </w:rPr>
      </w:pPr>
      <w:r w:rsidRPr="003E2278">
        <w:rPr>
          <w:rFonts w:ascii="Times New Roman" w:hAnsi="Times New Roman" w:cs="Times New Roman"/>
          <w:sz w:val="24"/>
          <w:szCs w:val="24"/>
        </w:rPr>
        <w:t xml:space="preserve">Subbiah, B. V., &amp; </w:t>
      </w:r>
      <w:proofErr w:type="spellStart"/>
      <w:r w:rsidRPr="003E2278">
        <w:rPr>
          <w:rFonts w:ascii="Times New Roman" w:hAnsi="Times New Roman" w:cs="Times New Roman"/>
          <w:sz w:val="24"/>
          <w:szCs w:val="24"/>
        </w:rPr>
        <w:t>Asija</w:t>
      </w:r>
      <w:proofErr w:type="spellEnd"/>
      <w:r w:rsidRPr="003E2278">
        <w:rPr>
          <w:rFonts w:ascii="Times New Roman" w:hAnsi="Times New Roman" w:cs="Times New Roman"/>
          <w:sz w:val="24"/>
          <w:szCs w:val="24"/>
        </w:rPr>
        <w:t>, G. L. (1956). A rapid procedure for the estimation of available nitrogen in soils.</w:t>
      </w:r>
    </w:p>
    <w:p w14:paraId="4BE9FDE0" w14:textId="118FFFED" w:rsidR="0031742E" w:rsidRDefault="0031742E" w:rsidP="00D72AD2">
      <w:pPr>
        <w:numPr>
          <w:ilvl w:val="0"/>
          <w:numId w:val="4"/>
        </w:numPr>
        <w:jc w:val="both"/>
        <w:rPr>
          <w:rFonts w:ascii="Times New Roman" w:hAnsi="Times New Roman" w:cs="Times New Roman"/>
          <w:sz w:val="24"/>
          <w:szCs w:val="24"/>
        </w:rPr>
      </w:pPr>
      <w:r w:rsidRPr="0031742E">
        <w:rPr>
          <w:rFonts w:ascii="Times New Roman" w:hAnsi="Times New Roman" w:cs="Times New Roman"/>
          <w:sz w:val="24"/>
          <w:szCs w:val="24"/>
        </w:rPr>
        <w:t>Tripathi, M. K., Chaturvedi, S., Shukla, D. K., &amp; Saini, S. K. (2011). Influence of integrated nutrient management on growth, yield and quality of Indian mustard (</w:t>
      </w:r>
      <w:r w:rsidRPr="0031742E">
        <w:rPr>
          <w:rFonts w:ascii="Times New Roman" w:hAnsi="Times New Roman" w:cs="Times New Roman"/>
          <w:i/>
          <w:iCs/>
          <w:sz w:val="24"/>
          <w:szCs w:val="24"/>
        </w:rPr>
        <w:t xml:space="preserve">Brassica </w:t>
      </w:r>
      <w:proofErr w:type="spellStart"/>
      <w:r w:rsidRPr="0031742E">
        <w:rPr>
          <w:rFonts w:ascii="Times New Roman" w:hAnsi="Times New Roman" w:cs="Times New Roman"/>
          <w:i/>
          <w:iCs/>
          <w:sz w:val="24"/>
          <w:szCs w:val="24"/>
        </w:rPr>
        <w:t>juncea</w:t>
      </w:r>
      <w:proofErr w:type="spellEnd"/>
      <w:r w:rsidRPr="0031742E">
        <w:rPr>
          <w:rFonts w:ascii="Times New Roman" w:hAnsi="Times New Roman" w:cs="Times New Roman"/>
          <w:sz w:val="24"/>
          <w:szCs w:val="24"/>
        </w:rPr>
        <w:t xml:space="preserve"> L.) in </w:t>
      </w:r>
      <w:proofErr w:type="spellStart"/>
      <w:r w:rsidRPr="0031742E">
        <w:rPr>
          <w:rFonts w:ascii="Times New Roman" w:hAnsi="Times New Roman" w:cs="Times New Roman"/>
          <w:sz w:val="24"/>
          <w:szCs w:val="24"/>
        </w:rPr>
        <w:t>tarai</w:t>
      </w:r>
      <w:proofErr w:type="spellEnd"/>
      <w:r w:rsidRPr="0031742E">
        <w:rPr>
          <w:rFonts w:ascii="Times New Roman" w:hAnsi="Times New Roman" w:cs="Times New Roman"/>
          <w:sz w:val="24"/>
          <w:szCs w:val="24"/>
        </w:rPr>
        <w:t xml:space="preserve"> region of northern India. </w:t>
      </w:r>
      <w:r w:rsidRPr="0031742E">
        <w:rPr>
          <w:rFonts w:ascii="Times New Roman" w:hAnsi="Times New Roman" w:cs="Times New Roman"/>
          <w:i/>
          <w:iCs/>
          <w:sz w:val="24"/>
          <w:szCs w:val="24"/>
        </w:rPr>
        <w:t>Journal of crop and weed</w:t>
      </w:r>
      <w:r w:rsidRPr="0031742E">
        <w:rPr>
          <w:rFonts w:ascii="Times New Roman" w:hAnsi="Times New Roman" w:cs="Times New Roman"/>
          <w:sz w:val="24"/>
          <w:szCs w:val="24"/>
        </w:rPr>
        <w:t>, </w:t>
      </w:r>
      <w:r w:rsidRPr="0031742E">
        <w:rPr>
          <w:rFonts w:ascii="Times New Roman" w:hAnsi="Times New Roman" w:cs="Times New Roman"/>
          <w:i/>
          <w:iCs/>
          <w:sz w:val="24"/>
          <w:szCs w:val="24"/>
        </w:rPr>
        <w:t>7</w:t>
      </w:r>
      <w:r w:rsidRPr="0031742E">
        <w:rPr>
          <w:rFonts w:ascii="Times New Roman" w:hAnsi="Times New Roman" w:cs="Times New Roman"/>
          <w:sz w:val="24"/>
          <w:szCs w:val="24"/>
        </w:rPr>
        <w:t>(2), 104-107.</w:t>
      </w:r>
    </w:p>
    <w:p w14:paraId="244711A8" w14:textId="72915154" w:rsidR="00C17E20" w:rsidRPr="00C17E20" w:rsidRDefault="00C17E20" w:rsidP="00D72AD2">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Walkley, A., &amp; Black, I. A. (1934). An examination of the </w:t>
      </w:r>
      <w:proofErr w:type="spellStart"/>
      <w:r w:rsidRPr="00C17E20">
        <w:rPr>
          <w:rFonts w:ascii="Times New Roman" w:hAnsi="Times New Roman" w:cs="Times New Roman"/>
          <w:sz w:val="24"/>
          <w:szCs w:val="24"/>
        </w:rPr>
        <w:t>Degtjareff</w:t>
      </w:r>
      <w:proofErr w:type="spellEnd"/>
      <w:r w:rsidRPr="00C17E20">
        <w:rPr>
          <w:rFonts w:ascii="Times New Roman" w:hAnsi="Times New Roman" w:cs="Times New Roman"/>
          <w:sz w:val="24"/>
          <w:szCs w:val="24"/>
        </w:rPr>
        <w:t xml:space="preserve"> method for determining soil organic matter and a proposed modification of the chromic acid titration method. </w:t>
      </w:r>
      <w:r w:rsidRPr="00C17E20">
        <w:rPr>
          <w:rFonts w:ascii="Times New Roman" w:hAnsi="Times New Roman" w:cs="Times New Roman"/>
          <w:i/>
          <w:iCs/>
          <w:sz w:val="24"/>
          <w:szCs w:val="24"/>
        </w:rPr>
        <w:t>Soil Science</w:t>
      </w:r>
      <w:r w:rsidRPr="00C17E20">
        <w:rPr>
          <w:rFonts w:ascii="Times New Roman" w:hAnsi="Times New Roman" w:cs="Times New Roman"/>
          <w:sz w:val="24"/>
          <w:szCs w:val="24"/>
        </w:rPr>
        <w:t xml:space="preserve">, 37(1), 29–38. </w:t>
      </w:r>
    </w:p>
    <w:p w14:paraId="5A96AFAF" w14:textId="77777777" w:rsidR="00C17E20" w:rsidRPr="00D72AD2" w:rsidRDefault="00C17E20" w:rsidP="00C17E20">
      <w:pPr>
        <w:jc w:val="both"/>
        <w:rPr>
          <w:rFonts w:ascii="Times New Roman" w:hAnsi="Times New Roman" w:cs="Times New Roman"/>
          <w:sz w:val="24"/>
          <w:szCs w:val="24"/>
        </w:rPr>
      </w:pPr>
    </w:p>
    <w:p w14:paraId="53A6A40E" w14:textId="77777777" w:rsidR="003E1666" w:rsidRDefault="003E1666" w:rsidP="0030109D">
      <w:pPr>
        <w:jc w:val="both"/>
        <w:rPr>
          <w:rFonts w:ascii="Times New Roman" w:hAnsi="Times New Roman" w:cs="Times New Roman"/>
          <w:b/>
          <w:bCs/>
          <w:sz w:val="24"/>
          <w:szCs w:val="24"/>
        </w:rPr>
      </w:pPr>
    </w:p>
    <w:p w14:paraId="37051453" w14:textId="77777777" w:rsidR="003E1666" w:rsidRDefault="003E1666" w:rsidP="0030109D">
      <w:pPr>
        <w:jc w:val="both"/>
        <w:rPr>
          <w:rFonts w:ascii="Times New Roman" w:hAnsi="Times New Roman" w:cs="Times New Roman"/>
          <w:b/>
          <w:bCs/>
          <w:sz w:val="24"/>
          <w:szCs w:val="24"/>
        </w:rPr>
      </w:pPr>
    </w:p>
    <w:p w14:paraId="1177EC47" w14:textId="77777777" w:rsidR="003E1666" w:rsidRDefault="003E1666" w:rsidP="0030109D">
      <w:pPr>
        <w:jc w:val="both"/>
        <w:rPr>
          <w:rFonts w:ascii="Times New Roman" w:hAnsi="Times New Roman" w:cs="Times New Roman"/>
          <w:b/>
          <w:bCs/>
          <w:sz w:val="24"/>
          <w:szCs w:val="24"/>
        </w:rPr>
      </w:pPr>
    </w:p>
    <w:p w14:paraId="40137664" w14:textId="77777777" w:rsidR="003E1666" w:rsidRDefault="003E1666" w:rsidP="0030109D">
      <w:pPr>
        <w:jc w:val="both"/>
        <w:rPr>
          <w:rFonts w:ascii="Times New Roman" w:hAnsi="Times New Roman" w:cs="Times New Roman"/>
          <w:b/>
          <w:bCs/>
          <w:sz w:val="24"/>
          <w:szCs w:val="24"/>
        </w:rPr>
      </w:pPr>
    </w:p>
    <w:p w14:paraId="0BAC64F9" w14:textId="0414EBA5" w:rsidR="0030109D" w:rsidRPr="00B81D4F" w:rsidRDefault="00B24E6A" w:rsidP="0030109D">
      <w:pPr>
        <w:jc w:val="both"/>
        <w:rPr>
          <w:rFonts w:ascii="Times New Roman" w:hAnsi="Times New Roman" w:cs="Times New Roman"/>
          <w:b/>
          <w:bCs/>
          <w:sz w:val="24"/>
          <w:szCs w:val="24"/>
        </w:rPr>
      </w:pPr>
      <w:r w:rsidRPr="00B81D4F">
        <w:rPr>
          <w:rFonts w:ascii="Times New Roman" w:hAnsi="Times New Roman" w:cs="Times New Roman"/>
          <w:b/>
          <w:bCs/>
          <w:sz w:val="24"/>
          <w:szCs w:val="24"/>
        </w:rPr>
        <w:lastRenderedPageBreak/>
        <w:t>Table 1: Effect of Integrated Nutrient Management on Soil Properties after Mustard Harvest</w:t>
      </w:r>
    </w:p>
    <w:tbl>
      <w:tblPr>
        <w:tblStyle w:val="TableGrid"/>
        <w:tblW w:w="5000" w:type="pct"/>
        <w:tblLook w:val="04A0" w:firstRow="1" w:lastRow="0" w:firstColumn="1" w:lastColumn="0" w:noHBand="0" w:noVBand="1"/>
      </w:tblPr>
      <w:tblGrid>
        <w:gridCol w:w="3785"/>
        <w:gridCol w:w="1338"/>
        <w:gridCol w:w="1325"/>
        <w:gridCol w:w="734"/>
        <w:gridCol w:w="1033"/>
        <w:gridCol w:w="801"/>
      </w:tblGrid>
      <w:tr w:rsidR="00B24E6A" w:rsidRPr="003B1B81" w14:paraId="6FB6725B" w14:textId="77777777" w:rsidTr="00B24E6A">
        <w:tc>
          <w:tcPr>
            <w:tcW w:w="2057" w:type="pct"/>
            <w:hideMark/>
          </w:tcPr>
          <w:p w14:paraId="1D5BA717"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Treatments</w:t>
            </w:r>
          </w:p>
        </w:tc>
        <w:tc>
          <w:tcPr>
            <w:tcW w:w="731" w:type="pct"/>
            <w:hideMark/>
          </w:tcPr>
          <w:p w14:paraId="6025EB21"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N (Kg/ha)</w:t>
            </w:r>
          </w:p>
        </w:tc>
        <w:tc>
          <w:tcPr>
            <w:tcW w:w="725" w:type="pct"/>
            <w:hideMark/>
          </w:tcPr>
          <w:p w14:paraId="29BA3FA9"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P (Kg/ha)</w:t>
            </w:r>
          </w:p>
        </w:tc>
        <w:tc>
          <w:tcPr>
            <w:tcW w:w="364" w:type="pct"/>
            <w:hideMark/>
          </w:tcPr>
          <w:p w14:paraId="6928F4B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pH</w:t>
            </w:r>
          </w:p>
        </w:tc>
        <w:tc>
          <w:tcPr>
            <w:tcW w:w="566" w:type="pct"/>
            <w:hideMark/>
          </w:tcPr>
          <w:p w14:paraId="6341AEEE"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E.C. (</w:t>
            </w:r>
            <w:proofErr w:type="spellStart"/>
            <w:r w:rsidRPr="003B1B81">
              <w:rPr>
                <w:rFonts w:ascii="Times New Roman" w:hAnsi="Times New Roman" w:cs="Times New Roman"/>
                <w:b/>
                <w:bCs/>
                <w:sz w:val="23"/>
                <w:szCs w:val="23"/>
              </w:rPr>
              <w:t>dS</w:t>
            </w:r>
            <w:proofErr w:type="spellEnd"/>
            <w:r w:rsidRPr="003B1B81">
              <w:rPr>
                <w:rFonts w:ascii="Times New Roman" w:hAnsi="Times New Roman" w:cs="Times New Roman"/>
                <w:b/>
                <w:bCs/>
                <w:sz w:val="23"/>
                <w:szCs w:val="23"/>
              </w:rPr>
              <w:t>/m)</w:t>
            </w:r>
          </w:p>
        </w:tc>
        <w:tc>
          <w:tcPr>
            <w:tcW w:w="440" w:type="pct"/>
            <w:hideMark/>
          </w:tcPr>
          <w:p w14:paraId="69E0CA1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O.C. (%)</w:t>
            </w:r>
          </w:p>
        </w:tc>
      </w:tr>
      <w:tr w:rsidR="00B24E6A" w:rsidRPr="003B1B81" w14:paraId="4DE74E31" w14:textId="77777777" w:rsidTr="00B24E6A">
        <w:tc>
          <w:tcPr>
            <w:tcW w:w="2057" w:type="pct"/>
            <w:hideMark/>
          </w:tcPr>
          <w:p w14:paraId="454DF34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T1 (100% RDF @ N:83.58g, P:75.12g, K:47.4g)</w:t>
            </w:r>
          </w:p>
        </w:tc>
        <w:tc>
          <w:tcPr>
            <w:tcW w:w="731" w:type="pct"/>
            <w:hideMark/>
          </w:tcPr>
          <w:p w14:paraId="5A7A21E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132.87</w:t>
            </w:r>
          </w:p>
        </w:tc>
        <w:tc>
          <w:tcPr>
            <w:tcW w:w="725" w:type="pct"/>
            <w:hideMark/>
          </w:tcPr>
          <w:p w14:paraId="1A72E56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10.30</w:t>
            </w:r>
          </w:p>
        </w:tc>
        <w:tc>
          <w:tcPr>
            <w:tcW w:w="364" w:type="pct"/>
            <w:hideMark/>
          </w:tcPr>
          <w:p w14:paraId="44D81F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7.73</w:t>
            </w:r>
          </w:p>
        </w:tc>
        <w:tc>
          <w:tcPr>
            <w:tcW w:w="566" w:type="pct"/>
            <w:hideMark/>
          </w:tcPr>
          <w:p w14:paraId="323F2A5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1.37</w:t>
            </w:r>
          </w:p>
        </w:tc>
        <w:tc>
          <w:tcPr>
            <w:tcW w:w="440" w:type="pct"/>
            <w:hideMark/>
          </w:tcPr>
          <w:p w14:paraId="3C48BF7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0.49</w:t>
            </w:r>
          </w:p>
        </w:tc>
      </w:tr>
      <w:tr w:rsidR="00B24E6A" w:rsidRPr="003B1B81" w14:paraId="33BA2889" w14:textId="77777777" w:rsidTr="00B24E6A">
        <w:tc>
          <w:tcPr>
            <w:tcW w:w="2057" w:type="pct"/>
            <w:hideMark/>
          </w:tcPr>
          <w:p w14:paraId="3DAF8C9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T2 (80% RDF @ N:69.65g, P:62.60g, K:32g + Vermicompost @9kg)</w:t>
            </w:r>
          </w:p>
        </w:tc>
        <w:tc>
          <w:tcPr>
            <w:tcW w:w="731" w:type="pct"/>
            <w:hideMark/>
          </w:tcPr>
          <w:p w14:paraId="12B127B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136.84</w:t>
            </w:r>
          </w:p>
        </w:tc>
        <w:tc>
          <w:tcPr>
            <w:tcW w:w="725" w:type="pct"/>
            <w:hideMark/>
          </w:tcPr>
          <w:p w14:paraId="314D6D6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12.37</w:t>
            </w:r>
          </w:p>
        </w:tc>
        <w:tc>
          <w:tcPr>
            <w:tcW w:w="364" w:type="pct"/>
            <w:hideMark/>
          </w:tcPr>
          <w:p w14:paraId="026BA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7.47</w:t>
            </w:r>
          </w:p>
        </w:tc>
        <w:tc>
          <w:tcPr>
            <w:tcW w:w="566" w:type="pct"/>
            <w:hideMark/>
          </w:tcPr>
          <w:p w14:paraId="782C8D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1.47</w:t>
            </w:r>
          </w:p>
        </w:tc>
        <w:tc>
          <w:tcPr>
            <w:tcW w:w="440" w:type="pct"/>
            <w:hideMark/>
          </w:tcPr>
          <w:p w14:paraId="604E37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0.60</w:t>
            </w:r>
          </w:p>
        </w:tc>
      </w:tr>
      <w:tr w:rsidR="00B24E6A" w:rsidRPr="003B1B81" w14:paraId="70DEB204" w14:textId="77777777" w:rsidTr="00B24E6A">
        <w:tc>
          <w:tcPr>
            <w:tcW w:w="2057" w:type="pct"/>
            <w:hideMark/>
          </w:tcPr>
          <w:p w14:paraId="07B1D6F5" w14:textId="075FE30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T3 (80% RDF @ N:69.65g, P:62.60g, K:32g + Biofertilizer (</w:t>
            </w:r>
            <w:proofErr w:type="spellStart"/>
            <w:r w:rsidR="00A41B6C" w:rsidRPr="00A41B6C">
              <w:rPr>
                <w:rFonts w:ascii="Times New Roman" w:hAnsi="Times New Roman" w:cs="Times New Roman"/>
                <w:i/>
                <w:iCs/>
                <w:sz w:val="23"/>
                <w:szCs w:val="23"/>
              </w:rPr>
              <w:t>Azotobacter</w:t>
            </w:r>
            <w:proofErr w:type="spellEnd"/>
            <w:r w:rsidRPr="003B1B81">
              <w:rPr>
                <w:rFonts w:ascii="Times New Roman" w:hAnsi="Times New Roman" w:cs="Times New Roman"/>
                <w:sz w:val="23"/>
                <w:szCs w:val="23"/>
              </w:rPr>
              <w:t>+ PSB@500 ml/kg Seed</w:t>
            </w:r>
            <w:r w:rsidRPr="003B1B81">
              <w:rPr>
                <w:sz w:val="23"/>
                <w:szCs w:val="23"/>
              </w:rPr>
              <w:t>)</w:t>
            </w:r>
          </w:p>
        </w:tc>
        <w:tc>
          <w:tcPr>
            <w:tcW w:w="731" w:type="pct"/>
            <w:hideMark/>
          </w:tcPr>
          <w:p w14:paraId="4C9017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153.83</w:t>
            </w:r>
          </w:p>
        </w:tc>
        <w:tc>
          <w:tcPr>
            <w:tcW w:w="725" w:type="pct"/>
            <w:hideMark/>
          </w:tcPr>
          <w:p w14:paraId="4EE4259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14.63</w:t>
            </w:r>
          </w:p>
        </w:tc>
        <w:tc>
          <w:tcPr>
            <w:tcW w:w="364" w:type="pct"/>
            <w:hideMark/>
          </w:tcPr>
          <w:p w14:paraId="2182A92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7.45</w:t>
            </w:r>
          </w:p>
        </w:tc>
        <w:tc>
          <w:tcPr>
            <w:tcW w:w="566" w:type="pct"/>
            <w:hideMark/>
          </w:tcPr>
          <w:p w14:paraId="2CA050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1D30B6B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5F09725F" w14:textId="77777777" w:rsidTr="00B24E6A">
        <w:tc>
          <w:tcPr>
            <w:tcW w:w="2057" w:type="pct"/>
            <w:hideMark/>
          </w:tcPr>
          <w:p w14:paraId="2A60495A" w14:textId="58028C1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T4 (80% RDF + Vermicompost @9kg + Biofertilizer (</w:t>
            </w:r>
            <w:proofErr w:type="spellStart"/>
            <w:r w:rsidR="00A41B6C" w:rsidRPr="00A41B6C">
              <w:rPr>
                <w:rFonts w:ascii="Times New Roman" w:hAnsi="Times New Roman" w:cs="Times New Roman"/>
                <w:i/>
                <w:iCs/>
                <w:sz w:val="23"/>
                <w:szCs w:val="23"/>
              </w:rPr>
              <w:t>Azotobacter</w:t>
            </w:r>
            <w:proofErr w:type="spellEnd"/>
            <w:r w:rsidRPr="003B1B81">
              <w:rPr>
                <w:rFonts w:ascii="Times New Roman" w:hAnsi="Times New Roman" w:cs="Times New Roman"/>
                <w:sz w:val="23"/>
                <w:szCs w:val="23"/>
              </w:rPr>
              <w:t>+ PSB@500 ml/kg Seed)</w:t>
            </w:r>
          </w:p>
        </w:tc>
        <w:tc>
          <w:tcPr>
            <w:tcW w:w="731" w:type="pct"/>
            <w:hideMark/>
          </w:tcPr>
          <w:p w14:paraId="4AEACBF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165.10</w:t>
            </w:r>
          </w:p>
        </w:tc>
        <w:tc>
          <w:tcPr>
            <w:tcW w:w="725" w:type="pct"/>
            <w:hideMark/>
          </w:tcPr>
          <w:p w14:paraId="2C9F03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15.43</w:t>
            </w:r>
          </w:p>
        </w:tc>
        <w:tc>
          <w:tcPr>
            <w:tcW w:w="364" w:type="pct"/>
            <w:hideMark/>
          </w:tcPr>
          <w:p w14:paraId="6B5007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7.39</w:t>
            </w:r>
          </w:p>
        </w:tc>
        <w:tc>
          <w:tcPr>
            <w:tcW w:w="566" w:type="pct"/>
            <w:hideMark/>
          </w:tcPr>
          <w:p w14:paraId="7830631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1.35</w:t>
            </w:r>
          </w:p>
        </w:tc>
        <w:tc>
          <w:tcPr>
            <w:tcW w:w="440" w:type="pct"/>
            <w:hideMark/>
          </w:tcPr>
          <w:p w14:paraId="7356AB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1.11</w:t>
            </w:r>
          </w:p>
        </w:tc>
      </w:tr>
      <w:tr w:rsidR="00B24E6A" w:rsidRPr="003B1B81" w14:paraId="4B18C1B7" w14:textId="77777777" w:rsidTr="00B24E6A">
        <w:tc>
          <w:tcPr>
            <w:tcW w:w="2057" w:type="pct"/>
            <w:hideMark/>
          </w:tcPr>
          <w:p w14:paraId="0875887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T5 (60% RDF @ N:52.24g, P:46.95g, K:24g + Vermicompost @10.8kg)</w:t>
            </w:r>
          </w:p>
        </w:tc>
        <w:tc>
          <w:tcPr>
            <w:tcW w:w="731" w:type="pct"/>
            <w:hideMark/>
          </w:tcPr>
          <w:p w14:paraId="2000406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141.23</w:t>
            </w:r>
          </w:p>
        </w:tc>
        <w:tc>
          <w:tcPr>
            <w:tcW w:w="725" w:type="pct"/>
            <w:hideMark/>
          </w:tcPr>
          <w:p w14:paraId="44B371B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11.38</w:t>
            </w:r>
          </w:p>
        </w:tc>
        <w:tc>
          <w:tcPr>
            <w:tcW w:w="364" w:type="pct"/>
            <w:hideMark/>
          </w:tcPr>
          <w:p w14:paraId="331EE34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7.40</w:t>
            </w:r>
          </w:p>
        </w:tc>
        <w:tc>
          <w:tcPr>
            <w:tcW w:w="566" w:type="pct"/>
            <w:hideMark/>
          </w:tcPr>
          <w:p w14:paraId="43012A0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w:t>
            </w:r>
          </w:p>
        </w:tc>
        <w:tc>
          <w:tcPr>
            <w:tcW w:w="440" w:type="pct"/>
            <w:hideMark/>
          </w:tcPr>
          <w:p w14:paraId="1EB61A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0.81</w:t>
            </w:r>
          </w:p>
        </w:tc>
      </w:tr>
      <w:tr w:rsidR="00B24E6A" w:rsidRPr="003B1B81" w14:paraId="5C293244" w14:textId="77777777" w:rsidTr="00B24E6A">
        <w:tc>
          <w:tcPr>
            <w:tcW w:w="2057" w:type="pct"/>
            <w:hideMark/>
          </w:tcPr>
          <w:p w14:paraId="0FCC6E7D" w14:textId="4EC8881D"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T6 (60% RDF + Biofertilizer (</w:t>
            </w:r>
            <w:proofErr w:type="spellStart"/>
            <w:r w:rsidR="00A41B6C" w:rsidRPr="00A41B6C">
              <w:rPr>
                <w:rFonts w:ascii="Times New Roman" w:hAnsi="Times New Roman" w:cs="Times New Roman"/>
                <w:i/>
                <w:iCs/>
                <w:sz w:val="23"/>
                <w:szCs w:val="23"/>
              </w:rPr>
              <w:t>Azotobacter</w:t>
            </w:r>
            <w:proofErr w:type="spellEnd"/>
            <w:r w:rsidRPr="003B1B81">
              <w:rPr>
                <w:rFonts w:ascii="Times New Roman" w:hAnsi="Times New Roman" w:cs="Times New Roman"/>
                <w:sz w:val="23"/>
                <w:szCs w:val="23"/>
              </w:rPr>
              <w:t>+ PSB@500 ml/kg Seed)</w:t>
            </w:r>
          </w:p>
        </w:tc>
        <w:tc>
          <w:tcPr>
            <w:tcW w:w="731" w:type="pct"/>
            <w:hideMark/>
          </w:tcPr>
          <w:p w14:paraId="30B75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146.41</w:t>
            </w:r>
          </w:p>
        </w:tc>
        <w:tc>
          <w:tcPr>
            <w:tcW w:w="725" w:type="pct"/>
            <w:hideMark/>
          </w:tcPr>
          <w:p w14:paraId="05CBB3F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11.83</w:t>
            </w:r>
          </w:p>
        </w:tc>
        <w:tc>
          <w:tcPr>
            <w:tcW w:w="364" w:type="pct"/>
            <w:hideMark/>
          </w:tcPr>
          <w:p w14:paraId="72C3EA6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7.64</w:t>
            </w:r>
          </w:p>
        </w:tc>
        <w:tc>
          <w:tcPr>
            <w:tcW w:w="566" w:type="pct"/>
            <w:hideMark/>
          </w:tcPr>
          <w:p w14:paraId="6104BC9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0DC510F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6A940F79" w14:textId="77777777" w:rsidTr="00B24E6A">
        <w:tc>
          <w:tcPr>
            <w:tcW w:w="2057" w:type="pct"/>
            <w:hideMark/>
          </w:tcPr>
          <w:p w14:paraId="337A46AD" w14:textId="5FA68F4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T7 (60% RDF + Vermicompost @10.8kg + Biofertilizer (</w:t>
            </w:r>
            <w:proofErr w:type="spellStart"/>
            <w:r w:rsidR="00A41B6C" w:rsidRPr="00A41B6C">
              <w:rPr>
                <w:rFonts w:ascii="Times New Roman" w:hAnsi="Times New Roman" w:cs="Times New Roman"/>
                <w:i/>
                <w:iCs/>
                <w:sz w:val="23"/>
                <w:szCs w:val="23"/>
              </w:rPr>
              <w:t>Azotobacter</w:t>
            </w:r>
            <w:proofErr w:type="spellEnd"/>
            <w:r w:rsidRPr="003B1B81">
              <w:rPr>
                <w:rFonts w:ascii="Times New Roman" w:hAnsi="Times New Roman" w:cs="Times New Roman"/>
                <w:sz w:val="23"/>
                <w:szCs w:val="23"/>
              </w:rPr>
              <w:t>+ PSB@500 ml/kg Seed)</w:t>
            </w:r>
          </w:p>
        </w:tc>
        <w:tc>
          <w:tcPr>
            <w:tcW w:w="731" w:type="pct"/>
            <w:hideMark/>
          </w:tcPr>
          <w:p w14:paraId="74F62AD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144.40</w:t>
            </w:r>
          </w:p>
        </w:tc>
        <w:tc>
          <w:tcPr>
            <w:tcW w:w="725" w:type="pct"/>
            <w:hideMark/>
          </w:tcPr>
          <w:p w14:paraId="22D7868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12.56</w:t>
            </w:r>
          </w:p>
        </w:tc>
        <w:tc>
          <w:tcPr>
            <w:tcW w:w="364" w:type="pct"/>
            <w:hideMark/>
          </w:tcPr>
          <w:p w14:paraId="4151AB7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7.61</w:t>
            </w:r>
          </w:p>
        </w:tc>
        <w:tc>
          <w:tcPr>
            <w:tcW w:w="566" w:type="pct"/>
            <w:hideMark/>
          </w:tcPr>
          <w:p w14:paraId="752B98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w:t>
            </w:r>
          </w:p>
        </w:tc>
        <w:tc>
          <w:tcPr>
            <w:tcW w:w="440" w:type="pct"/>
            <w:hideMark/>
          </w:tcPr>
          <w:p w14:paraId="248056F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1.01</w:t>
            </w:r>
          </w:p>
        </w:tc>
      </w:tr>
      <w:tr w:rsidR="00B24E6A" w:rsidRPr="003B1B81" w14:paraId="2D969F98" w14:textId="77777777" w:rsidTr="00B24E6A">
        <w:tc>
          <w:tcPr>
            <w:tcW w:w="2057" w:type="pct"/>
            <w:hideMark/>
          </w:tcPr>
          <w:p w14:paraId="4D22907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T8 (100% Vermicompost @20kg)</w:t>
            </w:r>
          </w:p>
        </w:tc>
        <w:tc>
          <w:tcPr>
            <w:tcW w:w="731" w:type="pct"/>
            <w:hideMark/>
          </w:tcPr>
          <w:p w14:paraId="420BFFB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154.99</w:t>
            </w:r>
          </w:p>
        </w:tc>
        <w:tc>
          <w:tcPr>
            <w:tcW w:w="725" w:type="pct"/>
            <w:hideMark/>
          </w:tcPr>
          <w:p w14:paraId="615DDFF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13.14</w:t>
            </w:r>
          </w:p>
        </w:tc>
        <w:tc>
          <w:tcPr>
            <w:tcW w:w="364" w:type="pct"/>
            <w:hideMark/>
          </w:tcPr>
          <w:p w14:paraId="696570A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7.46</w:t>
            </w:r>
          </w:p>
        </w:tc>
        <w:tc>
          <w:tcPr>
            <w:tcW w:w="566" w:type="pct"/>
            <w:hideMark/>
          </w:tcPr>
          <w:p w14:paraId="739E93E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1.40</w:t>
            </w:r>
          </w:p>
        </w:tc>
        <w:tc>
          <w:tcPr>
            <w:tcW w:w="440" w:type="pct"/>
            <w:hideMark/>
          </w:tcPr>
          <w:p w14:paraId="259DB0D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0.85</w:t>
            </w:r>
          </w:p>
        </w:tc>
      </w:tr>
      <w:tr w:rsidR="00B24E6A" w:rsidRPr="003B1B81" w14:paraId="73F3A45B" w14:textId="77777777" w:rsidTr="00B24E6A">
        <w:tc>
          <w:tcPr>
            <w:tcW w:w="2057" w:type="pct"/>
            <w:hideMark/>
          </w:tcPr>
          <w:p w14:paraId="0675627D" w14:textId="241B63B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T9(100% Biofertilizer (</w:t>
            </w:r>
            <w:proofErr w:type="spellStart"/>
            <w:r w:rsidR="00A41B6C" w:rsidRPr="00A41B6C">
              <w:rPr>
                <w:rFonts w:ascii="Times New Roman" w:hAnsi="Times New Roman" w:cs="Times New Roman"/>
                <w:i/>
                <w:iCs/>
                <w:sz w:val="23"/>
                <w:szCs w:val="23"/>
              </w:rPr>
              <w:t>Azotobacter</w:t>
            </w:r>
            <w:proofErr w:type="spellEnd"/>
            <w:r w:rsidRPr="003B1B81">
              <w:rPr>
                <w:rFonts w:ascii="Times New Roman" w:hAnsi="Times New Roman" w:cs="Times New Roman"/>
                <w:sz w:val="23"/>
                <w:szCs w:val="23"/>
              </w:rPr>
              <w:t>+ PSB@500 ml/kg Seed)</w:t>
            </w:r>
          </w:p>
        </w:tc>
        <w:tc>
          <w:tcPr>
            <w:tcW w:w="731" w:type="pct"/>
            <w:hideMark/>
          </w:tcPr>
          <w:p w14:paraId="605007D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129.90</w:t>
            </w:r>
          </w:p>
        </w:tc>
        <w:tc>
          <w:tcPr>
            <w:tcW w:w="725" w:type="pct"/>
            <w:hideMark/>
          </w:tcPr>
          <w:p w14:paraId="79497FF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9.69</w:t>
            </w:r>
          </w:p>
        </w:tc>
        <w:tc>
          <w:tcPr>
            <w:tcW w:w="364" w:type="pct"/>
            <w:hideMark/>
          </w:tcPr>
          <w:p w14:paraId="13BE53A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7.54</w:t>
            </w:r>
          </w:p>
        </w:tc>
        <w:tc>
          <w:tcPr>
            <w:tcW w:w="566" w:type="pct"/>
            <w:hideMark/>
          </w:tcPr>
          <w:p w14:paraId="079B5D4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1.55</w:t>
            </w:r>
          </w:p>
        </w:tc>
        <w:tc>
          <w:tcPr>
            <w:tcW w:w="440" w:type="pct"/>
            <w:hideMark/>
          </w:tcPr>
          <w:p w14:paraId="6E55FDB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0.56</w:t>
            </w:r>
          </w:p>
        </w:tc>
      </w:tr>
      <w:tr w:rsidR="00B24E6A" w:rsidRPr="003B1B81" w14:paraId="62E3E3F8" w14:textId="77777777" w:rsidTr="00B24E6A">
        <w:tc>
          <w:tcPr>
            <w:tcW w:w="2057" w:type="pct"/>
            <w:hideMark/>
          </w:tcPr>
          <w:p w14:paraId="64F5248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C.D. (P=0.05)</w:t>
            </w:r>
          </w:p>
        </w:tc>
        <w:tc>
          <w:tcPr>
            <w:tcW w:w="731" w:type="pct"/>
            <w:hideMark/>
          </w:tcPr>
          <w:p w14:paraId="2B87376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1.67</w:t>
            </w:r>
          </w:p>
        </w:tc>
        <w:tc>
          <w:tcPr>
            <w:tcW w:w="725" w:type="pct"/>
            <w:hideMark/>
          </w:tcPr>
          <w:p w14:paraId="7D65DEA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0.41</w:t>
            </w:r>
          </w:p>
        </w:tc>
        <w:tc>
          <w:tcPr>
            <w:tcW w:w="364" w:type="pct"/>
            <w:hideMark/>
          </w:tcPr>
          <w:p w14:paraId="481CBF1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0.141</w:t>
            </w:r>
          </w:p>
        </w:tc>
        <w:tc>
          <w:tcPr>
            <w:tcW w:w="566" w:type="pct"/>
            <w:hideMark/>
          </w:tcPr>
          <w:p w14:paraId="11DC5F6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N/A</w:t>
            </w:r>
          </w:p>
        </w:tc>
        <w:tc>
          <w:tcPr>
            <w:tcW w:w="440" w:type="pct"/>
            <w:hideMark/>
          </w:tcPr>
          <w:p w14:paraId="4E45B2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w:t>
            </w:r>
          </w:p>
        </w:tc>
      </w:tr>
      <w:tr w:rsidR="00B24E6A" w:rsidRPr="003B1B81" w14:paraId="58752E41" w14:textId="77777777" w:rsidTr="00B24E6A">
        <w:tc>
          <w:tcPr>
            <w:tcW w:w="2057" w:type="pct"/>
            <w:hideMark/>
          </w:tcPr>
          <w:p w14:paraId="5BAD947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SE(m)</w:t>
            </w:r>
          </w:p>
        </w:tc>
        <w:tc>
          <w:tcPr>
            <w:tcW w:w="731" w:type="pct"/>
            <w:hideMark/>
          </w:tcPr>
          <w:p w14:paraId="2D26286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0.55</w:t>
            </w:r>
          </w:p>
        </w:tc>
        <w:tc>
          <w:tcPr>
            <w:tcW w:w="725" w:type="pct"/>
            <w:hideMark/>
          </w:tcPr>
          <w:p w14:paraId="2BE892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w:t>
            </w:r>
          </w:p>
        </w:tc>
        <w:tc>
          <w:tcPr>
            <w:tcW w:w="364" w:type="pct"/>
            <w:hideMark/>
          </w:tcPr>
          <w:p w14:paraId="143F2F6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0.047</w:t>
            </w:r>
          </w:p>
        </w:tc>
        <w:tc>
          <w:tcPr>
            <w:tcW w:w="566" w:type="pct"/>
            <w:hideMark/>
          </w:tcPr>
          <w:p w14:paraId="570AB5A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0.07</w:t>
            </w:r>
          </w:p>
        </w:tc>
        <w:tc>
          <w:tcPr>
            <w:tcW w:w="440" w:type="pct"/>
            <w:hideMark/>
          </w:tcPr>
          <w:p w14:paraId="50E7675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0.02</w:t>
            </w:r>
          </w:p>
        </w:tc>
      </w:tr>
      <w:tr w:rsidR="00B24E6A" w:rsidRPr="003B1B81" w14:paraId="4A967411" w14:textId="77777777" w:rsidTr="00B24E6A">
        <w:tc>
          <w:tcPr>
            <w:tcW w:w="2057" w:type="pct"/>
            <w:hideMark/>
          </w:tcPr>
          <w:p w14:paraId="227C5A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SE(d)</w:t>
            </w:r>
          </w:p>
        </w:tc>
        <w:tc>
          <w:tcPr>
            <w:tcW w:w="731" w:type="pct"/>
            <w:hideMark/>
          </w:tcPr>
          <w:p w14:paraId="17B3D5C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0.78</w:t>
            </w:r>
          </w:p>
        </w:tc>
        <w:tc>
          <w:tcPr>
            <w:tcW w:w="725" w:type="pct"/>
            <w:hideMark/>
          </w:tcPr>
          <w:p w14:paraId="691DA17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0.19</w:t>
            </w:r>
          </w:p>
        </w:tc>
        <w:tc>
          <w:tcPr>
            <w:tcW w:w="364" w:type="pct"/>
            <w:hideMark/>
          </w:tcPr>
          <w:p w14:paraId="30C922F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0.066</w:t>
            </w:r>
          </w:p>
        </w:tc>
        <w:tc>
          <w:tcPr>
            <w:tcW w:w="566" w:type="pct"/>
            <w:hideMark/>
          </w:tcPr>
          <w:p w14:paraId="2F4EF61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0.10</w:t>
            </w:r>
          </w:p>
        </w:tc>
        <w:tc>
          <w:tcPr>
            <w:tcW w:w="440" w:type="pct"/>
            <w:hideMark/>
          </w:tcPr>
          <w:p w14:paraId="03435EB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0.03</w:t>
            </w:r>
          </w:p>
        </w:tc>
      </w:tr>
      <w:tr w:rsidR="00B24E6A" w:rsidRPr="003B1B81" w14:paraId="49CB4BBC" w14:textId="77777777" w:rsidTr="00B24E6A">
        <w:tc>
          <w:tcPr>
            <w:tcW w:w="2057" w:type="pct"/>
            <w:hideMark/>
          </w:tcPr>
          <w:p w14:paraId="08EF903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C.V. (%)</w:t>
            </w:r>
          </w:p>
        </w:tc>
        <w:tc>
          <w:tcPr>
            <w:tcW w:w="731" w:type="pct"/>
            <w:hideMark/>
          </w:tcPr>
          <w:p w14:paraId="697D396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0.66</w:t>
            </w:r>
          </w:p>
        </w:tc>
        <w:tc>
          <w:tcPr>
            <w:tcW w:w="725" w:type="pct"/>
            <w:hideMark/>
          </w:tcPr>
          <w:p w14:paraId="040FAB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1.90</w:t>
            </w:r>
          </w:p>
        </w:tc>
        <w:tc>
          <w:tcPr>
            <w:tcW w:w="364" w:type="pct"/>
            <w:hideMark/>
          </w:tcPr>
          <w:p w14:paraId="68290A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1.071</w:t>
            </w:r>
          </w:p>
        </w:tc>
        <w:tc>
          <w:tcPr>
            <w:tcW w:w="566" w:type="pct"/>
            <w:hideMark/>
          </w:tcPr>
          <w:p w14:paraId="099599D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8.55</w:t>
            </w:r>
          </w:p>
        </w:tc>
        <w:tc>
          <w:tcPr>
            <w:tcW w:w="440" w:type="pct"/>
            <w:hideMark/>
          </w:tcPr>
          <w:p w14:paraId="4B3BA2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5.16</w:t>
            </w:r>
          </w:p>
        </w:tc>
      </w:tr>
    </w:tbl>
    <w:p w14:paraId="563C0358" w14:textId="77777777" w:rsidR="00B81D4F" w:rsidRDefault="00B81D4F" w:rsidP="0030109D">
      <w:pPr>
        <w:jc w:val="both"/>
        <w:rPr>
          <w:rFonts w:ascii="Times New Roman" w:hAnsi="Times New Roman" w:cs="Times New Roman"/>
          <w:sz w:val="24"/>
          <w:szCs w:val="24"/>
        </w:rPr>
      </w:pPr>
    </w:p>
    <w:p w14:paraId="141556CD" w14:textId="77777777" w:rsidR="00B81D4F" w:rsidRDefault="00B81D4F" w:rsidP="0030109D">
      <w:pPr>
        <w:jc w:val="both"/>
        <w:rPr>
          <w:rFonts w:ascii="Times New Roman" w:hAnsi="Times New Roman" w:cs="Times New Roman"/>
          <w:sz w:val="24"/>
          <w:szCs w:val="24"/>
        </w:rPr>
      </w:pPr>
    </w:p>
    <w:p w14:paraId="1884CE2A" w14:textId="77777777" w:rsidR="003E1666" w:rsidRDefault="003E1666" w:rsidP="0030109D">
      <w:pPr>
        <w:jc w:val="both"/>
        <w:rPr>
          <w:rFonts w:ascii="Times New Roman" w:hAnsi="Times New Roman" w:cs="Times New Roman"/>
          <w:b/>
          <w:bCs/>
          <w:sz w:val="24"/>
          <w:szCs w:val="24"/>
        </w:rPr>
      </w:pPr>
    </w:p>
    <w:p w14:paraId="4010E521" w14:textId="77777777" w:rsidR="003E1666" w:rsidRDefault="003E1666" w:rsidP="0030109D">
      <w:pPr>
        <w:jc w:val="both"/>
        <w:rPr>
          <w:rFonts w:ascii="Times New Roman" w:hAnsi="Times New Roman" w:cs="Times New Roman"/>
          <w:b/>
          <w:bCs/>
          <w:sz w:val="24"/>
          <w:szCs w:val="24"/>
        </w:rPr>
      </w:pPr>
    </w:p>
    <w:p w14:paraId="353CCCA6" w14:textId="77777777" w:rsidR="003E1666" w:rsidRDefault="003E1666" w:rsidP="0030109D">
      <w:pPr>
        <w:jc w:val="both"/>
        <w:rPr>
          <w:rFonts w:ascii="Times New Roman" w:hAnsi="Times New Roman" w:cs="Times New Roman"/>
          <w:b/>
          <w:bCs/>
          <w:sz w:val="24"/>
          <w:szCs w:val="24"/>
        </w:rPr>
      </w:pPr>
    </w:p>
    <w:p w14:paraId="7079AC20" w14:textId="77777777" w:rsidR="003E1666" w:rsidRDefault="003E1666" w:rsidP="0030109D">
      <w:pPr>
        <w:jc w:val="both"/>
        <w:rPr>
          <w:rFonts w:ascii="Times New Roman" w:hAnsi="Times New Roman" w:cs="Times New Roman"/>
          <w:b/>
          <w:bCs/>
          <w:sz w:val="24"/>
          <w:szCs w:val="24"/>
        </w:rPr>
      </w:pPr>
    </w:p>
    <w:tbl>
      <w:tblPr>
        <w:tblpPr w:leftFromText="180" w:rightFromText="180" w:vertAnchor="text" w:horzAnchor="margin" w:tblpY="721"/>
        <w:tblW w:w="9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5"/>
        <w:gridCol w:w="2022"/>
        <w:gridCol w:w="1213"/>
        <w:gridCol w:w="1298"/>
        <w:gridCol w:w="976"/>
      </w:tblGrid>
      <w:tr w:rsidR="003E1666" w:rsidRPr="003E1666" w14:paraId="63CB1DF6" w14:textId="77777777" w:rsidTr="003E1666">
        <w:trPr>
          <w:trHeight w:val="952"/>
        </w:trPr>
        <w:tc>
          <w:tcPr>
            <w:tcW w:w="4045" w:type="dxa"/>
          </w:tcPr>
          <w:p w14:paraId="54301843" w14:textId="77777777" w:rsidR="003E1666" w:rsidRPr="003E1666" w:rsidRDefault="003E1666" w:rsidP="003E1666">
            <w:pPr>
              <w:pStyle w:val="TableParagraph"/>
              <w:ind w:left="0"/>
              <w:rPr>
                <w:b/>
              </w:rPr>
            </w:pPr>
          </w:p>
          <w:p w14:paraId="541FB4D4" w14:textId="77777777" w:rsidR="003E1666" w:rsidRPr="003E1666" w:rsidRDefault="003E1666" w:rsidP="003E1666">
            <w:pPr>
              <w:pStyle w:val="TableParagraph"/>
              <w:spacing w:before="80"/>
              <w:ind w:left="0"/>
              <w:rPr>
                <w:b/>
              </w:rPr>
            </w:pPr>
          </w:p>
          <w:p w14:paraId="5F6917D5" w14:textId="77777777" w:rsidR="003E1666" w:rsidRPr="003E1666" w:rsidRDefault="003E1666" w:rsidP="003E1666">
            <w:pPr>
              <w:pStyle w:val="TableParagraph"/>
              <w:ind w:left="36" w:right="34"/>
              <w:jc w:val="center"/>
            </w:pPr>
            <w:r w:rsidRPr="003E1666">
              <w:rPr>
                <w:spacing w:val="-2"/>
              </w:rPr>
              <w:t>Treatments</w:t>
            </w:r>
          </w:p>
        </w:tc>
        <w:tc>
          <w:tcPr>
            <w:tcW w:w="2022" w:type="dxa"/>
          </w:tcPr>
          <w:p w14:paraId="5DC43905" w14:textId="77777777" w:rsidR="003E1666" w:rsidRPr="003E1666" w:rsidRDefault="003E1666" w:rsidP="003E1666">
            <w:pPr>
              <w:pStyle w:val="TableParagraph"/>
              <w:spacing w:before="5"/>
              <w:ind w:left="0"/>
              <w:rPr>
                <w:b/>
              </w:rPr>
            </w:pPr>
          </w:p>
          <w:p w14:paraId="4BCC4B35" w14:textId="77777777" w:rsidR="003E1666" w:rsidRPr="003E1666" w:rsidRDefault="003E1666" w:rsidP="003E1666">
            <w:pPr>
              <w:pStyle w:val="TableParagraph"/>
              <w:spacing w:line="310" w:lineRule="atLeast"/>
              <w:ind w:left="656" w:hanging="543"/>
            </w:pPr>
            <w:r w:rsidRPr="003E1666">
              <w:t>Cost</w:t>
            </w:r>
            <w:r w:rsidRPr="003E1666">
              <w:rPr>
                <w:spacing w:val="-15"/>
              </w:rPr>
              <w:t xml:space="preserve"> </w:t>
            </w:r>
            <w:r w:rsidRPr="003E1666">
              <w:t>of</w:t>
            </w:r>
            <w:r w:rsidRPr="003E1666">
              <w:rPr>
                <w:spacing w:val="-15"/>
              </w:rPr>
              <w:t xml:space="preserve"> </w:t>
            </w:r>
            <w:r w:rsidRPr="003E1666">
              <w:t xml:space="preserve">cultivation </w:t>
            </w:r>
            <w:r w:rsidRPr="003E1666">
              <w:rPr>
                <w:spacing w:val="-2"/>
              </w:rPr>
              <w:t>(Rs/ha)</w:t>
            </w:r>
          </w:p>
        </w:tc>
        <w:tc>
          <w:tcPr>
            <w:tcW w:w="1213" w:type="dxa"/>
          </w:tcPr>
          <w:p w14:paraId="776E1AA6" w14:textId="77777777" w:rsidR="003E1666" w:rsidRPr="003E1666" w:rsidRDefault="003E1666" w:rsidP="003E1666">
            <w:pPr>
              <w:pStyle w:val="TableParagraph"/>
              <w:spacing w:before="5"/>
              <w:ind w:left="0"/>
              <w:rPr>
                <w:b/>
              </w:rPr>
            </w:pPr>
          </w:p>
          <w:p w14:paraId="56014FCF" w14:textId="77777777" w:rsidR="003E1666" w:rsidRPr="003E1666" w:rsidRDefault="003E1666" w:rsidP="003E1666">
            <w:pPr>
              <w:pStyle w:val="TableParagraph"/>
              <w:spacing w:line="310" w:lineRule="atLeast"/>
              <w:ind w:left="250" w:right="105" w:hanging="137"/>
            </w:pPr>
            <w:r w:rsidRPr="003E1666">
              <w:t>Net</w:t>
            </w:r>
            <w:r w:rsidRPr="003E1666">
              <w:rPr>
                <w:spacing w:val="-15"/>
              </w:rPr>
              <w:t xml:space="preserve"> </w:t>
            </w:r>
            <w:r w:rsidRPr="003E1666">
              <w:t xml:space="preserve">return </w:t>
            </w:r>
            <w:r w:rsidRPr="003E1666">
              <w:rPr>
                <w:spacing w:val="-2"/>
              </w:rPr>
              <w:t>(Rs/ha)</w:t>
            </w:r>
          </w:p>
        </w:tc>
        <w:tc>
          <w:tcPr>
            <w:tcW w:w="1298" w:type="dxa"/>
          </w:tcPr>
          <w:p w14:paraId="0B5F9BA2" w14:textId="77777777" w:rsidR="003E1666" w:rsidRPr="003E1666" w:rsidRDefault="003E1666" w:rsidP="003E1666">
            <w:pPr>
              <w:pStyle w:val="TableParagraph"/>
              <w:spacing w:line="276" w:lineRule="auto"/>
              <w:ind w:left="358" w:right="348" w:firstLine="7"/>
            </w:pPr>
            <w:r w:rsidRPr="003E1666">
              <w:rPr>
                <w:spacing w:val="-2"/>
              </w:rPr>
              <w:t>Gross return</w:t>
            </w:r>
          </w:p>
          <w:p w14:paraId="6DE24AC0" w14:textId="77777777" w:rsidR="003E1666" w:rsidRPr="003E1666" w:rsidRDefault="003E1666" w:rsidP="003E1666">
            <w:pPr>
              <w:pStyle w:val="TableParagraph"/>
              <w:spacing w:line="275" w:lineRule="exact"/>
              <w:ind w:left="293"/>
            </w:pPr>
            <w:r w:rsidRPr="003E1666">
              <w:rPr>
                <w:spacing w:val="-2"/>
              </w:rPr>
              <w:t>(Rs/ha)</w:t>
            </w:r>
          </w:p>
        </w:tc>
        <w:tc>
          <w:tcPr>
            <w:tcW w:w="976" w:type="dxa"/>
          </w:tcPr>
          <w:p w14:paraId="1D5A8ABC" w14:textId="77777777" w:rsidR="003E1666" w:rsidRPr="003E1666" w:rsidRDefault="003E1666" w:rsidP="003E1666">
            <w:pPr>
              <w:pStyle w:val="TableParagraph"/>
              <w:spacing w:line="275" w:lineRule="exact"/>
              <w:ind w:left="288"/>
            </w:pPr>
            <w:r w:rsidRPr="003E1666">
              <w:rPr>
                <w:spacing w:val="-5"/>
              </w:rPr>
              <w:t>B:C</w:t>
            </w:r>
          </w:p>
          <w:p w14:paraId="3588FFD3" w14:textId="77777777" w:rsidR="003E1666" w:rsidRPr="003E1666" w:rsidRDefault="003E1666" w:rsidP="003E1666">
            <w:pPr>
              <w:pStyle w:val="TableParagraph"/>
              <w:spacing w:before="41"/>
              <w:ind w:left="262"/>
            </w:pPr>
            <w:r w:rsidRPr="003E1666">
              <w:rPr>
                <w:spacing w:val="-2"/>
              </w:rPr>
              <w:t>ratio</w:t>
            </w:r>
          </w:p>
        </w:tc>
      </w:tr>
      <w:tr w:rsidR="003E1666" w:rsidRPr="003E1666" w14:paraId="7AF55438" w14:textId="77777777" w:rsidTr="003E1666">
        <w:trPr>
          <w:trHeight w:val="633"/>
        </w:trPr>
        <w:tc>
          <w:tcPr>
            <w:tcW w:w="4045" w:type="dxa"/>
          </w:tcPr>
          <w:p w14:paraId="02495E2E" w14:textId="77777777" w:rsidR="003E1666" w:rsidRPr="003E1666" w:rsidRDefault="003E1666" w:rsidP="003E1666">
            <w:pPr>
              <w:pStyle w:val="TableParagraph"/>
              <w:spacing w:line="275" w:lineRule="exact"/>
              <w:ind w:left="36" w:right="31"/>
              <w:jc w:val="center"/>
            </w:pPr>
            <w:r w:rsidRPr="003E1666">
              <w:t>T1 (100%</w:t>
            </w:r>
            <w:r w:rsidRPr="003E1666">
              <w:rPr>
                <w:spacing w:val="-1"/>
              </w:rPr>
              <w:t xml:space="preserve"> </w:t>
            </w:r>
            <w:r w:rsidRPr="003E1666">
              <w:t>RDF</w:t>
            </w:r>
            <w:r w:rsidRPr="003E1666">
              <w:rPr>
                <w:spacing w:val="-2"/>
              </w:rPr>
              <w:t xml:space="preserve"> </w:t>
            </w:r>
            <w:r w:rsidRPr="003E1666">
              <w:t xml:space="preserve">@N:83.58g, </w:t>
            </w:r>
            <w:r w:rsidRPr="003E1666">
              <w:rPr>
                <w:spacing w:val="-2"/>
              </w:rPr>
              <w:t>P:75.12g,</w:t>
            </w:r>
          </w:p>
          <w:p w14:paraId="53AECF32" w14:textId="77777777" w:rsidR="003E1666" w:rsidRPr="003E1666" w:rsidRDefault="003E1666" w:rsidP="003E1666">
            <w:pPr>
              <w:pStyle w:val="TableParagraph"/>
              <w:spacing w:before="41"/>
              <w:ind w:left="36" w:right="30"/>
              <w:jc w:val="center"/>
            </w:pPr>
            <w:r w:rsidRPr="003E1666">
              <w:rPr>
                <w:spacing w:val="-2"/>
              </w:rPr>
              <w:t>K:47.4g)</w:t>
            </w:r>
          </w:p>
        </w:tc>
        <w:tc>
          <w:tcPr>
            <w:tcW w:w="2022" w:type="dxa"/>
          </w:tcPr>
          <w:p w14:paraId="744F8BC0" w14:textId="77777777" w:rsidR="003E1666" w:rsidRPr="003E1666" w:rsidRDefault="003E1666" w:rsidP="003E1666">
            <w:pPr>
              <w:pStyle w:val="TableParagraph"/>
              <w:spacing w:before="157"/>
              <w:ind w:left="7"/>
              <w:jc w:val="center"/>
            </w:pPr>
            <w:r w:rsidRPr="003E1666">
              <w:rPr>
                <w:spacing w:val="-2"/>
              </w:rPr>
              <w:t>33784</w:t>
            </w:r>
          </w:p>
        </w:tc>
        <w:tc>
          <w:tcPr>
            <w:tcW w:w="1213" w:type="dxa"/>
          </w:tcPr>
          <w:p w14:paraId="2AB14CBF" w14:textId="77777777" w:rsidR="003E1666" w:rsidRPr="003E1666" w:rsidRDefault="003E1666" w:rsidP="003E1666">
            <w:pPr>
              <w:pStyle w:val="TableParagraph"/>
              <w:spacing w:before="39"/>
              <w:ind w:left="0"/>
              <w:rPr>
                <w:b/>
              </w:rPr>
            </w:pPr>
          </w:p>
          <w:p w14:paraId="6EDA08EF" w14:textId="77777777" w:rsidR="003E1666" w:rsidRPr="003E1666" w:rsidRDefault="003E1666" w:rsidP="003E1666">
            <w:pPr>
              <w:pStyle w:val="TableParagraph"/>
              <w:ind w:left="30" w:right="27"/>
              <w:jc w:val="center"/>
            </w:pPr>
            <w:r w:rsidRPr="003E1666">
              <w:rPr>
                <w:spacing w:val="-2"/>
              </w:rPr>
              <w:t>59,441.00</w:t>
            </w:r>
          </w:p>
        </w:tc>
        <w:tc>
          <w:tcPr>
            <w:tcW w:w="1298" w:type="dxa"/>
          </w:tcPr>
          <w:p w14:paraId="3D95B8F4" w14:textId="77777777" w:rsidR="003E1666" w:rsidRPr="003E1666" w:rsidRDefault="003E1666" w:rsidP="003E1666">
            <w:pPr>
              <w:pStyle w:val="TableParagraph"/>
              <w:spacing w:before="157"/>
              <w:ind w:left="3"/>
              <w:jc w:val="center"/>
            </w:pPr>
            <w:r w:rsidRPr="003E1666">
              <w:rPr>
                <w:spacing w:val="-2"/>
              </w:rPr>
              <w:t>93,225.00</w:t>
            </w:r>
          </w:p>
        </w:tc>
        <w:tc>
          <w:tcPr>
            <w:tcW w:w="976" w:type="dxa"/>
          </w:tcPr>
          <w:p w14:paraId="33E5337F" w14:textId="77777777" w:rsidR="003E1666" w:rsidRPr="003E1666" w:rsidRDefault="003E1666" w:rsidP="003E1666">
            <w:pPr>
              <w:pStyle w:val="TableParagraph"/>
              <w:spacing w:before="157"/>
              <w:ind w:left="0" w:right="1"/>
              <w:jc w:val="center"/>
            </w:pPr>
            <w:r w:rsidRPr="003E1666">
              <w:rPr>
                <w:spacing w:val="-4"/>
              </w:rPr>
              <w:t>1.76</w:t>
            </w:r>
          </w:p>
        </w:tc>
      </w:tr>
      <w:tr w:rsidR="003E1666" w:rsidRPr="003E1666" w14:paraId="3671B3AE" w14:textId="77777777" w:rsidTr="003E1666">
        <w:trPr>
          <w:trHeight w:val="635"/>
        </w:trPr>
        <w:tc>
          <w:tcPr>
            <w:tcW w:w="4045" w:type="dxa"/>
          </w:tcPr>
          <w:p w14:paraId="30ACD451" w14:textId="77777777" w:rsidR="003E1666" w:rsidRPr="003E1666" w:rsidRDefault="003E1666" w:rsidP="003E1666">
            <w:pPr>
              <w:pStyle w:val="TableParagraph"/>
              <w:spacing w:line="275" w:lineRule="exact"/>
              <w:ind w:left="36" w:right="29"/>
              <w:jc w:val="center"/>
            </w:pPr>
            <w:r w:rsidRPr="003E1666">
              <w:t>T2</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159F785" w14:textId="77777777" w:rsidR="003E1666" w:rsidRPr="003E1666" w:rsidRDefault="003E1666" w:rsidP="003E1666">
            <w:pPr>
              <w:pStyle w:val="TableParagraph"/>
              <w:spacing w:before="43"/>
              <w:ind w:left="36" w:right="28"/>
              <w:jc w:val="center"/>
            </w:pPr>
            <w:r w:rsidRPr="003E1666">
              <w:t>K:32g</w:t>
            </w:r>
            <w:r w:rsidRPr="003E1666">
              <w:rPr>
                <w:spacing w:val="-1"/>
              </w:rPr>
              <w:t xml:space="preserve"> </w:t>
            </w:r>
            <w:r w:rsidRPr="003E1666">
              <w:t>+</w:t>
            </w:r>
            <w:r w:rsidRPr="003E1666">
              <w:rPr>
                <w:spacing w:val="-2"/>
              </w:rPr>
              <w:t xml:space="preserve"> </w:t>
            </w:r>
            <w:r w:rsidRPr="003E1666">
              <w:t>Vermicompost</w:t>
            </w:r>
            <w:r w:rsidRPr="003E1666">
              <w:rPr>
                <w:spacing w:val="1"/>
              </w:rPr>
              <w:t xml:space="preserve"> </w:t>
            </w:r>
            <w:r w:rsidRPr="003E1666">
              <w:rPr>
                <w:spacing w:val="-2"/>
              </w:rPr>
              <w:t>@9kg)</w:t>
            </w:r>
          </w:p>
        </w:tc>
        <w:tc>
          <w:tcPr>
            <w:tcW w:w="2022" w:type="dxa"/>
          </w:tcPr>
          <w:p w14:paraId="2379B030" w14:textId="77777777" w:rsidR="003E1666" w:rsidRPr="003E1666" w:rsidRDefault="003E1666" w:rsidP="003E1666">
            <w:pPr>
              <w:pStyle w:val="TableParagraph"/>
              <w:spacing w:before="159"/>
              <w:ind w:left="7"/>
              <w:jc w:val="center"/>
            </w:pPr>
            <w:r w:rsidRPr="003E1666">
              <w:rPr>
                <w:spacing w:val="-2"/>
              </w:rPr>
              <w:t>43736</w:t>
            </w:r>
          </w:p>
        </w:tc>
        <w:tc>
          <w:tcPr>
            <w:tcW w:w="1213" w:type="dxa"/>
          </w:tcPr>
          <w:p w14:paraId="0E68F97B" w14:textId="77777777" w:rsidR="003E1666" w:rsidRPr="003E1666" w:rsidRDefault="003E1666" w:rsidP="003E1666">
            <w:pPr>
              <w:pStyle w:val="TableParagraph"/>
              <w:spacing w:before="42"/>
              <w:ind w:left="0"/>
              <w:rPr>
                <w:b/>
              </w:rPr>
            </w:pPr>
          </w:p>
          <w:p w14:paraId="6C37A791" w14:textId="77777777" w:rsidR="003E1666" w:rsidRPr="003E1666" w:rsidRDefault="003E1666" w:rsidP="003E1666">
            <w:pPr>
              <w:pStyle w:val="TableParagraph"/>
              <w:ind w:left="30" w:right="27"/>
              <w:jc w:val="center"/>
            </w:pPr>
            <w:r w:rsidRPr="003E1666">
              <w:rPr>
                <w:spacing w:val="-2"/>
              </w:rPr>
              <w:t>60,583.00</w:t>
            </w:r>
          </w:p>
        </w:tc>
        <w:tc>
          <w:tcPr>
            <w:tcW w:w="1298" w:type="dxa"/>
          </w:tcPr>
          <w:p w14:paraId="2E24553F" w14:textId="77777777" w:rsidR="003E1666" w:rsidRPr="003E1666" w:rsidRDefault="003E1666" w:rsidP="003E1666">
            <w:pPr>
              <w:pStyle w:val="TableParagraph"/>
              <w:spacing w:before="159"/>
              <w:ind w:left="3"/>
              <w:jc w:val="center"/>
            </w:pPr>
            <w:r w:rsidRPr="003E1666">
              <w:rPr>
                <w:spacing w:val="-2"/>
              </w:rPr>
              <w:t>104,319.00</w:t>
            </w:r>
          </w:p>
        </w:tc>
        <w:tc>
          <w:tcPr>
            <w:tcW w:w="976" w:type="dxa"/>
          </w:tcPr>
          <w:p w14:paraId="42E71732" w14:textId="77777777" w:rsidR="003E1666" w:rsidRPr="003E1666" w:rsidRDefault="003E1666" w:rsidP="003E1666">
            <w:pPr>
              <w:pStyle w:val="TableParagraph"/>
              <w:spacing w:before="159"/>
              <w:ind w:left="0" w:right="1"/>
              <w:jc w:val="center"/>
            </w:pPr>
            <w:r w:rsidRPr="003E1666">
              <w:rPr>
                <w:spacing w:val="-4"/>
              </w:rPr>
              <w:t>1.39</w:t>
            </w:r>
          </w:p>
        </w:tc>
      </w:tr>
      <w:tr w:rsidR="003E1666" w:rsidRPr="003E1666" w14:paraId="2D3FBB6A" w14:textId="77777777" w:rsidTr="003E1666">
        <w:trPr>
          <w:trHeight w:val="952"/>
        </w:trPr>
        <w:tc>
          <w:tcPr>
            <w:tcW w:w="4045" w:type="dxa"/>
          </w:tcPr>
          <w:p w14:paraId="4306DDDF" w14:textId="77777777" w:rsidR="003E1666" w:rsidRPr="003E1666" w:rsidRDefault="003E1666" w:rsidP="003E1666">
            <w:pPr>
              <w:pStyle w:val="TableParagraph"/>
              <w:spacing w:line="276" w:lineRule="exact"/>
              <w:ind w:left="36" w:right="29"/>
              <w:jc w:val="center"/>
            </w:pPr>
            <w:r w:rsidRPr="003E1666">
              <w:t>T3</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97A8EAC" w14:textId="77777777" w:rsidR="003E1666" w:rsidRPr="003E1666" w:rsidRDefault="003E1666" w:rsidP="003E1666">
            <w:pPr>
              <w:pStyle w:val="TableParagraph"/>
              <w:spacing w:before="9" w:line="320" w:lineRule="exact"/>
              <w:ind w:left="37" w:right="27"/>
              <w:jc w:val="center"/>
            </w:pPr>
            <w:r w:rsidRPr="003E1666">
              <w:t>K:32g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proofErr w:type="spellStart"/>
            <w:r w:rsidRPr="003E1666">
              <w:rPr>
                <w:i/>
                <w:iCs/>
              </w:rPr>
              <w:t>Azotobacter</w:t>
            </w:r>
            <w:proofErr w:type="spellEnd"/>
            <w:r w:rsidRPr="003E1666">
              <w:t>+ PSB@500 ml/kg Seed).</w:t>
            </w:r>
          </w:p>
        </w:tc>
        <w:tc>
          <w:tcPr>
            <w:tcW w:w="2022" w:type="dxa"/>
          </w:tcPr>
          <w:p w14:paraId="6DC05471" w14:textId="77777777" w:rsidR="003E1666" w:rsidRPr="003E1666" w:rsidRDefault="003E1666" w:rsidP="003E1666">
            <w:pPr>
              <w:pStyle w:val="TableParagraph"/>
              <w:spacing w:before="40"/>
              <w:ind w:left="0"/>
              <w:rPr>
                <w:b/>
              </w:rPr>
            </w:pPr>
          </w:p>
          <w:p w14:paraId="06746BEA" w14:textId="77777777" w:rsidR="003E1666" w:rsidRPr="003E1666" w:rsidRDefault="003E1666" w:rsidP="003E1666">
            <w:pPr>
              <w:pStyle w:val="TableParagraph"/>
              <w:ind w:left="7"/>
              <w:jc w:val="center"/>
            </w:pPr>
            <w:r w:rsidRPr="003E1666">
              <w:rPr>
                <w:spacing w:val="-2"/>
              </w:rPr>
              <w:t>33486</w:t>
            </w:r>
          </w:p>
        </w:tc>
        <w:tc>
          <w:tcPr>
            <w:tcW w:w="1213" w:type="dxa"/>
          </w:tcPr>
          <w:p w14:paraId="3B5CA309" w14:textId="77777777" w:rsidR="003E1666" w:rsidRPr="003E1666" w:rsidRDefault="003E1666" w:rsidP="003E1666">
            <w:pPr>
              <w:pStyle w:val="TableParagraph"/>
              <w:ind w:left="0"/>
              <w:rPr>
                <w:b/>
              </w:rPr>
            </w:pPr>
          </w:p>
          <w:p w14:paraId="6BE75E7E" w14:textId="77777777" w:rsidR="003E1666" w:rsidRPr="003E1666" w:rsidRDefault="003E1666" w:rsidP="003E1666">
            <w:pPr>
              <w:pStyle w:val="TableParagraph"/>
              <w:spacing w:before="83"/>
              <w:ind w:left="0"/>
              <w:rPr>
                <w:b/>
              </w:rPr>
            </w:pPr>
          </w:p>
          <w:p w14:paraId="2620F9E4" w14:textId="77777777" w:rsidR="003E1666" w:rsidRPr="003E1666" w:rsidRDefault="003E1666" w:rsidP="003E1666">
            <w:pPr>
              <w:pStyle w:val="TableParagraph"/>
              <w:ind w:left="30" w:right="27"/>
              <w:jc w:val="center"/>
            </w:pPr>
            <w:r w:rsidRPr="003E1666">
              <w:rPr>
                <w:spacing w:val="-2"/>
              </w:rPr>
              <w:t>54,925.67</w:t>
            </w:r>
          </w:p>
        </w:tc>
        <w:tc>
          <w:tcPr>
            <w:tcW w:w="1298" w:type="dxa"/>
          </w:tcPr>
          <w:p w14:paraId="5A1F6BE1" w14:textId="77777777" w:rsidR="003E1666" w:rsidRPr="003E1666" w:rsidRDefault="003E1666" w:rsidP="003E1666">
            <w:pPr>
              <w:pStyle w:val="TableParagraph"/>
              <w:spacing w:before="40"/>
              <w:ind w:left="0"/>
              <w:rPr>
                <w:b/>
              </w:rPr>
            </w:pPr>
          </w:p>
          <w:p w14:paraId="027A7E98" w14:textId="77777777" w:rsidR="003E1666" w:rsidRPr="003E1666" w:rsidRDefault="003E1666" w:rsidP="003E1666">
            <w:pPr>
              <w:pStyle w:val="TableParagraph"/>
              <w:ind w:left="3"/>
              <w:jc w:val="center"/>
            </w:pPr>
            <w:r w:rsidRPr="003E1666">
              <w:rPr>
                <w:spacing w:val="-2"/>
              </w:rPr>
              <w:t>88,411.66</w:t>
            </w:r>
          </w:p>
        </w:tc>
        <w:tc>
          <w:tcPr>
            <w:tcW w:w="976" w:type="dxa"/>
          </w:tcPr>
          <w:p w14:paraId="30573741" w14:textId="77777777" w:rsidR="003E1666" w:rsidRPr="003E1666" w:rsidRDefault="003E1666" w:rsidP="003E1666">
            <w:pPr>
              <w:pStyle w:val="TableParagraph"/>
              <w:spacing w:before="40"/>
              <w:ind w:left="0"/>
              <w:rPr>
                <w:b/>
              </w:rPr>
            </w:pPr>
          </w:p>
          <w:p w14:paraId="1CEF8EA3" w14:textId="77777777" w:rsidR="003E1666" w:rsidRPr="003E1666" w:rsidRDefault="003E1666" w:rsidP="003E1666">
            <w:pPr>
              <w:pStyle w:val="TableParagraph"/>
              <w:ind w:left="0" w:right="1"/>
              <w:jc w:val="center"/>
            </w:pPr>
            <w:r w:rsidRPr="003E1666">
              <w:rPr>
                <w:spacing w:val="-4"/>
              </w:rPr>
              <w:t>1.64</w:t>
            </w:r>
          </w:p>
        </w:tc>
      </w:tr>
      <w:tr w:rsidR="003E1666" w:rsidRPr="003E1666" w14:paraId="1963A533" w14:textId="77777777" w:rsidTr="003E1666">
        <w:trPr>
          <w:trHeight w:val="1269"/>
        </w:trPr>
        <w:tc>
          <w:tcPr>
            <w:tcW w:w="4045" w:type="dxa"/>
          </w:tcPr>
          <w:p w14:paraId="01058DD4" w14:textId="77777777" w:rsidR="003E1666" w:rsidRPr="003E1666" w:rsidRDefault="003E1666" w:rsidP="003E1666">
            <w:pPr>
              <w:pStyle w:val="TableParagraph"/>
              <w:spacing w:line="275" w:lineRule="exact"/>
              <w:ind w:left="36" w:right="29"/>
              <w:jc w:val="center"/>
            </w:pPr>
            <w:r w:rsidRPr="003E1666">
              <w:t>T4</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4D1EB9F5" w14:textId="77777777" w:rsidR="003E1666" w:rsidRPr="003E1666" w:rsidRDefault="003E1666" w:rsidP="003E1666">
            <w:pPr>
              <w:pStyle w:val="TableParagraph"/>
              <w:spacing w:before="41" w:line="276" w:lineRule="auto"/>
              <w:ind w:left="182" w:right="173" w:firstLine="2"/>
              <w:jc w:val="center"/>
            </w:pPr>
            <w:r w:rsidRPr="003E1666">
              <w:t>K:32g + Vermicompost @9kg + Biofertilizer</w:t>
            </w:r>
            <w:r w:rsidRPr="003E1666">
              <w:rPr>
                <w:spacing w:val="-15"/>
              </w:rPr>
              <w:t xml:space="preserve"> </w:t>
            </w:r>
            <w:r w:rsidRPr="003E1666">
              <w:t>(</w:t>
            </w:r>
            <w:proofErr w:type="spellStart"/>
            <w:r w:rsidRPr="003E1666">
              <w:rPr>
                <w:i/>
                <w:iCs/>
              </w:rPr>
              <w:t>Azotobacter</w:t>
            </w:r>
            <w:proofErr w:type="spellEnd"/>
            <w:r w:rsidRPr="003E1666">
              <w:t>+</w:t>
            </w:r>
            <w:r w:rsidRPr="003E1666">
              <w:rPr>
                <w:spacing w:val="-15"/>
              </w:rPr>
              <w:t xml:space="preserve"> </w:t>
            </w:r>
            <w:r w:rsidRPr="003E1666">
              <w:t>PSB@500</w:t>
            </w:r>
          </w:p>
          <w:p w14:paraId="2ED0D1D6" w14:textId="77777777" w:rsidR="003E1666" w:rsidRPr="003E1666" w:rsidRDefault="003E1666" w:rsidP="003E1666">
            <w:pPr>
              <w:pStyle w:val="TableParagraph"/>
              <w:spacing w:before="1"/>
              <w:ind w:left="36" w:right="30"/>
              <w:jc w:val="center"/>
            </w:pPr>
            <w:r w:rsidRPr="003E1666">
              <w:t xml:space="preserve">ml /Kg </w:t>
            </w:r>
            <w:r w:rsidRPr="003E1666">
              <w:rPr>
                <w:spacing w:val="-2"/>
              </w:rPr>
              <w:t>Seed).</w:t>
            </w:r>
          </w:p>
        </w:tc>
        <w:tc>
          <w:tcPr>
            <w:tcW w:w="2022" w:type="dxa"/>
          </w:tcPr>
          <w:p w14:paraId="1C0EB7EA" w14:textId="77777777" w:rsidR="003E1666" w:rsidRPr="003E1666" w:rsidRDefault="003E1666" w:rsidP="003E1666">
            <w:pPr>
              <w:pStyle w:val="TableParagraph"/>
              <w:spacing w:before="198"/>
              <w:ind w:left="0"/>
              <w:rPr>
                <w:b/>
              </w:rPr>
            </w:pPr>
          </w:p>
          <w:p w14:paraId="7BB2562F" w14:textId="77777777" w:rsidR="003E1666" w:rsidRPr="003E1666" w:rsidRDefault="003E1666" w:rsidP="003E1666">
            <w:pPr>
              <w:pStyle w:val="TableParagraph"/>
              <w:ind w:left="7"/>
              <w:jc w:val="center"/>
            </w:pPr>
            <w:r w:rsidRPr="003E1666">
              <w:rPr>
                <w:spacing w:val="-2"/>
              </w:rPr>
              <w:t>43986</w:t>
            </w:r>
          </w:p>
        </w:tc>
        <w:tc>
          <w:tcPr>
            <w:tcW w:w="1213" w:type="dxa"/>
          </w:tcPr>
          <w:p w14:paraId="03A14289" w14:textId="77777777" w:rsidR="003E1666" w:rsidRPr="003E1666" w:rsidRDefault="003E1666" w:rsidP="003E1666">
            <w:pPr>
              <w:pStyle w:val="TableParagraph"/>
              <w:ind w:left="0"/>
              <w:rPr>
                <w:b/>
              </w:rPr>
            </w:pPr>
          </w:p>
          <w:p w14:paraId="5C82462D" w14:textId="77777777" w:rsidR="003E1666" w:rsidRPr="003E1666" w:rsidRDefault="003E1666" w:rsidP="003E1666">
            <w:pPr>
              <w:pStyle w:val="TableParagraph"/>
              <w:ind w:left="0"/>
              <w:rPr>
                <w:b/>
              </w:rPr>
            </w:pPr>
          </w:p>
          <w:p w14:paraId="0CCB2656" w14:textId="77777777" w:rsidR="003E1666" w:rsidRPr="003E1666" w:rsidRDefault="003E1666" w:rsidP="003E1666">
            <w:pPr>
              <w:pStyle w:val="TableParagraph"/>
              <w:spacing w:before="123"/>
              <w:ind w:left="0"/>
              <w:rPr>
                <w:b/>
              </w:rPr>
            </w:pPr>
          </w:p>
          <w:p w14:paraId="688A59A0" w14:textId="77777777" w:rsidR="003E1666" w:rsidRPr="003E1666" w:rsidRDefault="003E1666" w:rsidP="003E1666">
            <w:pPr>
              <w:pStyle w:val="TableParagraph"/>
              <w:spacing w:before="1"/>
              <w:ind w:left="6" w:right="33"/>
              <w:jc w:val="center"/>
            </w:pPr>
            <w:r w:rsidRPr="003E1666">
              <w:rPr>
                <w:spacing w:val="-2"/>
              </w:rPr>
              <w:t>80,125.66</w:t>
            </w:r>
          </w:p>
        </w:tc>
        <w:tc>
          <w:tcPr>
            <w:tcW w:w="1298" w:type="dxa"/>
          </w:tcPr>
          <w:p w14:paraId="1E9D4BA8" w14:textId="77777777" w:rsidR="003E1666" w:rsidRPr="003E1666" w:rsidRDefault="003E1666" w:rsidP="003E1666">
            <w:pPr>
              <w:pStyle w:val="TableParagraph"/>
              <w:spacing w:before="198"/>
              <w:ind w:left="0"/>
              <w:rPr>
                <w:b/>
              </w:rPr>
            </w:pPr>
          </w:p>
          <w:p w14:paraId="136C4187" w14:textId="77777777" w:rsidR="003E1666" w:rsidRPr="003E1666" w:rsidRDefault="003E1666" w:rsidP="003E1666">
            <w:pPr>
              <w:pStyle w:val="TableParagraph"/>
              <w:ind w:left="3"/>
              <w:jc w:val="center"/>
            </w:pPr>
            <w:r w:rsidRPr="003E1666">
              <w:rPr>
                <w:spacing w:val="-2"/>
              </w:rPr>
              <w:t>124,111.70</w:t>
            </w:r>
          </w:p>
        </w:tc>
        <w:tc>
          <w:tcPr>
            <w:tcW w:w="976" w:type="dxa"/>
          </w:tcPr>
          <w:p w14:paraId="3B1A952F" w14:textId="77777777" w:rsidR="003E1666" w:rsidRPr="003E1666" w:rsidRDefault="003E1666" w:rsidP="003E1666">
            <w:pPr>
              <w:pStyle w:val="TableParagraph"/>
              <w:spacing w:before="198"/>
              <w:ind w:left="0"/>
              <w:rPr>
                <w:b/>
              </w:rPr>
            </w:pPr>
          </w:p>
          <w:p w14:paraId="05DA0E4F" w14:textId="77777777" w:rsidR="003E1666" w:rsidRPr="003E1666" w:rsidRDefault="003E1666" w:rsidP="003E1666">
            <w:pPr>
              <w:pStyle w:val="TableParagraph"/>
              <w:ind w:left="0" w:right="1"/>
              <w:jc w:val="center"/>
            </w:pPr>
            <w:r w:rsidRPr="003E1666">
              <w:rPr>
                <w:spacing w:val="-4"/>
              </w:rPr>
              <w:t>1.82</w:t>
            </w:r>
          </w:p>
        </w:tc>
      </w:tr>
      <w:tr w:rsidR="003E1666" w:rsidRPr="003E1666" w14:paraId="79F58459" w14:textId="77777777" w:rsidTr="003E1666">
        <w:trPr>
          <w:trHeight w:val="635"/>
        </w:trPr>
        <w:tc>
          <w:tcPr>
            <w:tcW w:w="4045" w:type="dxa"/>
          </w:tcPr>
          <w:p w14:paraId="1EC5475B" w14:textId="77777777" w:rsidR="003E1666" w:rsidRPr="003E1666" w:rsidRDefault="003E1666" w:rsidP="003E1666">
            <w:pPr>
              <w:pStyle w:val="TableParagraph"/>
              <w:spacing w:line="275" w:lineRule="exact"/>
              <w:ind w:left="283"/>
            </w:pPr>
            <w:r w:rsidRPr="003E1666">
              <w:t>T5</w:t>
            </w:r>
            <w:r w:rsidRPr="003E1666">
              <w:rPr>
                <w:spacing w:val="-1"/>
              </w:rPr>
              <w:t xml:space="preserve"> </w:t>
            </w:r>
            <w:r w:rsidRPr="003E1666">
              <w:t>(60%</w:t>
            </w:r>
            <w:r w:rsidRPr="003E1666">
              <w:rPr>
                <w:spacing w:val="-1"/>
              </w:rPr>
              <w:t xml:space="preserve"> </w:t>
            </w:r>
            <w:r w:rsidRPr="003E1666">
              <w:t>RDF@N:52.24g,</w:t>
            </w:r>
            <w:r w:rsidRPr="003E1666">
              <w:rPr>
                <w:spacing w:val="-1"/>
              </w:rPr>
              <w:t xml:space="preserve"> </w:t>
            </w:r>
            <w:r w:rsidRPr="003E1666">
              <w:t xml:space="preserve">P: </w:t>
            </w:r>
            <w:r w:rsidRPr="003E1666">
              <w:rPr>
                <w:spacing w:val="-2"/>
              </w:rPr>
              <w:t>46.95,</w:t>
            </w:r>
          </w:p>
          <w:p w14:paraId="114F3FE2" w14:textId="77777777" w:rsidR="003E1666" w:rsidRPr="003E1666" w:rsidRDefault="003E1666" w:rsidP="003E1666">
            <w:pPr>
              <w:pStyle w:val="TableParagraph"/>
              <w:spacing w:before="41"/>
              <w:ind w:left="369"/>
            </w:pPr>
            <w:r w:rsidRPr="003E1666">
              <w:t>K:24g</w:t>
            </w:r>
            <w:r w:rsidRPr="003E1666">
              <w:rPr>
                <w:spacing w:val="-3"/>
              </w:rPr>
              <w:t xml:space="preserve"> </w:t>
            </w:r>
            <w:r w:rsidRPr="003E1666">
              <w:t>+</w:t>
            </w:r>
            <w:r w:rsidRPr="003E1666">
              <w:rPr>
                <w:spacing w:val="-1"/>
              </w:rPr>
              <w:t xml:space="preserve"> </w:t>
            </w:r>
            <w:hyperlink r:id="rId7">
              <w:r w:rsidRPr="003E1666">
                <w:t>Vermicompost@10.8</w:t>
              </w:r>
            </w:hyperlink>
            <w:r w:rsidRPr="003E1666">
              <w:t xml:space="preserve"> </w:t>
            </w:r>
            <w:r w:rsidRPr="003E1666">
              <w:rPr>
                <w:spacing w:val="-5"/>
              </w:rPr>
              <w:t>kg)</w:t>
            </w:r>
          </w:p>
        </w:tc>
        <w:tc>
          <w:tcPr>
            <w:tcW w:w="2022" w:type="dxa"/>
          </w:tcPr>
          <w:p w14:paraId="28528211" w14:textId="77777777" w:rsidR="003E1666" w:rsidRPr="003E1666" w:rsidRDefault="003E1666" w:rsidP="003E1666">
            <w:pPr>
              <w:pStyle w:val="TableParagraph"/>
              <w:spacing w:before="157"/>
              <w:ind w:left="7"/>
              <w:jc w:val="center"/>
            </w:pPr>
            <w:r w:rsidRPr="003E1666">
              <w:rPr>
                <w:spacing w:val="-2"/>
              </w:rPr>
              <w:t>45350</w:t>
            </w:r>
          </w:p>
        </w:tc>
        <w:tc>
          <w:tcPr>
            <w:tcW w:w="1213" w:type="dxa"/>
          </w:tcPr>
          <w:p w14:paraId="00548C2A" w14:textId="77777777" w:rsidR="003E1666" w:rsidRPr="003E1666" w:rsidRDefault="003E1666" w:rsidP="003E1666">
            <w:pPr>
              <w:pStyle w:val="TableParagraph"/>
              <w:spacing w:before="39"/>
              <w:ind w:left="0"/>
              <w:rPr>
                <w:b/>
              </w:rPr>
            </w:pPr>
          </w:p>
          <w:p w14:paraId="4691CD65" w14:textId="77777777" w:rsidR="003E1666" w:rsidRPr="003E1666" w:rsidRDefault="003E1666" w:rsidP="003E1666">
            <w:pPr>
              <w:pStyle w:val="TableParagraph"/>
              <w:ind w:left="6" w:right="33"/>
              <w:jc w:val="center"/>
            </w:pPr>
            <w:r w:rsidRPr="003E1666">
              <w:rPr>
                <w:spacing w:val="-2"/>
              </w:rPr>
              <w:t>47,094.33</w:t>
            </w:r>
          </w:p>
        </w:tc>
        <w:tc>
          <w:tcPr>
            <w:tcW w:w="1298" w:type="dxa"/>
          </w:tcPr>
          <w:p w14:paraId="628186FD" w14:textId="77777777" w:rsidR="003E1666" w:rsidRPr="003E1666" w:rsidRDefault="003E1666" w:rsidP="003E1666">
            <w:pPr>
              <w:pStyle w:val="TableParagraph"/>
              <w:spacing w:before="157"/>
              <w:ind w:left="3"/>
              <w:jc w:val="center"/>
            </w:pPr>
            <w:r w:rsidRPr="003E1666">
              <w:rPr>
                <w:spacing w:val="-2"/>
              </w:rPr>
              <w:t>92,444.34</w:t>
            </w:r>
          </w:p>
        </w:tc>
        <w:tc>
          <w:tcPr>
            <w:tcW w:w="976" w:type="dxa"/>
          </w:tcPr>
          <w:p w14:paraId="1E248455" w14:textId="77777777" w:rsidR="003E1666" w:rsidRPr="003E1666" w:rsidRDefault="003E1666" w:rsidP="003E1666">
            <w:pPr>
              <w:pStyle w:val="TableParagraph"/>
              <w:spacing w:before="157"/>
              <w:ind w:left="0" w:right="1"/>
              <w:jc w:val="center"/>
            </w:pPr>
            <w:r w:rsidRPr="003E1666">
              <w:rPr>
                <w:spacing w:val="-4"/>
              </w:rPr>
              <w:t>1.04</w:t>
            </w:r>
          </w:p>
        </w:tc>
      </w:tr>
      <w:tr w:rsidR="003E1666" w:rsidRPr="003E1666" w14:paraId="3395F531" w14:textId="77777777" w:rsidTr="003E1666">
        <w:trPr>
          <w:trHeight w:val="950"/>
        </w:trPr>
        <w:tc>
          <w:tcPr>
            <w:tcW w:w="4045" w:type="dxa"/>
          </w:tcPr>
          <w:p w14:paraId="5AE33182" w14:textId="77777777" w:rsidR="003E1666" w:rsidRPr="003E1666" w:rsidRDefault="003E1666" w:rsidP="003E1666">
            <w:pPr>
              <w:pStyle w:val="TableParagraph"/>
              <w:spacing w:line="275" w:lineRule="exact"/>
              <w:ind w:left="223"/>
            </w:pPr>
            <w:r w:rsidRPr="003E1666">
              <w:t>T6</w:t>
            </w:r>
            <w:r w:rsidRPr="003E1666">
              <w:rPr>
                <w:spacing w:val="-1"/>
              </w:rPr>
              <w:t xml:space="preserve"> </w:t>
            </w:r>
            <w:r w:rsidRPr="003E1666">
              <w:t>(60%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N:52.24g, P: </w:t>
            </w:r>
            <w:r w:rsidRPr="003E1666">
              <w:rPr>
                <w:spacing w:val="-2"/>
              </w:rPr>
              <w:t>46.95,</w:t>
            </w:r>
          </w:p>
          <w:p w14:paraId="58EF26B6" w14:textId="77777777" w:rsidR="003E1666" w:rsidRPr="003E1666" w:rsidRDefault="003E1666" w:rsidP="003E1666">
            <w:pPr>
              <w:pStyle w:val="TableParagraph"/>
              <w:spacing w:before="10" w:line="318" w:lineRule="exact"/>
              <w:ind w:left="786" w:hanging="497"/>
            </w:pPr>
            <w:r w:rsidRPr="003E1666">
              <w:t>K:24g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proofErr w:type="spellStart"/>
            <w:r w:rsidRPr="003E1666">
              <w:rPr>
                <w:i/>
                <w:iCs/>
              </w:rPr>
              <w:t>Azotobacter</w:t>
            </w:r>
            <w:proofErr w:type="spellEnd"/>
            <w:r w:rsidRPr="003E1666">
              <w:t>+ PSB@ 500 ml /Kg Seed).</w:t>
            </w:r>
          </w:p>
        </w:tc>
        <w:tc>
          <w:tcPr>
            <w:tcW w:w="2022" w:type="dxa"/>
          </w:tcPr>
          <w:p w14:paraId="69ACEFD4" w14:textId="77777777" w:rsidR="003E1666" w:rsidRPr="003E1666" w:rsidRDefault="003E1666" w:rsidP="003E1666">
            <w:pPr>
              <w:pStyle w:val="TableParagraph"/>
              <w:spacing w:before="39"/>
              <w:ind w:left="0"/>
              <w:rPr>
                <w:b/>
              </w:rPr>
            </w:pPr>
          </w:p>
          <w:p w14:paraId="2A797E72" w14:textId="77777777" w:rsidR="003E1666" w:rsidRPr="003E1666" w:rsidRDefault="003E1666" w:rsidP="003E1666">
            <w:pPr>
              <w:pStyle w:val="TableParagraph"/>
              <w:ind w:left="7"/>
              <w:jc w:val="center"/>
            </w:pPr>
            <w:r w:rsidRPr="003E1666">
              <w:rPr>
                <w:spacing w:val="-2"/>
              </w:rPr>
              <w:t>33000</w:t>
            </w:r>
          </w:p>
        </w:tc>
        <w:tc>
          <w:tcPr>
            <w:tcW w:w="1213" w:type="dxa"/>
          </w:tcPr>
          <w:p w14:paraId="11F49A82" w14:textId="77777777" w:rsidR="003E1666" w:rsidRPr="003E1666" w:rsidRDefault="003E1666" w:rsidP="003E1666">
            <w:pPr>
              <w:pStyle w:val="TableParagraph"/>
              <w:ind w:left="0"/>
              <w:rPr>
                <w:b/>
              </w:rPr>
            </w:pPr>
          </w:p>
          <w:p w14:paraId="6FD81E74" w14:textId="77777777" w:rsidR="003E1666" w:rsidRPr="003E1666" w:rsidRDefault="003E1666" w:rsidP="003E1666">
            <w:pPr>
              <w:pStyle w:val="TableParagraph"/>
              <w:spacing w:before="80"/>
              <w:ind w:left="0"/>
              <w:rPr>
                <w:b/>
              </w:rPr>
            </w:pPr>
          </w:p>
          <w:p w14:paraId="51152EF1" w14:textId="77777777" w:rsidR="003E1666" w:rsidRPr="003E1666" w:rsidRDefault="003E1666" w:rsidP="003E1666">
            <w:pPr>
              <w:pStyle w:val="TableParagraph"/>
              <w:spacing w:before="1"/>
              <w:ind w:left="30" w:right="27"/>
              <w:jc w:val="center"/>
            </w:pPr>
            <w:r w:rsidRPr="003E1666">
              <w:rPr>
                <w:spacing w:val="-2"/>
              </w:rPr>
              <w:t>53,015.67</w:t>
            </w:r>
          </w:p>
        </w:tc>
        <w:tc>
          <w:tcPr>
            <w:tcW w:w="1298" w:type="dxa"/>
          </w:tcPr>
          <w:p w14:paraId="34B6B57C" w14:textId="77777777" w:rsidR="003E1666" w:rsidRPr="003E1666" w:rsidRDefault="003E1666" w:rsidP="003E1666">
            <w:pPr>
              <w:pStyle w:val="TableParagraph"/>
              <w:spacing w:before="39"/>
              <w:ind w:left="0"/>
              <w:rPr>
                <w:b/>
              </w:rPr>
            </w:pPr>
          </w:p>
          <w:p w14:paraId="605D1908" w14:textId="77777777" w:rsidR="003E1666" w:rsidRPr="003E1666" w:rsidRDefault="003E1666" w:rsidP="003E1666">
            <w:pPr>
              <w:pStyle w:val="TableParagraph"/>
              <w:ind w:left="3"/>
              <w:jc w:val="center"/>
            </w:pPr>
            <w:r w:rsidRPr="003E1666">
              <w:rPr>
                <w:spacing w:val="-2"/>
              </w:rPr>
              <w:t>86,015.66</w:t>
            </w:r>
          </w:p>
        </w:tc>
        <w:tc>
          <w:tcPr>
            <w:tcW w:w="976" w:type="dxa"/>
          </w:tcPr>
          <w:p w14:paraId="6E963094" w14:textId="77777777" w:rsidR="003E1666" w:rsidRPr="003E1666" w:rsidRDefault="003E1666" w:rsidP="003E1666">
            <w:pPr>
              <w:pStyle w:val="TableParagraph"/>
              <w:spacing w:before="39"/>
              <w:ind w:left="0"/>
              <w:rPr>
                <w:b/>
              </w:rPr>
            </w:pPr>
          </w:p>
          <w:p w14:paraId="12D29475" w14:textId="77777777" w:rsidR="003E1666" w:rsidRPr="003E1666" w:rsidRDefault="003E1666" w:rsidP="003E1666">
            <w:pPr>
              <w:pStyle w:val="TableParagraph"/>
              <w:ind w:left="0" w:right="1"/>
              <w:jc w:val="center"/>
            </w:pPr>
            <w:r w:rsidRPr="003E1666">
              <w:rPr>
                <w:spacing w:val="-4"/>
              </w:rPr>
              <w:t>1.61</w:t>
            </w:r>
          </w:p>
        </w:tc>
      </w:tr>
      <w:tr w:rsidR="003E1666" w:rsidRPr="003E1666" w14:paraId="72CADC50" w14:textId="77777777" w:rsidTr="003E1666">
        <w:trPr>
          <w:trHeight w:val="1271"/>
        </w:trPr>
        <w:tc>
          <w:tcPr>
            <w:tcW w:w="4045" w:type="dxa"/>
          </w:tcPr>
          <w:p w14:paraId="1AEC247B" w14:textId="77777777" w:rsidR="003E1666" w:rsidRPr="003E1666" w:rsidRDefault="003E1666" w:rsidP="003E1666">
            <w:pPr>
              <w:pStyle w:val="TableParagraph"/>
              <w:spacing w:before="1"/>
              <w:ind w:left="36" w:right="29"/>
              <w:jc w:val="center"/>
            </w:pPr>
            <w:r w:rsidRPr="003E1666">
              <w:t>T7 (60%</w:t>
            </w:r>
            <w:r w:rsidRPr="003E1666">
              <w:rPr>
                <w:spacing w:val="-1"/>
              </w:rPr>
              <w:t xml:space="preserve"> </w:t>
            </w:r>
            <w:r w:rsidRPr="003E1666">
              <w:t>RDF</w:t>
            </w:r>
            <w:r w:rsidRPr="003E1666">
              <w:rPr>
                <w:spacing w:val="-2"/>
              </w:rPr>
              <w:t xml:space="preserve"> </w:t>
            </w:r>
            <w:r w:rsidRPr="003E1666">
              <w:t xml:space="preserve">@N:52.24g, P: </w:t>
            </w:r>
            <w:r w:rsidRPr="003E1666">
              <w:rPr>
                <w:spacing w:val="-2"/>
              </w:rPr>
              <w:t>46.95,</w:t>
            </w:r>
          </w:p>
          <w:p w14:paraId="704047B1" w14:textId="77777777" w:rsidR="003E1666" w:rsidRPr="003E1666" w:rsidRDefault="003E1666" w:rsidP="003E1666">
            <w:pPr>
              <w:pStyle w:val="TableParagraph"/>
              <w:spacing w:before="7" w:line="310" w:lineRule="atLeast"/>
              <w:ind w:left="36" w:right="27"/>
              <w:jc w:val="center"/>
            </w:pPr>
            <w:r w:rsidRPr="003E1666">
              <w:t xml:space="preserve">K:24g + </w:t>
            </w:r>
            <w:hyperlink r:id="rId8">
              <w:r w:rsidRPr="003E1666">
                <w:t>Vermicompost@10.8</w:t>
              </w:r>
            </w:hyperlink>
            <w:r w:rsidRPr="003E1666">
              <w:t xml:space="preserve"> kg + Biofertilizer</w:t>
            </w:r>
            <w:r w:rsidRPr="003E1666">
              <w:rPr>
                <w:spacing w:val="-10"/>
              </w:rPr>
              <w:t xml:space="preserve"> </w:t>
            </w:r>
            <w:r w:rsidRPr="003E1666">
              <w:t>(</w:t>
            </w:r>
            <w:proofErr w:type="spellStart"/>
            <w:r w:rsidRPr="003E1666">
              <w:rPr>
                <w:i/>
                <w:iCs/>
              </w:rPr>
              <w:t>Azotobacter</w:t>
            </w:r>
            <w:proofErr w:type="spellEnd"/>
            <w:r w:rsidRPr="003E1666">
              <w:rPr>
                <w:i/>
                <w:spacing w:val="-9"/>
              </w:rPr>
              <w:t xml:space="preserve"> </w:t>
            </w:r>
            <w:r w:rsidRPr="003E1666">
              <w:t>+</w:t>
            </w:r>
            <w:r w:rsidRPr="003E1666">
              <w:rPr>
                <w:spacing w:val="-10"/>
              </w:rPr>
              <w:t xml:space="preserve"> </w:t>
            </w:r>
            <w:r w:rsidRPr="003E1666">
              <w:t>PSB@</w:t>
            </w:r>
            <w:r w:rsidRPr="003E1666">
              <w:rPr>
                <w:spacing w:val="-10"/>
              </w:rPr>
              <w:t xml:space="preserve"> </w:t>
            </w:r>
            <w:r w:rsidRPr="003E1666">
              <w:t>500 ml /Kg Seed).</w:t>
            </w:r>
          </w:p>
        </w:tc>
        <w:tc>
          <w:tcPr>
            <w:tcW w:w="2022" w:type="dxa"/>
          </w:tcPr>
          <w:p w14:paraId="6D0B364D" w14:textId="77777777" w:rsidR="003E1666" w:rsidRPr="003E1666" w:rsidRDefault="003E1666" w:rsidP="003E1666">
            <w:pPr>
              <w:pStyle w:val="TableParagraph"/>
              <w:spacing w:before="200"/>
              <w:ind w:left="0"/>
              <w:rPr>
                <w:b/>
              </w:rPr>
            </w:pPr>
          </w:p>
          <w:p w14:paraId="622F227B" w14:textId="77777777" w:rsidR="003E1666" w:rsidRPr="003E1666" w:rsidRDefault="003E1666" w:rsidP="003E1666">
            <w:pPr>
              <w:pStyle w:val="TableParagraph"/>
              <w:ind w:left="7"/>
              <w:jc w:val="center"/>
            </w:pPr>
            <w:r w:rsidRPr="003E1666">
              <w:rPr>
                <w:spacing w:val="-2"/>
              </w:rPr>
              <w:t>45600</w:t>
            </w:r>
          </w:p>
        </w:tc>
        <w:tc>
          <w:tcPr>
            <w:tcW w:w="1213" w:type="dxa"/>
          </w:tcPr>
          <w:p w14:paraId="454AA1EC" w14:textId="77777777" w:rsidR="003E1666" w:rsidRPr="003E1666" w:rsidRDefault="003E1666" w:rsidP="003E1666">
            <w:pPr>
              <w:pStyle w:val="TableParagraph"/>
              <w:ind w:left="0"/>
              <w:rPr>
                <w:b/>
              </w:rPr>
            </w:pPr>
          </w:p>
          <w:p w14:paraId="5B32C163" w14:textId="77777777" w:rsidR="003E1666" w:rsidRPr="003E1666" w:rsidRDefault="003E1666" w:rsidP="003E1666">
            <w:pPr>
              <w:pStyle w:val="TableParagraph"/>
              <w:ind w:left="0"/>
              <w:rPr>
                <w:b/>
              </w:rPr>
            </w:pPr>
          </w:p>
          <w:p w14:paraId="4531C6F6" w14:textId="77777777" w:rsidR="003E1666" w:rsidRPr="003E1666" w:rsidRDefault="003E1666" w:rsidP="003E1666">
            <w:pPr>
              <w:pStyle w:val="TableParagraph"/>
              <w:spacing w:before="123"/>
              <w:ind w:left="0"/>
              <w:rPr>
                <w:b/>
              </w:rPr>
            </w:pPr>
          </w:p>
          <w:p w14:paraId="21AA9699" w14:textId="77777777" w:rsidR="003E1666" w:rsidRPr="003E1666" w:rsidRDefault="003E1666" w:rsidP="003E1666">
            <w:pPr>
              <w:pStyle w:val="TableParagraph"/>
              <w:spacing w:before="1"/>
              <w:ind w:left="30" w:right="27"/>
              <w:jc w:val="center"/>
            </w:pPr>
            <w:r w:rsidRPr="003E1666">
              <w:rPr>
                <w:spacing w:val="-2"/>
              </w:rPr>
              <w:t>65,043.33</w:t>
            </w:r>
          </w:p>
        </w:tc>
        <w:tc>
          <w:tcPr>
            <w:tcW w:w="1298" w:type="dxa"/>
          </w:tcPr>
          <w:p w14:paraId="28602D25" w14:textId="77777777" w:rsidR="003E1666" w:rsidRPr="003E1666" w:rsidRDefault="003E1666" w:rsidP="003E1666">
            <w:pPr>
              <w:pStyle w:val="TableParagraph"/>
              <w:spacing w:before="200"/>
              <w:ind w:left="0"/>
              <w:rPr>
                <w:b/>
              </w:rPr>
            </w:pPr>
          </w:p>
          <w:p w14:paraId="0CB0BBD0" w14:textId="77777777" w:rsidR="003E1666" w:rsidRPr="003E1666" w:rsidRDefault="003E1666" w:rsidP="003E1666">
            <w:pPr>
              <w:pStyle w:val="TableParagraph"/>
              <w:ind w:left="3"/>
              <w:jc w:val="center"/>
            </w:pPr>
            <w:r w:rsidRPr="003E1666">
              <w:rPr>
                <w:spacing w:val="-2"/>
              </w:rPr>
              <w:t>110,643.30</w:t>
            </w:r>
          </w:p>
        </w:tc>
        <w:tc>
          <w:tcPr>
            <w:tcW w:w="976" w:type="dxa"/>
          </w:tcPr>
          <w:p w14:paraId="7321C618" w14:textId="77777777" w:rsidR="003E1666" w:rsidRPr="003E1666" w:rsidRDefault="003E1666" w:rsidP="003E1666">
            <w:pPr>
              <w:pStyle w:val="TableParagraph"/>
              <w:spacing w:before="200"/>
              <w:ind w:left="0"/>
              <w:rPr>
                <w:b/>
              </w:rPr>
            </w:pPr>
          </w:p>
          <w:p w14:paraId="71B97503" w14:textId="77777777" w:rsidR="003E1666" w:rsidRPr="003E1666" w:rsidRDefault="003E1666" w:rsidP="003E1666">
            <w:pPr>
              <w:pStyle w:val="TableParagraph"/>
              <w:ind w:left="0" w:right="1"/>
              <w:jc w:val="center"/>
            </w:pPr>
            <w:r w:rsidRPr="003E1666">
              <w:rPr>
                <w:spacing w:val="-4"/>
              </w:rPr>
              <w:t>1.43</w:t>
            </w:r>
          </w:p>
        </w:tc>
      </w:tr>
      <w:tr w:rsidR="003E1666" w:rsidRPr="003E1666" w14:paraId="6F7C0C9F" w14:textId="77777777" w:rsidTr="003E1666">
        <w:trPr>
          <w:trHeight w:val="429"/>
        </w:trPr>
        <w:tc>
          <w:tcPr>
            <w:tcW w:w="4045" w:type="dxa"/>
          </w:tcPr>
          <w:p w14:paraId="6B72DC60" w14:textId="77777777" w:rsidR="003E1666" w:rsidRPr="003E1666" w:rsidRDefault="003E1666" w:rsidP="003E1666">
            <w:pPr>
              <w:pStyle w:val="TableParagraph"/>
              <w:spacing w:before="54"/>
              <w:ind w:left="36" w:right="32"/>
              <w:jc w:val="center"/>
            </w:pPr>
            <w:r w:rsidRPr="003E1666">
              <w:t>T8</w:t>
            </w:r>
            <w:r w:rsidRPr="003E1666">
              <w:rPr>
                <w:spacing w:val="-1"/>
              </w:rPr>
              <w:t xml:space="preserve"> </w:t>
            </w:r>
            <w:r w:rsidRPr="003E1666">
              <w:t>(100%</w:t>
            </w:r>
            <w:r w:rsidRPr="003E1666">
              <w:rPr>
                <w:spacing w:val="-1"/>
              </w:rPr>
              <w:t xml:space="preserve"> </w:t>
            </w:r>
            <w:r w:rsidRPr="003E1666">
              <w:t>Vermicompost</w:t>
            </w:r>
            <w:r w:rsidRPr="003E1666">
              <w:rPr>
                <w:spacing w:val="-1"/>
              </w:rPr>
              <w:t xml:space="preserve"> </w:t>
            </w:r>
            <w:r w:rsidRPr="003E1666">
              <w:t xml:space="preserve">@20 </w:t>
            </w:r>
            <w:r w:rsidRPr="003E1666">
              <w:rPr>
                <w:spacing w:val="-5"/>
              </w:rPr>
              <w:t>Kg)</w:t>
            </w:r>
          </w:p>
        </w:tc>
        <w:tc>
          <w:tcPr>
            <w:tcW w:w="2022" w:type="dxa"/>
          </w:tcPr>
          <w:p w14:paraId="307D3DB2" w14:textId="77777777" w:rsidR="003E1666" w:rsidRPr="003E1666" w:rsidRDefault="003E1666" w:rsidP="003E1666">
            <w:pPr>
              <w:pStyle w:val="TableParagraph"/>
              <w:spacing w:before="54"/>
              <w:ind w:left="7"/>
              <w:jc w:val="center"/>
            </w:pPr>
            <w:r w:rsidRPr="003E1666">
              <w:rPr>
                <w:spacing w:val="-2"/>
              </w:rPr>
              <w:t>54603</w:t>
            </w:r>
          </w:p>
        </w:tc>
        <w:tc>
          <w:tcPr>
            <w:tcW w:w="1213" w:type="dxa"/>
          </w:tcPr>
          <w:p w14:paraId="4FB4A204" w14:textId="77777777" w:rsidR="003E1666" w:rsidRPr="003E1666" w:rsidRDefault="003E1666" w:rsidP="003E1666">
            <w:pPr>
              <w:pStyle w:val="TableParagraph"/>
              <w:spacing w:before="111"/>
              <w:ind w:left="30" w:right="27"/>
              <w:jc w:val="center"/>
            </w:pPr>
            <w:r w:rsidRPr="003E1666">
              <w:rPr>
                <w:spacing w:val="-2"/>
              </w:rPr>
              <w:t>31,295.67</w:t>
            </w:r>
          </w:p>
        </w:tc>
        <w:tc>
          <w:tcPr>
            <w:tcW w:w="1298" w:type="dxa"/>
          </w:tcPr>
          <w:p w14:paraId="5FB850D0" w14:textId="77777777" w:rsidR="003E1666" w:rsidRPr="003E1666" w:rsidRDefault="003E1666" w:rsidP="003E1666">
            <w:pPr>
              <w:pStyle w:val="TableParagraph"/>
              <w:spacing w:before="54"/>
              <w:ind w:left="3"/>
              <w:jc w:val="center"/>
            </w:pPr>
            <w:r w:rsidRPr="003E1666">
              <w:rPr>
                <w:spacing w:val="-2"/>
              </w:rPr>
              <w:t>85,898.66</w:t>
            </w:r>
          </w:p>
        </w:tc>
        <w:tc>
          <w:tcPr>
            <w:tcW w:w="976" w:type="dxa"/>
          </w:tcPr>
          <w:p w14:paraId="3D0121D7" w14:textId="77777777" w:rsidR="003E1666" w:rsidRPr="003E1666" w:rsidRDefault="003E1666" w:rsidP="003E1666">
            <w:pPr>
              <w:pStyle w:val="TableParagraph"/>
              <w:spacing w:before="54"/>
              <w:ind w:left="0" w:right="1"/>
              <w:jc w:val="center"/>
            </w:pPr>
            <w:r w:rsidRPr="003E1666">
              <w:rPr>
                <w:spacing w:val="-4"/>
              </w:rPr>
              <w:t>0.57</w:t>
            </w:r>
          </w:p>
        </w:tc>
      </w:tr>
      <w:tr w:rsidR="003E1666" w:rsidRPr="003E1666" w14:paraId="4CE4F5C7" w14:textId="77777777" w:rsidTr="003E1666">
        <w:trPr>
          <w:trHeight w:val="635"/>
        </w:trPr>
        <w:tc>
          <w:tcPr>
            <w:tcW w:w="4045" w:type="dxa"/>
          </w:tcPr>
          <w:p w14:paraId="04FD0F99" w14:textId="77777777" w:rsidR="003E1666" w:rsidRPr="003E1666" w:rsidRDefault="003E1666" w:rsidP="003E1666">
            <w:pPr>
              <w:pStyle w:val="TableParagraph"/>
              <w:spacing w:line="275" w:lineRule="exact"/>
              <w:ind w:left="36" w:right="29"/>
              <w:jc w:val="center"/>
            </w:pPr>
            <w:r w:rsidRPr="003E1666">
              <w:t>T9</w:t>
            </w:r>
            <w:r w:rsidRPr="003E1666">
              <w:rPr>
                <w:spacing w:val="-2"/>
              </w:rPr>
              <w:t xml:space="preserve"> </w:t>
            </w:r>
            <w:r w:rsidRPr="003E1666">
              <w:t>(100%</w:t>
            </w:r>
            <w:r w:rsidRPr="003E1666">
              <w:rPr>
                <w:spacing w:val="-3"/>
              </w:rPr>
              <w:t xml:space="preserve"> </w:t>
            </w:r>
            <w:r w:rsidRPr="003E1666">
              <w:t xml:space="preserve">Biofertilizer </w:t>
            </w:r>
            <w:r w:rsidRPr="003E1666">
              <w:rPr>
                <w:spacing w:val="-2"/>
              </w:rPr>
              <w:t>(</w:t>
            </w:r>
            <w:proofErr w:type="spellStart"/>
            <w:r w:rsidRPr="003E1666">
              <w:rPr>
                <w:i/>
                <w:iCs/>
                <w:spacing w:val="-2"/>
              </w:rPr>
              <w:t>Azotobacter</w:t>
            </w:r>
            <w:proofErr w:type="spellEnd"/>
            <w:r w:rsidRPr="003E1666">
              <w:rPr>
                <w:spacing w:val="-2"/>
              </w:rPr>
              <w:t>+</w:t>
            </w:r>
          </w:p>
          <w:p w14:paraId="7B4C2058" w14:textId="77777777" w:rsidR="003E1666" w:rsidRPr="003E1666" w:rsidRDefault="003E1666" w:rsidP="003E1666">
            <w:pPr>
              <w:pStyle w:val="TableParagraph"/>
              <w:spacing w:before="41"/>
              <w:ind w:left="36" w:right="27"/>
              <w:jc w:val="center"/>
            </w:pPr>
            <w:r w:rsidRPr="003E1666">
              <w:t>PSB@500 ml</w:t>
            </w:r>
            <w:r w:rsidRPr="003E1666">
              <w:rPr>
                <w:spacing w:val="-2"/>
              </w:rPr>
              <w:t xml:space="preserve"> </w:t>
            </w:r>
            <w:r w:rsidRPr="003E1666">
              <w:t xml:space="preserve">/Kg </w:t>
            </w:r>
            <w:r w:rsidRPr="003E1666">
              <w:rPr>
                <w:spacing w:val="-2"/>
              </w:rPr>
              <w:t>Seed).</w:t>
            </w:r>
          </w:p>
        </w:tc>
        <w:tc>
          <w:tcPr>
            <w:tcW w:w="2022" w:type="dxa"/>
          </w:tcPr>
          <w:p w14:paraId="3281BFEA" w14:textId="77777777" w:rsidR="003E1666" w:rsidRPr="003E1666" w:rsidRDefault="003E1666" w:rsidP="003E1666">
            <w:pPr>
              <w:pStyle w:val="TableParagraph"/>
              <w:spacing w:before="157"/>
              <w:ind w:left="7"/>
              <w:jc w:val="center"/>
            </w:pPr>
            <w:r w:rsidRPr="003E1666">
              <w:rPr>
                <w:spacing w:val="-2"/>
              </w:rPr>
              <w:t>32022</w:t>
            </w:r>
          </w:p>
        </w:tc>
        <w:tc>
          <w:tcPr>
            <w:tcW w:w="1213" w:type="dxa"/>
          </w:tcPr>
          <w:p w14:paraId="36AC35DF" w14:textId="77777777" w:rsidR="003E1666" w:rsidRPr="003E1666" w:rsidRDefault="003E1666" w:rsidP="003E1666">
            <w:pPr>
              <w:pStyle w:val="TableParagraph"/>
              <w:spacing w:before="39"/>
              <w:ind w:left="0"/>
              <w:rPr>
                <w:b/>
              </w:rPr>
            </w:pPr>
          </w:p>
          <w:p w14:paraId="079B78E4" w14:textId="77777777" w:rsidR="003E1666" w:rsidRPr="003E1666" w:rsidRDefault="003E1666" w:rsidP="003E1666">
            <w:pPr>
              <w:pStyle w:val="TableParagraph"/>
              <w:ind w:left="30" w:right="27"/>
              <w:jc w:val="center"/>
            </w:pPr>
            <w:r w:rsidRPr="003E1666">
              <w:rPr>
                <w:spacing w:val="-2"/>
              </w:rPr>
              <w:t>53,212.00</w:t>
            </w:r>
          </w:p>
        </w:tc>
        <w:tc>
          <w:tcPr>
            <w:tcW w:w="1298" w:type="dxa"/>
          </w:tcPr>
          <w:p w14:paraId="7279843D" w14:textId="77777777" w:rsidR="003E1666" w:rsidRPr="003E1666" w:rsidRDefault="003E1666" w:rsidP="003E1666">
            <w:pPr>
              <w:pStyle w:val="TableParagraph"/>
              <w:spacing w:before="157"/>
              <w:ind w:left="3"/>
              <w:jc w:val="center"/>
            </w:pPr>
            <w:r w:rsidRPr="003E1666">
              <w:rPr>
                <w:spacing w:val="-2"/>
              </w:rPr>
              <w:t>85,234.00</w:t>
            </w:r>
          </w:p>
        </w:tc>
        <w:tc>
          <w:tcPr>
            <w:tcW w:w="976" w:type="dxa"/>
          </w:tcPr>
          <w:p w14:paraId="3AD307F4" w14:textId="77777777" w:rsidR="003E1666" w:rsidRPr="003E1666" w:rsidRDefault="003E1666" w:rsidP="003E1666">
            <w:pPr>
              <w:pStyle w:val="TableParagraph"/>
              <w:spacing w:before="157"/>
              <w:ind w:left="0" w:right="1"/>
              <w:jc w:val="center"/>
            </w:pPr>
            <w:r w:rsidRPr="003E1666">
              <w:rPr>
                <w:spacing w:val="-4"/>
              </w:rPr>
              <w:t>1.66</w:t>
            </w:r>
          </w:p>
        </w:tc>
      </w:tr>
    </w:tbl>
    <w:p w14:paraId="6B4E05C3" w14:textId="06B5C0D8" w:rsidR="0030109D" w:rsidRPr="003E1666" w:rsidRDefault="003E1666" w:rsidP="0030109D">
      <w:pPr>
        <w:jc w:val="both"/>
        <w:rPr>
          <w:rFonts w:ascii="Times New Roman" w:hAnsi="Times New Roman" w:cs="Times New Roman"/>
          <w:b/>
          <w:bCs/>
        </w:rPr>
      </w:pPr>
      <w:r w:rsidRPr="003E1666">
        <w:rPr>
          <w:rFonts w:ascii="Times New Roman" w:hAnsi="Times New Roman" w:cs="Times New Roman"/>
          <w:b/>
          <w:bCs/>
        </w:rPr>
        <w:t xml:space="preserve"> </w:t>
      </w:r>
      <w:r w:rsidR="00B24E6A" w:rsidRPr="003E1666">
        <w:rPr>
          <w:rFonts w:ascii="Times New Roman" w:hAnsi="Times New Roman" w:cs="Times New Roman"/>
          <w:b/>
          <w:bCs/>
        </w:rPr>
        <w:t>Table</w:t>
      </w:r>
      <w:r w:rsidR="0030109D" w:rsidRPr="003E1666">
        <w:rPr>
          <w:rFonts w:ascii="Times New Roman" w:hAnsi="Times New Roman" w:cs="Times New Roman"/>
          <w:b/>
          <w:bCs/>
        </w:rPr>
        <w:t>. 4.</w:t>
      </w:r>
      <w:r w:rsidR="00B24E6A" w:rsidRPr="003E1666">
        <w:rPr>
          <w:rFonts w:ascii="Times New Roman" w:hAnsi="Times New Roman" w:cs="Times New Roman"/>
          <w:b/>
          <w:bCs/>
        </w:rPr>
        <w:t>2</w:t>
      </w:r>
      <w:r w:rsidR="0030109D" w:rsidRPr="003E1666">
        <w:rPr>
          <w:rFonts w:ascii="Times New Roman" w:hAnsi="Times New Roman" w:cs="Times New Roman"/>
          <w:b/>
          <w:bCs/>
        </w:rPr>
        <w:t>. Effect of Integrated nutrient management on Cost of cultivation, Net return, Gross return and B.C ratio on mustard.</w:t>
      </w:r>
    </w:p>
    <w:p w14:paraId="4D8E52B8" w14:textId="77777777" w:rsidR="0030109D" w:rsidRDefault="0030109D" w:rsidP="0030109D">
      <w:pPr>
        <w:pStyle w:val="BodyText"/>
        <w:spacing w:before="171"/>
        <w:rPr>
          <w:b/>
          <w:sz w:val="20"/>
        </w:rPr>
      </w:pPr>
    </w:p>
    <w:p w14:paraId="7BDB236A" w14:textId="77777777" w:rsidR="00BB6BEB" w:rsidRDefault="00BB6BEB" w:rsidP="00256BC1">
      <w:pPr>
        <w:jc w:val="both"/>
        <w:rPr>
          <w:rFonts w:ascii="Times New Roman" w:hAnsi="Times New Roman" w:cs="Times New Roman"/>
          <w:sz w:val="24"/>
          <w:szCs w:val="24"/>
        </w:rPr>
      </w:pPr>
    </w:p>
    <w:p w14:paraId="4AD11605" w14:textId="77777777" w:rsidR="004A1F65" w:rsidRDefault="004A1F65" w:rsidP="00256BC1">
      <w:pPr>
        <w:jc w:val="both"/>
        <w:rPr>
          <w:rFonts w:ascii="Times New Roman" w:hAnsi="Times New Roman" w:cs="Times New Roman"/>
          <w:sz w:val="24"/>
          <w:szCs w:val="24"/>
        </w:rPr>
      </w:pPr>
    </w:p>
    <w:p w14:paraId="78184681" w14:textId="77777777" w:rsidR="004A1F65" w:rsidRDefault="004A1F65" w:rsidP="00256BC1">
      <w:pPr>
        <w:jc w:val="both"/>
        <w:rPr>
          <w:rFonts w:ascii="Times New Roman" w:hAnsi="Times New Roman" w:cs="Times New Roman"/>
          <w:sz w:val="24"/>
          <w:szCs w:val="24"/>
        </w:rPr>
      </w:pPr>
    </w:p>
    <w:p w14:paraId="30FE6DF5" w14:textId="77777777" w:rsidR="004A1F65" w:rsidRDefault="004A1F65" w:rsidP="00256BC1">
      <w:pPr>
        <w:jc w:val="both"/>
        <w:rPr>
          <w:rFonts w:ascii="Times New Roman" w:hAnsi="Times New Roman" w:cs="Times New Roman"/>
          <w:sz w:val="24"/>
          <w:szCs w:val="24"/>
        </w:rPr>
      </w:pPr>
    </w:p>
    <w:p w14:paraId="7946AF94" w14:textId="21271B97" w:rsidR="004A1F65" w:rsidRDefault="003E1666" w:rsidP="00256BC1">
      <w:pPr>
        <w:jc w:val="both"/>
        <w:rPr>
          <w:rFonts w:ascii="Times New Roman" w:hAnsi="Times New Roman" w:cs="Times New Roman"/>
          <w:sz w:val="24"/>
          <w:szCs w:val="24"/>
        </w:rPr>
      </w:pPr>
      <w:r>
        <w:rPr>
          <w:noProof/>
        </w:rPr>
        <w:lastRenderedPageBreak/>
        <w:drawing>
          <wp:inline distT="0" distB="0" distL="0" distR="0" wp14:anchorId="745A3E87" wp14:editId="47E7DDB1">
            <wp:extent cx="5623560" cy="2948940"/>
            <wp:effectExtent l="0" t="0" r="15240" b="3810"/>
            <wp:docPr id="1793384606"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834BBB" w14:textId="594766E3" w:rsidR="004A1F65" w:rsidRDefault="00B81D4F" w:rsidP="003E1666">
      <w:pPr>
        <w:spacing w:line="276" w:lineRule="auto"/>
        <w:ind w:right="974"/>
        <w:rPr>
          <w:b/>
          <w:sz w:val="24"/>
        </w:rPr>
      </w:pPr>
      <w:r>
        <w:rPr>
          <w:b/>
          <w:sz w:val="24"/>
        </w:rPr>
        <w:t xml:space="preserve">Fig.1. </w:t>
      </w:r>
      <w:r w:rsidR="004A1F65">
        <w:rPr>
          <w:b/>
          <w:sz w:val="24"/>
        </w:rPr>
        <w:t>Available</w:t>
      </w:r>
      <w:r w:rsidR="004A1F65">
        <w:rPr>
          <w:b/>
          <w:spacing w:val="-4"/>
          <w:sz w:val="24"/>
        </w:rPr>
        <w:t xml:space="preserve"> </w:t>
      </w:r>
      <w:r w:rsidR="004A1F65">
        <w:rPr>
          <w:b/>
          <w:sz w:val="24"/>
        </w:rPr>
        <w:t>Nitrogen</w:t>
      </w:r>
      <w:r w:rsidR="004A1F65">
        <w:rPr>
          <w:b/>
          <w:spacing w:val="-2"/>
          <w:sz w:val="24"/>
        </w:rPr>
        <w:t xml:space="preserve"> </w:t>
      </w:r>
      <w:r w:rsidR="00F965F4">
        <w:rPr>
          <w:b/>
          <w:spacing w:val="-2"/>
          <w:sz w:val="24"/>
        </w:rPr>
        <w:t xml:space="preserve">and Phosphorus </w:t>
      </w:r>
      <w:r w:rsidR="004A1F65">
        <w:rPr>
          <w:b/>
          <w:sz w:val="24"/>
        </w:rPr>
        <w:t>content</w:t>
      </w:r>
      <w:r w:rsidR="004A1F65">
        <w:rPr>
          <w:b/>
          <w:spacing w:val="-4"/>
          <w:sz w:val="24"/>
        </w:rPr>
        <w:t xml:space="preserve"> </w:t>
      </w:r>
      <w:r w:rsidR="004A1F65">
        <w:rPr>
          <w:b/>
          <w:sz w:val="24"/>
        </w:rPr>
        <w:t>in</w:t>
      </w:r>
      <w:r w:rsidR="004A1F65">
        <w:rPr>
          <w:b/>
          <w:spacing w:val="-3"/>
          <w:sz w:val="24"/>
        </w:rPr>
        <w:t xml:space="preserve"> </w:t>
      </w:r>
      <w:r w:rsidR="004A1F65">
        <w:rPr>
          <w:b/>
          <w:sz w:val="24"/>
        </w:rPr>
        <w:t>Soil</w:t>
      </w:r>
      <w:r w:rsidR="004A1F65">
        <w:rPr>
          <w:b/>
          <w:spacing w:val="-3"/>
          <w:sz w:val="24"/>
        </w:rPr>
        <w:t xml:space="preserve"> </w:t>
      </w:r>
      <w:r w:rsidR="004A1F65">
        <w:rPr>
          <w:b/>
          <w:sz w:val="24"/>
        </w:rPr>
        <w:t>under</w:t>
      </w:r>
      <w:r w:rsidR="004A1F65">
        <w:rPr>
          <w:b/>
          <w:spacing w:val="-5"/>
          <w:sz w:val="24"/>
        </w:rPr>
        <w:t xml:space="preserve"> </w:t>
      </w:r>
      <w:r w:rsidR="004A1F65">
        <w:rPr>
          <w:b/>
          <w:sz w:val="24"/>
        </w:rPr>
        <w:t>the</w:t>
      </w:r>
      <w:r w:rsidR="004A1F65">
        <w:rPr>
          <w:b/>
          <w:spacing w:val="-5"/>
          <w:sz w:val="24"/>
        </w:rPr>
        <w:t xml:space="preserve"> </w:t>
      </w:r>
      <w:r w:rsidR="004A1F65">
        <w:rPr>
          <w:b/>
          <w:sz w:val="24"/>
        </w:rPr>
        <w:t>influence</w:t>
      </w:r>
      <w:r w:rsidR="004A1F65">
        <w:rPr>
          <w:b/>
          <w:spacing w:val="-5"/>
          <w:sz w:val="24"/>
        </w:rPr>
        <w:t xml:space="preserve"> </w:t>
      </w:r>
      <w:r w:rsidR="004A1F65">
        <w:rPr>
          <w:b/>
          <w:sz w:val="24"/>
        </w:rPr>
        <w:t>of</w:t>
      </w:r>
      <w:r>
        <w:rPr>
          <w:b/>
          <w:spacing w:val="-4"/>
          <w:sz w:val="24"/>
        </w:rPr>
        <w:t xml:space="preserve"> </w:t>
      </w:r>
      <w:r w:rsidR="004A1F65">
        <w:rPr>
          <w:b/>
          <w:sz w:val="24"/>
        </w:rPr>
        <w:t>Integrated</w:t>
      </w:r>
      <w:r w:rsidR="004A1F65">
        <w:rPr>
          <w:b/>
          <w:spacing w:val="-4"/>
          <w:sz w:val="24"/>
        </w:rPr>
        <w:t xml:space="preserve"> </w:t>
      </w:r>
      <w:r w:rsidR="004A1F65">
        <w:rPr>
          <w:b/>
          <w:sz w:val="24"/>
        </w:rPr>
        <w:t>nutrient management on Mustard.</w:t>
      </w:r>
    </w:p>
    <w:p w14:paraId="456D131E" w14:textId="77777777" w:rsidR="004A1F65" w:rsidRPr="00256BC1" w:rsidRDefault="004A1F65" w:rsidP="00256BC1">
      <w:pPr>
        <w:jc w:val="both"/>
        <w:rPr>
          <w:rFonts w:ascii="Times New Roman" w:hAnsi="Times New Roman" w:cs="Times New Roman"/>
          <w:sz w:val="24"/>
          <w:szCs w:val="24"/>
        </w:rPr>
      </w:pPr>
    </w:p>
    <w:sectPr w:rsidR="004A1F65" w:rsidRPr="00256BC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E681" w14:textId="77777777" w:rsidR="0092559E" w:rsidRDefault="0092559E" w:rsidP="00035179">
      <w:pPr>
        <w:spacing w:after="0" w:line="240" w:lineRule="auto"/>
      </w:pPr>
      <w:r>
        <w:separator/>
      </w:r>
    </w:p>
  </w:endnote>
  <w:endnote w:type="continuationSeparator" w:id="0">
    <w:p w14:paraId="1E88F608" w14:textId="77777777" w:rsidR="0092559E" w:rsidRDefault="0092559E" w:rsidP="0003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1679" w14:textId="77777777" w:rsidR="00035179" w:rsidRDefault="0003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F5F1" w14:textId="77777777" w:rsidR="00035179" w:rsidRDefault="00035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E744" w14:textId="77777777" w:rsidR="00035179" w:rsidRDefault="0003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0A66" w14:textId="77777777" w:rsidR="0092559E" w:rsidRDefault="0092559E" w:rsidP="00035179">
      <w:pPr>
        <w:spacing w:after="0" w:line="240" w:lineRule="auto"/>
      </w:pPr>
      <w:r>
        <w:separator/>
      </w:r>
    </w:p>
  </w:footnote>
  <w:footnote w:type="continuationSeparator" w:id="0">
    <w:p w14:paraId="661EE5EB" w14:textId="77777777" w:rsidR="0092559E" w:rsidRDefault="0092559E" w:rsidP="0003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3AA0" w14:textId="1A5D1C5F" w:rsidR="00035179" w:rsidRDefault="00035179">
    <w:pPr>
      <w:pStyle w:val="Header"/>
    </w:pPr>
    <w:r>
      <w:rPr>
        <w:noProof/>
      </w:rPr>
      <w:pict w14:anchorId="6B2F8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EE9C" w14:textId="78EFE39F" w:rsidR="00035179" w:rsidRDefault="00035179">
    <w:pPr>
      <w:pStyle w:val="Header"/>
    </w:pPr>
    <w:r>
      <w:rPr>
        <w:noProof/>
      </w:rPr>
      <w:pict w14:anchorId="5DD96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7D3A" w14:textId="6E8F5CBF" w:rsidR="00035179" w:rsidRDefault="00035179">
    <w:pPr>
      <w:pStyle w:val="Header"/>
    </w:pPr>
    <w:r>
      <w:rPr>
        <w:noProof/>
      </w:rPr>
      <w:pict w14:anchorId="5B192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4D2"/>
    <w:multiLevelType w:val="multilevel"/>
    <w:tmpl w:val="F04C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00903"/>
    <w:multiLevelType w:val="multilevel"/>
    <w:tmpl w:val="D070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A278D"/>
    <w:multiLevelType w:val="multilevel"/>
    <w:tmpl w:val="23F0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4E"/>
    <w:rsid w:val="00035179"/>
    <w:rsid w:val="00093C79"/>
    <w:rsid w:val="00115EBC"/>
    <w:rsid w:val="00131544"/>
    <w:rsid w:val="00150748"/>
    <w:rsid w:val="001A2CA4"/>
    <w:rsid w:val="001A439C"/>
    <w:rsid w:val="001E16E8"/>
    <w:rsid w:val="002142BF"/>
    <w:rsid w:val="00222A48"/>
    <w:rsid w:val="00256BC1"/>
    <w:rsid w:val="00281D1E"/>
    <w:rsid w:val="0028203F"/>
    <w:rsid w:val="002848C0"/>
    <w:rsid w:val="002A2B82"/>
    <w:rsid w:val="0030109D"/>
    <w:rsid w:val="0031742E"/>
    <w:rsid w:val="00331ED9"/>
    <w:rsid w:val="00355318"/>
    <w:rsid w:val="00367447"/>
    <w:rsid w:val="00377BA4"/>
    <w:rsid w:val="003B1B81"/>
    <w:rsid w:val="003E1666"/>
    <w:rsid w:val="003E2278"/>
    <w:rsid w:val="003F2C63"/>
    <w:rsid w:val="0040222C"/>
    <w:rsid w:val="0044423E"/>
    <w:rsid w:val="00497C74"/>
    <w:rsid w:val="004A1F65"/>
    <w:rsid w:val="004B77EE"/>
    <w:rsid w:val="004D199E"/>
    <w:rsid w:val="004D2A30"/>
    <w:rsid w:val="004D7975"/>
    <w:rsid w:val="0053471D"/>
    <w:rsid w:val="00572050"/>
    <w:rsid w:val="005973C4"/>
    <w:rsid w:val="005A16EF"/>
    <w:rsid w:val="005C3951"/>
    <w:rsid w:val="00652755"/>
    <w:rsid w:val="006A5249"/>
    <w:rsid w:val="00735A6A"/>
    <w:rsid w:val="00755A31"/>
    <w:rsid w:val="007B0037"/>
    <w:rsid w:val="007D3E76"/>
    <w:rsid w:val="00815C8E"/>
    <w:rsid w:val="008505B9"/>
    <w:rsid w:val="008633C0"/>
    <w:rsid w:val="008A3766"/>
    <w:rsid w:val="008C789A"/>
    <w:rsid w:val="00917097"/>
    <w:rsid w:val="0092559E"/>
    <w:rsid w:val="009467F1"/>
    <w:rsid w:val="00951A66"/>
    <w:rsid w:val="0097661E"/>
    <w:rsid w:val="009A6CD1"/>
    <w:rsid w:val="009C4098"/>
    <w:rsid w:val="009D76AE"/>
    <w:rsid w:val="009E0792"/>
    <w:rsid w:val="009F3152"/>
    <w:rsid w:val="00A040CD"/>
    <w:rsid w:val="00A41B6C"/>
    <w:rsid w:val="00A5239E"/>
    <w:rsid w:val="00A631BA"/>
    <w:rsid w:val="00A730E9"/>
    <w:rsid w:val="00A871D6"/>
    <w:rsid w:val="00AD2C0E"/>
    <w:rsid w:val="00B03B98"/>
    <w:rsid w:val="00B24E6A"/>
    <w:rsid w:val="00B52BE8"/>
    <w:rsid w:val="00B81D4F"/>
    <w:rsid w:val="00B92285"/>
    <w:rsid w:val="00BB5F5A"/>
    <w:rsid w:val="00BB6BEB"/>
    <w:rsid w:val="00C12A77"/>
    <w:rsid w:val="00C1454E"/>
    <w:rsid w:val="00C17E20"/>
    <w:rsid w:val="00CA5D54"/>
    <w:rsid w:val="00D52A3F"/>
    <w:rsid w:val="00D72AD2"/>
    <w:rsid w:val="00D72F16"/>
    <w:rsid w:val="00D85FB2"/>
    <w:rsid w:val="00DA0117"/>
    <w:rsid w:val="00DC3378"/>
    <w:rsid w:val="00E51CFC"/>
    <w:rsid w:val="00E64C6C"/>
    <w:rsid w:val="00E8464E"/>
    <w:rsid w:val="00EE3164"/>
    <w:rsid w:val="00F10998"/>
    <w:rsid w:val="00F27302"/>
    <w:rsid w:val="00F91CFC"/>
    <w:rsid w:val="00F965F4"/>
    <w:rsid w:val="00FB7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92AE4"/>
  <w15:chartTrackingRefBased/>
  <w15:docId w15:val="{376875CB-4D2D-4218-91BB-8D4BAFD1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4E"/>
    <w:rPr>
      <w:rFonts w:eastAsiaTheme="majorEastAsia" w:cstheme="majorBidi"/>
      <w:color w:val="272727" w:themeColor="text1" w:themeTint="D8"/>
    </w:rPr>
  </w:style>
  <w:style w:type="paragraph" w:styleId="Title">
    <w:name w:val="Title"/>
    <w:basedOn w:val="Normal"/>
    <w:next w:val="Normal"/>
    <w:link w:val="TitleChar"/>
    <w:uiPriority w:val="10"/>
    <w:qFormat/>
    <w:rsid w:val="00C1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4E"/>
    <w:pPr>
      <w:spacing w:before="160"/>
      <w:jc w:val="center"/>
    </w:pPr>
    <w:rPr>
      <w:i/>
      <w:iCs/>
      <w:color w:val="404040" w:themeColor="text1" w:themeTint="BF"/>
    </w:rPr>
  </w:style>
  <w:style w:type="character" w:customStyle="1" w:styleId="QuoteChar">
    <w:name w:val="Quote Char"/>
    <w:basedOn w:val="DefaultParagraphFont"/>
    <w:link w:val="Quote"/>
    <w:uiPriority w:val="29"/>
    <w:rsid w:val="00C1454E"/>
    <w:rPr>
      <w:i/>
      <w:iCs/>
      <w:color w:val="404040" w:themeColor="text1" w:themeTint="BF"/>
    </w:rPr>
  </w:style>
  <w:style w:type="paragraph" w:styleId="ListParagraph">
    <w:name w:val="List Paragraph"/>
    <w:basedOn w:val="Normal"/>
    <w:uiPriority w:val="34"/>
    <w:qFormat/>
    <w:rsid w:val="00C1454E"/>
    <w:pPr>
      <w:ind w:left="720"/>
      <w:contextualSpacing/>
    </w:pPr>
  </w:style>
  <w:style w:type="character" w:styleId="IntenseEmphasis">
    <w:name w:val="Intense Emphasis"/>
    <w:basedOn w:val="DefaultParagraphFont"/>
    <w:uiPriority w:val="21"/>
    <w:qFormat/>
    <w:rsid w:val="00C1454E"/>
    <w:rPr>
      <w:i/>
      <w:iCs/>
      <w:color w:val="2F5496" w:themeColor="accent1" w:themeShade="BF"/>
    </w:rPr>
  </w:style>
  <w:style w:type="paragraph" w:styleId="IntenseQuote">
    <w:name w:val="Intense Quote"/>
    <w:basedOn w:val="Normal"/>
    <w:next w:val="Normal"/>
    <w:link w:val="IntenseQuoteChar"/>
    <w:uiPriority w:val="30"/>
    <w:qFormat/>
    <w:rsid w:val="00C1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54E"/>
    <w:rPr>
      <w:i/>
      <w:iCs/>
      <w:color w:val="2F5496" w:themeColor="accent1" w:themeShade="BF"/>
    </w:rPr>
  </w:style>
  <w:style w:type="character" w:styleId="IntenseReference">
    <w:name w:val="Intense Reference"/>
    <w:basedOn w:val="DefaultParagraphFont"/>
    <w:uiPriority w:val="32"/>
    <w:qFormat/>
    <w:rsid w:val="00C1454E"/>
    <w:rPr>
      <w:b/>
      <w:bCs/>
      <w:smallCaps/>
      <w:color w:val="2F5496" w:themeColor="accent1" w:themeShade="BF"/>
      <w:spacing w:val="5"/>
    </w:rPr>
  </w:style>
  <w:style w:type="character" w:styleId="PlaceholderText">
    <w:name w:val="Placeholder Text"/>
    <w:basedOn w:val="DefaultParagraphFont"/>
    <w:uiPriority w:val="99"/>
    <w:semiHidden/>
    <w:rsid w:val="00735A6A"/>
    <w:rPr>
      <w:color w:val="666666"/>
    </w:rPr>
  </w:style>
  <w:style w:type="paragraph" w:styleId="NormalWeb">
    <w:name w:val="Normal (Web)"/>
    <w:basedOn w:val="Normal"/>
    <w:uiPriority w:val="99"/>
    <w:semiHidden/>
    <w:unhideWhenUsed/>
    <w:rsid w:val="008505B9"/>
    <w:rPr>
      <w:rFonts w:ascii="Times New Roman" w:hAnsi="Times New Roman" w:cs="Times New Roman"/>
      <w:sz w:val="24"/>
      <w:szCs w:val="24"/>
    </w:rPr>
  </w:style>
  <w:style w:type="character" w:styleId="Hyperlink">
    <w:name w:val="Hyperlink"/>
    <w:basedOn w:val="DefaultParagraphFont"/>
    <w:uiPriority w:val="99"/>
    <w:unhideWhenUsed/>
    <w:rsid w:val="008505B9"/>
    <w:rPr>
      <w:color w:val="0563C1" w:themeColor="hyperlink"/>
      <w:u w:val="single"/>
    </w:rPr>
  </w:style>
  <w:style w:type="character" w:styleId="UnresolvedMention">
    <w:name w:val="Unresolved Mention"/>
    <w:basedOn w:val="DefaultParagraphFont"/>
    <w:uiPriority w:val="99"/>
    <w:semiHidden/>
    <w:unhideWhenUsed/>
    <w:rsid w:val="008505B9"/>
    <w:rPr>
      <w:color w:val="605E5C"/>
      <w:shd w:val="clear" w:color="auto" w:fill="E1DFDD"/>
    </w:rPr>
  </w:style>
  <w:style w:type="paragraph" w:styleId="BodyText">
    <w:name w:val="Body Text"/>
    <w:basedOn w:val="Normal"/>
    <w:link w:val="BodyTextChar"/>
    <w:uiPriority w:val="1"/>
    <w:qFormat/>
    <w:rsid w:val="0030109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0109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0109D"/>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B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17E20"/>
    <w:rPr>
      <w:i/>
      <w:iCs/>
    </w:rPr>
  </w:style>
  <w:style w:type="character" w:styleId="FollowedHyperlink">
    <w:name w:val="FollowedHyperlink"/>
    <w:basedOn w:val="DefaultParagraphFont"/>
    <w:uiPriority w:val="99"/>
    <w:semiHidden/>
    <w:unhideWhenUsed/>
    <w:rsid w:val="00035179"/>
    <w:rPr>
      <w:color w:val="954F72" w:themeColor="followedHyperlink"/>
      <w:u w:val="single"/>
    </w:rPr>
  </w:style>
  <w:style w:type="paragraph" w:styleId="Header">
    <w:name w:val="header"/>
    <w:basedOn w:val="Normal"/>
    <w:link w:val="HeaderChar"/>
    <w:uiPriority w:val="99"/>
    <w:unhideWhenUsed/>
    <w:rsid w:val="00035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79"/>
  </w:style>
  <w:style w:type="paragraph" w:styleId="Footer">
    <w:name w:val="footer"/>
    <w:basedOn w:val="Normal"/>
    <w:link w:val="FooterChar"/>
    <w:uiPriority w:val="99"/>
    <w:unhideWhenUsed/>
    <w:rsid w:val="00035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micompost@1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ermicompost@1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IN" sz="1800">
                <a:effectLst/>
              </a:rPr>
              <a:t>Available</a:t>
            </a:r>
            <a:r>
              <a:rPr lang="en-IN" sz="1800" baseline="0">
                <a:effectLst/>
              </a:rPr>
              <a:t> nitrogen and phosphorus in soil</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0745-46C8-B739-CBC9923503C1}"/>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0745-46C8-B739-CBC9923503C1}"/>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0745-46C8-B739-CBC9923503C1}"/>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Nutrient</a:t>
                </a:r>
                <a:r>
                  <a:rPr lang="en-IN" sz="1100" baseline="0"/>
                  <a:t> (kg/ha)</a:t>
                </a:r>
                <a:endParaRPr lang="en-IN" sz="1100"/>
              </a:p>
            </c:rich>
          </c:tx>
          <c:layout>
            <c:manualLayout>
              <c:xMode val="edge"/>
              <c:yMode val="edge"/>
              <c:x val="2.0104524536059008E-2"/>
              <c:y val="0.1082273832743384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1084</cp:lastModifiedBy>
  <cp:revision>7</cp:revision>
  <dcterms:created xsi:type="dcterms:W3CDTF">2025-11-18T10:12:00Z</dcterms:created>
  <dcterms:modified xsi:type="dcterms:W3CDTF">2025-11-20T09:37:00Z</dcterms:modified>
</cp:coreProperties>
</file>