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4FC00" w14:textId="77777777" w:rsidR="00462DE3" w:rsidRPr="00C309F4" w:rsidRDefault="00462DE3" w:rsidP="00462DE3">
      <w:pPr>
        <w:jc w:val="center"/>
        <w:rPr>
          <w:rFonts w:ascii="Times New Roman" w:hAnsi="Times New Roman" w:cs="Times New Roman"/>
          <w:b/>
          <w:bCs/>
          <w:sz w:val="24"/>
          <w:szCs w:val="24"/>
        </w:rPr>
      </w:pPr>
      <w:bookmarkStart w:id="0" w:name="_Hlk213334200"/>
      <w:r w:rsidRPr="00C309F4">
        <w:rPr>
          <w:rFonts w:ascii="Times New Roman" w:hAnsi="Times New Roman" w:cs="Times New Roman"/>
          <w:b/>
          <w:bCs/>
          <w:sz w:val="24"/>
          <w:szCs w:val="24"/>
        </w:rPr>
        <w:t>Comparative Analysis of Traditional and Industrial Agroforestry Systems among Farmers in Coimbatore District, Tamil Nadu</w:t>
      </w:r>
    </w:p>
    <w:bookmarkEnd w:id="0"/>
    <w:p w14:paraId="6141C1E0" w14:textId="36543535" w:rsidR="00462DE3" w:rsidRDefault="00462DE3" w:rsidP="00DA3FE8">
      <w:pPr>
        <w:spacing w:after="0"/>
        <w:rPr>
          <w:rFonts w:ascii="Times New Roman" w:hAnsi="Times New Roman" w:cs="Times New Roman"/>
          <w:sz w:val="24"/>
          <w:szCs w:val="24"/>
        </w:rPr>
      </w:pPr>
    </w:p>
    <w:p w14:paraId="578A0C51" w14:textId="77777777" w:rsidR="00B925D4" w:rsidRPr="00C309F4" w:rsidRDefault="00B925D4" w:rsidP="00DA3FE8">
      <w:pPr>
        <w:spacing w:after="0"/>
        <w:rPr>
          <w:rFonts w:ascii="Times New Roman" w:hAnsi="Times New Roman" w:cs="Times New Roman"/>
          <w:sz w:val="24"/>
          <w:szCs w:val="24"/>
        </w:rPr>
      </w:pPr>
    </w:p>
    <w:p w14:paraId="02747355" w14:textId="70C1C772" w:rsidR="00462DE3" w:rsidRPr="00C309F4" w:rsidRDefault="00A80D9C" w:rsidP="00462DE3">
      <w:pPr>
        <w:rPr>
          <w:rFonts w:ascii="Times New Roman" w:hAnsi="Times New Roman" w:cs="Times New Roman"/>
          <w:b/>
          <w:bCs/>
          <w:sz w:val="24"/>
          <w:szCs w:val="24"/>
        </w:rPr>
      </w:pPr>
      <w:r w:rsidRPr="00C309F4">
        <w:rPr>
          <w:rFonts w:ascii="Times New Roman" w:hAnsi="Times New Roman" w:cs="Times New Roman"/>
          <w:b/>
          <w:bCs/>
          <w:sz w:val="24"/>
          <w:szCs w:val="24"/>
        </w:rPr>
        <w:t>ABSTRACT</w:t>
      </w:r>
    </w:p>
    <w:p w14:paraId="27E0AC4D" w14:textId="56584B23" w:rsidR="00462DE3" w:rsidRPr="00C309F4" w:rsidRDefault="00462DE3" w:rsidP="008C6D16">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Agroforestry serves as a sustainable land-use system that integrates trees with crops and livestock to enhance productivity, livelihood, and ecological stability (Nair, 1993; Leakey, 2014). In Tamil Nadu, both traditional and industrial agroforestry systems play a crucial role in improving rural incomes and resource use efficiency. The present study comparatively </w:t>
      </w:r>
      <w:r w:rsidR="0032646F" w:rsidRPr="00C309F4">
        <w:rPr>
          <w:rFonts w:ascii="Times New Roman" w:hAnsi="Times New Roman" w:cs="Times New Roman"/>
          <w:sz w:val="24"/>
          <w:szCs w:val="24"/>
        </w:rPr>
        <w:t>analyses</w:t>
      </w:r>
      <w:r w:rsidRPr="00C309F4">
        <w:rPr>
          <w:rFonts w:ascii="Times New Roman" w:hAnsi="Times New Roman" w:cs="Times New Roman"/>
          <w:sz w:val="24"/>
          <w:szCs w:val="24"/>
        </w:rPr>
        <w:t xml:space="preserve"> the structure, functioning, and socio-economic outcomes of traditional and industrial agroforestry among farmers in the Coimbatore district. Results revealed that industrial agroforestry systems dominate the study area, accounting for 56.67% of respondents, with teak, eucalyptus, and casuarina being the preferred species for timber and pulp industries. Traditional systems, including </w:t>
      </w:r>
      <w:r w:rsidR="0032646F" w:rsidRPr="00C309F4">
        <w:rPr>
          <w:rFonts w:ascii="Times New Roman" w:hAnsi="Times New Roman" w:cs="Times New Roman"/>
          <w:sz w:val="24"/>
          <w:szCs w:val="24"/>
        </w:rPr>
        <w:t>home gardens</w:t>
      </w:r>
      <w:r w:rsidRPr="00C309F4">
        <w:rPr>
          <w:rFonts w:ascii="Times New Roman" w:hAnsi="Times New Roman" w:cs="Times New Roman"/>
          <w:sz w:val="24"/>
          <w:szCs w:val="24"/>
        </w:rPr>
        <w:t xml:space="preserve"> and </w:t>
      </w:r>
      <w:proofErr w:type="spellStart"/>
      <w:r w:rsidRPr="00C309F4">
        <w:rPr>
          <w:rFonts w:ascii="Times New Roman" w:hAnsi="Times New Roman" w:cs="Times New Roman"/>
          <w:sz w:val="24"/>
          <w:szCs w:val="24"/>
        </w:rPr>
        <w:t>agrosilvicultural</w:t>
      </w:r>
      <w:proofErr w:type="spellEnd"/>
      <w:r w:rsidRPr="00C309F4">
        <w:rPr>
          <w:rFonts w:ascii="Times New Roman" w:hAnsi="Times New Roman" w:cs="Times New Roman"/>
          <w:sz w:val="24"/>
          <w:szCs w:val="24"/>
        </w:rPr>
        <w:t xml:space="preserve"> models, constituted 43.33% and were characterized by diversified income sources and ecological resilience. While industrial systems provided quicker economic returns through contract farming, they also exposed farmers to market risks and environmental challenges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r w:rsidR="006B5632">
        <w:rPr>
          <w:rFonts w:ascii="Times New Roman" w:hAnsi="Times New Roman" w:cs="Times New Roman"/>
          <w:sz w:val="24"/>
          <w:szCs w:val="24"/>
        </w:rPr>
        <w:t xml:space="preserve"> and</w:t>
      </w:r>
      <w:r w:rsidRPr="00C309F4">
        <w:rPr>
          <w:rFonts w:ascii="Times New Roman" w:hAnsi="Times New Roman" w:cs="Times New Roman"/>
          <w:sz w:val="24"/>
          <w:szCs w:val="24"/>
        </w:rPr>
        <w:t xml:space="preserve"> Mbow et al., 2014). Conversely, traditional systems ensured long-term sustainability and food security but faced constraints in market access and financial support (Altieri, 2004; Paudel &amp; Pandey, 2013). Key challenges across both systems included financial limitations, policy barriers, and labour constraints. The study suggests that hybrid models integrating industrial efficiency with traditional sustainability can maximize both income and ecological benefits. Strengthened institutional support, financial credit facilities, and market linkages are vital to promote balanced and resilient agroforestry adoption in Tamil Nadu (Arnold</w:t>
      </w:r>
      <w:r w:rsidR="006B5632">
        <w:rPr>
          <w:rFonts w:ascii="Times New Roman" w:hAnsi="Times New Roman" w:cs="Times New Roman"/>
          <w:sz w:val="24"/>
          <w:szCs w:val="24"/>
        </w:rPr>
        <w:t xml:space="preserve"> and</w:t>
      </w:r>
      <w:r w:rsidRPr="00C309F4">
        <w:rPr>
          <w:rFonts w:ascii="Times New Roman" w:hAnsi="Times New Roman" w:cs="Times New Roman"/>
          <w:sz w:val="24"/>
          <w:szCs w:val="24"/>
        </w:rPr>
        <w:t xml:space="preserve"> </w:t>
      </w:r>
      <w:proofErr w:type="spellStart"/>
      <w:r w:rsidRPr="00C309F4">
        <w:rPr>
          <w:rFonts w:ascii="Times New Roman" w:hAnsi="Times New Roman" w:cs="Times New Roman"/>
          <w:sz w:val="24"/>
          <w:szCs w:val="24"/>
        </w:rPr>
        <w:t>Dewees</w:t>
      </w:r>
      <w:proofErr w:type="spellEnd"/>
      <w:r w:rsidRPr="00C309F4">
        <w:rPr>
          <w:rFonts w:ascii="Times New Roman" w:hAnsi="Times New Roman" w:cs="Times New Roman"/>
          <w:sz w:val="24"/>
          <w:szCs w:val="24"/>
        </w:rPr>
        <w:t>, 1997</w:t>
      </w:r>
      <w:r w:rsidR="006B5632">
        <w:rPr>
          <w:rFonts w:ascii="Times New Roman" w:hAnsi="Times New Roman" w:cs="Times New Roman"/>
          <w:sz w:val="24"/>
          <w:szCs w:val="24"/>
        </w:rPr>
        <w:t xml:space="preserve"> and</w:t>
      </w:r>
      <w:r w:rsidRPr="00C309F4">
        <w:rPr>
          <w:rFonts w:ascii="Times New Roman" w:hAnsi="Times New Roman" w:cs="Times New Roman"/>
          <w:sz w:val="24"/>
          <w:szCs w:val="24"/>
        </w:rPr>
        <w:t xml:space="preserve"> Pretty, 2003).</w:t>
      </w:r>
    </w:p>
    <w:p w14:paraId="4639546B" w14:textId="20687254" w:rsidR="00462DE3" w:rsidRPr="00C309F4" w:rsidRDefault="00462DE3" w:rsidP="008C6D16">
      <w:pPr>
        <w:spacing w:line="360" w:lineRule="auto"/>
        <w:rPr>
          <w:rFonts w:ascii="Times New Roman" w:hAnsi="Times New Roman" w:cs="Times New Roman"/>
          <w:sz w:val="24"/>
          <w:szCs w:val="24"/>
        </w:rPr>
      </w:pPr>
    </w:p>
    <w:p w14:paraId="713EDAF0" w14:textId="2D5F4EEC" w:rsidR="00462DE3" w:rsidRPr="00C309F4" w:rsidRDefault="00462DE3" w:rsidP="008C6D16">
      <w:pPr>
        <w:spacing w:line="360" w:lineRule="auto"/>
        <w:ind w:left="1134" w:hanging="1134"/>
        <w:rPr>
          <w:rFonts w:ascii="Times New Roman" w:hAnsi="Times New Roman" w:cs="Times New Roman"/>
          <w:sz w:val="24"/>
          <w:szCs w:val="24"/>
        </w:rPr>
      </w:pPr>
      <w:r w:rsidRPr="00C309F4">
        <w:rPr>
          <w:rFonts w:ascii="Times New Roman" w:hAnsi="Times New Roman" w:cs="Times New Roman"/>
          <w:sz w:val="24"/>
          <w:szCs w:val="24"/>
        </w:rPr>
        <w:t>Keywords:</w:t>
      </w:r>
      <w:r w:rsidR="00F929D5" w:rsidRPr="00C309F4">
        <w:rPr>
          <w:rFonts w:ascii="Times New Roman" w:hAnsi="Times New Roman" w:cs="Times New Roman"/>
          <w:sz w:val="24"/>
          <w:szCs w:val="24"/>
        </w:rPr>
        <w:t xml:space="preserve">  </w:t>
      </w:r>
      <w:r w:rsidRPr="00C309F4">
        <w:rPr>
          <w:rFonts w:ascii="Times New Roman" w:hAnsi="Times New Roman" w:cs="Times New Roman"/>
          <w:sz w:val="24"/>
          <w:szCs w:val="24"/>
        </w:rPr>
        <w:t xml:space="preserve"> </w:t>
      </w:r>
      <w:r w:rsidRPr="002D28F2">
        <w:rPr>
          <w:rFonts w:ascii="Times New Roman" w:hAnsi="Times New Roman" w:cs="Times New Roman"/>
          <w:i/>
          <w:iCs/>
          <w:sz w:val="24"/>
          <w:szCs w:val="24"/>
        </w:rPr>
        <w:t>Agroforestry, Industrial systems, Traditional systems, Socio-economic analysis, Sustainabilit</w:t>
      </w:r>
      <w:r w:rsidRPr="002D28F2">
        <w:rPr>
          <w:rFonts w:ascii="Times New Roman" w:hAnsi="Times New Roman" w:cs="Times New Roman"/>
          <w:sz w:val="24"/>
          <w:szCs w:val="24"/>
        </w:rPr>
        <w:t>y</w:t>
      </w:r>
    </w:p>
    <w:p w14:paraId="136228A5" w14:textId="77777777" w:rsidR="00462DE3" w:rsidRPr="00C309F4" w:rsidRDefault="00462DE3" w:rsidP="00462DE3">
      <w:pPr>
        <w:rPr>
          <w:rFonts w:ascii="Times New Roman" w:hAnsi="Times New Roman" w:cs="Times New Roman"/>
          <w:sz w:val="24"/>
          <w:szCs w:val="24"/>
        </w:rPr>
      </w:pPr>
    </w:p>
    <w:p w14:paraId="37BDF45E" w14:textId="478E9A21" w:rsidR="00462DE3" w:rsidRPr="00C309F4" w:rsidRDefault="00A80D9C" w:rsidP="00462DE3">
      <w:pPr>
        <w:rPr>
          <w:rFonts w:ascii="Times New Roman" w:hAnsi="Times New Roman" w:cs="Times New Roman"/>
          <w:b/>
          <w:bCs/>
          <w:sz w:val="24"/>
          <w:szCs w:val="24"/>
        </w:rPr>
      </w:pPr>
      <w:r w:rsidRPr="00C309F4">
        <w:rPr>
          <w:rFonts w:ascii="Times New Roman" w:hAnsi="Times New Roman" w:cs="Times New Roman"/>
          <w:b/>
          <w:bCs/>
          <w:sz w:val="24"/>
          <w:szCs w:val="24"/>
        </w:rPr>
        <w:t>INTRODUCTION</w:t>
      </w:r>
    </w:p>
    <w:p w14:paraId="0225726C" w14:textId="1E837490"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Agroforestry has been widely recognized as a land-use practice that harmonizes economic productivity with environmental sustainability (Nair, 1993</w:t>
      </w:r>
      <w:r w:rsidR="004E6D14">
        <w:rPr>
          <w:rFonts w:ascii="Times New Roman" w:hAnsi="Times New Roman" w:cs="Times New Roman"/>
          <w:sz w:val="24"/>
          <w:szCs w:val="24"/>
        </w:rPr>
        <w:t>,</w:t>
      </w:r>
      <w:r w:rsidRPr="00C309F4">
        <w:rPr>
          <w:rFonts w:ascii="Times New Roman" w:hAnsi="Times New Roman" w:cs="Times New Roman"/>
          <w:sz w:val="24"/>
          <w:szCs w:val="24"/>
        </w:rPr>
        <w:t xml:space="preserve"> Leakey, 2014). It integrates trees, crops, and livestock in spatial or temporal arrangements that sustain soil </w:t>
      </w:r>
      <w:r w:rsidRPr="00C309F4">
        <w:rPr>
          <w:rFonts w:ascii="Times New Roman" w:hAnsi="Times New Roman" w:cs="Times New Roman"/>
          <w:sz w:val="24"/>
          <w:szCs w:val="24"/>
        </w:rPr>
        <w:lastRenderedPageBreak/>
        <w:t xml:space="preserve">fertility, biodiversity, and livelihoods. Traditional agroforestry systems in India, including those in Tamil Nadu, have long supported household needs for food, fodder, and fuelwood (Arnold &amp; </w:t>
      </w:r>
      <w:proofErr w:type="spellStart"/>
      <w:r w:rsidRPr="00C309F4">
        <w:rPr>
          <w:rFonts w:ascii="Times New Roman" w:hAnsi="Times New Roman" w:cs="Times New Roman"/>
          <w:sz w:val="24"/>
          <w:szCs w:val="24"/>
        </w:rPr>
        <w:t>Dewees</w:t>
      </w:r>
      <w:proofErr w:type="spellEnd"/>
      <w:r w:rsidRPr="00C309F4">
        <w:rPr>
          <w:rFonts w:ascii="Times New Roman" w:hAnsi="Times New Roman" w:cs="Times New Roman"/>
          <w:sz w:val="24"/>
          <w:szCs w:val="24"/>
        </w:rPr>
        <w:t>, 1997</w:t>
      </w:r>
      <w:r w:rsidR="004E6D14">
        <w:rPr>
          <w:rFonts w:ascii="Times New Roman" w:hAnsi="Times New Roman" w:cs="Times New Roman"/>
          <w:sz w:val="24"/>
          <w:szCs w:val="24"/>
        </w:rPr>
        <w:t>,</w:t>
      </w:r>
      <w:r w:rsidRPr="00C309F4">
        <w:rPr>
          <w:rFonts w:ascii="Times New Roman" w:hAnsi="Times New Roman" w:cs="Times New Roman"/>
          <w:sz w:val="24"/>
          <w:szCs w:val="24"/>
        </w:rPr>
        <w:t xml:space="preserve"> </w:t>
      </w:r>
      <w:proofErr w:type="spellStart"/>
      <w:r w:rsidRPr="00C309F4">
        <w:rPr>
          <w:rFonts w:ascii="Times New Roman" w:hAnsi="Times New Roman" w:cs="Times New Roman"/>
          <w:sz w:val="24"/>
          <w:szCs w:val="24"/>
        </w:rPr>
        <w:t>Paudel</w:t>
      </w:r>
      <w:proofErr w:type="spellEnd"/>
      <w:r w:rsidRPr="00C309F4">
        <w:rPr>
          <w:rFonts w:ascii="Times New Roman" w:hAnsi="Times New Roman" w:cs="Times New Roman"/>
          <w:sz w:val="24"/>
          <w:szCs w:val="24"/>
        </w:rPr>
        <w:t xml:space="preserve"> &amp; Pandey, 2013). However, with agricultural commercialization and industrial demand, farmers are increasingly adopting industrial agroforestry models focusing on fast-growing tree species for pulpwood, timber, and biomass industries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p>
    <w:p w14:paraId="1E3BF0E4" w14:textId="3A12EBEB"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The shift from traditional to industrial systems raises questions about ecological resilience, income security, and social well-being. Therefore, a comparative study is necessary to understand the socio-economic and environmental implications of both systems (Altieri, 1995</w:t>
      </w:r>
      <w:r w:rsidR="00683145">
        <w:rPr>
          <w:rFonts w:ascii="Times New Roman" w:hAnsi="Times New Roman" w:cs="Times New Roman"/>
          <w:sz w:val="24"/>
          <w:szCs w:val="24"/>
        </w:rPr>
        <w:t xml:space="preserve"> and </w:t>
      </w:r>
      <w:r w:rsidRPr="00C309F4">
        <w:rPr>
          <w:rFonts w:ascii="Times New Roman" w:hAnsi="Times New Roman" w:cs="Times New Roman"/>
          <w:sz w:val="24"/>
          <w:szCs w:val="24"/>
        </w:rPr>
        <w:t>Waldron et al., 2017).</w:t>
      </w:r>
    </w:p>
    <w:p w14:paraId="7DDB9F76" w14:textId="7777777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Agroforestry represents an integrated approach to land use where trees, crops, and livestock coexist to enhance productivity, biodiversity, and sustainability (Nair, 1993; Leakey, 2014). It bridges the gap between agriculture and forestry, offering both ecological and socio-economic advantages for smallholder farmers (Altieri, 2004). In Tamil Nadu, the practice of agroforestry has evolved through centuries of traditional knowledge and has recently diversified into industrial forms driven by commercial demand.</w:t>
      </w:r>
    </w:p>
    <w:p w14:paraId="6D8161E2" w14:textId="7C8BE390"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Industrial agroforestry systems, promoted through contract farming and private sector collaboration, have significantly expanded due to their ability to generate faster returns and provide raw materials for paper, plywood, and timber industries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r w:rsidR="00683145">
        <w:rPr>
          <w:rFonts w:ascii="Times New Roman" w:hAnsi="Times New Roman" w:cs="Times New Roman"/>
          <w:sz w:val="24"/>
          <w:szCs w:val="24"/>
        </w:rPr>
        <w:t xml:space="preserve"> and </w:t>
      </w:r>
      <w:proofErr w:type="spellStart"/>
      <w:r w:rsidR="00683145" w:rsidRPr="00C309F4">
        <w:rPr>
          <w:rFonts w:ascii="Times New Roman" w:hAnsi="Times New Roman" w:cs="Times New Roman"/>
          <w:sz w:val="24"/>
          <w:szCs w:val="24"/>
        </w:rPr>
        <w:t>Murniati</w:t>
      </w:r>
      <w:proofErr w:type="spellEnd"/>
      <w:r w:rsidRPr="00C309F4">
        <w:rPr>
          <w:rFonts w:ascii="Times New Roman" w:hAnsi="Times New Roman" w:cs="Times New Roman"/>
          <w:sz w:val="24"/>
          <w:szCs w:val="24"/>
        </w:rPr>
        <w:t xml:space="preserve"> et al., 2001).</w:t>
      </w:r>
    </w:p>
    <w:p w14:paraId="17950A39" w14:textId="7777777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In contrast, traditional agroforestry systems, such as </w:t>
      </w:r>
      <w:proofErr w:type="spellStart"/>
      <w:r w:rsidRPr="00C309F4">
        <w:rPr>
          <w:rFonts w:ascii="Times New Roman" w:hAnsi="Times New Roman" w:cs="Times New Roman"/>
          <w:sz w:val="24"/>
          <w:szCs w:val="24"/>
        </w:rPr>
        <w:t>homegardens</w:t>
      </w:r>
      <w:proofErr w:type="spellEnd"/>
      <w:r w:rsidRPr="00C309F4">
        <w:rPr>
          <w:rFonts w:ascii="Times New Roman" w:hAnsi="Times New Roman" w:cs="Times New Roman"/>
          <w:sz w:val="24"/>
          <w:szCs w:val="24"/>
        </w:rPr>
        <w:t xml:space="preserve"> and </w:t>
      </w:r>
      <w:proofErr w:type="spellStart"/>
      <w:r w:rsidRPr="00C309F4">
        <w:rPr>
          <w:rFonts w:ascii="Times New Roman" w:hAnsi="Times New Roman" w:cs="Times New Roman"/>
          <w:sz w:val="24"/>
          <w:szCs w:val="24"/>
        </w:rPr>
        <w:t>agrosilvicultural</w:t>
      </w:r>
      <w:proofErr w:type="spellEnd"/>
      <w:r w:rsidRPr="00C309F4">
        <w:rPr>
          <w:rFonts w:ascii="Times New Roman" w:hAnsi="Times New Roman" w:cs="Times New Roman"/>
          <w:sz w:val="24"/>
          <w:szCs w:val="24"/>
        </w:rPr>
        <w:t xml:space="preserve"> models, remain integral to rural livelihood security and ecological balance (Paudel &amp; Pandey, 2013). These systems ensure food, fodder, and fuel availability while maintaining soil fertility and landscape resilience (Pretty, 2003).</w:t>
      </w:r>
    </w:p>
    <w:p w14:paraId="1D8E23EB" w14:textId="0E3712C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Despite their benefits, the adoption and sustainability of both traditional and industrial agroforestry systems face multiple challenges. Farmers encounter financial barriers, market uncertainties, and institutional constraints that influence their participation and long-term benefits (Arnold &amp; </w:t>
      </w:r>
      <w:proofErr w:type="spellStart"/>
      <w:r w:rsidRPr="00C309F4">
        <w:rPr>
          <w:rFonts w:ascii="Times New Roman" w:hAnsi="Times New Roman" w:cs="Times New Roman"/>
          <w:sz w:val="24"/>
          <w:szCs w:val="24"/>
        </w:rPr>
        <w:t>Dewees</w:t>
      </w:r>
      <w:proofErr w:type="spellEnd"/>
      <w:r w:rsidRPr="00C309F4">
        <w:rPr>
          <w:rFonts w:ascii="Times New Roman" w:hAnsi="Times New Roman" w:cs="Times New Roman"/>
          <w:sz w:val="24"/>
          <w:szCs w:val="24"/>
        </w:rPr>
        <w:t>, 1997</w:t>
      </w:r>
      <w:r w:rsidR="00683145">
        <w:rPr>
          <w:rFonts w:ascii="Times New Roman" w:hAnsi="Times New Roman" w:cs="Times New Roman"/>
          <w:sz w:val="24"/>
          <w:szCs w:val="24"/>
        </w:rPr>
        <w:t xml:space="preserve"> and </w:t>
      </w:r>
      <w:r w:rsidRPr="00C309F4">
        <w:rPr>
          <w:rFonts w:ascii="Times New Roman" w:hAnsi="Times New Roman" w:cs="Times New Roman"/>
          <w:sz w:val="24"/>
          <w:szCs w:val="24"/>
        </w:rPr>
        <w:t>Agarwal, 2001).</w:t>
      </w:r>
    </w:p>
    <w:p w14:paraId="7104AFC8" w14:textId="5F1AD24C"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Moreover, industrial monocultures</w:t>
      </w:r>
      <w:r w:rsidR="00335534">
        <w:rPr>
          <w:rFonts w:ascii="Times New Roman" w:hAnsi="Times New Roman" w:cs="Times New Roman"/>
          <w:sz w:val="24"/>
          <w:szCs w:val="24"/>
        </w:rPr>
        <w:t xml:space="preserve"> </w:t>
      </w:r>
      <w:r w:rsidRPr="00C309F4">
        <w:rPr>
          <w:rFonts w:ascii="Times New Roman" w:hAnsi="Times New Roman" w:cs="Times New Roman"/>
          <w:sz w:val="24"/>
          <w:szCs w:val="24"/>
        </w:rPr>
        <w:t>although profitable</w:t>
      </w:r>
      <w:r w:rsidR="00335534">
        <w:rPr>
          <w:rFonts w:ascii="Times New Roman" w:hAnsi="Times New Roman" w:cs="Times New Roman"/>
          <w:sz w:val="24"/>
          <w:szCs w:val="24"/>
        </w:rPr>
        <w:t xml:space="preserve"> </w:t>
      </w:r>
      <w:r w:rsidRPr="00C309F4">
        <w:rPr>
          <w:rFonts w:ascii="Times New Roman" w:hAnsi="Times New Roman" w:cs="Times New Roman"/>
          <w:sz w:val="24"/>
          <w:szCs w:val="24"/>
        </w:rPr>
        <w:t>pose risks to biodiversity and ecosystem health if not properly managed (Mbow et al., 2014). The growing pressure of land-</w:t>
      </w:r>
      <w:r w:rsidRPr="00C309F4">
        <w:rPr>
          <w:rFonts w:ascii="Times New Roman" w:hAnsi="Times New Roman" w:cs="Times New Roman"/>
          <w:sz w:val="24"/>
          <w:szCs w:val="24"/>
        </w:rPr>
        <w:lastRenderedPageBreak/>
        <w:t>use change and climate variability further intensifies these issues, necessitating balanced and adaptive agroforestry models (Waldron et al., 2017).</w:t>
      </w:r>
    </w:p>
    <w:p w14:paraId="5BD87B73" w14:textId="7777777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Understanding the comparative dynamics of these two systems is therefore crucial for designing effective interventions and sustainable livelihood strategies.</w:t>
      </w:r>
    </w:p>
    <w:p w14:paraId="1B04C4EB" w14:textId="7777777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This study seeks to examine the structural, functional, and socio-economic characteristics of traditional and industrial agroforestry systems in Tamil Nadu, identifying key constraints faced by farmers and offering practical recommendations for improvement.</w:t>
      </w:r>
    </w:p>
    <w:p w14:paraId="5F411A71" w14:textId="2103328E"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By integrating scientific insights with farmers’ experiences, this research aims to support policies that promote equitable growth, environmental sustainability, and enhanced rural resilience through agroforestry</w:t>
      </w:r>
    </w:p>
    <w:p w14:paraId="044BD1BB" w14:textId="054F3F58" w:rsidR="00016F4D" w:rsidRPr="00C309F4" w:rsidRDefault="00876FB4" w:rsidP="00016F4D">
      <w:pPr>
        <w:jc w:val="both"/>
        <w:rPr>
          <w:rFonts w:ascii="Times New Roman" w:hAnsi="Times New Roman" w:cs="Times New Roman"/>
          <w:b/>
          <w:bCs/>
          <w:sz w:val="24"/>
          <w:szCs w:val="24"/>
        </w:rPr>
      </w:pPr>
      <w:r w:rsidRPr="00C309F4">
        <w:rPr>
          <w:rFonts w:ascii="Times New Roman" w:hAnsi="Times New Roman" w:cs="Times New Roman"/>
          <w:b/>
          <w:bCs/>
          <w:sz w:val="24"/>
          <w:szCs w:val="24"/>
        </w:rPr>
        <w:t xml:space="preserve">METHODOLOGY </w:t>
      </w:r>
    </w:p>
    <w:p w14:paraId="4B5F744C" w14:textId="59F34AB1" w:rsidR="00876FB4" w:rsidRPr="00C309F4" w:rsidRDefault="00016F4D" w:rsidP="00016F4D">
      <w:pPr>
        <w:spacing w:line="360" w:lineRule="auto"/>
        <w:jc w:val="both"/>
        <w:rPr>
          <w:rFonts w:ascii="Times New Roman" w:hAnsi="Times New Roman" w:cs="Times New Roman"/>
          <w:b/>
          <w:bCs/>
          <w:sz w:val="24"/>
          <w:szCs w:val="24"/>
        </w:rPr>
      </w:pPr>
      <w:r w:rsidRPr="00C309F4">
        <w:rPr>
          <w:rFonts w:ascii="Times New Roman" w:hAnsi="Times New Roman" w:cs="Times New Roman"/>
          <w:sz w:val="24"/>
          <w:szCs w:val="24"/>
        </w:rPr>
        <w:t xml:space="preserve">      </w:t>
      </w:r>
      <w:r w:rsidR="00876FB4" w:rsidRPr="00C309F4">
        <w:rPr>
          <w:rFonts w:ascii="Times New Roman" w:hAnsi="Times New Roman" w:cs="Times New Roman"/>
          <w:b/>
          <w:bCs/>
          <w:sz w:val="24"/>
          <w:szCs w:val="24"/>
        </w:rPr>
        <w:t>Selection of the District and Block</w:t>
      </w:r>
    </w:p>
    <w:p w14:paraId="5D47C351" w14:textId="589E48E6" w:rsidR="00016F4D" w:rsidRPr="00C309F4" w:rsidRDefault="00016F4D" w:rsidP="00876F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Coimbatore district was selected purposively because the area under industrial and traditional agroforestry practices is higher among farmers. Two blocks </w:t>
      </w:r>
      <w:proofErr w:type="spellStart"/>
      <w:r w:rsidRPr="00C309F4">
        <w:rPr>
          <w:rFonts w:ascii="Times New Roman" w:hAnsi="Times New Roman" w:cs="Times New Roman"/>
          <w:sz w:val="24"/>
          <w:szCs w:val="24"/>
        </w:rPr>
        <w:t>Karamadai</w:t>
      </w:r>
      <w:proofErr w:type="spellEnd"/>
      <w:r w:rsidRPr="00C309F4">
        <w:rPr>
          <w:rFonts w:ascii="Times New Roman" w:hAnsi="Times New Roman" w:cs="Times New Roman"/>
          <w:sz w:val="24"/>
          <w:szCs w:val="24"/>
        </w:rPr>
        <w:t xml:space="preserve"> and </w:t>
      </w:r>
      <w:proofErr w:type="spellStart"/>
      <w:r w:rsidRPr="00C309F4">
        <w:rPr>
          <w:rFonts w:ascii="Times New Roman" w:hAnsi="Times New Roman" w:cs="Times New Roman"/>
          <w:sz w:val="24"/>
          <w:szCs w:val="24"/>
        </w:rPr>
        <w:t>Annur</w:t>
      </w:r>
      <w:proofErr w:type="spellEnd"/>
      <w:r w:rsidRPr="00C309F4">
        <w:rPr>
          <w:rFonts w:ascii="Times New Roman" w:hAnsi="Times New Roman" w:cs="Times New Roman"/>
          <w:sz w:val="24"/>
          <w:szCs w:val="24"/>
        </w:rPr>
        <w:t xml:space="preserve"> blocks were selected based on the number of farmers. A total of 30 respondents were randomly selected based on their adoption of traditional agroforestry and industrial agroforestry systems</w:t>
      </w:r>
    </w:p>
    <w:p w14:paraId="6C595E43" w14:textId="39113F86" w:rsidR="00876FB4" w:rsidRPr="00C309F4" w:rsidRDefault="00876FB4" w:rsidP="00462DE3">
      <w:pPr>
        <w:rPr>
          <w:rFonts w:ascii="Times New Roman" w:hAnsi="Times New Roman" w:cs="Times New Roman"/>
          <w:b/>
          <w:bCs/>
          <w:sz w:val="24"/>
          <w:szCs w:val="24"/>
        </w:rPr>
      </w:pPr>
      <w:r w:rsidRPr="00C309F4">
        <w:rPr>
          <w:rFonts w:ascii="Times New Roman" w:hAnsi="Times New Roman" w:cs="Times New Roman"/>
          <w:b/>
          <w:bCs/>
          <w:sz w:val="24"/>
          <w:szCs w:val="24"/>
        </w:rPr>
        <w:t>FINDINGS AND DISCUSSION</w:t>
      </w:r>
    </w:p>
    <w:p w14:paraId="01ADE5D5" w14:textId="445E2FB7"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Structure and Functioning of Agroforestry Systems</w:t>
      </w:r>
      <w:r w:rsidR="00F86569" w:rsidRPr="00C309F4">
        <w:rPr>
          <w:rFonts w:ascii="Times New Roman" w:hAnsi="Times New Roman" w:cs="Times New Roman"/>
          <w:b/>
          <w:bCs/>
          <w:sz w:val="24"/>
          <w:szCs w:val="24"/>
        </w:rPr>
        <w:t xml:space="preserve"> in Coimbatore </w:t>
      </w:r>
    </w:p>
    <w:p w14:paraId="0756DBD9" w14:textId="55BF937E"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Industrial Agroforestry Systems</w:t>
      </w:r>
    </w:p>
    <w:p w14:paraId="51E443BF" w14:textId="2181BCD6" w:rsidR="00462DE3" w:rsidRPr="00C309F4" w:rsidRDefault="00462DE3" w:rsidP="008520DE">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Industrial agroforestry systems dominate the study area, representing 56.67% of total respondents. Among them, commercial timber plantations (26.67%)</w:t>
      </w:r>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 xml:space="preserve">particularly of Teak (Tectona grandis), Eucalyptus spp., and Casuarina </w:t>
      </w:r>
      <w:proofErr w:type="spellStart"/>
      <w:r w:rsidRPr="00C309F4">
        <w:rPr>
          <w:rFonts w:ascii="Times New Roman" w:hAnsi="Times New Roman" w:cs="Times New Roman"/>
          <w:sz w:val="24"/>
          <w:szCs w:val="24"/>
        </w:rPr>
        <w:t>equisetifolia</w:t>
      </w:r>
      <w:proofErr w:type="spellEnd"/>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widely practiced due to high market returns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r w:rsidR="00582AEA" w:rsidRPr="00C309F4">
        <w:rPr>
          <w:rFonts w:ascii="Times New Roman" w:hAnsi="Times New Roman" w:cs="Times New Roman"/>
          <w:sz w:val="24"/>
          <w:szCs w:val="24"/>
        </w:rPr>
        <w:t>). The</w:t>
      </w:r>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contract farming (16.67%) with paper and plywood industries has increased as companies seek reliable raw material supply. Farmers receive technical guidance and assured buyback arrangements, offering a sense of financial security (</w:t>
      </w:r>
      <w:proofErr w:type="spellStart"/>
      <w:r w:rsidRPr="00C309F4">
        <w:rPr>
          <w:rFonts w:ascii="Times New Roman" w:hAnsi="Times New Roman" w:cs="Times New Roman"/>
          <w:sz w:val="24"/>
          <w:szCs w:val="24"/>
        </w:rPr>
        <w:t>Murniati</w:t>
      </w:r>
      <w:proofErr w:type="spellEnd"/>
      <w:r w:rsidRPr="00C309F4">
        <w:rPr>
          <w:rFonts w:ascii="Times New Roman" w:hAnsi="Times New Roman" w:cs="Times New Roman"/>
          <w:sz w:val="24"/>
          <w:szCs w:val="24"/>
        </w:rPr>
        <w:t xml:space="preserve"> et al., 2001).</w:t>
      </w:r>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Additionally, integrated agroforestry with high-value crops (13.33%) combines timber trees with crops such as banana and guava, enhancing profitability and resource utilization (Molnar et al., 2013).</w:t>
      </w:r>
    </w:p>
    <w:p w14:paraId="738C278B" w14:textId="56DF9E81" w:rsidR="00462DE3" w:rsidRPr="00C309F4" w:rsidRDefault="00462DE3" w:rsidP="008520DE">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The preference for industrial systems is mainly driven by short rotation cycles, quick financial returns, and established market linkages (Waldron et al., 2017). However, </w:t>
      </w:r>
      <w:r w:rsidRPr="00C309F4">
        <w:rPr>
          <w:rFonts w:ascii="Times New Roman" w:hAnsi="Times New Roman" w:cs="Times New Roman"/>
          <w:sz w:val="24"/>
          <w:szCs w:val="24"/>
        </w:rPr>
        <w:lastRenderedPageBreak/>
        <w:t>monoculture practices can threaten biodiversity and soil fertility if ecological considerations are neglected (Mbow et al., 2014).</w:t>
      </w:r>
    </w:p>
    <w:p w14:paraId="4DEB4B96" w14:textId="0799EB93" w:rsidR="00F86569" w:rsidRPr="00C309F4" w:rsidRDefault="008520DE" w:rsidP="008520DE">
      <w:pPr>
        <w:jc w:val="center"/>
        <w:rPr>
          <w:rFonts w:ascii="Times New Roman" w:hAnsi="Times New Roman" w:cs="Times New Roman"/>
          <w:sz w:val="24"/>
          <w:szCs w:val="24"/>
        </w:rPr>
      </w:pPr>
      <w:r w:rsidRPr="00C309F4">
        <w:rPr>
          <w:rFonts w:ascii="Times New Roman" w:hAnsi="Times New Roman" w:cs="Times New Roman"/>
          <w:noProof/>
          <w:color w:val="00B050"/>
          <w:sz w:val="24"/>
          <w:szCs w:val="24"/>
        </w:rPr>
        <w:drawing>
          <wp:inline distT="0" distB="0" distL="0" distR="0" wp14:anchorId="36EF1768" wp14:editId="7F06CAA5">
            <wp:extent cx="4381500" cy="3467100"/>
            <wp:effectExtent l="0" t="0" r="0" b="0"/>
            <wp:docPr id="1" name="Chart 1">
              <a:extLst xmlns:a="http://schemas.openxmlformats.org/drawingml/2006/main">
                <a:ext uri="{FF2B5EF4-FFF2-40B4-BE49-F238E27FC236}">
                  <a16:creationId xmlns:a16="http://schemas.microsoft.com/office/drawing/2014/main" id="{03302310-0FCF-F91E-EBF4-27B8C8EDD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C6E458" w14:textId="5AE92C39" w:rsidR="00F86569" w:rsidRPr="00F86569" w:rsidRDefault="00F86569" w:rsidP="00016F4D">
      <w:pPr>
        <w:spacing w:line="360" w:lineRule="auto"/>
        <w:jc w:val="both"/>
        <w:rPr>
          <w:rFonts w:ascii="Times New Roman" w:eastAsia="Times New Roman" w:hAnsi="Times New Roman" w:cs="Times New Roman"/>
          <w:sz w:val="24"/>
          <w:szCs w:val="24"/>
          <w:lang w:eastAsia="en-IN"/>
        </w:rPr>
      </w:pPr>
      <w:r w:rsidRPr="00C309F4">
        <w:rPr>
          <w:rFonts w:ascii="Times New Roman" w:hAnsi="Times New Roman" w:cs="Times New Roman"/>
          <w:noProof/>
          <w:sz w:val="24"/>
          <w:szCs w:val="24"/>
        </w:rPr>
        <mc:AlternateContent>
          <mc:Choice Requires="wps">
            <w:drawing>
              <wp:inline distT="0" distB="0" distL="0" distR="0" wp14:anchorId="6C907E3E" wp14:editId="7E4806D5">
                <wp:extent cx="304800" cy="304800"/>
                <wp:effectExtent l="0" t="0" r="0" b="0"/>
                <wp:docPr id="4" name="AutoShape 4"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723040" id="AutoShape 4"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F4F1E" w:rsidRPr="00C309F4">
        <w:rPr>
          <w:rFonts w:ascii="Times New Roman" w:hAnsi="Times New Roman" w:cs="Times New Roman"/>
          <w:sz w:val="24"/>
          <w:szCs w:val="24"/>
        </w:rPr>
        <w:t xml:space="preserve">It is inferred thar </w:t>
      </w:r>
      <w:r w:rsidRPr="00F86569">
        <w:rPr>
          <w:rFonts w:ascii="Times New Roman" w:eastAsia="Times New Roman" w:hAnsi="Times New Roman" w:cs="Times New Roman"/>
          <w:sz w:val="24"/>
          <w:szCs w:val="24"/>
          <w:lang w:eastAsia="en-IN"/>
        </w:rPr>
        <w:t>distribution of agroforestry system types among farmers in Tamil Nadu. It visually shows that industrial agroforestry dominates</w:t>
      </w:r>
      <w:r w:rsidR="002F4F1E" w:rsidRPr="00C309F4">
        <w:rPr>
          <w:rFonts w:ascii="Times New Roman" w:eastAsia="Times New Roman" w:hAnsi="Times New Roman" w:cs="Times New Roman"/>
          <w:sz w:val="24"/>
          <w:szCs w:val="24"/>
          <w:lang w:eastAsia="en-IN"/>
        </w:rPr>
        <w:t xml:space="preserve"> p</w:t>
      </w:r>
      <w:r w:rsidRPr="00F86569">
        <w:rPr>
          <w:rFonts w:ascii="Times New Roman" w:eastAsia="Times New Roman" w:hAnsi="Times New Roman" w:cs="Times New Roman"/>
          <w:sz w:val="24"/>
          <w:szCs w:val="24"/>
          <w:lang w:eastAsia="en-IN"/>
        </w:rPr>
        <w:t xml:space="preserve">articularly commercial timber plantations and contract </w:t>
      </w:r>
      <w:r w:rsidR="002F4F1E" w:rsidRPr="00C309F4">
        <w:rPr>
          <w:rFonts w:ascii="Times New Roman" w:eastAsia="Times New Roman" w:hAnsi="Times New Roman" w:cs="Times New Roman"/>
          <w:sz w:val="24"/>
          <w:szCs w:val="24"/>
          <w:lang w:eastAsia="en-IN"/>
        </w:rPr>
        <w:t>farming, while</w:t>
      </w:r>
      <w:r w:rsidRPr="00F86569">
        <w:rPr>
          <w:rFonts w:ascii="Times New Roman" w:eastAsia="Times New Roman" w:hAnsi="Times New Roman" w:cs="Times New Roman"/>
          <w:sz w:val="24"/>
          <w:szCs w:val="24"/>
          <w:lang w:eastAsia="en-IN"/>
        </w:rPr>
        <w:t xml:space="preserve"> traditional systems still hold a significant share for livelihood and ecological</w:t>
      </w:r>
    </w:p>
    <w:p w14:paraId="47604088" w14:textId="527D4A93"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Traditional Agroforestry Systems</w:t>
      </w:r>
    </w:p>
    <w:p w14:paraId="3FA00758" w14:textId="77777777"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Traditional agroforestry systems account for 43.33% of the respondents and remain vital for smallholder livelihoods. The most common forms include </w:t>
      </w:r>
      <w:proofErr w:type="spellStart"/>
      <w:r w:rsidRPr="00C309F4">
        <w:rPr>
          <w:rFonts w:ascii="Times New Roman" w:hAnsi="Times New Roman" w:cs="Times New Roman"/>
          <w:sz w:val="24"/>
          <w:szCs w:val="24"/>
        </w:rPr>
        <w:t>homegardens</w:t>
      </w:r>
      <w:proofErr w:type="spellEnd"/>
      <w:r w:rsidRPr="00C309F4">
        <w:rPr>
          <w:rFonts w:ascii="Times New Roman" w:hAnsi="Times New Roman" w:cs="Times New Roman"/>
          <w:sz w:val="24"/>
          <w:szCs w:val="24"/>
        </w:rPr>
        <w:t xml:space="preserve"> (20%), </w:t>
      </w:r>
      <w:proofErr w:type="spellStart"/>
      <w:r w:rsidRPr="00C309F4">
        <w:rPr>
          <w:rFonts w:ascii="Times New Roman" w:hAnsi="Times New Roman" w:cs="Times New Roman"/>
          <w:sz w:val="24"/>
          <w:szCs w:val="24"/>
        </w:rPr>
        <w:t>agrosilvicultural</w:t>
      </w:r>
      <w:proofErr w:type="spellEnd"/>
      <w:r w:rsidRPr="00C309F4">
        <w:rPr>
          <w:rFonts w:ascii="Times New Roman" w:hAnsi="Times New Roman" w:cs="Times New Roman"/>
          <w:sz w:val="24"/>
          <w:szCs w:val="24"/>
        </w:rPr>
        <w:t xml:space="preserve"> systems (13.33%), and traditional plantations (10%).</w:t>
      </w:r>
    </w:p>
    <w:p w14:paraId="794681B3" w14:textId="77777777" w:rsidR="00462DE3" w:rsidRPr="00C309F4" w:rsidRDefault="00462DE3" w:rsidP="00016F4D">
      <w:pPr>
        <w:spacing w:line="360" w:lineRule="auto"/>
        <w:ind w:firstLine="720"/>
        <w:jc w:val="both"/>
        <w:rPr>
          <w:rFonts w:ascii="Times New Roman" w:hAnsi="Times New Roman" w:cs="Times New Roman"/>
          <w:sz w:val="24"/>
          <w:szCs w:val="24"/>
        </w:rPr>
      </w:pPr>
      <w:proofErr w:type="spellStart"/>
      <w:r w:rsidRPr="00C309F4">
        <w:rPr>
          <w:rFonts w:ascii="Times New Roman" w:hAnsi="Times New Roman" w:cs="Times New Roman"/>
          <w:sz w:val="24"/>
          <w:szCs w:val="24"/>
        </w:rPr>
        <w:t>Homegardens</w:t>
      </w:r>
      <w:proofErr w:type="spellEnd"/>
      <w:r w:rsidRPr="00C309F4">
        <w:rPr>
          <w:rFonts w:ascii="Times New Roman" w:hAnsi="Times New Roman" w:cs="Times New Roman"/>
          <w:sz w:val="24"/>
          <w:szCs w:val="24"/>
        </w:rPr>
        <w:t>, typical of rural Tamil Nadu, represent integrated systems producing fruits, vegetables, and fodder within small landholdings, thus ensuring household nutrition and resilience (Paudel &amp; Pandey, 2013). These systems rely heavily on indigenous knowledge and community management, reflecting social capital in resource use (Pretty, 2003; Agarwal, 2001).</w:t>
      </w:r>
    </w:p>
    <w:p w14:paraId="20EA9BDA" w14:textId="338B7F5A"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While economic returns from traditional systems are gradual, they offer significant ecological benefits such as soil conservation, microclimate regulation, and carbon </w:t>
      </w:r>
      <w:r w:rsidRPr="00C309F4">
        <w:rPr>
          <w:rFonts w:ascii="Times New Roman" w:hAnsi="Times New Roman" w:cs="Times New Roman"/>
          <w:sz w:val="24"/>
          <w:szCs w:val="24"/>
        </w:rPr>
        <w:lastRenderedPageBreak/>
        <w:t xml:space="preserve">sequestration (Leakey, 2014; </w:t>
      </w:r>
      <w:proofErr w:type="spellStart"/>
      <w:r w:rsidRPr="00C309F4">
        <w:rPr>
          <w:rFonts w:ascii="Times New Roman" w:hAnsi="Times New Roman" w:cs="Times New Roman"/>
          <w:sz w:val="24"/>
          <w:szCs w:val="24"/>
        </w:rPr>
        <w:t>Jhariya</w:t>
      </w:r>
      <w:proofErr w:type="spellEnd"/>
      <w:r w:rsidRPr="00C309F4">
        <w:rPr>
          <w:rFonts w:ascii="Times New Roman" w:hAnsi="Times New Roman" w:cs="Times New Roman"/>
          <w:sz w:val="24"/>
          <w:szCs w:val="24"/>
        </w:rPr>
        <w:t xml:space="preserve"> et al., 2015</w:t>
      </w:r>
      <w:r w:rsidR="00333294" w:rsidRPr="00C309F4">
        <w:rPr>
          <w:rFonts w:ascii="Times New Roman" w:hAnsi="Times New Roman" w:cs="Times New Roman"/>
          <w:sz w:val="24"/>
          <w:szCs w:val="24"/>
        </w:rPr>
        <w:t xml:space="preserve">, </w:t>
      </w:r>
      <w:r w:rsidR="00333294" w:rsidRPr="00C309F4">
        <w:rPr>
          <w:rStyle w:val="Strong"/>
          <w:rFonts w:ascii="Times New Roman" w:hAnsi="Times New Roman" w:cs="Times New Roman"/>
          <w:b w:val="0"/>
          <w:bCs w:val="0"/>
          <w:sz w:val="24"/>
          <w:szCs w:val="24"/>
        </w:rPr>
        <w:t>Goswami, et al (2023).</w:t>
      </w:r>
      <w:r w:rsidR="00333294" w:rsidRPr="00C309F4">
        <w:rPr>
          <w:rFonts w:ascii="Times New Roman" w:hAnsi="Times New Roman" w:cs="Times New Roman"/>
          <w:sz w:val="24"/>
          <w:szCs w:val="24"/>
        </w:rPr>
        <w:t xml:space="preserve"> This</w:t>
      </w:r>
      <w:r w:rsidR="00C652A3" w:rsidRPr="00C309F4">
        <w:rPr>
          <w:rFonts w:ascii="Times New Roman" w:hAnsi="Times New Roman" w:cs="Times New Roman"/>
          <w:sz w:val="24"/>
          <w:szCs w:val="24"/>
        </w:rPr>
        <w:t xml:space="preserve"> findin</w:t>
      </w:r>
      <w:r w:rsidR="00333294" w:rsidRPr="00C309F4">
        <w:rPr>
          <w:rFonts w:ascii="Times New Roman" w:hAnsi="Times New Roman" w:cs="Times New Roman"/>
          <w:sz w:val="24"/>
          <w:szCs w:val="24"/>
        </w:rPr>
        <w:t>g</w:t>
      </w:r>
      <w:r w:rsidR="00C652A3" w:rsidRPr="00C309F4">
        <w:rPr>
          <w:rFonts w:ascii="Times New Roman" w:hAnsi="Times New Roman" w:cs="Times New Roman"/>
          <w:sz w:val="24"/>
          <w:szCs w:val="24"/>
        </w:rPr>
        <w:t xml:space="preserve">s </w:t>
      </w:r>
      <w:r w:rsidR="00333294" w:rsidRPr="00C309F4">
        <w:rPr>
          <w:rFonts w:ascii="Times New Roman" w:hAnsi="Times New Roman" w:cs="Times New Roman"/>
          <w:sz w:val="24"/>
          <w:szCs w:val="24"/>
        </w:rPr>
        <w:t>conformity</w:t>
      </w:r>
      <w:r w:rsidR="00C652A3" w:rsidRPr="00C309F4">
        <w:rPr>
          <w:rFonts w:ascii="Times New Roman" w:hAnsi="Times New Roman" w:cs="Times New Roman"/>
          <w:sz w:val="24"/>
          <w:szCs w:val="24"/>
        </w:rPr>
        <w:t xml:space="preserve"> with Kumar and Nair (2022).</w:t>
      </w:r>
    </w:p>
    <w:p w14:paraId="6A6BD7CE" w14:textId="40C903B7" w:rsidR="00462DE3" w:rsidRDefault="006F6E1F" w:rsidP="00271707">
      <w:pPr>
        <w:jc w:val="center"/>
        <w:rPr>
          <w:rFonts w:ascii="Times New Roman" w:hAnsi="Times New Roman" w:cs="Times New Roman"/>
          <w:b/>
          <w:bCs/>
          <w:sz w:val="24"/>
          <w:szCs w:val="24"/>
        </w:rPr>
      </w:pPr>
      <w:r w:rsidRPr="00C309F4">
        <w:rPr>
          <w:rFonts w:ascii="Times New Roman" w:hAnsi="Times New Roman" w:cs="Times New Roman"/>
          <w:b/>
          <w:bCs/>
          <w:sz w:val="24"/>
          <w:szCs w:val="24"/>
        </w:rPr>
        <w:t xml:space="preserve">Table 1. </w:t>
      </w:r>
      <w:r w:rsidR="00462DE3" w:rsidRPr="00C309F4">
        <w:rPr>
          <w:rFonts w:ascii="Times New Roman" w:hAnsi="Times New Roman" w:cs="Times New Roman"/>
          <w:b/>
          <w:bCs/>
          <w:sz w:val="24"/>
          <w:szCs w:val="24"/>
        </w:rPr>
        <w:t>Socio-Economic Analysis of Traditional and Industrial Agroforestry</w:t>
      </w:r>
    </w:p>
    <w:p w14:paraId="7AA0651C" w14:textId="00CD7F1C" w:rsidR="00E93297" w:rsidRPr="00C309F4" w:rsidRDefault="00E93297" w:rsidP="00271707">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93297">
        <w:rPr>
          <w:rFonts w:ascii="Times New Roman" w:hAnsi="Times New Roman" w:cs="Times New Roman"/>
          <w:b/>
          <w:bCs/>
          <w:sz w:val="24"/>
          <w:szCs w:val="24"/>
        </w:rPr>
        <w:t>N 30</w:t>
      </w:r>
    </w:p>
    <w:tbl>
      <w:tblPr>
        <w:tblStyle w:val="TableGrid"/>
        <w:tblW w:w="0" w:type="auto"/>
        <w:tblLook w:val="04A0" w:firstRow="1" w:lastRow="0" w:firstColumn="1" w:lastColumn="0" w:noHBand="0" w:noVBand="1"/>
      </w:tblPr>
      <w:tblGrid>
        <w:gridCol w:w="2263"/>
        <w:gridCol w:w="3747"/>
        <w:gridCol w:w="3006"/>
      </w:tblGrid>
      <w:tr w:rsidR="00876FB4" w:rsidRPr="00C309F4" w14:paraId="155064D9" w14:textId="77777777" w:rsidTr="00F331F0">
        <w:tc>
          <w:tcPr>
            <w:tcW w:w="2263" w:type="dxa"/>
          </w:tcPr>
          <w:p w14:paraId="1313884B" w14:textId="02923CE6" w:rsidR="00876FB4" w:rsidRPr="00C309F4" w:rsidRDefault="00876FB4" w:rsidP="006F6E1F">
            <w:pPr>
              <w:jc w:val="center"/>
              <w:rPr>
                <w:rFonts w:ascii="Times New Roman" w:hAnsi="Times New Roman" w:cs="Times New Roman"/>
                <w:b/>
                <w:bCs/>
                <w:sz w:val="24"/>
                <w:szCs w:val="24"/>
              </w:rPr>
            </w:pPr>
            <w:r w:rsidRPr="00C309F4">
              <w:rPr>
                <w:rFonts w:ascii="Times New Roman" w:hAnsi="Times New Roman" w:cs="Times New Roman"/>
                <w:b/>
                <w:bCs/>
                <w:sz w:val="24"/>
                <w:szCs w:val="24"/>
              </w:rPr>
              <w:t>Aspect</w:t>
            </w:r>
          </w:p>
        </w:tc>
        <w:tc>
          <w:tcPr>
            <w:tcW w:w="3747" w:type="dxa"/>
          </w:tcPr>
          <w:p w14:paraId="6F60629C" w14:textId="3F36E9EB" w:rsidR="00876FB4" w:rsidRPr="00C309F4" w:rsidRDefault="00876FB4" w:rsidP="006F6E1F">
            <w:pPr>
              <w:jc w:val="center"/>
              <w:rPr>
                <w:rFonts w:ascii="Times New Roman" w:hAnsi="Times New Roman" w:cs="Times New Roman"/>
                <w:b/>
                <w:bCs/>
                <w:sz w:val="24"/>
                <w:szCs w:val="24"/>
              </w:rPr>
            </w:pPr>
            <w:r w:rsidRPr="00C309F4">
              <w:rPr>
                <w:rFonts w:ascii="Times New Roman" w:hAnsi="Times New Roman" w:cs="Times New Roman"/>
                <w:b/>
                <w:bCs/>
                <w:sz w:val="24"/>
                <w:szCs w:val="24"/>
              </w:rPr>
              <w:t>Traditional Agroforestry</w:t>
            </w:r>
          </w:p>
        </w:tc>
        <w:tc>
          <w:tcPr>
            <w:tcW w:w="3006" w:type="dxa"/>
          </w:tcPr>
          <w:p w14:paraId="5FB3F1CE" w14:textId="6C0B9180" w:rsidR="00876FB4" w:rsidRPr="00C309F4" w:rsidRDefault="00876FB4" w:rsidP="006F6E1F">
            <w:pPr>
              <w:jc w:val="center"/>
              <w:rPr>
                <w:rFonts w:ascii="Times New Roman" w:hAnsi="Times New Roman" w:cs="Times New Roman"/>
                <w:b/>
                <w:bCs/>
                <w:sz w:val="24"/>
                <w:szCs w:val="24"/>
              </w:rPr>
            </w:pPr>
            <w:r w:rsidRPr="00C309F4">
              <w:rPr>
                <w:rFonts w:ascii="Times New Roman" w:hAnsi="Times New Roman" w:cs="Times New Roman"/>
                <w:b/>
                <w:bCs/>
                <w:sz w:val="24"/>
                <w:szCs w:val="24"/>
              </w:rPr>
              <w:t>Industrial Agroforestry</w:t>
            </w:r>
          </w:p>
        </w:tc>
      </w:tr>
      <w:tr w:rsidR="00876FB4" w:rsidRPr="00C309F4" w14:paraId="3CE5483B" w14:textId="77777777" w:rsidTr="00F331F0">
        <w:tc>
          <w:tcPr>
            <w:tcW w:w="2263" w:type="dxa"/>
          </w:tcPr>
          <w:p w14:paraId="564D81D9" w14:textId="6B756505"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Income Source</w:t>
            </w:r>
          </w:p>
        </w:tc>
        <w:tc>
          <w:tcPr>
            <w:tcW w:w="3747" w:type="dxa"/>
          </w:tcPr>
          <w:p w14:paraId="3992F3F0" w14:textId="1F1C6467"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43%</w:t>
            </w:r>
          </w:p>
          <w:p w14:paraId="767B3C31" w14:textId="760E5694" w:rsidR="00876FB4" w:rsidRPr="00C309F4" w:rsidRDefault="00F331F0" w:rsidP="00F331F0">
            <w:pPr>
              <w:jc w:val="both"/>
              <w:rPr>
                <w:rFonts w:ascii="Times New Roman" w:hAnsi="Times New Roman" w:cs="Times New Roman"/>
                <w:sz w:val="24"/>
                <w:szCs w:val="24"/>
              </w:rPr>
            </w:pPr>
            <w:r w:rsidRPr="00C309F4">
              <w:rPr>
                <w:rFonts w:ascii="Times New Roman" w:hAnsi="Times New Roman" w:cs="Times New Roman"/>
                <w:sz w:val="24"/>
                <w:szCs w:val="24"/>
              </w:rPr>
              <w:t>farmers rely on diversified income sources, ensuring long-term benefits but slower returns</w:t>
            </w:r>
          </w:p>
        </w:tc>
        <w:tc>
          <w:tcPr>
            <w:tcW w:w="3006" w:type="dxa"/>
          </w:tcPr>
          <w:p w14:paraId="1A1CE44E" w14:textId="4997A076"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56%</w:t>
            </w:r>
          </w:p>
          <w:p w14:paraId="70C12640" w14:textId="41A8C4C9" w:rsidR="00876FB4" w:rsidRPr="00C309F4" w:rsidRDefault="006F6E1F" w:rsidP="006F6E1F">
            <w:pPr>
              <w:jc w:val="both"/>
              <w:rPr>
                <w:rFonts w:ascii="Times New Roman" w:hAnsi="Times New Roman" w:cs="Times New Roman"/>
                <w:sz w:val="24"/>
                <w:szCs w:val="24"/>
              </w:rPr>
            </w:pPr>
            <w:r w:rsidRPr="00C309F4">
              <w:rPr>
                <w:rFonts w:ascii="Times New Roman" w:hAnsi="Times New Roman" w:cs="Times New Roman"/>
                <w:sz w:val="24"/>
                <w:szCs w:val="24"/>
              </w:rPr>
              <w:t>(Farmers</w:t>
            </w:r>
            <w:r w:rsidR="00F331F0" w:rsidRPr="00C309F4">
              <w:rPr>
                <w:rFonts w:ascii="Times New Roman" w:hAnsi="Times New Roman" w:cs="Times New Roman"/>
                <w:sz w:val="24"/>
                <w:szCs w:val="24"/>
              </w:rPr>
              <w:t xml:space="preserve"> obtain faster returns but face market price fluctuations</w:t>
            </w:r>
            <w:r w:rsidRPr="00C309F4">
              <w:rPr>
                <w:rFonts w:ascii="Times New Roman" w:hAnsi="Times New Roman" w:cs="Times New Roman"/>
                <w:sz w:val="24"/>
                <w:szCs w:val="24"/>
              </w:rPr>
              <w:t>)</w:t>
            </w:r>
            <w:r w:rsidR="00F331F0" w:rsidRPr="00C309F4">
              <w:rPr>
                <w:rFonts w:ascii="Times New Roman" w:hAnsi="Times New Roman" w:cs="Times New Roman"/>
                <w:sz w:val="24"/>
                <w:szCs w:val="24"/>
              </w:rPr>
              <w:t>.</w:t>
            </w:r>
          </w:p>
        </w:tc>
      </w:tr>
      <w:tr w:rsidR="00876FB4" w:rsidRPr="00C309F4" w14:paraId="158FEC45" w14:textId="77777777" w:rsidTr="00F331F0">
        <w:tc>
          <w:tcPr>
            <w:tcW w:w="2263" w:type="dxa"/>
          </w:tcPr>
          <w:p w14:paraId="563204C5" w14:textId="060F48F7"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Market &amp; Value Chain</w:t>
            </w:r>
          </w:p>
        </w:tc>
        <w:tc>
          <w:tcPr>
            <w:tcW w:w="3747" w:type="dxa"/>
          </w:tcPr>
          <w:p w14:paraId="5C76E98C" w14:textId="1F4487FB"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25%</w:t>
            </w:r>
          </w:p>
          <w:p w14:paraId="57EDDB1F" w14:textId="3BD7AF90"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depend on local markets; limited access to large buyers</w:t>
            </w:r>
          </w:p>
        </w:tc>
        <w:tc>
          <w:tcPr>
            <w:tcW w:w="3006" w:type="dxa"/>
          </w:tcPr>
          <w:p w14:paraId="66078574" w14:textId="58F3A93B"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20%</w:t>
            </w:r>
          </w:p>
          <w:p w14:paraId="5AFC2122" w14:textId="70541DC8"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benefit from contract farming; however, they face price volatility and contractual risks.</w:t>
            </w:r>
          </w:p>
        </w:tc>
      </w:tr>
      <w:tr w:rsidR="00876FB4" w:rsidRPr="00C309F4" w14:paraId="0BAB936E" w14:textId="77777777" w:rsidTr="00F331F0">
        <w:tc>
          <w:tcPr>
            <w:tcW w:w="2263" w:type="dxa"/>
          </w:tcPr>
          <w:p w14:paraId="38327D50" w14:textId="45D50A91"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Social &amp; Livelihood Aspects</w:t>
            </w:r>
          </w:p>
        </w:tc>
        <w:tc>
          <w:tcPr>
            <w:tcW w:w="3747" w:type="dxa"/>
          </w:tcPr>
          <w:p w14:paraId="03785EC0" w14:textId="23216361"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17%</w:t>
            </w:r>
          </w:p>
          <w:p w14:paraId="03FE3005" w14:textId="331D3B4A"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emphasize food security, social sustainability, and community participation</w:t>
            </w:r>
          </w:p>
        </w:tc>
        <w:tc>
          <w:tcPr>
            <w:tcW w:w="3006" w:type="dxa"/>
          </w:tcPr>
          <w:p w14:paraId="2560184C" w14:textId="6146B329"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10%</w:t>
            </w:r>
          </w:p>
          <w:p w14:paraId="4984EE02" w14:textId="23523FA3" w:rsidR="00876FB4" w:rsidRPr="00C309F4" w:rsidRDefault="00F331F0" w:rsidP="00462DE3">
            <w:pPr>
              <w:rPr>
                <w:rFonts w:ascii="Times New Roman" w:hAnsi="Times New Roman" w:cs="Times New Roman"/>
                <w:sz w:val="24"/>
                <w:szCs w:val="24"/>
              </w:rPr>
            </w:pPr>
            <w:r w:rsidRPr="00C309F4">
              <w:rPr>
                <w:rFonts w:ascii="Times New Roman" w:hAnsi="Times New Roman" w:cs="Times New Roman"/>
                <w:sz w:val="24"/>
                <w:szCs w:val="24"/>
              </w:rPr>
              <w:t>contribute to rural economic growth but face land-use changes and biodiversity loss.</w:t>
            </w:r>
          </w:p>
        </w:tc>
      </w:tr>
      <w:tr w:rsidR="00876FB4" w:rsidRPr="00C309F4" w14:paraId="005C5BC3" w14:textId="77777777" w:rsidTr="00F331F0">
        <w:tc>
          <w:tcPr>
            <w:tcW w:w="2263" w:type="dxa"/>
          </w:tcPr>
          <w:p w14:paraId="7D66D50E" w14:textId="1DE4633D"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Employment &amp; Labour Dynamics</w:t>
            </w:r>
          </w:p>
        </w:tc>
        <w:tc>
          <w:tcPr>
            <w:tcW w:w="3747" w:type="dxa"/>
          </w:tcPr>
          <w:p w14:paraId="4A9AE3AD" w14:textId="1FC46C5A"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15%</w:t>
            </w:r>
          </w:p>
          <w:p w14:paraId="6D0880A8" w14:textId="75CCBDD1"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depend on family labour and community support, reducing external costs.</w:t>
            </w:r>
          </w:p>
        </w:tc>
        <w:tc>
          <w:tcPr>
            <w:tcW w:w="3006" w:type="dxa"/>
          </w:tcPr>
          <w:p w14:paraId="3CA3DFC8" w14:textId="4D7D76E3"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14%</w:t>
            </w:r>
          </w:p>
          <w:p w14:paraId="7A3C8F8F" w14:textId="7290EB68" w:rsidR="00876FB4" w:rsidRPr="00C309F4" w:rsidRDefault="00F331F0" w:rsidP="00F331F0">
            <w:pPr>
              <w:jc w:val="both"/>
              <w:rPr>
                <w:rFonts w:ascii="Times New Roman" w:hAnsi="Times New Roman" w:cs="Times New Roman"/>
                <w:sz w:val="24"/>
                <w:szCs w:val="24"/>
              </w:rPr>
            </w:pPr>
            <w:r w:rsidRPr="00C309F4">
              <w:rPr>
                <w:rFonts w:ascii="Times New Roman" w:hAnsi="Times New Roman" w:cs="Times New Roman"/>
                <w:sz w:val="24"/>
                <w:szCs w:val="24"/>
              </w:rPr>
              <w:t>depend on seasonal labour; mechanization reduces long-term employment.</w:t>
            </w:r>
          </w:p>
        </w:tc>
      </w:tr>
    </w:tbl>
    <w:p w14:paraId="23B05792" w14:textId="62CD3B71" w:rsidR="0039217F" w:rsidRPr="00C309F4" w:rsidRDefault="003466A2" w:rsidP="0039217F">
      <w:pPr>
        <w:jc w:val="both"/>
        <w:rPr>
          <w:rFonts w:ascii="Times New Roman" w:hAnsi="Times New Roman" w:cs="Times New Roman"/>
          <w:b/>
          <w:bCs/>
          <w:sz w:val="24"/>
          <w:szCs w:val="24"/>
        </w:rPr>
      </w:pPr>
      <w:r>
        <w:rPr>
          <w:rFonts w:ascii="Times New Roman" w:hAnsi="Times New Roman" w:cs="Times New Roman"/>
          <w:b/>
          <w:bCs/>
          <w:sz w:val="24"/>
          <w:szCs w:val="24"/>
        </w:rPr>
        <w:t xml:space="preserve">                                           Fig.2</w:t>
      </w:r>
    </w:p>
    <w:p w14:paraId="21331E4B" w14:textId="1BCF6B1C" w:rsidR="006F6E1F" w:rsidRPr="00C309F4" w:rsidRDefault="006F6E1F" w:rsidP="0039217F">
      <w:pPr>
        <w:spacing w:line="360" w:lineRule="auto"/>
        <w:ind w:firstLine="720"/>
        <w:jc w:val="both"/>
        <w:rPr>
          <w:rFonts w:ascii="Times New Roman" w:hAnsi="Times New Roman" w:cs="Times New Roman"/>
          <w:sz w:val="24"/>
          <w:szCs w:val="24"/>
        </w:rPr>
      </w:pPr>
      <w:r w:rsidRPr="00C309F4">
        <w:rPr>
          <w:rFonts w:ascii="Times New Roman" w:hAnsi="Times New Roman" w:cs="Times New Roman"/>
          <w:noProof/>
          <w:sz w:val="24"/>
          <w:szCs w:val="24"/>
        </w:rPr>
        <w:drawing>
          <wp:inline distT="0" distB="0" distL="0" distR="0" wp14:anchorId="099A1365" wp14:editId="41913305">
            <wp:extent cx="4871085" cy="324739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9814" cy="3253209"/>
                    </a:xfrm>
                    <a:prstGeom prst="rect">
                      <a:avLst/>
                    </a:prstGeom>
                    <a:noFill/>
                  </pic:spPr>
                </pic:pic>
              </a:graphicData>
            </a:graphic>
          </wp:inline>
        </w:drawing>
      </w:r>
    </w:p>
    <w:p w14:paraId="70721560" w14:textId="08E0E3A6" w:rsidR="001447F7" w:rsidRPr="00C309F4" w:rsidRDefault="0039217F" w:rsidP="0039217F">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This analysis supports earlier findings that traditional systems maintain social equity and ecological resilience (Altieri, 2004; </w:t>
      </w:r>
      <w:proofErr w:type="spellStart"/>
      <w:r w:rsidRPr="00C309F4">
        <w:rPr>
          <w:rFonts w:ascii="Times New Roman" w:hAnsi="Times New Roman" w:cs="Times New Roman"/>
          <w:sz w:val="24"/>
          <w:szCs w:val="24"/>
        </w:rPr>
        <w:t>Meinzen</w:t>
      </w:r>
      <w:proofErr w:type="spellEnd"/>
      <w:r w:rsidRPr="00C309F4">
        <w:rPr>
          <w:rFonts w:ascii="Times New Roman" w:hAnsi="Times New Roman" w:cs="Times New Roman"/>
          <w:sz w:val="24"/>
          <w:szCs w:val="24"/>
        </w:rPr>
        <w:t xml:space="preserve">-Dick &amp; </w:t>
      </w:r>
      <w:proofErr w:type="spellStart"/>
      <w:r w:rsidRPr="00C309F4">
        <w:rPr>
          <w:rFonts w:ascii="Times New Roman" w:hAnsi="Times New Roman" w:cs="Times New Roman"/>
          <w:sz w:val="24"/>
          <w:szCs w:val="24"/>
        </w:rPr>
        <w:t>Quisumbing</w:t>
      </w:r>
      <w:proofErr w:type="spellEnd"/>
      <w:r w:rsidRPr="00C309F4">
        <w:rPr>
          <w:rFonts w:ascii="Times New Roman" w:hAnsi="Times New Roman" w:cs="Times New Roman"/>
          <w:sz w:val="24"/>
          <w:szCs w:val="24"/>
        </w:rPr>
        <w:t xml:space="preserve">, 2013), while industrial </w:t>
      </w:r>
      <w:r w:rsidRPr="00C309F4">
        <w:rPr>
          <w:rFonts w:ascii="Times New Roman" w:hAnsi="Times New Roman" w:cs="Times New Roman"/>
          <w:sz w:val="24"/>
          <w:szCs w:val="24"/>
        </w:rPr>
        <w:lastRenderedPageBreak/>
        <w:t xml:space="preserve">systems enhance commercial potential and short-term incomes (Arnold &amp; </w:t>
      </w:r>
      <w:proofErr w:type="spellStart"/>
      <w:r w:rsidRPr="00C309F4">
        <w:rPr>
          <w:rFonts w:ascii="Times New Roman" w:hAnsi="Times New Roman" w:cs="Times New Roman"/>
          <w:sz w:val="24"/>
          <w:szCs w:val="24"/>
        </w:rPr>
        <w:t>Dewees</w:t>
      </w:r>
      <w:proofErr w:type="spellEnd"/>
      <w:r w:rsidRPr="00C309F4">
        <w:rPr>
          <w:rFonts w:ascii="Times New Roman" w:hAnsi="Times New Roman" w:cs="Times New Roman"/>
          <w:sz w:val="24"/>
          <w:szCs w:val="24"/>
        </w:rPr>
        <w:t>, 1997; Waldron et al., 2017</w:t>
      </w:r>
      <w:r w:rsidR="001447F7" w:rsidRPr="00C309F4">
        <w:rPr>
          <w:rFonts w:ascii="Times New Roman" w:hAnsi="Times New Roman" w:cs="Times New Roman"/>
          <w:sz w:val="24"/>
          <w:szCs w:val="24"/>
        </w:rPr>
        <w:t>). The</w:t>
      </w:r>
      <w:r w:rsidR="001C4889" w:rsidRPr="00C309F4">
        <w:rPr>
          <w:rFonts w:ascii="Times New Roman" w:hAnsi="Times New Roman" w:cs="Times New Roman"/>
          <w:sz w:val="24"/>
          <w:szCs w:val="24"/>
        </w:rPr>
        <w:t xml:space="preserve"> findings conformity with </w:t>
      </w:r>
      <w:r w:rsidR="001447F7" w:rsidRPr="00C309F4">
        <w:rPr>
          <w:rFonts w:ascii="Times New Roman" w:hAnsi="Times New Roman" w:cs="Times New Roman"/>
          <w:sz w:val="24"/>
          <w:szCs w:val="24"/>
        </w:rPr>
        <w:t>Chavan, et al. (2021).</w:t>
      </w:r>
    </w:p>
    <w:p w14:paraId="063635E8" w14:textId="76A62C66" w:rsidR="009E5B20" w:rsidRPr="00C309F4" w:rsidRDefault="009E5B20" w:rsidP="00271707">
      <w:pPr>
        <w:pStyle w:val="Heading3"/>
        <w:jc w:val="center"/>
        <w:rPr>
          <w:rFonts w:ascii="Times New Roman" w:eastAsia="Times New Roman" w:hAnsi="Times New Roman" w:cs="Times New Roman"/>
          <w:b/>
          <w:bCs/>
          <w:color w:val="auto"/>
          <w:lang w:eastAsia="en-IN"/>
        </w:rPr>
      </w:pPr>
      <w:r w:rsidRPr="00C309F4">
        <w:rPr>
          <w:rFonts w:ascii="Times New Roman" w:eastAsia="Times New Roman" w:hAnsi="Times New Roman" w:cs="Times New Roman"/>
          <w:b/>
          <w:bCs/>
          <w:color w:val="auto"/>
          <w:lang w:eastAsia="en-IN"/>
        </w:rPr>
        <w:t>Table 2. Major Constraints Faced by Farmers in Agroforestry Systems</w:t>
      </w:r>
    </w:p>
    <w:p w14:paraId="6002397E" w14:textId="6ABA45C6" w:rsidR="009E5B20" w:rsidRPr="00E93297" w:rsidRDefault="00E93297" w:rsidP="00E93297">
      <w:pPr>
        <w:jc w:val="center"/>
        <w:rPr>
          <w:rFonts w:ascii="Times New Roman" w:hAnsi="Times New Roman" w:cs="Times New Roman"/>
          <w:b/>
          <w:bCs/>
          <w:sz w:val="24"/>
          <w:szCs w:val="24"/>
          <w:lang w:eastAsia="en-IN"/>
        </w:rPr>
      </w:pPr>
      <w:r>
        <w:rPr>
          <w:rFonts w:ascii="Times New Roman" w:hAnsi="Times New Roman" w:cs="Times New Roman"/>
          <w:sz w:val="24"/>
          <w:szCs w:val="24"/>
          <w:lang w:eastAsia="en-IN"/>
        </w:rPr>
        <w:t xml:space="preserve">                                                                                                                         </w:t>
      </w:r>
      <w:r w:rsidRPr="00E93297">
        <w:rPr>
          <w:rFonts w:ascii="Times New Roman" w:hAnsi="Times New Roman" w:cs="Times New Roman"/>
          <w:b/>
          <w:bCs/>
          <w:sz w:val="24"/>
          <w:szCs w:val="24"/>
          <w:lang w:eastAsia="en-IN"/>
        </w:rPr>
        <w:t>N</w:t>
      </w:r>
      <w:r>
        <w:rPr>
          <w:rFonts w:ascii="Times New Roman" w:hAnsi="Times New Roman" w:cs="Times New Roman"/>
          <w:b/>
          <w:bCs/>
          <w:sz w:val="24"/>
          <w:szCs w:val="24"/>
          <w:lang w:eastAsia="en-IN"/>
        </w:rPr>
        <w:t xml:space="preserve"> </w:t>
      </w:r>
      <w:r w:rsidRPr="00E93297">
        <w:rPr>
          <w:rFonts w:ascii="Times New Roman" w:hAnsi="Times New Roman" w:cs="Times New Roman"/>
          <w:b/>
          <w:bCs/>
          <w:sz w:val="24"/>
          <w:szCs w:val="24"/>
          <w:lang w:eastAsia="en-IN"/>
        </w:rPr>
        <w:t>30</w:t>
      </w:r>
    </w:p>
    <w:tbl>
      <w:tblPr>
        <w:tblStyle w:val="TableGrid"/>
        <w:tblW w:w="0" w:type="auto"/>
        <w:tblLook w:val="04A0" w:firstRow="1" w:lastRow="0" w:firstColumn="1" w:lastColumn="0" w:noHBand="0" w:noVBand="1"/>
      </w:tblPr>
      <w:tblGrid>
        <w:gridCol w:w="4531"/>
        <w:gridCol w:w="2127"/>
        <w:gridCol w:w="2358"/>
      </w:tblGrid>
      <w:tr w:rsidR="009E5B20" w:rsidRPr="00C309F4" w14:paraId="76C1D8C4" w14:textId="77777777" w:rsidTr="002E0806">
        <w:tc>
          <w:tcPr>
            <w:tcW w:w="4531" w:type="dxa"/>
          </w:tcPr>
          <w:p w14:paraId="1503FBD9" w14:textId="24750DE5" w:rsidR="009E5B20" w:rsidRPr="00C309F4" w:rsidRDefault="009E5B20" w:rsidP="00B56AA5">
            <w:pPr>
              <w:spacing w:line="360" w:lineRule="auto"/>
              <w:jc w:val="center"/>
              <w:rPr>
                <w:rFonts w:ascii="Times New Roman" w:hAnsi="Times New Roman" w:cs="Times New Roman"/>
                <w:b/>
                <w:bCs/>
                <w:sz w:val="24"/>
                <w:szCs w:val="24"/>
                <w:lang w:eastAsia="en-IN"/>
              </w:rPr>
            </w:pPr>
            <w:r w:rsidRPr="00C309F4">
              <w:rPr>
                <w:rFonts w:ascii="Times New Roman" w:hAnsi="Times New Roman" w:cs="Times New Roman"/>
                <w:b/>
                <w:bCs/>
                <w:sz w:val="24"/>
                <w:szCs w:val="24"/>
                <w:lang w:eastAsia="en-IN"/>
              </w:rPr>
              <w:t>Constraint</w:t>
            </w:r>
          </w:p>
        </w:tc>
        <w:tc>
          <w:tcPr>
            <w:tcW w:w="2127" w:type="dxa"/>
          </w:tcPr>
          <w:p w14:paraId="54E17937" w14:textId="227691F4" w:rsidR="009E5B20" w:rsidRPr="00C309F4" w:rsidRDefault="009E5B20" w:rsidP="00B56AA5">
            <w:pPr>
              <w:spacing w:line="360" w:lineRule="auto"/>
              <w:jc w:val="center"/>
              <w:rPr>
                <w:rFonts w:ascii="Times New Roman" w:hAnsi="Times New Roman" w:cs="Times New Roman"/>
                <w:b/>
                <w:bCs/>
                <w:sz w:val="24"/>
                <w:szCs w:val="24"/>
                <w:lang w:eastAsia="en-IN"/>
              </w:rPr>
            </w:pPr>
            <w:r w:rsidRPr="00C309F4">
              <w:rPr>
                <w:rFonts w:ascii="Times New Roman" w:hAnsi="Times New Roman" w:cs="Times New Roman"/>
                <w:b/>
                <w:bCs/>
                <w:sz w:val="24"/>
                <w:szCs w:val="24"/>
              </w:rPr>
              <w:t>Traditional Agroforestry (%)</w:t>
            </w:r>
          </w:p>
        </w:tc>
        <w:tc>
          <w:tcPr>
            <w:tcW w:w="2358" w:type="dxa"/>
          </w:tcPr>
          <w:p w14:paraId="68F41476" w14:textId="39CA0CB1" w:rsidR="009E5B20" w:rsidRPr="00C309F4" w:rsidRDefault="009E5B20" w:rsidP="00B56AA5">
            <w:pPr>
              <w:spacing w:line="360" w:lineRule="auto"/>
              <w:jc w:val="center"/>
              <w:rPr>
                <w:rFonts w:ascii="Times New Roman" w:hAnsi="Times New Roman" w:cs="Times New Roman"/>
                <w:b/>
                <w:bCs/>
                <w:sz w:val="24"/>
                <w:szCs w:val="24"/>
                <w:lang w:eastAsia="en-IN"/>
              </w:rPr>
            </w:pPr>
            <w:r w:rsidRPr="00C309F4">
              <w:rPr>
                <w:rFonts w:ascii="Times New Roman" w:hAnsi="Times New Roman" w:cs="Times New Roman"/>
                <w:b/>
                <w:bCs/>
                <w:sz w:val="24"/>
                <w:szCs w:val="24"/>
              </w:rPr>
              <w:t>Industrial Agroforestry (%)</w:t>
            </w:r>
          </w:p>
        </w:tc>
      </w:tr>
      <w:tr w:rsidR="009E5B20" w:rsidRPr="00C309F4" w14:paraId="10771DC5" w14:textId="77777777" w:rsidTr="002E0806">
        <w:tc>
          <w:tcPr>
            <w:tcW w:w="4531" w:type="dxa"/>
            <w:vAlign w:val="center"/>
          </w:tcPr>
          <w:p w14:paraId="05A5D89C" w14:textId="1AEC7FD8"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Financial Constraints</w:t>
            </w:r>
          </w:p>
        </w:tc>
        <w:tc>
          <w:tcPr>
            <w:tcW w:w="2127" w:type="dxa"/>
            <w:vAlign w:val="center"/>
          </w:tcPr>
          <w:p w14:paraId="46738075" w14:textId="7DF13996"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25.3</w:t>
            </w:r>
          </w:p>
        </w:tc>
        <w:tc>
          <w:tcPr>
            <w:tcW w:w="2358" w:type="dxa"/>
            <w:vAlign w:val="center"/>
          </w:tcPr>
          <w:p w14:paraId="5813F3A6" w14:textId="2A3B3192"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24.1</w:t>
            </w:r>
          </w:p>
        </w:tc>
      </w:tr>
      <w:tr w:rsidR="009E5B20" w:rsidRPr="00C309F4" w14:paraId="06137FDD" w14:textId="77777777" w:rsidTr="002E0806">
        <w:tc>
          <w:tcPr>
            <w:tcW w:w="4531" w:type="dxa"/>
            <w:vAlign w:val="center"/>
          </w:tcPr>
          <w:p w14:paraId="44BDC8B6" w14:textId="3BE96E1A"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Institutional &amp; Policy Barriers</w:t>
            </w:r>
          </w:p>
        </w:tc>
        <w:tc>
          <w:tcPr>
            <w:tcW w:w="2127" w:type="dxa"/>
            <w:vAlign w:val="center"/>
          </w:tcPr>
          <w:p w14:paraId="3FC9C629" w14:textId="0531C0E7"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22.8</w:t>
            </w:r>
          </w:p>
        </w:tc>
        <w:tc>
          <w:tcPr>
            <w:tcW w:w="2358" w:type="dxa"/>
            <w:vAlign w:val="center"/>
          </w:tcPr>
          <w:p w14:paraId="3AC3D6C8" w14:textId="60C20F25"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21.9</w:t>
            </w:r>
          </w:p>
        </w:tc>
      </w:tr>
      <w:tr w:rsidR="009E5B20" w:rsidRPr="00C309F4" w14:paraId="6D559B76" w14:textId="77777777" w:rsidTr="002E0806">
        <w:tc>
          <w:tcPr>
            <w:tcW w:w="4531" w:type="dxa"/>
            <w:vAlign w:val="center"/>
          </w:tcPr>
          <w:p w14:paraId="351D0685" w14:textId="0FCBE53F"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Market &amp; Price Risks</w:t>
            </w:r>
          </w:p>
        </w:tc>
        <w:tc>
          <w:tcPr>
            <w:tcW w:w="2127" w:type="dxa"/>
            <w:vAlign w:val="center"/>
          </w:tcPr>
          <w:p w14:paraId="358FEFDD" w14:textId="1C265D75"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18.6</w:t>
            </w:r>
          </w:p>
        </w:tc>
        <w:tc>
          <w:tcPr>
            <w:tcW w:w="2358" w:type="dxa"/>
            <w:vAlign w:val="center"/>
          </w:tcPr>
          <w:p w14:paraId="6DF1B910" w14:textId="06DC147E"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23.7</w:t>
            </w:r>
          </w:p>
        </w:tc>
      </w:tr>
      <w:tr w:rsidR="009E5B20" w:rsidRPr="00C309F4" w14:paraId="637C4B3C" w14:textId="77777777" w:rsidTr="002E0806">
        <w:tc>
          <w:tcPr>
            <w:tcW w:w="4531" w:type="dxa"/>
            <w:vAlign w:val="center"/>
          </w:tcPr>
          <w:p w14:paraId="4704AD1B" w14:textId="440AE816"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Environmental &amp; Sustainability Issues</w:t>
            </w:r>
          </w:p>
        </w:tc>
        <w:tc>
          <w:tcPr>
            <w:tcW w:w="2127" w:type="dxa"/>
            <w:vAlign w:val="center"/>
          </w:tcPr>
          <w:p w14:paraId="1971B668" w14:textId="71766450"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15.8</w:t>
            </w:r>
          </w:p>
        </w:tc>
        <w:tc>
          <w:tcPr>
            <w:tcW w:w="2358" w:type="dxa"/>
            <w:vAlign w:val="center"/>
          </w:tcPr>
          <w:p w14:paraId="3A6F8634" w14:textId="65F34679"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19.5</w:t>
            </w:r>
          </w:p>
        </w:tc>
      </w:tr>
      <w:tr w:rsidR="009E5B20" w:rsidRPr="00C309F4" w14:paraId="5F0B1F6F" w14:textId="77777777" w:rsidTr="002E0806">
        <w:tc>
          <w:tcPr>
            <w:tcW w:w="4531" w:type="dxa"/>
            <w:vAlign w:val="center"/>
          </w:tcPr>
          <w:p w14:paraId="0428F578" w14:textId="40E38213"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Labour Challenges</w:t>
            </w:r>
          </w:p>
        </w:tc>
        <w:tc>
          <w:tcPr>
            <w:tcW w:w="2127" w:type="dxa"/>
            <w:vAlign w:val="center"/>
          </w:tcPr>
          <w:p w14:paraId="325DBD7C" w14:textId="7301DEE0"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17.5</w:t>
            </w:r>
          </w:p>
        </w:tc>
        <w:tc>
          <w:tcPr>
            <w:tcW w:w="2358" w:type="dxa"/>
            <w:vAlign w:val="center"/>
          </w:tcPr>
          <w:p w14:paraId="513AFD10" w14:textId="29D03E9F"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10.7</w:t>
            </w:r>
          </w:p>
        </w:tc>
      </w:tr>
      <w:tr w:rsidR="009E5B20" w:rsidRPr="00C309F4" w14:paraId="195DF691" w14:textId="77777777" w:rsidTr="002E0806">
        <w:tc>
          <w:tcPr>
            <w:tcW w:w="4531" w:type="dxa"/>
            <w:vAlign w:val="center"/>
          </w:tcPr>
          <w:p w14:paraId="16E435A7" w14:textId="34FF2E5B"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Financial Constraints</w:t>
            </w:r>
          </w:p>
        </w:tc>
        <w:tc>
          <w:tcPr>
            <w:tcW w:w="2127" w:type="dxa"/>
            <w:vAlign w:val="center"/>
          </w:tcPr>
          <w:p w14:paraId="4BEB161E" w14:textId="3CA235AC"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25.3</w:t>
            </w:r>
          </w:p>
        </w:tc>
        <w:tc>
          <w:tcPr>
            <w:tcW w:w="2358" w:type="dxa"/>
            <w:vAlign w:val="center"/>
          </w:tcPr>
          <w:p w14:paraId="14BC5D8F" w14:textId="35F1CE71"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24.1</w:t>
            </w:r>
          </w:p>
        </w:tc>
      </w:tr>
    </w:tbl>
    <w:p w14:paraId="452E7F3A" w14:textId="77777777" w:rsidR="009E5B20" w:rsidRPr="00C309F4" w:rsidRDefault="009E5B20" w:rsidP="00462DE3">
      <w:pPr>
        <w:rPr>
          <w:rFonts w:ascii="Times New Roman" w:hAnsi="Times New Roman" w:cs="Times New Roman"/>
          <w:b/>
          <w:bCs/>
          <w:sz w:val="24"/>
          <w:szCs w:val="24"/>
        </w:rPr>
      </w:pPr>
    </w:p>
    <w:p w14:paraId="55434002" w14:textId="202EF9B6" w:rsidR="009E5B20"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Financial Constraints</w:t>
      </w:r>
    </w:p>
    <w:p w14:paraId="1A271EB2" w14:textId="3CCA2339" w:rsidR="00462DE3" w:rsidRPr="00C309F4" w:rsidRDefault="009E5B20" w:rsidP="009E5B20">
      <w:pPr>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From the table inferred that </w:t>
      </w:r>
      <w:r w:rsidR="00462DE3" w:rsidRPr="00C309F4">
        <w:rPr>
          <w:rFonts w:ascii="Times New Roman" w:hAnsi="Times New Roman" w:cs="Times New Roman"/>
          <w:sz w:val="24"/>
          <w:szCs w:val="24"/>
        </w:rPr>
        <w:t>24.70</w:t>
      </w:r>
      <w:r w:rsidRPr="00C309F4">
        <w:rPr>
          <w:rFonts w:ascii="Times New Roman" w:hAnsi="Times New Roman" w:cs="Times New Roman"/>
          <w:sz w:val="24"/>
          <w:szCs w:val="24"/>
        </w:rPr>
        <w:t>% of the farmers expressed that l</w:t>
      </w:r>
      <w:r w:rsidR="00462DE3" w:rsidRPr="00C309F4">
        <w:rPr>
          <w:rFonts w:ascii="Times New Roman" w:hAnsi="Times New Roman" w:cs="Times New Roman"/>
          <w:sz w:val="24"/>
          <w:szCs w:val="24"/>
        </w:rPr>
        <w:t>imited access to institutional credit and high establishment costs hinder both traditional and industrial agroforestry (</w:t>
      </w:r>
      <w:proofErr w:type="spellStart"/>
      <w:r w:rsidR="00462DE3" w:rsidRPr="00C309F4">
        <w:rPr>
          <w:rFonts w:ascii="Times New Roman" w:hAnsi="Times New Roman" w:cs="Times New Roman"/>
          <w:sz w:val="24"/>
          <w:szCs w:val="24"/>
        </w:rPr>
        <w:t>Murniati</w:t>
      </w:r>
      <w:proofErr w:type="spellEnd"/>
      <w:r w:rsidR="00462DE3" w:rsidRPr="00C309F4">
        <w:rPr>
          <w:rFonts w:ascii="Times New Roman" w:hAnsi="Times New Roman" w:cs="Times New Roman"/>
          <w:sz w:val="24"/>
          <w:szCs w:val="24"/>
        </w:rPr>
        <w:t xml:space="preserve"> et al., 2001).</w:t>
      </w:r>
    </w:p>
    <w:p w14:paraId="31D2E0F7" w14:textId="77777777" w:rsidR="009E5B20" w:rsidRPr="00C309F4" w:rsidRDefault="00462DE3" w:rsidP="00462DE3">
      <w:pPr>
        <w:rPr>
          <w:rFonts w:ascii="Times New Roman" w:hAnsi="Times New Roman" w:cs="Times New Roman"/>
          <w:sz w:val="24"/>
          <w:szCs w:val="24"/>
        </w:rPr>
      </w:pPr>
      <w:r w:rsidRPr="00C309F4">
        <w:rPr>
          <w:rFonts w:ascii="Times New Roman" w:hAnsi="Times New Roman" w:cs="Times New Roman"/>
          <w:b/>
          <w:bCs/>
          <w:sz w:val="24"/>
          <w:szCs w:val="24"/>
        </w:rPr>
        <w:t>Institutional and Policy Barriers</w:t>
      </w:r>
      <w:r w:rsidRPr="00C309F4">
        <w:rPr>
          <w:rFonts w:ascii="Times New Roman" w:hAnsi="Times New Roman" w:cs="Times New Roman"/>
          <w:sz w:val="24"/>
          <w:szCs w:val="24"/>
        </w:rPr>
        <w:t xml:space="preserve"> </w:t>
      </w:r>
    </w:p>
    <w:p w14:paraId="1F680321" w14:textId="52D95C6D" w:rsidR="00462DE3" w:rsidRPr="00C309F4" w:rsidRDefault="00462DE3" w:rsidP="009E5B20">
      <w:pPr>
        <w:ind w:firstLine="720"/>
        <w:jc w:val="both"/>
        <w:rPr>
          <w:rFonts w:ascii="Times New Roman" w:hAnsi="Times New Roman" w:cs="Times New Roman"/>
          <w:sz w:val="24"/>
          <w:szCs w:val="24"/>
        </w:rPr>
      </w:pPr>
      <w:r w:rsidRPr="00C309F4">
        <w:rPr>
          <w:rFonts w:ascii="Times New Roman" w:hAnsi="Times New Roman" w:cs="Times New Roman"/>
          <w:sz w:val="24"/>
          <w:szCs w:val="24"/>
        </w:rPr>
        <w:t>22.35</w:t>
      </w:r>
      <w:r w:rsidR="009E5B20" w:rsidRPr="00C309F4">
        <w:rPr>
          <w:rFonts w:ascii="Times New Roman" w:hAnsi="Times New Roman" w:cs="Times New Roman"/>
          <w:sz w:val="24"/>
          <w:szCs w:val="24"/>
        </w:rPr>
        <w:t>% of the farmers revealed that l</w:t>
      </w:r>
      <w:r w:rsidRPr="00C309F4">
        <w:rPr>
          <w:rFonts w:ascii="Times New Roman" w:hAnsi="Times New Roman" w:cs="Times New Roman"/>
          <w:sz w:val="24"/>
          <w:szCs w:val="24"/>
        </w:rPr>
        <w:t>ack of clear agroforestry policies and weak coordination between forestry and agricultural institutions create uncertainty (Agarwal, 2001).</w:t>
      </w:r>
    </w:p>
    <w:p w14:paraId="29E0FA29" w14:textId="77777777" w:rsidR="009E5B20"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 xml:space="preserve">Market and Price Risks </w:t>
      </w:r>
    </w:p>
    <w:p w14:paraId="3F3D2F06" w14:textId="2B2FA3E6" w:rsidR="00462DE3" w:rsidRPr="00C309F4" w:rsidRDefault="009E5B20" w:rsidP="003B53C3">
      <w:pPr>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One third of the farmers </w:t>
      </w:r>
      <w:r w:rsidR="00462DE3" w:rsidRPr="00C309F4">
        <w:rPr>
          <w:rFonts w:ascii="Times New Roman" w:hAnsi="Times New Roman" w:cs="Times New Roman"/>
          <w:sz w:val="24"/>
          <w:szCs w:val="24"/>
        </w:rPr>
        <w:t>(21.17</w:t>
      </w:r>
      <w:r w:rsidR="003B53C3" w:rsidRPr="00C309F4">
        <w:rPr>
          <w:rFonts w:ascii="Times New Roman" w:hAnsi="Times New Roman" w:cs="Times New Roman"/>
          <w:sz w:val="24"/>
          <w:szCs w:val="24"/>
        </w:rPr>
        <w:t>%) stated</w:t>
      </w:r>
      <w:r w:rsidRPr="00C309F4">
        <w:rPr>
          <w:rFonts w:ascii="Times New Roman" w:hAnsi="Times New Roman" w:cs="Times New Roman"/>
          <w:sz w:val="24"/>
          <w:szCs w:val="24"/>
        </w:rPr>
        <w:t xml:space="preserve"> that i</w:t>
      </w:r>
      <w:r w:rsidR="00462DE3" w:rsidRPr="00C309F4">
        <w:rPr>
          <w:rFonts w:ascii="Times New Roman" w:hAnsi="Times New Roman" w:cs="Times New Roman"/>
          <w:sz w:val="24"/>
          <w:szCs w:val="24"/>
        </w:rPr>
        <w:t xml:space="preserve">ndustrial farmers face contractual disputes and market fluctuations, consistent with observations by Arnold &amp; </w:t>
      </w:r>
      <w:proofErr w:type="spellStart"/>
      <w:r w:rsidR="00462DE3" w:rsidRPr="00C309F4">
        <w:rPr>
          <w:rFonts w:ascii="Times New Roman" w:hAnsi="Times New Roman" w:cs="Times New Roman"/>
          <w:sz w:val="24"/>
          <w:szCs w:val="24"/>
        </w:rPr>
        <w:t>Dewees</w:t>
      </w:r>
      <w:proofErr w:type="spellEnd"/>
      <w:r w:rsidR="00462DE3" w:rsidRPr="00C309F4">
        <w:rPr>
          <w:rFonts w:ascii="Times New Roman" w:hAnsi="Times New Roman" w:cs="Times New Roman"/>
          <w:sz w:val="24"/>
          <w:szCs w:val="24"/>
        </w:rPr>
        <w:t xml:space="preserve"> (1997).</w:t>
      </w:r>
    </w:p>
    <w:p w14:paraId="7A1D08E9" w14:textId="77777777" w:rsidR="009E5B20"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 xml:space="preserve">Environmental Issues </w:t>
      </w:r>
    </w:p>
    <w:p w14:paraId="5BF04802" w14:textId="2D9786C9" w:rsidR="00462DE3" w:rsidRPr="00C309F4" w:rsidRDefault="009E5B20" w:rsidP="001447F7">
      <w:pPr>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 Below one third of the (</w:t>
      </w:r>
      <w:r w:rsidR="00462DE3" w:rsidRPr="00C309F4">
        <w:rPr>
          <w:rFonts w:ascii="Times New Roman" w:hAnsi="Times New Roman" w:cs="Times New Roman"/>
          <w:sz w:val="24"/>
          <w:szCs w:val="24"/>
        </w:rPr>
        <w:t>17.64%)</w:t>
      </w:r>
      <w:r w:rsidRPr="00C309F4">
        <w:rPr>
          <w:rFonts w:ascii="Times New Roman" w:hAnsi="Times New Roman" w:cs="Times New Roman"/>
          <w:sz w:val="24"/>
          <w:szCs w:val="24"/>
        </w:rPr>
        <w:t xml:space="preserve"> farmers faced the constraints such </w:t>
      </w:r>
      <w:r w:rsidR="003B53C3" w:rsidRPr="00C309F4">
        <w:rPr>
          <w:rFonts w:ascii="Times New Roman" w:hAnsi="Times New Roman" w:cs="Times New Roman"/>
          <w:sz w:val="24"/>
          <w:szCs w:val="24"/>
        </w:rPr>
        <w:t>as Industrial</w:t>
      </w:r>
      <w:r w:rsidR="00462DE3" w:rsidRPr="00C309F4">
        <w:rPr>
          <w:rFonts w:ascii="Times New Roman" w:hAnsi="Times New Roman" w:cs="Times New Roman"/>
          <w:sz w:val="24"/>
          <w:szCs w:val="24"/>
        </w:rPr>
        <w:t xml:space="preserve"> monocultures degrade soil and reduce biodiversity (Mbow et al., 2014; Leakey, 2014).</w:t>
      </w:r>
    </w:p>
    <w:p w14:paraId="6760730F" w14:textId="77777777" w:rsidR="009E5B20" w:rsidRPr="00C309F4" w:rsidRDefault="00462DE3" w:rsidP="00462DE3">
      <w:pPr>
        <w:rPr>
          <w:rFonts w:ascii="Times New Roman" w:hAnsi="Times New Roman" w:cs="Times New Roman"/>
          <w:sz w:val="24"/>
          <w:szCs w:val="24"/>
        </w:rPr>
      </w:pPr>
      <w:r w:rsidRPr="00C309F4">
        <w:rPr>
          <w:rFonts w:ascii="Times New Roman" w:hAnsi="Times New Roman" w:cs="Times New Roman"/>
          <w:sz w:val="24"/>
          <w:szCs w:val="24"/>
        </w:rPr>
        <w:t>Labour Challenges</w:t>
      </w:r>
    </w:p>
    <w:p w14:paraId="2EABAA5E" w14:textId="6FFFC31D" w:rsidR="00462DE3" w:rsidRPr="00C309F4" w:rsidRDefault="00462DE3" w:rsidP="001447F7">
      <w:pPr>
        <w:ind w:firstLine="720"/>
        <w:jc w:val="both"/>
        <w:rPr>
          <w:rFonts w:ascii="Times New Roman" w:hAnsi="Times New Roman" w:cs="Times New Roman"/>
          <w:sz w:val="24"/>
          <w:szCs w:val="24"/>
        </w:rPr>
      </w:pPr>
      <w:r w:rsidRPr="00C309F4">
        <w:rPr>
          <w:rFonts w:ascii="Times New Roman" w:hAnsi="Times New Roman" w:cs="Times New Roman"/>
          <w:sz w:val="24"/>
          <w:szCs w:val="24"/>
        </w:rPr>
        <w:t>14.12%</w:t>
      </w:r>
      <w:r w:rsidR="003B53C3" w:rsidRPr="00C309F4">
        <w:rPr>
          <w:rFonts w:ascii="Times New Roman" w:hAnsi="Times New Roman" w:cs="Times New Roman"/>
          <w:sz w:val="24"/>
          <w:szCs w:val="24"/>
        </w:rPr>
        <w:t xml:space="preserve"> of the farmers expressed the t</w:t>
      </w:r>
      <w:r w:rsidRPr="00C309F4">
        <w:rPr>
          <w:rFonts w:ascii="Times New Roman" w:hAnsi="Times New Roman" w:cs="Times New Roman"/>
          <w:sz w:val="24"/>
          <w:szCs w:val="24"/>
        </w:rPr>
        <w:t>raditional systems depend heavily on family labour, while industrial systems experience peak-season shortages (</w:t>
      </w:r>
      <w:proofErr w:type="spellStart"/>
      <w:r w:rsidRPr="00C309F4">
        <w:rPr>
          <w:rFonts w:ascii="Times New Roman" w:hAnsi="Times New Roman" w:cs="Times New Roman"/>
          <w:sz w:val="24"/>
          <w:szCs w:val="24"/>
        </w:rPr>
        <w:t>Jhariya</w:t>
      </w:r>
      <w:proofErr w:type="spellEnd"/>
      <w:r w:rsidRPr="00C309F4">
        <w:rPr>
          <w:rFonts w:ascii="Times New Roman" w:hAnsi="Times New Roman" w:cs="Times New Roman"/>
          <w:sz w:val="24"/>
          <w:szCs w:val="24"/>
        </w:rPr>
        <w:t xml:space="preserve"> et al., 2015).</w:t>
      </w:r>
    </w:p>
    <w:p w14:paraId="28BA9FDD" w14:textId="1CD6AA25"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Strategies to Overcome Constraints</w:t>
      </w:r>
    </w:p>
    <w:p w14:paraId="6B1B03BD" w14:textId="22EFAA47" w:rsidR="00462DE3" w:rsidRPr="00C309F4" w:rsidRDefault="00462DE3" w:rsidP="003B53C3">
      <w:pPr>
        <w:pStyle w:val="ListParagraph"/>
        <w:numPr>
          <w:ilvl w:val="0"/>
          <w:numId w:val="9"/>
        </w:numPr>
        <w:rPr>
          <w:rFonts w:ascii="Times New Roman" w:hAnsi="Times New Roman" w:cs="Times New Roman"/>
          <w:sz w:val="24"/>
          <w:szCs w:val="24"/>
        </w:rPr>
      </w:pPr>
      <w:r w:rsidRPr="00C309F4">
        <w:rPr>
          <w:rFonts w:ascii="Times New Roman" w:hAnsi="Times New Roman" w:cs="Times New Roman"/>
          <w:sz w:val="24"/>
          <w:szCs w:val="24"/>
        </w:rPr>
        <w:t>Financial Support and Credit Accessibility</w:t>
      </w:r>
    </w:p>
    <w:p w14:paraId="066B6CB7" w14:textId="30856475" w:rsidR="00462DE3" w:rsidRPr="00C309F4" w:rsidRDefault="00462DE3" w:rsidP="003B53C3">
      <w:pPr>
        <w:pStyle w:val="ListParagraph"/>
        <w:numPr>
          <w:ilvl w:val="0"/>
          <w:numId w:val="9"/>
        </w:numPr>
        <w:rPr>
          <w:rFonts w:ascii="Times New Roman" w:hAnsi="Times New Roman" w:cs="Times New Roman"/>
          <w:sz w:val="24"/>
          <w:szCs w:val="24"/>
        </w:rPr>
      </w:pPr>
      <w:r w:rsidRPr="00C309F4">
        <w:rPr>
          <w:rFonts w:ascii="Times New Roman" w:hAnsi="Times New Roman" w:cs="Times New Roman"/>
          <w:sz w:val="24"/>
          <w:szCs w:val="24"/>
        </w:rPr>
        <w:t>Labour Management and Skill Development</w:t>
      </w:r>
    </w:p>
    <w:p w14:paraId="3B9FB7AE" w14:textId="6161564A" w:rsidR="00462DE3" w:rsidRPr="00C309F4" w:rsidRDefault="00462DE3" w:rsidP="003B53C3">
      <w:pPr>
        <w:pStyle w:val="ListParagraph"/>
        <w:numPr>
          <w:ilvl w:val="0"/>
          <w:numId w:val="9"/>
        </w:numPr>
        <w:rPr>
          <w:rFonts w:ascii="Times New Roman" w:hAnsi="Times New Roman" w:cs="Times New Roman"/>
          <w:sz w:val="24"/>
          <w:szCs w:val="24"/>
        </w:rPr>
      </w:pPr>
      <w:r w:rsidRPr="00C309F4">
        <w:rPr>
          <w:rFonts w:ascii="Times New Roman" w:hAnsi="Times New Roman" w:cs="Times New Roman"/>
          <w:sz w:val="24"/>
          <w:szCs w:val="24"/>
        </w:rPr>
        <w:t>Market Linkages and Price Stabilization</w:t>
      </w:r>
    </w:p>
    <w:p w14:paraId="121E992E" w14:textId="34A8B956" w:rsidR="00462DE3" w:rsidRPr="00C309F4" w:rsidRDefault="00462DE3" w:rsidP="003B53C3">
      <w:pPr>
        <w:pStyle w:val="ListParagraph"/>
        <w:numPr>
          <w:ilvl w:val="0"/>
          <w:numId w:val="9"/>
        </w:numPr>
        <w:rPr>
          <w:rFonts w:ascii="Times New Roman" w:hAnsi="Times New Roman" w:cs="Times New Roman"/>
          <w:sz w:val="24"/>
          <w:szCs w:val="24"/>
        </w:rPr>
      </w:pPr>
      <w:r w:rsidRPr="00C309F4">
        <w:rPr>
          <w:rFonts w:ascii="Times New Roman" w:hAnsi="Times New Roman" w:cs="Times New Roman"/>
          <w:sz w:val="24"/>
          <w:szCs w:val="24"/>
        </w:rPr>
        <w:t>Sustainable Environmental Practices</w:t>
      </w:r>
    </w:p>
    <w:p w14:paraId="4799C4B0" w14:textId="68E6178A" w:rsidR="00462DE3" w:rsidRPr="00C309F4" w:rsidRDefault="00462DE3" w:rsidP="003B53C3">
      <w:pPr>
        <w:pStyle w:val="ListParagraph"/>
        <w:numPr>
          <w:ilvl w:val="0"/>
          <w:numId w:val="9"/>
        </w:numPr>
        <w:rPr>
          <w:rFonts w:ascii="Times New Roman" w:hAnsi="Times New Roman" w:cs="Times New Roman"/>
          <w:sz w:val="24"/>
          <w:szCs w:val="24"/>
        </w:rPr>
      </w:pPr>
      <w:r w:rsidRPr="00C309F4">
        <w:rPr>
          <w:rFonts w:ascii="Times New Roman" w:hAnsi="Times New Roman" w:cs="Times New Roman"/>
          <w:sz w:val="24"/>
          <w:szCs w:val="24"/>
        </w:rPr>
        <w:t>Policy and Institutional Support</w:t>
      </w:r>
    </w:p>
    <w:p w14:paraId="0F064BAD" w14:textId="474527FD"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lastRenderedPageBreak/>
        <w:t xml:space="preserve"> </w:t>
      </w:r>
      <w:r w:rsidR="00710C0E" w:rsidRPr="00C309F4">
        <w:rPr>
          <w:rFonts w:ascii="Times New Roman" w:hAnsi="Times New Roman" w:cs="Times New Roman"/>
          <w:b/>
          <w:bCs/>
          <w:sz w:val="24"/>
          <w:szCs w:val="24"/>
        </w:rPr>
        <w:t>CONCLUSION</w:t>
      </w:r>
    </w:p>
    <w:p w14:paraId="64AAA170" w14:textId="0ACAD65C" w:rsidR="00462DE3" w:rsidRDefault="00462DE3" w:rsidP="002E0806">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Both traditional and industrial agroforestry systems contribute uniquely to rural livelihoods in Coimbatore district. Traditional systems offer ecological resilience, food security, and social cohesion, while industrial systems provide higher income and stronger market integration. However, industrial models carry risks of monoculture and environmental degradation.</w:t>
      </w:r>
      <w:r w:rsidR="008245B2" w:rsidRPr="00C309F4">
        <w:rPr>
          <w:rFonts w:ascii="Times New Roman" w:hAnsi="Times New Roman" w:cs="Times New Roman"/>
          <w:sz w:val="24"/>
          <w:szCs w:val="24"/>
        </w:rPr>
        <w:t xml:space="preserve"> </w:t>
      </w:r>
      <w:r w:rsidRPr="00C309F4">
        <w:rPr>
          <w:rFonts w:ascii="Times New Roman" w:hAnsi="Times New Roman" w:cs="Times New Roman"/>
          <w:sz w:val="24"/>
          <w:szCs w:val="24"/>
        </w:rPr>
        <w:t>Adopting a hybrid model that combines the ecological sustainability of traditional systems with the economic potential of industrial systems is ideal for Tamil Nadu’s context.</w:t>
      </w:r>
      <w:r w:rsidR="008245B2" w:rsidRPr="00C309F4">
        <w:rPr>
          <w:rFonts w:ascii="Times New Roman" w:hAnsi="Times New Roman" w:cs="Times New Roman"/>
          <w:sz w:val="24"/>
          <w:szCs w:val="24"/>
        </w:rPr>
        <w:t xml:space="preserve"> </w:t>
      </w:r>
      <w:r w:rsidRPr="00C309F4">
        <w:rPr>
          <w:rFonts w:ascii="Times New Roman" w:hAnsi="Times New Roman" w:cs="Times New Roman"/>
          <w:sz w:val="24"/>
          <w:szCs w:val="24"/>
        </w:rPr>
        <w:t>Strengthened institutional support, targeted financing, capacity-building, and value-chain linkages will be crucial to achieving a balanced and sustainable agroforestry transition (Leakey, 2014; Waldron et al., 2017; Mbow et al., 2014).</w:t>
      </w:r>
    </w:p>
    <w:p w14:paraId="44E10164" w14:textId="77777777" w:rsidR="00B925D4" w:rsidRDefault="00B925D4" w:rsidP="00462DE3">
      <w:pPr>
        <w:rPr>
          <w:rFonts w:ascii="Times New Roman" w:hAnsi="Times New Roman" w:cs="Times New Roman"/>
          <w:b/>
          <w:bCs/>
          <w:sz w:val="24"/>
          <w:szCs w:val="24"/>
        </w:rPr>
      </w:pPr>
    </w:p>
    <w:p w14:paraId="7CE30E6B" w14:textId="66076600" w:rsidR="00462DE3" w:rsidRPr="00C309F4" w:rsidRDefault="00462DE3" w:rsidP="00462DE3">
      <w:pPr>
        <w:rPr>
          <w:rFonts w:ascii="Times New Roman" w:hAnsi="Times New Roman" w:cs="Times New Roman"/>
          <w:b/>
          <w:bCs/>
          <w:sz w:val="24"/>
          <w:szCs w:val="24"/>
        </w:rPr>
      </w:pPr>
      <w:bookmarkStart w:id="1" w:name="_GoBack"/>
      <w:bookmarkEnd w:id="1"/>
      <w:r w:rsidRPr="00C309F4">
        <w:rPr>
          <w:rFonts w:ascii="Times New Roman" w:hAnsi="Times New Roman" w:cs="Times New Roman"/>
          <w:b/>
          <w:bCs/>
          <w:sz w:val="24"/>
          <w:szCs w:val="24"/>
        </w:rPr>
        <w:t>References</w:t>
      </w:r>
    </w:p>
    <w:p w14:paraId="650F7EE0"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Agarwal, B. (2001). Participatory exclusion, community forestry, and gender: An analysis for South Asia and a conceptual framework. World Development, 29(10), 1623–1648.</w:t>
      </w:r>
    </w:p>
    <w:p w14:paraId="2F03031B"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Altieri, M. A. (1995). Agroecology: The Science of Sustainable Agriculture. CRC Press, Boca Raton.</w:t>
      </w:r>
    </w:p>
    <w:p w14:paraId="4D2C93E8"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Altieri, M. A. (2004). Agroecology: The Science of Sustainable Agriculture (2nd ed.). CRC Press, Boca Raton.</w:t>
      </w:r>
    </w:p>
    <w:p w14:paraId="3919364A" w14:textId="22962E6C"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 xml:space="preserve">Arnold, J. E. M., &amp; </w:t>
      </w:r>
      <w:proofErr w:type="spellStart"/>
      <w:r w:rsidRPr="00C309F4">
        <w:rPr>
          <w:rFonts w:ascii="Times New Roman" w:hAnsi="Times New Roman" w:cs="Times New Roman"/>
          <w:sz w:val="24"/>
          <w:szCs w:val="24"/>
        </w:rPr>
        <w:t>Dewees</w:t>
      </w:r>
      <w:proofErr w:type="spellEnd"/>
      <w:r w:rsidRPr="00C309F4">
        <w:rPr>
          <w:rFonts w:ascii="Times New Roman" w:hAnsi="Times New Roman" w:cs="Times New Roman"/>
          <w:sz w:val="24"/>
          <w:szCs w:val="24"/>
        </w:rPr>
        <w:t>, P. A. (1997). Farms, Trees, and Farmers: Responses to Agricultural Intensification. Earthscan Publications, London.</w:t>
      </w:r>
    </w:p>
    <w:p w14:paraId="767FABAA" w14:textId="708B8F08" w:rsidR="00384FD3" w:rsidRPr="00C309F4" w:rsidRDefault="00384FD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 xml:space="preserve">Chavan, S. B., Keerthika, A., Dhyani, S. K., Handa, A. K., &amp; </w:t>
      </w:r>
      <w:proofErr w:type="spellStart"/>
      <w:r w:rsidRPr="00C309F4">
        <w:rPr>
          <w:rFonts w:ascii="Times New Roman" w:hAnsi="Times New Roman" w:cs="Times New Roman"/>
          <w:sz w:val="24"/>
          <w:szCs w:val="24"/>
        </w:rPr>
        <w:t>Newaj</w:t>
      </w:r>
      <w:proofErr w:type="spellEnd"/>
      <w:r w:rsidRPr="00C309F4">
        <w:rPr>
          <w:rFonts w:ascii="Times New Roman" w:hAnsi="Times New Roman" w:cs="Times New Roman"/>
          <w:sz w:val="24"/>
          <w:szCs w:val="24"/>
        </w:rPr>
        <w:t>, R. (2021). Agroforestry for doubling farmers’ income: A review of pathways and strategies in Indian context. Agroforestry Systems, 95(5), 873–888.</w:t>
      </w:r>
    </w:p>
    <w:p w14:paraId="34FB0AE9" w14:textId="46C85AF1" w:rsidR="00CE5B50" w:rsidRPr="00C309F4" w:rsidRDefault="00CE5B50"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Goswami, S., Chaturvedi, O. P., &amp; Handa, A. K. (2023). Socio-economic and ecological assessment of agroforestry practices in southern India. Environment, Development and Sustainability, 25(7), 6781–6798.</w:t>
      </w:r>
    </w:p>
    <w:p w14:paraId="3BA2C6B3"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R., &amp; Fernandes, E. C. M. (1986). Tree-crop interactions and soil fertility: The case of eucalyptus in India. Agroforestry Systems, 4(4), 29–38.</w:t>
      </w:r>
    </w:p>
    <w:p w14:paraId="14157418" w14:textId="01EFC710"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proofErr w:type="spellStart"/>
      <w:r w:rsidRPr="00C309F4">
        <w:rPr>
          <w:rFonts w:ascii="Times New Roman" w:hAnsi="Times New Roman" w:cs="Times New Roman"/>
          <w:sz w:val="24"/>
          <w:szCs w:val="24"/>
        </w:rPr>
        <w:t>Jhariya</w:t>
      </w:r>
      <w:proofErr w:type="spellEnd"/>
      <w:r w:rsidRPr="00C309F4">
        <w:rPr>
          <w:rFonts w:ascii="Times New Roman" w:hAnsi="Times New Roman" w:cs="Times New Roman"/>
          <w:sz w:val="24"/>
          <w:szCs w:val="24"/>
        </w:rPr>
        <w:t xml:space="preserve">, M. K., </w:t>
      </w:r>
      <w:proofErr w:type="spellStart"/>
      <w:r w:rsidRPr="00C309F4">
        <w:rPr>
          <w:rFonts w:ascii="Times New Roman" w:hAnsi="Times New Roman" w:cs="Times New Roman"/>
          <w:sz w:val="24"/>
          <w:szCs w:val="24"/>
        </w:rPr>
        <w:t>Bargali</w:t>
      </w:r>
      <w:proofErr w:type="spellEnd"/>
      <w:r w:rsidRPr="00C309F4">
        <w:rPr>
          <w:rFonts w:ascii="Times New Roman" w:hAnsi="Times New Roman" w:cs="Times New Roman"/>
          <w:sz w:val="24"/>
          <w:szCs w:val="24"/>
        </w:rPr>
        <w:t xml:space="preserve">, S. S., &amp; Raj, A. (2015). Possibilities and Perspectives of Agroforestry in Chhattisgarh. In Agroforestry for Biodiversity and Ecosystem Services (eds. K. Jose &amp; P. G. R. </w:t>
      </w:r>
      <w:proofErr w:type="spellStart"/>
      <w:r w:rsidRPr="00C309F4">
        <w:rPr>
          <w:rFonts w:ascii="Times New Roman" w:hAnsi="Times New Roman" w:cs="Times New Roman"/>
          <w:sz w:val="24"/>
          <w:szCs w:val="24"/>
        </w:rPr>
        <w:t>Chariar</w:t>
      </w:r>
      <w:proofErr w:type="spellEnd"/>
      <w:r w:rsidRPr="00C309F4">
        <w:rPr>
          <w:rFonts w:ascii="Times New Roman" w:hAnsi="Times New Roman" w:cs="Times New Roman"/>
          <w:sz w:val="24"/>
          <w:szCs w:val="24"/>
        </w:rPr>
        <w:t>), pp. 237–257.</w:t>
      </w:r>
    </w:p>
    <w:p w14:paraId="66B47332" w14:textId="5F5BCDE6" w:rsidR="00C652A3" w:rsidRPr="00C309F4" w:rsidRDefault="00C652A3" w:rsidP="003B53C3">
      <w:pPr>
        <w:pStyle w:val="ListParagraph"/>
        <w:numPr>
          <w:ilvl w:val="0"/>
          <w:numId w:val="10"/>
        </w:numPr>
        <w:spacing w:line="360" w:lineRule="auto"/>
        <w:jc w:val="both"/>
        <w:rPr>
          <w:rFonts w:ascii="Times New Roman" w:hAnsi="Times New Roman" w:cs="Times New Roman"/>
          <w:sz w:val="24"/>
          <w:szCs w:val="24"/>
        </w:rPr>
      </w:pPr>
      <w:bookmarkStart w:id="2" w:name="_Hlk213332787"/>
      <w:r w:rsidRPr="00C309F4">
        <w:rPr>
          <w:rFonts w:ascii="Times New Roman" w:hAnsi="Times New Roman" w:cs="Times New Roman"/>
          <w:sz w:val="24"/>
          <w:szCs w:val="24"/>
        </w:rPr>
        <w:lastRenderedPageBreak/>
        <w:t xml:space="preserve">Kumar, B. M., &amp; Nair, P. K. R. (2022). </w:t>
      </w:r>
      <w:bookmarkEnd w:id="2"/>
      <w:r w:rsidRPr="00C309F4">
        <w:rPr>
          <w:rFonts w:ascii="Times New Roman" w:hAnsi="Times New Roman" w:cs="Times New Roman"/>
          <w:sz w:val="24"/>
          <w:szCs w:val="24"/>
        </w:rPr>
        <w:t>The role of agroforestry in achieving the Sustainable Development Goals (SDGs) in India. Current Science, 122(4), 445–454.</w:t>
      </w:r>
    </w:p>
    <w:p w14:paraId="016B0F5C"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Leakey, R. R. B. (2014). Agroforestry: The future of global land use. In Agroforestry: The Future of Global Land Use (eds. P. K. R. Nair &amp; D. Garrity), Springer, Dordrecht, pp. 1–11.</w:t>
      </w:r>
    </w:p>
    <w:p w14:paraId="39A5E43F"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 xml:space="preserve">Mbow, C., Smith, P., Skole, D., </w:t>
      </w:r>
      <w:proofErr w:type="spellStart"/>
      <w:r w:rsidRPr="00C309F4">
        <w:rPr>
          <w:rFonts w:ascii="Times New Roman" w:hAnsi="Times New Roman" w:cs="Times New Roman"/>
          <w:sz w:val="24"/>
          <w:szCs w:val="24"/>
        </w:rPr>
        <w:t>Duguma</w:t>
      </w:r>
      <w:proofErr w:type="spellEnd"/>
      <w:r w:rsidRPr="00C309F4">
        <w:rPr>
          <w:rFonts w:ascii="Times New Roman" w:hAnsi="Times New Roman" w:cs="Times New Roman"/>
          <w:sz w:val="24"/>
          <w:szCs w:val="24"/>
        </w:rPr>
        <w:t>, L., &amp; Bustamante, M. (2014). Achieving mitigation and adaptation to climate change through sustainable agroforestry practices in Africa. Current Opinion in Environmental Sustainability, 6, 8–14.</w:t>
      </w:r>
    </w:p>
    <w:p w14:paraId="198553B5"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proofErr w:type="spellStart"/>
      <w:r w:rsidRPr="00C309F4">
        <w:rPr>
          <w:rFonts w:ascii="Times New Roman" w:hAnsi="Times New Roman" w:cs="Times New Roman"/>
          <w:sz w:val="24"/>
          <w:szCs w:val="24"/>
        </w:rPr>
        <w:t>Meinzen</w:t>
      </w:r>
      <w:proofErr w:type="spellEnd"/>
      <w:r w:rsidRPr="00C309F4">
        <w:rPr>
          <w:rFonts w:ascii="Times New Roman" w:hAnsi="Times New Roman" w:cs="Times New Roman"/>
          <w:sz w:val="24"/>
          <w:szCs w:val="24"/>
        </w:rPr>
        <w:t>-Dick, R. S., &amp; Quisumbing, A. R. (2013). Closing the knowledge gap: How agriculture can contribute to gender equality. IFPRI Discussion Paper.</w:t>
      </w:r>
    </w:p>
    <w:p w14:paraId="47C3105F"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Molnar, T., Kahn, P., Ford, T., &amp; Funk, C. (2013). Tree crops, a permanent agriculture: Concepts from the past for a sustainable future. Resources, 2(4), 457–488.</w:t>
      </w:r>
    </w:p>
    <w:p w14:paraId="44973795"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proofErr w:type="spellStart"/>
      <w:r w:rsidRPr="00C309F4">
        <w:rPr>
          <w:rFonts w:ascii="Times New Roman" w:hAnsi="Times New Roman" w:cs="Times New Roman"/>
          <w:sz w:val="24"/>
          <w:szCs w:val="24"/>
        </w:rPr>
        <w:t>Murniati</w:t>
      </w:r>
      <w:proofErr w:type="spellEnd"/>
      <w:r w:rsidRPr="00C309F4">
        <w:rPr>
          <w:rFonts w:ascii="Times New Roman" w:hAnsi="Times New Roman" w:cs="Times New Roman"/>
          <w:sz w:val="24"/>
          <w:szCs w:val="24"/>
        </w:rPr>
        <w:t xml:space="preserve">, Garrity, D. P., &amp; </w:t>
      </w:r>
      <w:proofErr w:type="spellStart"/>
      <w:r w:rsidRPr="00C309F4">
        <w:rPr>
          <w:rFonts w:ascii="Times New Roman" w:hAnsi="Times New Roman" w:cs="Times New Roman"/>
          <w:sz w:val="24"/>
          <w:szCs w:val="24"/>
        </w:rPr>
        <w:t>Gintings</w:t>
      </w:r>
      <w:proofErr w:type="spellEnd"/>
      <w:r w:rsidRPr="00C309F4">
        <w:rPr>
          <w:rFonts w:ascii="Times New Roman" w:hAnsi="Times New Roman" w:cs="Times New Roman"/>
          <w:sz w:val="24"/>
          <w:szCs w:val="24"/>
        </w:rPr>
        <w:t>, A. N. (2001). The contribution of agroforestry systems to reducing farmers' dependence on the resources of adjacent national parks: A case study from Sumatra, Indonesia. Agroforestry Systems, 52(3), 171–184.</w:t>
      </w:r>
    </w:p>
    <w:p w14:paraId="3710A2DC"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Nair, P. K. R. (1993). An Introduction to Agroforestry. Kluwer Academic Publishers, Dordrecht.</w:t>
      </w:r>
    </w:p>
    <w:p w14:paraId="2ADCD9BC"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 xml:space="preserve">Paudel, N. S., &amp; Pandey, S. S. (2013). Traditional agroforestry practices in the central mid-hills of Nepal: A case study from </w:t>
      </w:r>
      <w:proofErr w:type="spellStart"/>
      <w:r w:rsidRPr="00C309F4">
        <w:rPr>
          <w:rFonts w:ascii="Times New Roman" w:hAnsi="Times New Roman" w:cs="Times New Roman"/>
          <w:sz w:val="24"/>
          <w:szCs w:val="24"/>
        </w:rPr>
        <w:t>Gulmi</w:t>
      </w:r>
      <w:proofErr w:type="spellEnd"/>
      <w:r w:rsidRPr="00C309F4">
        <w:rPr>
          <w:rFonts w:ascii="Times New Roman" w:hAnsi="Times New Roman" w:cs="Times New Roman"/>
          <w:sz w:val="24"/>
          <w:szCs w:val="24"/>
        </w:rPr>
        <w:t xml:space="preserve"> District. Agroforestry Systems, 87(3), 539–554.</w:t>
      </w:r>
    </w:p>
    <w:p w14:paraId="29CC2726" w14:textId="77777777" w:rsidR="00462DE3" w:rsidRPr="00C309F4"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Pretty, J. (2003). Social capital and the collective management of resources. Science, 302(5652), 1912–1914.</w:t>
      </w:r>
    </w:p>
    <w:p w14:paraId="62222D8D" w14:textId="50F886A1" w:rsidR="003A520C" w:rsidRDefault="00462DE3" w:rsidP="003B53C3">
      <w:pPr>
        <w:pStyle w:val="ListParagraph"/>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Waldron, A., Justicia, R., Smith, L. E., &amp; Sanchez, M. V. (2017). Agroforestry can enhance food security while meeting other sustainable development goals. International Journal of Agricultural Sustainability, 15(3), 99–106.</w:t>
      </w:r>
    </w:p>
    <w:p w14:paraId="69519E36" w14:textId="4FDC0400" w:rsidR="009F57FD" w:rsidRDefault="009F57FD" w:rsidP="009F57FD">
      <w:pPr>
        <w:spacing w:line="360" w:lineRule="auto"/>
        <w:jc w:val="both"/>
        <w:rPr>
          <w:rFonts w:ascii="Times New Roman" w:hAnsi="Times New Roman" w:cs="Times New Roman"/>
          <w:sz w:val="24"/>
          <w:szCs w:val="24"/>
        </w:rPr>
      </w:pPr>
    </w:p>
    <w:p w14:paraId="4692666A" w14:textId="796FD85B" w:rsidR="009F57FD" w:rsidRDefault="009F57FD" w:rsidP="009F57FD">
      <w:pPr>
        <w:spacing w:line="360" w:lineRule="auto"/>
        <w:jc w:val="both"/>
        <w:rPr>
          <w:rFonts w:ascii="Times New Roman" w:hAnsi="Times New Roman" w:cs="Times New Roman"/>
          <w:sz w:val="24"/>
          <w:szCs w:val="24"/>
        </w:rPr>
      </w:pPr>
    </w:p>
    <w:p w14:paraId="52CC11D2" w14:textId="79D47B61" w:rsidR="009F57FD" w:rsidRDefault="009F57FD" w:rsidP="009F57FD">
      <w:pPr>
        <w:spacing w:line="360" w:lineRule="auto"/>
        <w:jc w:val="both"/>
        <w:rPr>
          <w:rFonts w:ascii="Times New Roman" w:hAnsi="Times New Roman" w:cs="Times New Roman"/>
          <w:sz w:val="24"/>
          <w:szCs w:val="24"/>
        </w:rPr>
      </w:pPr>
    </w:p>
    <w:p w14:paraId="678E2D20" w14:textId="54660C40" w:rsidR="009F57FD" w:rsidRDefault="009F57FD" w:rsidP="009F57FD">
      <w:pPr>
        <w:spacing w:line="360" w:lineRule="auto"/>
        <w:jc w:val="both"/>
        <w:rPr>
          <w:rFonts w:ascii="Times New Roman" w:hAnsi="Times New Roman" w:cs="Times New Roman"/>
          <w:sz w:val="24"/>
          <w:szCs w:val="24"/>
        </w:rPr>
      </w:pPr>
    </w:p>
    <w:p w14:paraId="69F0D51B" w14:textId="572C4F30" w:rsidR="009F57FD" w:rsidRDefault="009F57FD" w:rsidP="009F57FD">
      <w:pPr>
        <w:spacing w:line="360" w:lineRule="auto"/>
        <w:jc w:val="both"/>
        <w:rPr>
          <w:rFonts w:ascii="Times New Roman" w:hAnsi="Times New Roman" w:cs="Times New Roman"/>
          <w:sz w:val="24"/>
          <w:szCs w:val="24"/>
        </w:rPr>
      </w:pPr>
    </w:p>
    <w:sectPr w:rsidR="009F57FD" w:rsidSect="003D7AB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F479A" w14:textId="77777777" w:rsidR="00E37DDB" w:rsidRDefault="00E37DDB" w:rsidP="00B925D4">
      <w:pPr>
        <w:spacing w:after="0" w:line="240" w:lineRule="auto"/>
      </w:pPr>
      <w:r>
        <w:separator/>
      </w:r>
    </w:p>
  </w:endnote>
  <w:endnote w:type="continuationSeparator" w:id="0">
    <w:p w14:paraId="5EDFFA5A" w14:textId="77777777" w:rsidR="00E37DDB" w:rsidRDefault="00E37DDB" w:rsidP="00B9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2198" w14:textId="77777777" w:rsidR="00B925D4" w:rsidRDefault="00B92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679A" w14:textId="77777777" w:rsidR="00B925D4" w:rsidRDefault="00B92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A9A9" w14:textId="77777777" w:rsidR="00B925D4" w:rsidRDefault="00B92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9EDD8" w14:textId="77777777" w:rsidR="00E37DDB" w:rsidRDefault="00E37DDB" w:rsidP="00B925D4">
      <w:pPr>
        <w:spacing w:after="0" w:line="240" w:lineRule="auto"/>
      </w:pPr>
      <w:r>
        <w:separator/>
      </w:r>
    </w:p>
  </w:footnote>
  <w:footnote w:type="continuationSeparator" w:id="0">
    <w:p w14:paraId="41551439" w14:textId="77777777" w:rsidR="00E37DDB" w:rsidRDefault="00E37DDB" w:rsidP="00B92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4962" w14:textId="447200B4" w:rsidR="00B925D4" w:rsidRDefault="00B925D4">
    <w:pPr>
      <w:pStyle w:val="Header"/>
    </w:pPr>
    <w:r>
      <w:rPr>
        <w:noProof/>
      </w:rPr>
      <w:pict w14:anchorId="641CE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2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C60F" w14:textId="741B1592" w:rsidR="00B925D4" w:rsidRDefault="00B925D4">
    <w:pPr>
      <w:pStyle w:val="Header"/>
    </w:pPr>
    <w:r>
      <w:rPr>
        <w:noProof/>
      </w:rPr>
      <w:pict w14:anchorId="53B8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2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A239" w14:textId="4B5A054A" w:rsidR="00B925D4" w:rsidRDefault="00B925D4">
    <w:pPr>
      <w:pStyle w:val="Header"/>
    </w:pPr>
    <w:r>
      <w:rPr>
        <w:noProof/>
      </w:rPr>
      <w:pict w14:anchorId="529C2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2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59A"/>
    <w:multiLevelType w:val="multilevel"/>
    <w:tmpl w:val="8F0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B461B"/>
    <w:multiLevelType w:val="multilevel"/>
    <w:tmpl w:val="766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002BB"/>
    <w:multiLevelType w:val="multilevel"/>
    <w:tmpl w:val="BFCA5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8488F"/>
    <w:multiLevelType w:val="multilevel"/>
    <w:tmpl w:val="929A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2C2D"/>
    <w:multiLevelType w:val="multilevel"/>
    <w:tmpl w:val="F9F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B1588"/>
    <w:multiLevelType w:val="hybridMultilevel"/>
    <w:tmpl w:val="5CEA0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8366F6"/>
    <w:multiLevelType w:val="hybridMultilevel"/>
    <w:tmpl w:val="9392B0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69F2D4A"/>
    <w:multiLevelType w:val="multilevel"/>
    <w:tmpl w:val="64C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7760A"/>
    <w:multiLevelType w:val="multilevel"/>
    <w:tmpl w:val="50AA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154708"/>
    <w:multiLevelType w:val="hybridMultilevel"/>
    <w:tmpl w:val="76704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3"/>
  </w:num>
  <w:num w:numId="6">
    <w:abstractNumId w:val="0"/>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3B"/>
    <w:rsid w:val="00016F4D"/>
    <w:rsid w:val="001447F7"/>
    <w:rsid w:val="001C4889"/>
    <w:rsid w:val="00271707"/>
    <w:rsid w:val="002D28F2"/>
    <w:rsid w:val="002E0806"/>
    <w:rsid w:val="002F4F1E"/>
    <w:rsid w:val="0032646F"/>
    <w:rsid w:val="00333294"/>
    <w:rsid w:val="00335534"/>
    <w:rsid w:val="003466A2"/>
    <w:rsid w:val="00384FD3"/>
    <w:rsid w:val="0039217F"/>
    <w:rsid w:val="00395D3B"/>
    <w:rsid w:val="003A520C"/>
    <w:rsid w:val="003B53C3"/>
    <w:rsid w:val="003D7AB4"/>
    <w:rsid w:val="00407B6E"/>
    <w:rsid w:val="00442BE9"/>
    <w:rsid w:val="00462DE3"/>
    <w:rsid w:val="004712EF"/>
    <w:rsid w:val="004E6D14"/>
    <w:rsid w:val="00582AEA"/>
    <w:rsid w:val="00683145"/>
    <w:rsid w:val="00692190"/>
    <w:rsid w:val="006B5632"/>
    <w:rsid w:val="006F6E1F"/>
    <w:rsid w:val="00710C0E"/>
    <w:rsid w:val="007867C7"/>
    <w:rsid w:val="007A4F82"/>
    <w:rsid w:val="007D73CC"/>
    <w:rsid w:val="008111C1"/>
    <w:rsid w:val="008245B2"/>
    <w:rsid w:val="008520DE"/>
    <w:rsid w:val="00876FB4"/>
    <w:rsid w:val="008C6D16"/>
    <w:rsid w:val="00966712"/>
    <w:rsid w:val="00997B10"/>
    <w:rsid w:val="009E5B20"/>
    <w:rsid w:val="009F05D0"/>
    <w:rsid w:val="009F57FD"/>
    <w:rsid w:val="00A80D9C"/>
    <w:rsid w:val="00A922C0"/>
    <w:rsid w:val="00B51E0D"/>
    <w:rsid w:val="00B56AA5"/>
    <w:rsid w:val="00B925D4"/>
    <w:rsid w:val="00C309F4"/>
    <w:rsid w:val="00C652A3"/>
    <w:rsid w:val="00CE5B50"/>
    <w:rsid w:val="00DA3FE8"/>
    <w:rsid w:val="00DD0DB4"/>
    <w:rsid w:val="00E37DDB"/>
    <w:rsid w:val="00E50666"/>
    <w:rsid w:val="00E93297"/>
    <w:rsid w:val="00EA7D36"/>
    <w:rsid w:val="00F331F0"/>
    <w:rsid w:val="00F86414"/>
    <w:rsid w:val="00F86569"/>
    <w:rsid w:val="00F929D5"/>
    <w:rsid w:val="00FA64E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D5A4EB"/>
  <w15:chartTrackingRefBased/>
  <w15:docId w15:val="{4B481FF1-C95D-42D2-B1A1-D2608AC1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paragraph" w:styleId="Heading3">
    <w:name w:val="heading 3"/>
    <w:basedOn w:val="Normal"/>
    <w:next w:val="Normal"/>
    <w:link w:val="Heading3Char"/>
    <w:uiPriority w:val="9"/>
    <w:semiHidden/>
    <w:unhideWhenUsed/>
    <w:qFormat/>
    <w:rsid w:val="009E5B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E5B2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B53C3"/>
    <w:pPr>
      <w:ind w:left="720"/>
      <w:contextualSpacing/>
    </w:pPr>
  </w:style>
  <w:style w:type="character" w:styleId="Strong">
    <w:name w:val="Strong"/>
    <w:basedOn w:val="DefaultParagraphFont"/>
    <w:uiPriority w:val="22"/>
    <w:qFormat/>
    <w:rsid w:val="00333294"/>
    <w:rPr>
      <w:b/>
      <w:bCs/>
    </w:rPr>
  </w:style>
  <w:style w:type="character" w:styleId="Emphasis">
    <w:name w:val="Emphasis"/>
    <w:basedOn w:val="DefaultParagraphFont"/>
    <w:uiPriority w:val="20"/>
    <w:qFormat/>
    <w:rsid w:val="00333294"/>
    <w:rPr>
      <w:i/>
      <w:iCs/>
    </w:rPr>
  </w:style>
  <w:style w:type="paragraph" w:styleId="NormalWeb">
    <w:name w:val="Normal (Web)"/>
    <w:basedOn w:val="Normal"/>
    <w:uiPriority w:val="99"/>
    <w:semiHidden/>
    <w:unhideWhenUsed/>
    <w:rsid w:val="009F57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111C1"/>
    <w:rPr>
      <w:color w:val="0563C1" w:themeColor="hyperlink"/>
      <w:u w:val="single"/>
    </w:rPr>
  </w:style>
  <w:style w:type="character" w:styleId="UnresolvedMention">
    <w:name w:val="Unresolved Mention"/>
    <w:basedOn w:val="DefaultParagraphFont"/>
    <w:uiPriority w:val="99"/>
    <w:semiHidden/>
    <w:unhideWhenUsed/>
    <w:rsid w:val="008111C1"/>
    <w:rPr>
      <w:color w:val="605E5C"/>
      <w:shd w:val="clear" w:color="auto" w:fill="E1DFDD"/>
    </w:rPr>
  </w:style>
  <w:style w:type="paragraph" w:styleId="Header">
    <w:name w:val="header"/>
    <w:basedOn w:val="Normal"/>
    <w:link w:val="HeaderChar"/>
    <w:uiPriority w:val="99"/>
    <w:unhideWhenUsed/>
    <w:rsid w:val="00B92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5D4"/>
    <w:rPr>
      <w:rFonts w:cs="Latha"/>
    </w:rPr>
  </w:style>
  <w:style w:type="paragraph" w:styleId="Footer">
    <w:name w:val="footer"/>
    <w:basedOn w:val="Normal"/>
    <w:link w:val="FooterChar"/>
    <w:uiPriority w:val="99"/>
    <w:unhideWhenUsed/>
    <w:rsid w:val="00B92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5D4"/>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0945">
      <w:bodyDiv w:val="1"/>
      <w:marLeft w:val="0"/>
      <w:marRight w:val="0"/>
      <w:marTop w:val="0"/>
      <w:marBottom w:val="0"/>
      <w:divBdr>
        <w:top w:val="none" w:sz="0" w:space="0" w:color="auto"/>
        <w:left w:val="none" w:sz="0" w:space="0" w:color="auto"/>
        <w:bottom w:val="none" w:sz="0" w:space="0" w:color="auto"/>
        <w:right w:val="none" w:sz="0" w:space="0" w:color="auto"/>
      </w:divBdr>
      <w:divsChild>
        <w:div w:id="1774277451">
          <w:marLeft w:val="0"/>
          <w:marRight w:val="0"/>
          <w:marTop w:val="0"/>
          <w:marBottom w:val="0"/>
          <w:divBdr>
            <w:top w:val="none" w:sz="0" w:space="0" w:color="auto"/>
            <w:left w:val="none" w:sz="0" w:space="0" w:color="auto"/>
            <w:bottom w:val="none" w:sz="0" w:space="0" w:color="auto"/>
            <w:right w:val="none" w:sz="0" w:space="0" w:color="auto"/>
          </w:divBdr>
          <w:divsChild>
            <w:div w:id="909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1">
      <w:bodyDiv w:val="1"/>
      <w:marLeft w:val="0"/>
      <w:marRight w:val="0"/>
      <w:marTop w:val="0"/>
      <w:marBottom w:val="0"/>
      <w:divBdr>
        <w:top w:val="none" w:sz="0" w:space="0" w:color="auto"/>
        <w:left w:val="none" w:sz="0" w:space="0" w:color="auto"/>
        <w:bottom w:val="none" w:sz="0" w:space="0" w:color="auto"/>
        <w:right w:val="none" w:sz="0" w:space="0" w:color="auto"/>
      </w:divBdr>
      <w:divsChild>
        <w:div w:id="378673274">
          <w:marLeft w:val="0"/>
          <w:marRight w:val="0"/>
          <w:marTop w:val="0"/>
          <w:marBottom w:val="0"/>
          <w:divBdr>
            <w:top w:val="none" w:sz="0" w:space="0" w:color="auto"/>
            <w:left w:val="none" w:sz="0" w:space="0" w:color="auto"/>
            <w:bottom w:val="none" w:sz="0" w:space="0" w:color="auto"/>
            <w:right w:val="none" w:sz="0" w:space="0" w:color="auto"/>
          </w:divBdr>
          <w:divsChild>
            <w:div w:id="6458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0083">
      <w:bodyDiv w:val="1"/>
      <w:marLeft w:val="0"/>
      <w:marRight w:val="0"/>
      <w:marTop w:val="0"/>
      <w:marBottom w:val="0"/>
      <w:divBdr>
        <w:top w:val="none" w:sz="0" w:space="0" w:color="auto"/>
        <w:left w:val="none" w:sz="0" w:space="0" w:color="auto"/>
        <w:bottom w:val="none" w:sz="0" w:space="0" w:color="auto"/>
        <w:right w:val="none" w:sz="0" w:space="0" w:color="auto"/>
      </w:divBdr>
      <w:divsChild>
        <w:div w:id="1708681072">
          <w:marLeft w:val="0"/>
          <w:marRight w:val="0"/>
          <w:marTop w:val="0"/>
          <w:marBottom w:val="0"/>
          <w:divBdr>
            <w:top w:val="none" w:sz="0" w:space="0" w:color="auto"/>
            <w:left w:val="none" w:sz="0" w:space="0" w:color="auto"/>
            <w:bottom w:val="none" w:sz="0" w:space="0" w:color="auto"/>
            <w:right w:val="none" w:sz="0" w:space="0" w:color="auto"/>
          </w:divBdr>
          <w:divsChild>
            <w:div w:id="747656264">
              <w:marLeft w:val="0"/>
              <w:marRight w:val="0"/>
              <w:marTop w:val="0"/>
              <w:marBottom w:val="0"/>
              <w:divBdr>
                <w:top w:val="none" w:sz="0" w:space="0" w:color="auto"/>
                <w:left w:val="none" w:sz="0" w:space="0" w:color="auto"/>
                <w:bottom w:val="none" w:sz="0" w:space="0" w:color="auto"/>
                <w:right w:val="none" w:sz="0" w:space="0" w:color="auto"/>
              </w:divBdr>
            </w:div>
          </w:divsChild>
        </w:div>
        <w:div w:id="1573853093">
          <w:marLeft w:val="0"/>
          <w:marRight w:val="0"/>
          <w:marTop w:val="0"/>
          <w:marBottom w:val="0"/>
          <w:divBdr>
            <w:top w:val="none" w:sz="0" w:space="0" w:color="auto"/>
            <w:left w:val="none" w:sz="0" w:space="0" w:color="auto"/>
            <w:bottom w:val="none" w:sz="0" w:space="0" w:color="auto"/>
            <w:right w:val="none" w:sz="0" w:space="0" w:color="auto"/>
          </w:divBdr>
          <w:divsChild>
            <w:div w:id="839737643">
              <w:marLeft w:val="0"/>
              <w:marRight w:val="0"/>
              <w:marTop w:val="0"/>
              <w:marBottom w:val="0"/>
              <w:divBdr>
                <w:top w:val="none" w:sz="0" w:space="0" w:color="auto"/>
                <w:left w:val="none" w:sz="0" w:space="0" w:color="auto"/>
                <w:bottom w:val="none" w:sz="0" w:space="0" w:color="auto"/>
                <w:right w:val="none" w:sz="0" w:space="0" w:color="auto"/>
              </w:divBdr>
              <w:divsChild>
                <w:div w:id="1774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8538">
      <w:bodyDiv w:val="1"/>
      <w:marLeft w:val="0"/>
      <w:marRight w:val="0"/>
      <w:marTop w:val="0"/>
      <w:marBottom w:val="0"/>
      <w:divBdr>
        <w:top w:val="none" w:sz="0" w:space="0" w:color="auto"/>
        <w:left w:val="none" w:sz="0" w:space="0" w:color="auto"/>
        <w:bottom w:val="none" w:sz="0" w:space="0" w:color="auto"/>
        <w:right w:val="none" w:sz="0" w:space="0" w:color="auto"/>
      </w:divBdr>
      <w:divsChild>
        <w:div w:id="592586623">
          <w:marLeft w:val="0"/>
          <w:marRight w:val="0"/>
          <w:marTop w:val="0"/>
          <w:marBottom w:val="0"/>
          <w:divBdr>
            <w:top w:val="none" w:sz="0" w:space="0" w:color="auto"/>
            <w:left w:val="none" w:sz="0" w:space="0" w:color="auto"/>
            <w:bottom w:val="none" w:sz="0" w:space="0" w:color="auto"/>
            <w:right w:val="none" w:sz="0" w:space="0" w:color="auto"/>
          </w:divBdr>
          <w:divsChild>
            <w:div w:id="2349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2009">
      <w:bodyDiv w:val="1"/>
      <w:marLeft w:val="0"/>
      <w:marRight w:val="0"/>
      <w:marTop w:val="0"/>
      <w:marBottom w:val="0"/>
      <w:divBdr>
        <w:top w:val="none" w:sz="0" w:space="0" w:color="auto"/>
        <w:left w:val="none" w:sz="0" w:space="0" w:color="auto"/>
        <w:bottom w:val="none" w:sz="0" w:space="0" w:color="auto"/>
        <w:right w:val="none" w:sz="0" w:space="0" w:color="auto"/>
      </w:divBdr>
    </w:div>
    <w:div w:id="1685204357">
      <w:bodyDiv w:val="1"/>
      <w:marLeft w:val="0"/>
      <w:marRight w:val="0"/>
      <w:marTop w:val="0"/>
      <w:marBottom w:val="0"/>
      <w:divBdr>
        <w:top w:val="none" w:sz="0" w:space="0" w:color="auto"/>
        <w:left w:val="none" w:sz="0" w:space="0" w:color="auto"/>
        <w:bottom w:val="none" w:sz="0" w:space="0" w:color="auto"/>
        <w:right w:val="none" w:sz="0" w:space="0" w:color="auto"/>
      </w:divBdr>
      <w:divsChild>
        <w:div w:id="304091843">
          <w:marLeft w:val="0"/>
          <w:marRight w:val="0"/>
          <w:marTop w:val="0"/>
          <w:marBottom w:val="0"/>
          <w:divBdr>
            <w:top w:val="none" w:sz="0" w:space="0" w:color="auto"/>
            <w:left w:val="none" w:sz="0" w:space="0" w:color="auto"/>
            <w:bottom w:val="none" w:sz="0" w:space="0" w:color="auto"/>
            <w:right w:val="none" w:sz="0" w:space="0" w:color="auto"/>
          </w:divBdr>
          <w:divsChild>
            <w:div w:id="1901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iyu\Desktop\HC&amp;RI,%20Jeenur%20-%202025%20batch%20Students%20data%20base%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Fig 1.Agroforestry System Type</a:t>
            </a:r>
            <a:r>
              <a:rPr lang="en-IN" sz="1400" b="0" i="0" u="none" strike="noStrike" baseline="0"/>
              <a:t>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C1C-45C8-A92F-2477DD88172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C1C-45C8-A92F-2477DD88172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C1C-45C8-A92F-2477DD88172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C1C-45C8-A92F-2477DD88172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C1C-45C8-A92F-2477DD8817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Sheet1!$K$65:$K$69</c:f>
              <c:strCache>
                <c:ptCount val="5"/>
                <c:pt idx="0">
                  <c:v>Industrial Agroforestry </c:v>
                </c:pt>
                <c:pt idx="1">
                  <c:v>– Commercial Timber Plantations (Teak, Eucalyptus, Casuarina)</c:v>
                </c:pt>
                <c:pt idx="2">
                  <c:v>– Contract Farming (Paper and Plywood Industries)</c:v>
                </c:pt>
                <c:pt idx="3">
                  <c:v>– Integrated Agroforestry with High-Value Crops (Banana, Guava)</c:v>
                </c:pt>
                <c:pt idx="4">
                  <c:v>Traditional Agroforestry </c:v>
                </c:pt>
              </c:strCache>
            </c:strRef>
          </c:cat>
          <c:val>
            <c:numRef>
              <c:f>Sheet1!$L$65:$L$69</c:f>
              <c:numCache>
                <c:formatCode>General</c:formatCode>
                <c:ptCount val="5"/>
                <c:pt idx="0">
                  <c:v>56.67</c:v>
                </c:pt>
                <c:pt idx="1">
                  <c:v>26.67</c:v>
                </c:pt>
                <c:pt idx="2">
                  <c:v>16.670000000000002</c:v>
                </c:pt>
                <c:pt idx="3">
                  <c:v>13.33</c:v>
                </c:pt>
                <c:pt idx="4">
                  <c:v>43.33</c:v>
                </c:pt>
              </c:numCache>
            </c:numRef>
          </c:val>
          <c:extLst>
            <c:ext xmlns:c16="http://schemas.microsoft.com/office/drawing/2014/chart" uri="{C3380CC4-5D6E-409C-BE32-E72D297353CC}">
              <c16:uniqueId val="{0000000A-4C1C-45C8-A92F-2477DD8817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accent1"/>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accent2">
                    <a:lumMod val="7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1" i="0" u="none" strike="noStrike" kern="1200" baseline="0">
                <a:solidFill>
                  <a:schemeClr val="bg1">
                    <a:lumMod val="6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rgbClr val="FFFF00"/>
                </a:solidFill>
                <a:latin typeface="+mn-lt"/>
                <a:ea typeface="+mn-ea"/>
                <a:cs typeface="+mn-cs"/>
              </a:defRPr>
            </a:pPr>
            <a:endParaRPr lang="en-US"/>
          </a:p>
        </c:txPr>
      </c:legendEntry>
      <c:layout>
        <c:manualLayout>
          <c:xMode val="edge"/>
          <c:yMode val="edge"/>
          <c:x val="0.20730027475662532"/>
          <c:y val="0.67636931459516925"/>
          <c:w val="0.66566683345183864"/>
          <c:h val="0.303377520847868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8</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jansi rani</dc:creator>
  <cp:keywords/>
  <dc:description/>
  <cp:lastModifiedBy>SDI 1084</cp:lastModifiedBy>
  <cp:revision>55</cp:revision>
  <dcterms:created xsi:type="dcterms:W3CDTF">2025-11-06T04:31:00Z</dcterms:created>
  <dcterms:modified xsi:type="dcterms:W3CDTF">2025-11-08T07:36:00Z</dcterms:modified>
</cp:coreProperties>
</file>