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738D" w14:textId="77777777" w:rsidR="00754C9A" w:rsidRDefault="00754C9A" w:rsidP="00441B6F">
      <w:pPr>
        <w:pStyle w:val="Title"/>
        <w:spacing w:after="0"/>
        <w:jc w:val="both"/>
        <w:rPr>
          <w:rFonts w:ascii="Arial" w:hAnsi="Arial" w:cs="Arial"/>
        </w:rPr>
      </w:pPr>
      <w:bookmarkStart w:id="0" w:name="_GoBack"/>
      <w:bookmarkEnd w:id="0"/>
    </w:p>
    <w:p w14:paraId="343F99EA" w14:textId="023E1444" w:rsidR="002C54B9" w:rsidRDefault="002C54B9" w:rsidP="00F44F92">
      <w:pPr>
        <w:pStyle w:val="Author"/>
        <w:spacing w:line="240" w:lineRule="auto"/>
        <w:rPr>
          <w:rFonts w:ascii="Arial" w:hAnsi="Arial" w:cs="Arial"/>
          <w:bCs/>
          <w:i/>
          <w:iCs/>
          <w:kern w:val="28"/>
          <w:sz w:val="36"/>
          <w:u w:val="single"/>
          <w:lang w:val="en-AU"/>
        </w:rPr>
      </w:pPr>
      <w:r w:rsidRPr="002C54B9">
        <w:rPr>
          <w:rFonts w:ascii="Arial" w:hAnsi="Arial" w:cs="Arial"/>
          <w:bCs/>
          <w:i/>
          <w:iCs/>
          <w:kern w:val="28"/>
          <w:sz w:val="36"/>
          <w:u w:val="single"/>
          <w:lang w:val="en-AU"/>
        </w:rPr>
        <w:t xml:space="preserve">Original Research Article </w:t>
      </w:r>
    </w:p>
    <w:p w14:paraId="229C2E7A" w14:textId="77777777" w:rsidR="002C54B9" w:rsidRPr="002C54B9" w:rsidRDefault="002C54B9" w:rsidP="00F44F92">
      <w:pPr>
        <w:pStyle w:val="Author"/>
        <w:spacing w:line="240" w:lineRule="auto"/>
        <w:rPr>
          <w:rFonts w:ascii="Arial" w:hAnsi="Arial" w:cs="Arial"/>
          <w:bCs/>
          <w:i/>
          <w:iCs/>
          <w:kern w:val="28"/>
          <w:sz w:val="36"/>
          <w:u w:val="single"/>
          <w:lang w:val="en-AU"/>
        </w:rPr>
      </w:pPr>
    </w:p>
    <w:p w14:paraId="2AADD5E2" w14:textId="4842583B" w:rsidR="00F44F92" w:rsidRPr="00F44F92" w:rsidRDefault="00F44F92" w:rsidP="00F44F92">
      <w:pPr>
        <w:pStyle w:val="Author"/>
        <w:spacing w:line="240" w:lineRule="auto"/>
        <w:rPr>
          <w:rFonts w:ascii="Arial" w:hAnsi="Arial" w:cs="Arial"/>
          <w:bCs/>
          <w:iCs/>
          <w:kern w:val="28"/>
          <w:sz w:val="36"/>
          <w:lang w:val="en-AU"/>
        </w:rPr>
      </w:pPr>
      <w:r w:rsidRPr="00F44F92">
        <w:rPr>
          <w:rFonts w:ascii="Arial" w:hAnsi="Arial" w:cs="Arial"/>
          <w:bCs/>
          <w:iCs/>
          <w:kern w:val="28"/>
          <w:sz w:val="36"/>
          <w:lang w:val="en-AU"/>
        </w:rPr>
        <w:t>Analysing Boundary-Layer Phenomena in UAP: A Thematic and Quantitative Mapping of Observational Signatures and Theoretical Models</w:t>
      </w:r>
    </w:p>
    <w:p w14:paraId="5AE2CFD9" w14:textId="37227F0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A4C99B0" w14:textId="77777777" w:rsidR="00A258C3" w:rsidRPr="00790ADA" w:rsidRDefault="00A258C3" w:rsidP="00441B6F">
      <w:pPr>
        <w:pStyle w:val="Author"/>
        <w:spacing w:line="240" w:lineRule="auto"/>
        <w:jc w:val="both"/>
        <w:rPr>
          <w:rFonts w:ascii="Arial" w:hAnsi="Arial" w:cs="Arial"/>
          <w:sz w:val="36"/>
        </w:rPr>
      </w:pPr>
    </w:p>
    <w:p w14:paraId="6ABB8DF6" w14:textId="676E02EB" w:rsidR="00B01FCD" w:rsidRPr="00FB3A86" w:rsidRDefault="00FB3A86" w:rsidP="00441B6F">
      <w:pPr>
        <w:pStyle w:val="Copyright"/>
        <w:spacing w:after="0" w:line="240" w:lineRule="auto"/>
        <w:jc w:val="both"/>
        <w:rPr>
          <w:rFonts w:ascii="Arial" w:hAnsi="Arial" w:cs="Arial"/>
        </w:rPr>
        <w:sectPr w:rsidR="00B01FCD" w:rsidRPr="00FB3A86" w:rsidSect="00F162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8420C88" w14:textId="72ED78B7" w:rsidR="00B01FCD" w:rsidRDefault="00B01FCD" w:rsidP="00441B6F">
      <w:pPr>
        <w:pStyle w:val="AbstHead"/>
        <w:spacing w:after="0"/>
        <w:jc w:val="both"/>
        <w:rPr>
          <w:rFonts w:ascii="Arial" w:hAnsi="Arial" w:cs="Arial"/>
        </w:rPr>
      </w:pPr>
      <w:r w:rsidRPr="00FB3A86">
        <w:rPr>
          <w:rFonts w:ascii="Arial" w:hAnsi="Arial" w:cs="Arial"/>
        </w:rPr>
        <w:t>ABSTRACT</w:t>
      </w:r>
    </w:p>
    <w:p w14:paraId="58E782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C711EC" w14:textId="77777777" w:rsidTr="001E44FE">
        <w:tc>
          <w:tcPr>
            <w:tcW w:w="9576" w:type="dxa"/>
            <w:shd w:val="clear" w:color="auto" w:fill="F2F2F2"/>
          </w:tcPr>
          <w:p w14:paraId="7B529264" w14:textId="5F523062" w:rsidR="00505F06" w:rsidRPr="00BA1B01" w:rsidRDefault="00F44F92" w:rsidP="00F44F92">
            <w:pPr>
              <w:pStyle w:val="Body"/>
              <w:spacing w:after="0"/>
              <w:rPr>
                <w:rFonts w:ascii="Arial" w:eastAsia="Calibri" w:hAnsi="Arial" w:cs="Arial"/>
                <w:szCs w:val="22"/>
              </w:rPr>
            </w:pPr>
            <w:r w:rsidRPr="00F44F92">
              <w:rPr>
                <w:rFonts w:ascii="Arial" w:eastAsia="Calibri" w:hAnsi="Arial" w:cs="Arial"/>
                <w:szCs w:val="22"/>
                <w:lang w:val="en-AU"/>
              </w:rPr>
              <w:t xml:space="preserve">Unidentified anomalous phenomena (UAP) are frequently reported with characteristics that appear inconsistent with conventional aerodynamics and propulsion. Accounts describe luminous halos, pane-like laminar shells, sudden trans-medium transitions, localized cloaking effects, and suppression of wakes or sonic booms. While such features have been individually discussed across plasma physics, optics, propulsion concepts, and field observations, they have not been systematically mapped across themes to assess recurring boundary-layer signatures or their theoretical interpretations. This study applies a structured analytical framework to a multidisciplinary reference corpus, organizing works into nine thematic categories ranging from plasma and atmospheric studies to metamaterials, propulsion models, and observational datasets. Each reference was coded for the presence of five recurring boundary-layer signatures, halos/filaments, pane-like shells, trans-medium transitions, localized cloaking, and symmetric axial emissions. In addition, each study was scored on a 1–5 scale for its strength of connection to boundary-layer phenomena and for its relevance to resonance-based theoretical models. The results revealed two distinct clusters. The first, termed </w:t>
            </w:r>
            <w:r w:rsidRPr="00F44F92">
              <w:rPr>
                <w:rFonts w:ascii="Arial" w:eastAsia="Calibri" w:hAnsi="Arial" w:cs="Arial"/>
                <w:b/>
                <w:bCs/>
                <w:szCs w:val="22"/>
                <w:lang w:val="en-AU"/>
              </w:rPr>
              <w:t>empirical feeders</w:t>
            </w:r>
            <w:r w:rsidRPr="00F44F92">
              <w:rPr>
                <w:rFonts w:ascii="Arial" w:eastAsia="Calibri" w:hAnsi="Arial" w:cs="Arial"/>
                <w:szCs w:val="22"/>
                <w:lang w:val="en-AU"/>
              </w:rPr>
              <w:t xml:space="preserve">, includes plasma, atmospheric, and observational studies that document recurring luminous and trans-medium features but with limited resonance interpretation. The second, termed </w:t>
            </w:r>
            <w:r w:rsidRPr="00F44F92">
              <w:rPr>
                <w:rFonts w:ascii="Arial" w:eastAsia="Calibri" w:hAnsi="Arial" w:cs="Arial"/>
                <w:b/>
                <w:bCs/>
                <w:szCs w:val="22"/>
                <w:lang w:val="en-AU"/>
              </w:rPr>
              <w:t>theoretical engines</w:t>
            </w:r>
            <w:r w:rsidRPr="00F44F92">
              <w:rPr>
                <w:rFonts w:ascii="Arial" w:eastAsia="Calibri" w:hAnsi="Arial" w:cs="Arial"/>
                <w:szCs w:val="22"/>
                <w:lang w:val="en-AU"/>
              </w:rPr>
              <w:t>, includes metamaterials, optics, and propulsion models that explicitly describe mechanisms capable of producing or explaining such effects. A bridging role was identified in gravitational lensing and transformation optics studies, which connect empirical anomalies to theoretical resonance concepts. By integrating these clusters, the analysis demonstrates how boundary-layer phenomena can be coherently mapped across disparate literature, providing a structured foundation for future experimental validation of resonance-based mobility concepts.</w:t>
            </w:r>
          </w:p>
        </w:tc>
      </w:tr>
    </w:tbl>
    <w:p w14:paraId="55074D7F" w14:textId="77777777" w:rsidR="00636EB2" w:rsidRDefault="00636EB2" w:rsidP="00441B6F">
      <w:pPr>
        <w:pStyle w:val="Body"/>
        <w:spacing w:after="0"/>
        <w:rPr>
          <w:rFonts w:ascii="Arial" w:hAnsi="Arial" w:cs="Arial"/>
          <w:i/>
        </w:rPr>
      </w:pPr>
    </w:p>
    <w:p w14:paraId="1434D4E9" w14:textId="40B79E41" w:rsidR="00A24E7E" w:rsidRDefault="00A24E7E" w:rsidP="00F44F92">
      <w:pPr>
        <w:pStyle w:val="Body"/>
        <w:rPr>
          <w:rFonts w:ascii="Arial" w:hAnsi="Arial" w:cs="Arial"/>
          <w:i/>
        </w:rPr>
      </w:pPr>
      <w:r>
        <w:rPr>
          <w:rFonts w:ascii="Arial" w:hAnsi="Arial" w:cs="Arial"/>
          <w:i/>
        </w:rPr>
        <w:t xml:space="preserve">Keywords: </w:t>
      </w:r>
      <w:r w:rsidR="00F44F92" w:rsidRPr="00F44F92">
        <w:rPr>
          <w:rFonts w:ascii="Arial" w:hAnsi="Arial" w:cs="Arial"/>
          <w:i/>
          <w:lang w:val="en-AU"/>
        </w:rPr>
        <w:t>Boundary-layer phenomena, Unidentified anomalous phenomena (UAP), Thematic analysis, Transformation optics and cloaking, Plasma and trans-medium dynamics</w:t>
      </w:r>
    </w:p>
    <w:p w14:paraId="49D8A4F8" w14:textId="77777777" w:rsidR="00790ADA" w:rsidRDefault="00790ADA" w:rsidP="00441B6F">
      <w:pPr>
        <w:pStyle w:val="Body"/>
        <w:spacing w:after="0"/>
        <w:rPr>
          <w:rFonts w:ascii="Arial" w:hAnsi="Arial" w:cs="Arial"/>
          <w:i/>
        </w:rPr>
      </w:pPr>
    </w:p>
    <w:p w14:paraId="4AAB1B07" w14:textId="77777777" w:rsidR="0024282C" w:rsidRDefault="0024282C" w:rsidP="00441B6F">
      <w:pPr>
        <w:pStyle w:val="Body"/>
        <w:spacing w:after="0"/>
        <w:rPr>
          <w:rFonts w:ascii="Arial" w:hAnsi="Arial" w:cs="Arial"/>
          <w:i/>
          <w:sz w:val="18"/>
        </w:rPr>
      </w:pPr>
    </w:p>
    <w:p w14:paraId="2138BE27" w14:textId="77777777" w:rsidR="00505F06" w:rsidRPr="00A24E7E" w:rsidRDefault="00505F06" w:rsidP="00441B6F">
      <w:pPr>
        <w:pStyle w:val="Body"/>
        <w:spacing w:after="0"/>
        <w:rPr>
          <w:rFonts w:ascii="Arial" w:hAnsi="Arial" w:cs="Arial"/>
          <w:i/>
        </w:rPr>
      </w:pPr>
    </w:p>
    <w:p w14:paraId="18E39325" w14:textId="602D415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D90B606" w14:textId="77777777" w:rsidR="00790ADA" w:rsidRPr="00FB3A86" w:rsidRDefault="00790ADA" w:rsidP="00441B6F">
      <w:pPr>
        <w:pStyle w:val="AbstHead"/>
        <w:spacing w:after="0"/>
        <w:jc w:val="both"/>
        <w:rPr>
          <w:rFonts w:ascii="Arial" w:hAnsi="Arial" w:cs="Arial"/>
        </w:rPr>
      </w:pPr>
    </w:p>
    <w:p w14:paraId="4F097F24" w14:textId="7991D27E" w:rsidR="00F44F92" w:rsidRDefault="00F44F92" w:rsidP="00F44F92">
      <w:pPr>
        <w:pStyle w:val="Body"/>
        <w:spacing w:after="0"/>
        <w:rPr>
          <w:rFonts w:ascii="Arial" w:hAnsi="Arial" w:cs="Arial"/>
          <w:lang w:val="en-AU"/>
        </w:rPr>
      </w:pPr>
      <w:r w:rsidRPr="00F44F92">
        <w:rPr>
          <w:rFonts w:ascii="Arial" w:hAnsi="Arial" w:cs="Arial"/>
          <w:lang w:val="en-AU"/>
        </w:rPr>
        <w:t xml:space="preserve">Unidentified anomalous phenomena (UAP) continue to present challenges to both conventional physics and aerospace engineering. Numerous observational reports describe luminous objects that exhibit characteristics inconsistent with aerodynamic expectations, such as persistent halos, drag-free acceleration, sudden trans-medium transitions, and wake suppression (Stenhoff, 1999; Abrahamson and </w:t>
      </w:r>
      <w:proofErr w:type="spellStart"/>
      <w:r w:rsidRPr="00F44F92">
        <w:rPr>
          <w:rFonts w:ascii="Arial" w:hAnsi="Arial" w:cs="Arial"/>
          <w:lang w:val="en-AU"/>
        </w:rPr>
        <w:t>Dinniss</w:t>
      </w:r>
      <w:proofErr w:type="spellEnd"/>
      <w:r w:rsidRPr="00F44F92">
        <w:rPr>
          <w:rFonts w:ascii="Arial" w:hAnsi="Arial" w:cs="Arial"/>
          <w:lang w:val="en-AU"/>
        </w:rPr>
        <w:t xml:space="preserve">, 2000; </w:t>
      </w:r>
      <w:proofErr w:type="spellStart"/>
      <w:r w:rsidRPr="00F44F92">
        <w:rPr>
          <w:rFonts w:ascii="Arial" w:hAnsi="Arial" w:cs="Arial"/>
          <w:lang w:val="en-AU"/>
        </w:rPr>
        <w:t>Zhilyaev</w:t>
      </w:r>
      <w:proofErr w:type="spellEnd"/>
      <w:r w:rsidRPr="00F44F92">
        <w:rPr>
          <w:rFonts w:ascii="Arial" w:hAnsi="Arial" w:cs="Arial"/>
          <w:lang w:val="en-AU"/>
        </w:rPr>
        <w:t xml:space="preserve"> et al., 2022a and b; Knuth et al., 2019, 2025). Plasma and atmospheric studies have long established that halos, filaments, and coronae can be produced under natural conditions (Surkov and Hayakawa, 2020; </w:t>
      </w:r>
      <w:proofErr w:type="spellStart"/>
      <w:r w:rsidRPr="00F44F92">
        <w:rPr>
          <w:rFonts w:ascii="Arial" w:hAnsi="Arial" w:cs="Arial"/>
          <w:lang w:val="en-AU"/>
        </w:rPr>
        <w:t>Teodorani</w:t>
      </w:r>
      <w:proofErr w:type="spellEnd"/>
      <w:r w:rsidRPr="00F44F92">
        <w:rPr>
          <w:rFonts w:ascii="Arial" w:hAnsi="Arial" w:cs="Arial"/>
          <w:lang w:val="en-AU"/>
        </w:rPr>
        <w:t xml:space="preserve">, 2004, 2024), yet these phenomena often lack the structural coherence and kinematic performance repeatedly observed in UAP. Such inconsistencies highlight the need for models that can incorporate plasma-like luminous features while simultaneously accounting for the boundary-layer suppression of turbulence and inertial </w:t>
      </w:r>
      <w:r w:rsidR="00DA63E0">
        <w:rPr>
          <w:rFonts w:ascii="Arial" w:hAnsi="Arial" w:cs="Arial"/>
          <w:lang w:val="en-AU"/>
        </w:rPr>
        <w:t>de</w:t>
      </w:r>
      <w:r w:rsidRPr="00F44F92">
        <w:rPr>
          <w:rFonts w:ascii="Arial" w:hAnsi="Arial" w:cs="Arial"/>
          <w:lang w:val="en-AU"/>
        </w:rPr>
        <w:t>coupling.</w:t>
      </w:r>
    </w:p>
    <w:p w14:paraId="6B94B4A7" w14:textId="77777777" w:rsidR="00F44F92" w:rsidRPr="00F44F92" w:rsidRDefault="00F44F92" w:rsidP="00F44F92">
      <w:pPr>
        <w:pStyle w:val="Body"/>
        <w:spacing w:after="0"/>
        <w:rPr>
          <w:rFonts w:ascii="Arial" w:hAnsi="Arial" w:cs="Arial"/>
          <w:lang w:val="en-AU"/>
        </w:rPr>
      </w:pPr>
    </w:p>
    <w:p w14:paraId="3A5F7806" w14:textId="77777777" w:rsidR="00F44F92" w:rsidRDefault="00F44F92" w:rsidP="00F44F92">
      <w:pPr>
        <w:pStyle w:val="Body"/>
        <w:spacing w:after="0"/>
        <w:rPr>
          <w:rFonts w:ascii="Arial" w:hAnsi="Arial" w:cs="Arial"/>
          <w:lang w:val="en-AU"/>
        </w:rPr>
      </w:pPr>
      <w:r w:rsidRPr="00F44F92">
        <w:rPr>
          <w:rFonts w:ascii="Arial" w:hAnsi="Arial" w:cs="Arial"/>
          <w:lang w:val="en-AU"/>
        </w:rPr>
        <w:t>Optical and gravitational studies provide further parallels. Transformation optics and metamaterials have demonstrated the ability to bend and cloak light through engineered field interactions (Leonhardt, 2006; Pendry et al., 2006; Greenleaf et al., 2007; Nassar et al., 2020; Peralta et al., 2020; Gupta and Beckwith, 2025). Cosmological analyses have also shown that scalar fields and modified gravity models can alter gravitational lensing without invoking additional matter (</w:t>
      </w:r>
      <w:proofErr w:type="spellStart"/>
      <w:r w:rsidRPr="00F44F92">
        <w:rPr>
          <w:rFonts w:ascii="Arial" w:hAnsi="Arial" w:cs="Arial"/>
          <w:lang w:val="en-AU"/>
        </w:rPr>
        <w:t>Bekenstein</w:t>
      </w:r>
      <w:proofErr w:type="spellEnd"/>
      <w:r w:rsidRPr="00F44F92">
        <w:rPr>
          <w:rFonts w:ascii="Arial" w:hAnsi="Arial" w:cs="Arial"/>
          <w:lang w:val="en-AU"/>
        </w:rPr>
        <w:t xml:space="preserve"> and Sanders, 1993; Wyman, 2011; Schneider et al., 2024; Berghaus et al., 2024; </w:t>
      </w:r>
      <w:proofErr w:type="spellStart"/>
      <w:r w:rsidRPr="00F44F92">
        <w:rPr>
          <w:rFonts w:ascii="Arial" w:hAnsi="Arial" w:cs="Arial"/>
          <w:lang w:val="en-AU"/>
        </w:rPr>
        <w:t>Vegetti</w:t>
      </w:r>
      <w:proofErr w:type="spellEnd"/>
      <w:r w:rsidRPr="00F44F92">
        <w:rPr>
          <w:rFonts w:ascii="Arial" w:hAnsi="Arial" w:cs="Arial"/>
          <w:lang w:val="en-AU"/>
        </w:rPr>
        <w:t xml:space="preserve"> et al., 2024; </w:t>
      </w:r>
      <w:proofErr w:type="spellStart"/>
      <w:r w:rsidRPr="00F44F92">
        <w:rPr>
          <w:rFonts w:ascii="Arial" w:hAnsi="Arial" w:cs="Arial"/>
          <w:lang w:val="en-AU"/>
        </w:rPr>
        <w:t>Tizfahm</w:t>
      </w:r>
      <w:proofErr w:type="spellEnd"/>
      <w:r w:rsidRPr="00F44F92">
        <w:rPr>
          <w:rFonts w:ascii="Arial" w:hAnsi="Arial" w:cs="Arial"/>
          <w:lang w:val="en-AU"/>
        </w:rPr>
        <w:t xml:space="preserve"> et al., 2025). These results suggest that light manipulation and local refractive control are not confined to exotic speculation but can be realized both theoretically and experimentally. Such findings resonate with UAP reports of localized cloaking and sudden shifts in visibility (Watters et al., 2023; Knuth et al., 2025; </w:t>
      </w:r>
      <w:proofErr w:type="spellStart"/>
      <w:r w:rsidRPr="00F44F92">
        <w:rPr>
          <w:rFonts w:ascii="Arial" w:hAnsi="Arial" w:cs="Arial"/>
          <w:lang w:val="en-AU"/>
        </w:rPr>
        <w:t>Ailleris</w:t>
      </w:r>
      <w:proofErr w:type="spellEnd"/>
      <w:r w:rsidRPr="00F44F92">
        <w:rPr>
          <w:rFonts w:ascii="Arial" w:hAnsi="Arial" w:cs="Arial"/>
          <w:lang w:val="en-AU"/>
        </w:rPr>
        <w:t>, et al., 2025). Together, they provide a bridge between laboratory demonstrations and observational evidence of refractive boundary layers.</w:t>
      </w:r>
    </w:p>
    <w:p w14:paraId="1BB41EE7" w14:textId="77777777" w:rsidR="00F44F92" w:rsidRPr="00F44F92" w:rsidRDefault="00F44F92" w:rsidP="00F44F92">
      <w:pPr>
        <w:pStyle w:val="Body"/>
        <w:spacing w:after="0"/>
        <w:rPr>
          <w:rFonts w:ascii="Arial" w:hAnsi="Arial" w:cs="Arial"/>
          <w:lang w:val="en-AU"/>
        </w:rPr>
      </w:pPr>
    </w:p>
    <w:p w14:paraId="7B8C3FE3" w14:textId="77777777" w:rsidR="00F44F92" w:rsidRDefault="00F44F92" w:rsidP="00F44F92">
      <w:pPr>
        <w:pStyle w:val="Body"/>
        <w:spacing w:after="0"/>
        <w:rPr>
          <w:rFonts w:ascii="Arial" w:hAnsi="Arial" w:cs="Arial"/>
          <w:lang w:val="en-AU"/>
        </w:rPr>
      </w:pPr>
      <w:r w:rsidRPr="00F44F92">
        <w:rPr>
          <w:rFonts w:ascii="Arial" w:hAnsi="Arial" w:cs="Arial"/>
          <w:lang w:val="en-AU"/>
        </w:rPr>
        <w:t>Propulsion studies extend this bridge into the domain of mechanics and mobility. Models proposing that inertia arises from interactions with the quantum vacuum or zero-point fields (Holt, 1979; Puthoff, 1987; Haisch et al., 1994; Valone, 2012) or can be modified by pulsed electromagnetic fields (</w:t>
      </w:r>
      <w:proofErr w:type="spellStart"/>
      <w:r w:rsidRPr="00F44F92">
        <w:rPr>
          <w:rFonts w:ascii="Arial" w:hAnsi="Arial" w:cs="Arial"/>
          <w:lang w:val="en-AU"/>
        </w:rPr>
        <w:t>Meessen</w:t>
      </w:r>
      <w:proofErr w:type="spellEnd"/>
      <w:r w:rsidRPr="00F44F92">
        <w:rPr>
          <w:rFonts w:ascii="Arial" w:hAnsi="Arial" w:cs="Arial"/>
          <w:lang w:val="en-AU"/>
        </w:rPr>
        <w:t>, 2012a and b; Aquino, 2010, 2012, 2016, 2021; Gobbi, 2021) directly address the possibility of motion without conventional reaction mass. Observational reconstructions of UAP flight (Knuth et al., 2019; Minami, 2022, 2023; Loeb and Kirkpatrick, 2023) reveal accelerations and g-loads far beyond human or structural tolerances under classical mechanics, yet without evidence of shockwaves or thermal loading. These findings suggest that some form of resonant field coupling may suppress both drag and inertia, enabling extraordinary kinematics.</w:t>
      </w:r>
    </w:p>
    <w:p w14:paraId="1FFE95E6" w14:textId="77777777" w:rsidR="00F44F92" w:rsidRPr="00F44F92" w:rsidRDefault="00F44F92" w:rsidP="00F44F92">
      <w:pPr>
        <w:pStyle w:val="Body"/>
        <w:spacing w:after="0"/>
        <w:rPr>
          <w:rFonts w:ascii="Arial" w:hAnsi="Arial" w:cs="Arial"/>
          <w:lang w:val="en-AU"/>
        </w:rPr>
      </w:pPr>
    </w:p>
    <w:p w14:paraId="4E7BF321" w14:textId="77777777" w:rsidR="00F44F92" w:rsidRDefault="00F44F92" w:rsidP="00F44F92">
      <w:pPr>
        <w:pStyle w:val="Body"/>
        <w:spacing w:after="0"/>
        <w:rPr>
          <w:rFonts w:ascii="Arial" w:hAnsi="Arial" w:cs="Arial"/>
          <w:lang w:val="en-AU"/>
        </w:rPr>
      </w:pPr>
      <w:r w:rsidRPr="00F44F92">
        <w:rPr>
          <w:rFonts w:ascii="Arial" w:hAnsi="Arial" w:cs="Arial"/>
          <w:lang w:val="en-AU"/>
        </w:rPr>
        <w:t xml:space="preserve">The proposed Scalar Resonant Mobility Systems (SRMS) theory (Morgan, unpublished research) advances these insights by formalizing resonance with scalar fields as a </w:t>
      </w:r>
      <w:proofErr w:type="spellStart"/>
      <w:r w:rsidRPr="00F44F92">
        <w:rPr>
          <w:rFonts w:ascii="Arial" w:hAnsi="Arial" w:cs="Arial"/>
          <w:lang w:val="en-AU"/>
        </w:rPr>
        <w:t>tunable</w:t>
      </w:r>
      <w:proofErr w:type="spellEnd"/>
      <w:r w:rsidRPr="00F44F92">
        <w:rPr>
          <w:rFonts w:ascii="Arial" w:hAnsi="Arial" w:cs="Arial"/>
          <w:lang w:val="en-AU"/>
        </w:rPr>
        <w:t xml:space="preserve"> mechanism for boundary-layer modulation and inertia suppression (see Hall and Covington, 2025). Unlike earlier speculative propulsion concepts (Holt, 1979; Puthoff, 1987; Haisch et al., 1994; </w:t>
      </w:r>
      <w:proofErr w:type="spellStart"/>
      <w:r w:rsidRPr="00F44F92">
        <w:rPr>
          <w:rFonts w:ascii="Arial" w:hAnsi="Arial" w:cs="Arial"/>
          <w:lang w:val="en-AU"/>
        </w:rPr>
        <w:t>Meessen</w:t>
      </w:r>
      <w:proofErr w:type="spellEnd"/>
      <w:r w:rsidRPr="00F44F92">
        <w:rPr>
          <w:rFonts w:ascii="Arial" w:hAnsi="Arial" w:cs="Arial"/>
          <w:lang w:val="en-AU"/>
        </w:rPr>
        <w:t>, 2012b), SRMS theory proposes that laminar sheaths, refractive cloaks, and inertia-free acceleration are all manifestations of resonance thresholds within scalar-indexed field structures. This provides a unified explanation for the empirical features catalogued across plasma studies, optics research, and propulsion models.</w:t>
      </w:r>
    </w:p>
    <w:p w14:paraId="1A111E2C" w14:textId="77777777" w:rsidR="00F44F92" w:rsidRPr="00F44F92" w:rsidRDefault="00F44F92" w:rsidP="00F44F92">
      <w:pPr>
        <w:pStyle w:val="Body"/>
        <w:spacing w:after="0"/>
        <w:rPr>
          <w:rFonts w:ascii="Arial" w:hAnsi="Arial" w:cs="Arial"/>
          <w:lang w:val="en-AU"/>
        </w:rPr>
      </w:pPr>
    </w:p>
    <w:p w14:paraId="042B2903" w14:textId="77777777" w:rsidR="00F44F92" w:rsidRDefault="00F44F92" w:rsidP="00F44F92">
      <w:pPr>
        <w:pStyle w:val="Body"/>
        <w:spacing w:after="0"/>
        <w:rPr>
          <w:rFonts w:ascii="Arial" w:hAnsi="Arial" w:cs="Arial"/>
          <w:lang w:val="en-AU"/>
        </w:rPr>
      </w:pPr>
      <w:r w:rsidRPr="00F44F92">
        <w:rPr>
          <w:rFonts w:ascii="Arial" w:hAnsi="Arial" w:cs="Arial"/>
          <w:lang w:val="en-AU"/>
        </w:rPr>
        <w:t xml:space="preserve">The present study builds on this theoretical and empirical convergence of evidence by systematically coding and analysing references from across nine thematic domains, with a focus on mapping boundary-layer signatures and SRMS theory linkages. Using a purpose-built Excel analysis tool, references were annotated for the presence of halos, laminar shells, trans-medium transitions, cloaking, and axial emissions, and then scored on their relevance to both boundary-layer evidence and SRMS theory. The aim of this study is to systematically </w:t>
      </w:r>
      <w:r w:rsidRPr="00F44F92">
        <w:rPr>
          <w:rFonts w:ascii="Arial" w:hAnsi="Arial" w:cs="Arial"/>
          <w:lang w:val="en-AU"/>
        </w:rPr>
        <w:lastRenderedPageBreak/>
        <w:t>integrate observational boundary-layer evidence with theoretical models of scalar resonance to evaluate the plausibility of Scalar Resonant Mobility Systems (SRMS) theory as a unified framework for UAP mobility. Specifically, the study pursues three objectives:</w:t>
      </w:r>
    </w:p>
    <w:p w14:paraId="06A2C9D3" w14:textId="77777777" w:rsidR="00F44F92" w:rsidRPr="00F44F92" w:rsidRDefault="00F44F92" w:rsidP="00F44F92">
      <w:pPr>
        <w:pStyle w:val="Body"/>
        <w:spacing w:after="0"/>
        <w:rPr>
          <w:rFonts w:ascii="Arial" w:hAnsi="Arial" w:cs="Arial"/>
          <w:lang w:val="en-AU"/>
        </w:rPr>
      </w:pPr>
    </w:p>
    <w:p w14:paraId="06D0FA69" w14:textId="77777777" w:rsidR="00F44F92" w:rsidRP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Thematic Classification: To organize a broad multidisciplinary reference corpus into nine categories spanning plasma physics, optics, propulsion, observational data, and sociocultural analyses, thereby establishing a structured foundation for comparison.</w:t>
      </w:r>
    </w:p>
    <w:p w14:paraId="1A2348F7" w14:textId="77777777" w:rsidR="00F44F92" w:rsidRP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Signature Mapping: To identify the recurrence of five boundary-layer features, halos/filaments, pane-like laminar shells, trans-medium transitions, localized cloaking, and symmetric axial emissions, across these themes, using binary coding and aggregated dashboards to quantify their distribution.</w:t>
      </w:r>
    </w:p>
    <w:p w14:paraId="56B2F5C2" w14:textId="77777777" w:rsidR="00F44F92" w:rsidRDefault="00F44F92" w:rsidP="00F44F92">
      <w:pPr>
        <w:pStyle w:val="Body"/>
        <w:numPr>
          <w:ilvl w:val="0"/>
          <w:numId w:val="31"/>
        </w:numPr>
        <w:spacing w:after="0"/>
        <w:rPr>
          <w:rFonts w:ascii="Arial" w:hAnsi="Arial" w:cs="Arial"/>
          <w:lang w:val="en-AU"/>
        </w:rPr>
      </w:pPr>
      <w:r w:rsidRPr="00F44F92">
        <w:rPr>
          <w:rFonts w:ascii="Arial" w:hAnsi="Arial" w:cs="Arial"/>
          <w:lang w:val="en-AU"/>
        </w:rPr>
        <w:t xml:space="preserve">Resonance Linkage Scoring: To assign each reference a graded score (1–5) for boundary-layer relevance and SRMS theory resonance linkage, enabling the detection of clusters that serve as </w:t>
      </w:r>
      <w:r w:rsidRPr="00F44F92">
        <w:rPr>
          <w:rFonts w:ascii="Arial" w:hAnsi="Arial" w:cs="Arial"/>
          <w:b/>
          <w:bCs/>
          <w:lang w:val="en-AU"/>
        </w:rPr>
        <w:t>empirical feeders</w:t>
      </w:r>
      <w:r w:rsidRPr="00F44F92">
        <w:rPr>
          <w:rFonts w:ascii="Arial" w:hAnsi="Arial" w:cs="Arial"/>
          <w:lang w:val="en-AU"/>
        </w:rPr>
        <w:t xml:space="preserve"> (strong boundary evidence, weak SRMS linkage) and </w:t>
      </w:r>
      <w:r w:rsidRPr="00F44F92">
        <w:rPr>
          <w:rFonts w:ascii="Arial" w:hAnsi="Arial" w:cs="Arial"/>
          <w:b/>
          <w:bCs/>
          <w:lang w:val="en-AU"/>
        </w:rPr>
        <w:t>theoretical engines</w:t>
      </w:r>
      <w:r w:rsidRPr="00F44F92">
        <w:rPr>
          <w:rFonts w:ascii="Arial" w:hAnsi="Arial" w:cs="Arial"/>
          <w:lang w:val="en-AU"/>
        </w:rPr>
        <w:t xml:space="preserve"> (strong SRMS linkage, high boundary integration).</w:t>
      </w:r>
    </w:p>
    <w:p w14:paraId="3AB4B632" w14:textId="77777777" w:rsidR="00F44F92" w:rsidRPr="00F44F92" w:rsidRDefault="00F44F92" w:rsidP="00F44F92">
      <w:pPr>
        <w:pStyle w:val="Body"/>
        <w:spacing w:after="0"/>
        <w:rPr>
          <w:rFonts w:ascii="Arial" w:hAnsi="Arial" w:cs="Arial"/>
          <w:lang w:val="en-AU"/>
        </w:rPr>
      </w:pPr>
    </w:p>
    <w:p w14:paraId="2A8AFF00" w14:textId="77777777" w:rsidR="00F44F92" w:rsidRPr="00F44F92" w:rsidRDefault="00F44F92" w:rsidP="00F44F92">
      <w:pPr>
        <w:pStyle w:val="Body"/>
        <w:spacing w:after="0"/>
        <w:rPr>
          <w:rFonts w:ascii="Arial" w:hAnsi="Arial" w:cs="Arial"/>
          <w:lang w:val="en-AU"/>
        </w:rPr>
      </w:pPr>
      <w:r w:rsidRPr="00F44F92">
        <w:rPr>
          <w:rFonts w:ascii="Arial" w:hAnsi="Arial" w:cs="Arial"/>
          <w:lang w:val="en-AU"/>
        </w:rPr>
        <w:t>By meeting these objectives, the study establishes both the empirical grounding and the theoretical coherence of SRMS. The results demonstrate how disparate strands of evidence converge into a unified model of laminar boundary modulation and scalar-field resonance, advancing the case for resonance-driven mobility as a viable explanation of UAP phenomena.</w:t>
      </w:r>
    </w:p>
    <w:p w14:paraId="7EC1F091" w14:textId="77777777" w:rsidR="00F44F92" w:rsidRDefault="00F44F92" w:rsidP="00441B6F">
      <w:pPr>
        <w:pStyle w:val="Body"/>
        <w:spacing w:after="0"/>
        <w:rPr>
          <w:rFonts w:ascii="Arial" w:hAnsi="Arial" w:cs="Arial"/>
        </w:rPr>
      </w:pPr>
    </w:p>
    <w:p w14:paraId="255D3FF4" w14:textId="77777777" w:rsidR="00505F06" w:rsidRDefault="00505F06" w:rsidP="00441B6F">
      <w:pPr>
        <w:pStyle w:val="Body"/>
        <w:spacing w:after="0"/>
        <w:rPr>
          <w:rFonts w:ascii="Arial" w:hAnsi="Arial" w:cs="Arial"/>
        </w:rPr>
      </w:pPr>
    </w:p>
    <w:p w14:paraId="4806A4A7" w14:textId="29D6985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1E764C6" w14:textId="77777777" w:rsidR="00790ADA" w:rsidRPr="00FB3A86" w:rsidRDefault="00790ADA" w:rsidP="00441B6F">
      <w:pPr>
        <w:pStyle w:val="AbstHead"/>
        <w:spacing w:after="0"/>
        <w:jc w:val="both"/>
        <w:rPr>
          <w:rFonts w:ascii="Arial" w:hAnsi="Arial" w:cs="Arial"/>
        </w:rPr>
      </w:pPr>
    </w:p>
    <w:p w14:paraId="6CF8B075" w14:textId="77777777" w:rsidR="00497E85" w:rsidRDefault="00497E85" w:rsidP="00497E85">
      <w:pPr>
        <w:pStyle w:val="Body"/>
        <w:spacing w:after="0"/>
        <w:rPr>
          <w:rFonts w:ascii="Arial" w:hAnsi="Arial" w:cs="Arial"/>
          <w:lang w:val="en-AU"/>
        </w:rPr>
      </w:pPr>
      <w:r w:rsidRPr="00497E85">
        <w:rPr>
          <w:rFonts w:ascii="Arial" w:hAnsi="Arial" w:cs="Arial"/>
          <w:lang w:val="en-AU"/>
        </w:rPr>
        <w:t xml:space="preserve">Before any structured coding or dashboard construction, a comprehensive corpus of references spanning multiple disciplines relevant to UAP research was established (Appendix A). This was essential because the literature does not fall neatly within a single field; instead, it ranges from plasma physics and atmospheric sciences to optics, propulsion theory, materials science, statistics, and even cultural studies. To avoid disciplinary silos, every citation in the master reference list was read in context and using artificial intelligence assigned a primary theme based on content, method, and relevance. In cases where a paper covered multiple areas, the assignment prioritized the theme in which its contribution was most substantive. The outcome of this classification was a nine-category thematic framework (Table 1). This framework served as the backbone of the analysis: it not only grouped references for easier comparison but also created the structure of the workbook itself, where each theme became a dedicated worksheet. </w:t>
      </w:r>
    </w:p>
    <w:p w14:paraId="6044AE1F" w14:textId="77777777" w:rsidR="00497E85" w:rsidRPr="00497E85" w:rsidRDefault="00497E85" w:rsidP="00497E85">
      <w:pPr>
        <w:pStyle w:val="Body"/>
        <w:spacing w:after="0"/>
        <w:rPr>
          <w:rFonts w:ascii="Arial" w:hAnsi="Arial" w:cs="Arial"/>
          <w:lang w:val="en-AU"/>
        </w:rPr>
      </w:pPr>
    </w:p>
    <w:p w14:paraId="1B966F45" w14:textId="24BB844B" w:rsidR="00497E85" w:rsidRPr="00497E85" w:rsidRDefault="00497E85" w:rsidP="00497E85">
      <w:pPr>
        <w:pStyle w:val="Body"/>
        <w:spacing w:after="0"/>
        <w:rPr>
          <w:rFonts w:ascii="Arial" w:hAnsi="Arial" w:cs="Arial"/>
          <w:lang w:val="en-AU"/>
        </w:rPr>
      </w:pPr>
      <w:r w:rsidRPr="00497E85">
        <w:rPr>
          <w:rFonts w:ascii="Arial" w:hAnsi="Arial" w:cs="Arial"/>
          <w:lang w:val="en-AU"/>
        </w:rPr>
        <w:t>All references analysed in this study were drawn from a structured master corpus covering these nine thematic categories. Each entry was coded and scored as described above. The complete list of references included in the thematic coding and quantitative analysis is provided in Appendix A.</w:t>
      </w:r>
      <w:r w:rsidR="00D16E50">
        <w:rPr>
          <w:rFonts w:ascii="Arial" w:hAnsi="Arial" w:cs="Arial"/>
          <w:lang w:val="en-AU"/>
        </w:rPr>
        <w:t xml:space="preserve"> Artificial intelligence was used to assist in the analysis, compiling, organising and editing of the paper.</w:t>
      </w:r>
    </w:p>
    <w:p w14:paraId="362B3DE8" w14:textId="77777777" w:rsidR="00497E85" w:rsidRDefault="00497E85" w:rsidP="00441B6F">
      <w:pPr>
        <w:pStyle w:val="Body"/>
        <w:spacing w:after="0"/>
        <w:rPr>
          <w:rFonts w:ascii="Arial" w:hAnsi="Arial" w:cs="Arial"/>
        </w:rPr>
      </w:pPr>
    </w:p>
    <w:p w14:paraId="20F1F3B1" w14:textId="77777777" w:rsidR="002D430B" w:rsidRDefault="002D430B" w:rsidP="00497E85">
      <w:pPr>
        <w:pStyle w:val="Body"/>
        <w:spacing w:after="0"/>
        <w:rPr>
          <w:rFonts w:ascii="Arial" w:hAnsi="Arial" w:cs="Arial"/>
          <w:b/>
          <w:bCs/>
          <w:sz w:val="22"/>
          <w:szCs w:val="22"/>
          <w:lang w:val="en-AU"/>
        </w:rPr>
      </w:pPr>
    </w:p>
    <w:p w14:paraId="4554170D" w14:textId="45E2981A" w:rsidR="00497E85" w:rsidRPr="00DB0EB5" w:rsidRDefault="00497E85" w:rsidP="00497E85">
      <w:pPr>
        <w:pStyle w:val="Body"/>
        <w:spacing w:after="0"/>
        <w:rPr>
          <w:rFonts w:ascii="Arial" w:hAnsi="Arial" w:cs="Arial"/>
          <w:b/>
          <w:bCs/>
          <w:lang w:val="en-AU"/>
        </w:rPr>
      </w:pPr>
      <w:r w:rsidRPr="00497E85">
        <w:rPr>
          <w:rFonts w:ascii="Arial" w:hAnsi="Arial" w:cs="Arial"/>
          <w:b/>
          <w:bCs/>
          <w:lang w:val="en-AU"/>
        </w:rPr>
        <w:t>2.1 Table Construction and Analytical Narratives</w:t>
      </w:r>
    </w:p>
    <w:p w14:paraId="1F047974" w14:textId="77777777" w:rsidR="00497E85" w:rsidRPr="00497E85" w:rsidRDefault="00497E85" w:rsidP="00497E85">
      <w:pPr>
        <w:pStyle w:val="Body"/>
        <w:spacing w:after="0"/>
        <w:rPr>
          <w:rFonts w:ascii="Arial" w:hAnsi="Arial" w:cs="Arial"/>
          <w:b/>
          <w:bCs/>
          <w:lang w:val="en-AU"/>
        </w:rPr>
      </w:pPr>
    </w:p>
    <w:p w14:paraId="46053054" w14:textId="77777777" w:rsidR="00497E85" w:rsidRDefault="00497E85" w:rsidP="00497E85">
      <w:pPr>
        <w:pStyle w:val="Body"/>
        <w:spacing w:after="0"/>
        <w:rPr>
          <w:rFonts w:ascii="Arial" w:hAnsi="Arial" w:cs="Arial"/>
          <w:lang w:val="en-AU"/>
        </w:rPr>
      </w:pPr>
      <w:r w:rsidRPr="00497E85">
        <w:rPr>
          <w:rFonts w:ascii="Arial" w:hAnsi="Arial" w:cs="Arial"/>
          <w:lang w:val="en-AU"/>
        </w:rPr>
        <w:t>Once grouped thematically, each reference was systematically documented in a structured table. The purpose of these tables was not only bibliographic organization but critical annotation: rather than listing citations, each entry contained narrative fields linking the study’s content to boundary-layer dynamics and SRMS theory. This approach transformed the tables into analytical tools, capturing both descriptive and interpretive layers of information.</w:t>
      </w:r>
    </w:p>
    <w:p w14:paraId="6BF8624D" w14:textId="77777777" w:rsidR="00497E85" w:rsidRPr="00497E85" w:rsidRDefault="00497E85" w:rsidP="00497E85">
      <w:pPr>
        <w:pStyle w:val="Body"/>
        <w:spacing w:after="0"/>
        <w:rPr>
          <w:rFonts w:ascii="Arial" w:hAnsi="Arial" w:cs="Arial"/>
          <w:lang w:val="en-AU"/>
        </w:rPr>
      </w:pPr>
    </w:p>
    <w:p w14:paraId="501BE1DA"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lastRenderedPageBreak/>
        <w:t>Each row contained four columns: (1) the citation string, (2) a multi-sentence “About” summary describing methods, findings, and context, (3) an explanation of how the work related to boundary-layer effects such as halos, laminar shells, or turbulence suppression, and (4) an analysis of its relationship to SRMS theoretical concepts. For example, optical cloaking papers were discussed both as demonstrations of field-guided light manipulation (boundary-layer relevance) and as prototypes of resonance-driven invisibility (SRMS relevance). This dual annotation ensured each reference could be considered both phenomenologically and theoretically.</w:t>
      </w:r>
    </w:p>
    <w:p w14:paraId="335870F0" w14:textId="77777777" w:rsidR="00497E85" w:rsidRDefault="00497E85" w:rsidP="00441B6F">
      <w:pPr>
        <w:pStyle w:val="Body"/>
        <w:spacing w:after="0"/>
        <w:rPr>
          <w:rFonts w:ascii="Arial" w:hAnsi="Arial" w:cs="Arial"/>
        </w:rPr>
      </w:pPr>
    </w:p>
    <w:p w14:paraId="16A397EC" w14:textId="77777777" w:rsidR="00497E85" w:rsidRDefault="00497E85" w:rsidP="00441B6F">
      <w:pPr>
        <w:pStyle w:val="Body"/>
        <w:spacing w:after="0"/>
        <w:rPr>
          <w:rFonts w:ascii="Arial" w:hAnsi="Arial" w:cs="Arial"/>
        </w:rPr>
      </w:pPr>
    </w:p>
    <w:p w14:paraId="4BF5FEC7" w14:textId="339BD12C"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Table 1. Thematic categories used in reference classification.</w:t>
      </w:r>
    </w:p>
    <w:p w14:paraId="373BFF3F" w14:textId="6FEBBD85" w:rsidR="00497E85" w:rsidRPr="00497E85" w:rsidRDefault="00497E85" w:rsidP="00497E85">
      <w:pPr>
        <w:pStyle w:val="Body"/>
        <w:spacing w:after="0"/>
        <w:rPr>
          <w:rFonts w:ascii="Arial" w:hAnsi="Arial" w:cs="Arial"/>
          <w:b/>
          <w:bCs/>
          <w:lang w:val="en-AU"/>
        </w:rPr>
      </w:pPr>
      <w:r w:rsidRPr="00497E85">
        <w:rPr>
          <w:rFonts w:ascii="Arial" w:hAnsi="Arial" w:cs="Arial"/>
          <w:b/>
          <w:bCs/>
          <w:noProof/>
          <w:lang w:val="en-AU"/>
        </w:rPr>
        <mc:AlternateContent>
          <mc:Choice Requires="wps">
            <w:drawing>
              <wp:anchor distT="0" distB="0" distL="114300" distR="114300" simplePos="0" relativeHeight="251660288" behindDoc="0" locked="0" layoutInCell="1" allowOverlap="1" wp14:anchorId="2AAF36BA" wp14:editId="4DC0D5DC">
                <wp:simplePos x="0" y="0"/>
                <wp:positionH relativeFrom="column">
                  <wp:posOffset>177</wp:posOffset>
                </wp:positionH>
                <wp:positionV relativeFrom="paragraph">
                  <wp:posOffset>154940</wp:posOffset>
                </wp:positionV>
                <wp:extent cx="5241290" cy="0"/>
                <wp:effectExtent l="0" t="0" r="0" b="0"/>
                <wp:wrapNone/>
                <wp:docPr id="1216782519" name="Straight Connector 2"/>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9D6F5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pt" to="412.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5899"/>
      </w:tblGrid>
      <w:tr w:rsidR="00497E85" w:rsidRPr="00497E85" w14:paraId="2AB459C0" w14:textId="77777777" w:rsidTr="009E74BA">
        <w:trPr>
          <w:tblHeader/>
          <w:tblCellSpacing w:w="15" w:type="dxa"/>
        </w:trPr>
        <w:tc>
          <w:tcPr>
            <w:tcW w:w="1373" w:type="dxa"/>
            <w:vAlign w:val="center"/>
            <w:hideMark/>
          </w:tcPr>
          <w:p w14:paraId="13BBDD65" w14:textId="7D44B8AB"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Theme ID</w:t>
            </w:r>
          </w:p>
        </w:tc>
        <w:tc>
          <w:tcPr>
            <w:tcW w:w="5854" w:type="dxa"/>
            <w:vAlign w:val="center"/>
            <w:hideMark/>
          </w:tcPr>
          <w:p w14:paraId="29292670" w14:textId="61E8E3C7" w:rsidR="00497E85" w:rsidRPr="00497E85" w:rsidRDefault="00837049" w:rsidP="00497E85">
            <w:pPr>
              <w:pStyle w:val="Body"/>
              <w:spacing w:after="0"/>
              <w:rPr>
                <w:rFonts w:ascii="Arial" w:hAnsi="Arial" w:cs="Arial"/>
                <w:b/>
                <w:bCs/>
                <w:lang w:val="en-AU"/>
              </w:rPr>
            </w:pPr>
            <w:r w:rsidRPr="00497E85">
              <w:rPr>
                <w:rFonts w:ascii="Arial" w:hAnsi="Arial" w:cs="Arial"/>
                <w:b/>
                <w:bCs/>
                <w:noProof/>
                <w:lang w:val="en-AU"/>
              </w:rPr>
              <mc:AlternateContent>
                <mc:Choice Requires="wps">
                  <w:drawing>
                    <wp:anchor distT="0" distB="0" distL="114300" distR="114300" simplePos="0" relativeHeight="251659264" behindDoc="0" locked="0" layoutInCell="1" allowOverlap="1" wp14:anchorId="29D08B38" wp14:editId="6B9BC4AE">
                      <wp:simplePos x="0" y="0"/>
                      <wp:positionH relativeFrom="column">
                        <wp:posOffset>-904875</wp:posOffset>
                      </wp:positionH>
                      <wp:positionV relativeFrom="paragraph">
                        <wp:posOffset>116840</wp:posOffset>
                      </wp:positionV>
                      <wp:extent cx="5241290" cy="0"/>
                      <wp:effectExtent l="0" t="0" r="0" b="0"/>
                      <wp:wrapNone/>
                      <wp:docPr id="717144990" name="Straight Connector 1"/>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C2AB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9.2pt" to="341.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" strokecolor="black [3200]">
                      <v:shadow on="t" color="black" opacity="24903f" origin=",.5" offset="0,.55556mm"/>
                    </v:line>
                  </w:pict>
                </mc:Fallback>
              </mc:AlternateContent>
            </w:r>
            <w:r w:rsidR="00497E85" w:rsidRPr="00497E85">
              <w:rPr>
                <w:rFonts w:ascii="Arial" w:hAnsi="Arial" w:cs="Arial"/>
                <w:b/>
                <w:bCs/>
                <w:lang w:val="en-AU"/>
              </w:rPr>
              <w:t>Category Description</w:t>
            </w:r>
          </w:p>
        </w:tc>
      </w:tr>
      <w:tr w:rsidR="00497E85" w:rsidRPr="00497E85" w14:paraId="4C42A898" w14:textId="77777777" w:rsidTr="009E74BA">
        <w:trPr>
          <w:tblCellSpacing w:w="15" w:type="dxa"/>
        </w:trPr>
        <w:tc>
          <w:tcPr>
            <w:tcW w:w="1373" w:type="dxa"/>
            <w:vAlign w:val="center"/>
            <w:hideMark/>
          </w:tcPr>
          <w:p w14:paraId="63E3E407" w14:textId="3013C4A0" w:rsidR="00497E85" w:rsidRPr="00497E85" w:rsidRDefault="00497E85" w:rsidP="00497E85">
            <w:pPr>
              <w:pStyle w:val="Body"/>
              <w:spacing w:after="0"/>
              <w:rPr>
                <w:rFonts w:ascii="Arial" w:hAnsi="Arial" w:cs="Arial"/>
                <w:lang w:val="en-AU"/>
              </w:rPr>
            </w:pPr>
            <w:r w:rsidRPr="00497E85">
              <w:rPr>
                <w:rFonts w:ascii="Arial" w:hAnsi="Arial" w:cs="Arial"/>
                <w:lang w:val="en-AU"/>
              </w:rPr>
              <w:t>1</w:t>
            </w:r>
          </w:p>
        </w:tc>
        <w:tc>
          <w:tcPr>
            <w:tcW w:w="5854" w:type="dxa"/>
            <w:vAlign w:val="center"/>
            <w:hideMark/>
          </w:tcPr>
          <w:p w14:paraId="38AFD31C" w14:textId="3BC3CEFF" w:rsidR="00497E85" w:rsidRPr="00497E85" w:rsidRDefault="00497E85" w:rsidP="00497E85">
            <w:pPr>
              <w:pStyle w:val="Body"/>
              <w:spacing w:after="0"/>
              <w:rPr>
                <w:rFonts w:ascii="Arial" w:hAnsi="Arial" w:cs="Arial"/>
                <w:lang w:val="en-AU"/>
              </w:rPr>
            </w:pPr>
            <w:r w:rsidRPr="00497E85">
              <w:rPr>
                <w:rFonts w:ascii="Arial" w:hAnsi="Arial" w:cs="Arial"/>
                <w:lang w:val="en-AU"/>
              </w:rPr>
              <w:t>Plasma, Ball Lightning, and Atmospheric Luminous Phenomena</w:t>
            </w:r>
          </w:p>
        </w:tc>
      </w:tr>
      <w:tr w:rsidR="00497E85" w:rsidRPr="00497E85" w14:paraId="545E8679" w14:textId="77777777" w:rsidTr="009E74BA">
        <w:trPr>
          <w:tblCellSpacing w:w="15" w:type="dxa"/>
        </w:trPr>
        <w:tc>
          <w:tcPr>
            <w:tcW w:w="1373" w:type="dxa"/>
            <w:vAlign w:val="center"/>
            <w:hideMark/>
          </w:tcPr>
          <w:p w14:paraId="344ABDB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2</w:t>
            </w:r>
          </w:p>
        </w:tc>
        <w:tc>
          <w:tcPr>
            <w:tcW w:w="5854" w:type="dxa"/>
            <w:vAlign w:val="center"/>
            <w:hideMark/>
          </w:tcPr>
          <w:p w14:paraId="325DD26E"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Gravitational Lensing, Modified Gravity, and Optical Scalars</w:t>
            </w:r>
          </w:p>
        </w:tc>
      </w:tr>
      <w:tr w:rsidR="00497E85" w:rsidRPr="00497E85" w14:paraId="60139E11" w14:textId="77777777" w:rsidTr="009E74BA">
        <w:trPr>
          <w:tblCellSpacing w:w="15" w:type="dxa"/>
        </w:trPr>
        <w:tc>
          <w:tcPr>
            <w:tcW w:w="1373" w:type="dxa"/>
            <w:vAlign w:val="center"/>
            <w:hideMark/>
          </w:tcPr>
          <w:p w14:paraId="4959B8D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3</w:t>
            </w:r>
          </w:p>
        </w:tc>
        <w:tc>
          <w:tcPr>
            <w:tcW w:w="5854" w:type="dxa"/>
            <w:vAlign w:val="center"/>
            <w:hideMark/>
          </w:tcPr>
          <w:p w14:paraId="12158ECA"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Transformation Optics, Cloaking, and Metamaterials</w:t>
            </w:r>
          </w:p>
        </w:tc>
      </w:tr>
      <w:tr w:rsidR="00497E85" w:rsidRPr="00497E85" w14:paraId="2B027F0F" w14:textId="77777777" w:rsidTr="009E74BA">
        <w:trPr>
          <w:tblCellSpacing w:w="15" w:type="dxa"/>
        </w:trPr>
        <w:tc>
          <w:tcPr>
            <w:tcW w:w="1373" w:type="dxa"/>
            <w:vAlign w:val="center"/>
            <w:hideMark/>
          </w:tcPr>
          <w:p w14:paraId="6BA3E55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4</w:t>
            </w:r>
          </w:p>
        </w:tc>
        <w:tc>
          <w:tcPr>
            <w:tcW w:w="5854" w:type="dxa"/>
            <w:vAlign w:val="center"/>
            <w:hideMark/>
          </w:tcPr>
          <w:p w14:paraId="09A21B6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Propulsion, Field Drives, and Inertia/Gravity Couplings</w:t>
            </w:r>
          </w:p>
        </w:tc>
      </w:tr>
      <w:tr w:rsidR="00497E85" w:rsidRPr="00497E85" w14:paraId="138F1B16" w14:textId="77777777" w:rsidTr="009E74BA">
        <w:trPr>
          <w:tblCellSpacing w:w="15" w:type="dxa"/>
        </w:trPr>
        <w:tc>
          <w:tcPr>
            <w:tcW w:w="1373" w:type="dxa"/>
            <w:vAlign w:val="center"/>
            <w:hideMark/>
          </w:tcPr>
          <w:p w14:paraId="19D13C3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5</w:t>
            </w:r>
          </w:p>
        </w:tc>
        <w:tc>
          <w:tcPr>
            <w:tcW w:w="5854" w:type="dxa"/>
            <w:vAlign w:val="center"/>
            <w:hideMark/>
          </w:tcPr>
          <w:p w14:paraId="0AFFD4B0"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Observational Field Studies, Instrumentation, and Data</w:t>
            </w:r>
          </w:p>
        </w:tc>
      </w:tr>
      <w:tr w:rsidR="00497E85" w:rsidRPr="00497E85" w14:paraId="683CDAC1" w14:textId="77777777" w:rsidTr="009E74BA">
        <w:trPr>
          <w:tblCellSpacing w:w="15" w:type="dxa"/>
        </w:trPr>
        <w:tc>
          <w:tcPr>
            <w:tcW w:w="1373" w:type="dxa"/>
            <w:vAlign w:val="center"/>
            <w:hideMark/>
          </w:tcPr>
          <w:p w14:paraId="740EE8D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6</w:t>
            </w:r>
          </w:p>
        </w:tc>
        <w:tc>
          <w:tcPr>
            <w:tcW w:w="5854" w:type="dxa"/>
            <w:vAlign w:val="center"/>
            <w:hideMark/>
          </w:tcPr>
          <w:p w14:paraId="7B0775B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Statistics, Reporting Dynamics, and Catalogues</w:t>
            </w:r>
          </w:p>
        </w:tc>
      </w:tr>
      <w:tr w:rsidR="00497E85" w:rsidRPr="00497E85" w14:paraId="7DBC4376" w14:textId="77777777" w:rsidTr="009E74BA">
        <w:trPr>
          <w:tblCellSpacing w:w="15" w:type="dxa"/>
        </w:trPr>
        <w:tc>
          <w:tcPr>
            <w:tcW w:w="1373" w:type="dxa"/>
            <w:vAlign w:val="center"/>
            <w:hideMark/>
          </w:tcPr>
          <w:p w14:paraId="01A10B23"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7</w:t>
            </w:r>
          </w:p>
        </w:tc>
        <w:tc>
          <w:tcPr>
            <w:tcW w:w="5854" w:type="dxa"/>
            <w:vAlign w:val="center"/>
            <w:hideMark/>
          </w:tcPr>
          <w:p w14:paraId="1A34FC35"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History, Policy, Culture, and Safety</w:t>
            </w:r>
          </w:p>
        </w:tc>
      </w:tr>
      <w:tr w:rsidR="00497E85" w:rsidRPr="00497E85" w14:paraId="16CD8819" w14:textId="77777777" w:rsidTr="009E74BA">
        <w:trPr>
          <w:tblCellSpacing w:w="15" w:type="dxa"/>
        </w:trPr>
        <w:tc>
          <w:tcPr>
            <w:tcW w:w="1373" w:type="dxa"/>
            <w:vAlign w:val="center"/>
            <w:hideMark/>
          </w:tcPr>
          <w:p w14:paraId="3A74F2C7"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8</w:t>
            </w:r>
          </w:p>
        </w:tc>
        <w:tc>
          <w:tcPr>
            <w:tcW w:w="5854" w:type="dxa"/>
            <w:vAlign w:val="center"/>
            <w:hideMark/>
          </w:tcPr>
          <w:p w14:paraId="3392838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General Overviews, Handbooks, and Guidance</w:t>
            </w:r>
          </w:p>
        </w:tc>
      </w:tr>
      <w:tr w:rsidR="00497E85" w:rsidRPr="00497E85" w14:paraId="4ED7EAF2" w14:textId="77777777" w:rsidTr="009E74BA">
        <w:trPr>
          <w:tblCellSpacing w:w="15" w:type="dxa"/>
        </w:trPr>
        <w:tc>
          <w:tcPr>
            <w:tcW w:w="1373" w:type="dxa"/>
            <w:vAlign w:val="center"/>
            <w:hideMark/>
          </w:tcPr>
          <w:p w14:paraId="65EAF2AF" w14:textId="715215F7" w:rsidR="00497E85" w:rsidRPr="00497E85" w:rsidRDefault="00497E85" w:rsidP="00497E85">
            <w:pPr>
              <w:pStyle w:val="Body"/>
              <w:spacing w:after="0"/>
              <w:rPr>
                <w:rFonts w:ascii="Arial" w:hAnsi="Arial" w:cs="Arial"/>
                <w:lang w:val="en-AU"/>
              </w:rPr>
            </w:pPr>
            <w:r w:rsidRPr="00497E85">
              <w:rPr>
                <w:rFonts w:ascii="Arial" w:hAnsi="Arial" w:cs="Arial"/>
                <w:lang w:val="en-AU"/>
              </w:rPr>
              <w:t>9</w:t>
            </w:r>
          </w:p>
        </w:tc>
        <w:tc>
          <w:tcPr>
            <w:tcW w:w="5854" w:type="dxa"/>
            <w:vAlign w:val="center"/>
            <w:hideMark/>
          </w:tcPr>
          <w:p w14:paraId="016D07FB" w14:textId="75218E00" w:rsidR="00497E85" w:rsidRPr="00497E85" w:rsidRDefault="00497E85" w:rsidP="00497E85">
            <w:pPr>
              <w:pStyle w:val="Body"/>
              <w:spacing w:after="0"/>
              <w:rPr>
                <w:rFonts w:ascii="Arial" w:hAnsi="Arial" w:cs="Arial"/>
                <w:lang w:val="en-AU"/>
              </w:rPr>
            </w:pPr>
            <w:r w:rsidRPr="00497E85">
              <w:rPr>
                <w:rFonts w:ascii="Arial" w:hAnsi="Arial" w:cs="Arial"/>
                <w:b/>
                <w:bCs/>
                <w:noProof/>
                <w:lang w:val="en-AU"/>
              </w:rPr>
              <mc:AlternateContent>
                <mc:Choice Requires="wps">
                  <w:drawing>
                    <wp:anchor distT="0" distB="0" distL="114300" distR="114300" simplePos="0" relativeHeight="251661312" behindDoc="0" locked="0" layoutInCell="1" allowOverlap="1" wp14:anchorId="16D7A2B8" wp14:editId="3917FEB7">
                      <wp:simplePos x="0" y="0"/>
                      <wp:positionH relativeFrom="column">
                        <wp:posOffset>-861695</wp:posOffset>
                      </wp:positionH>
                      <wp:positionV relativeFrom="paragraph">
                        <wp:posOffset>158115</wp:posOffset>
                      </wp:positionV>
                      <wp:extent cx="5241290" cy="0"/>
                      <wp:effectExtent l="0" t="0" r="0" b="0"/>
                      <wp:wrapNone/>
                      <wp:docPr id="1630620032" name="Straight Connector 3"/>
                      <wp:cNvGraphicFramePr/>
                      <a:graphic xmlns:a="http://schemas.openxmlformats.org/drawingml/2006/main">
                        <a:graphicData uri="http://schemas.microsoft.com/office/word/2010/wordprocessingShape">
                          <wps:wsp>
                            <wps:cNvCnPr/>
                            <wps:spPr>
                              <a:xfrm>
                                <a:off x="0" y="0"/>
                                <a:ext cx="52412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9320F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45pt" to="34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5ApAEAAJgDAAAOAAAAZHJzL2Uyb0RvYy54bWysU01P4zAQvSPxHyzft06i7Q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" strokecolor="black [3200]">
                      <v:shadow on="t" color="black" opacity="24903f" origin=",.5" offset="0,.55556mm"/>
                    </v:line>
                  </w:pict>
                </mc:Fallback>
              </mc:AlternateContent>
            </w:r>
            <w:r w:rsidRPr="00497E85">
              <w:rPr>
                <w:rFonts w:ascii="Arial" w:hAnsi="Arial" w:cs="Arial"/>
                <w:lang w:val="en-AU"/>
              </w:rPr>
              <w:t>Additional Thematic Fits</w:t>
            </w:r>
          </w:p>
        </w:tc>
      </w:tr>
    </w:tbl>
    <w:p w14:paraId="4C5D19AF" w14:textId="5E23C653" w:rsidR="00497E85" w:rsidRPr="00497E85" w:rsidRDefault="00497E85" w:rsidP="00497E85">
      <w:pPr>
        <w:pStyle w:val="Body"/>
        <w:spacing w:after="0"/>
        <w:rPr>
          <w:rFonts w:ascii="Arial" w:hAnsi="Arial" w:cs="Arial"/>
          <w:lang w:val="en-AU"/>
        </w:rPr>
      </w:pPr>
    </w:p>
    <w:p w14:paraId="56569671" w14:textId="77777777" w:rsidR="00497E85" w:rsidRDefault="00497E85" w:rsidP="00441B6F">
      <w:pPr>
        <w:pStyle w:val="Body"/>
        <w:spacing w:after="0"/>
        <w:rPr>
          <w:rFonts w:ascii="Arial" w:hAnsi="Arial" w:cs="Arial"/>
        </w:rPr>
      </w:pPr>
    </w:p>
    <w:p w14:paraId="76A85199" w14:textId="77777777" w:rsidR="002D430B" w:rsidRDefault="002D430B" w:rsidP="00497E85">
      <w:pPr>
        <w:pStyle w:val="Body"/>
        <w:spacing w:after="0"/>
        <w:rPr>
          <w:rFonts w:ascii="Arial" w:hAnsi="Arial" w:cs="Arial"/>
          <w:b/>
          <w:bCs/>
          <w:sz w:val="22"/>
          <w:szCs w:val="22"/>
          <w:lang w:val="en-AU"/>
        </w:rPr>
      </w:pPr>
    </w:p>
    <w:p w14:paraId="60B0EE9E" w14:textId="05285097" w:rsidR="00497E85" w:rsidRPr="00DB0EB5" w:rsidRDefault="00497E85" w:rsidP="00497E85">
      <w:pPr>
        <w:pStyle w:val="Body"/>
        <w:spacing w:after="0"/>
        <w:rPr>
          <w:rFonts w:ascii="Arial" w:hAnsi="Arial" w:cs="Arial"/>
          <w:b/>
          <w:bCs/>
          <w:lang w:val="en-AU"/>
        </w:rPr>
      </w:pPr>
      <w:r w:rsidRPr="00497E85">
        <w:rPr>
          <w:rFonts w:ascii="Arial" w:hAnsi="Arial" w:cs="Arial"/>
          <w:b/>
          <w:bCs/>
          <w:lang w:val="en-AU"/>
        </w:rPr>
        <w:t>2.2 Workbook Architecture</w:t>
      </w:r>
    </w:p>
    <w:p w14:paraId="38222481" w14:textId="77777777" w:rsidR="00497E85" w:rsidRPr="00497E85" w:rsidRDefault="00497E85" w:rsidP="00497E85">
      <w:pPr>
        <w:pStyle w:val="Body"/>
        <w:spacing w:after="0"/>
        <w:rPr>
          <w:rFonts w:ascii="Arial" w:hAnsi="Arial" w:cs="Arial"/>
          <w:b/>
          <w:bCs/>
          <w:lang w:val="en-AU"/>
        </w:rPr>
      </w:pPr>
    </w:p>
    <w:p w14:paraId="7EBF1C41" w14:textId="77777777" w:rsidR="00497E85" w:rsidRDefault="00497E85" w:rsidP="00497E85">
      <w:pPr>
        <w:pStyle w:val="Body"/>
        <w:spacing w:after="0"/>
        <w:rPr>
          <w:rFonts w:ascii="Arial" w:hAnsi="Arial" w:cs="Arial"/>
          <w:lang w:val="en-AU"/>
        </w:rPr>
      </w:pPr>
      <w:r w:rsidRPr="00497E85">
        <w:rPr>
          <w:rFonts w:ascii="Arial" w:hAnsi="Arial" w:cs="Arial"/>
          <w:lang w:val="en-AU"/>
        </w:rPr>
        <w:t>The decision to implement the analysis in Excel was motivated by its interactivity and accessibility. Instead of a static document, the workbook functions as a tool that can be filtered, cross-referenced, and expanded by different users. The architecture was carefully designed to maintain consistency across the nine themes while providing flexibility for exploration. The process involved:</w:t>
      </w:r>
    </w:p>
    <w:p w14:paraId="054C553E" w14:textId="77777777" w:rsidR="00497E85" w:rsidRPr="00497E85" w:rsidRDefault="00497E85" w:rsidP="00497E85">
      <w:pPr>
        <w:pStyle w:val="Body"/>
        <w:spacing w:after="0"/>
        <w:rPr>
          <w:rFonts w:ascii="Arial" w:hAnsi="Arial" w:cs="Arial"/>
          <w:lang w:val="en-AU"/>
        </w:rPr>
      </w:pPr>
    </w:p>
    <w:p w14:paraId="04ABE94C"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Creating one worksheet per theme populated with the four-column analytical tables.</w:t>
      </w:r>
    </w:p>
    <w:p w14:paraId="5221A981"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Building a Master sheet that aggregated all references in a single searchable list.</w:t>
      </w:r>
    </w:p>
    <w:p w14:paraId="707089BC"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Adding a hyperlink system for navigation: users can move from Master to any theme sheet and return.</w:t>
      </w:r>
    </w:p>
    <w:p w14:paraId="2860E344" w14:textId="77777777" w:rsidR="00497E85" w:rsidRP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Formatting all sheets as Excel Tables with filterable headers, consistent column widths, and word wrapping for clarity.</w:t>
      </w:r>
    </w:p>
    <w:p w14:paraId="27FB65D2" w14:textId="77777777" w:rsidR="00497E85" w:rsidRDefault="00497E85" w:rsidP="00497E85">
      <w:pPr>
        <w:pStyle w:val="Body"/>
        <w:numPr>
          <w:ilvl w:val="0"/>
          <w:numId w:val="32"/>
        </w:numPr>
        <w:spacing w:after="0"/>
        <w:rPr>
          <w:rFonts w:ascii="Arial" w:hAnsi="Arial" w:cs="Arial"/>
          <w:lang w:val="en-AU"/>
        </w:rPr>
      </w:pPr>
      <w:r w:rsidRPr="00497E85">
        <w:rPr>
          <w:rFonts w:ascii="Arial" w:hAnsi="Arial" w:cs="Arial"/>
          <w:lang w:val="en-AU"/>
        </w:rPr>
        <w:t>Enriching the Master sheet with a keyword column to allow quick searching by concepts such as “plasma,” “lensing,” or “resonance.”</w:t>
      </w:r>
    </w:p>
    <w:p w14:paraId="10411686" w14:textId="77777777" w:rsidR="00497E85" w:rsidRPr="00497E85" w:rsidRDefault="00497E85" w:rsidP="00497E85">
      <w:pPr>
        <w:pStyle w:val="Body"/>
        <w:spacing w:after="0"/>
        <w:rPr>
          <w:rFonts w:ascii="Arial" w:hAnsi="Arial" w:cs="Arial"/>
          <w:lang w:val="en-AU"/>
        </w:rPr>
      </w:pPr>
    </w:p>
    <w:p w14:paraId="727DF304"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This design allowed the workbook to function simultaneously as a database, a literature review, and an analysis platform.</w:t>
      </w:r>
    </w:p>
    <w:p w14:paraId="7F42B7F8" w14:textId="77777777" w:rsidR="00497E85" w:rsidRDefault="00497E85" w:rsidP="00441B6F">
      <w:pPr>
        <w:pStyle w:val="Body"/>
        <w:spacing w:after="0"/>
        <w:rPr>
          <w:rFonts w:ascii="Arial" w:hAnsi="Arial" w:cs="Arial"/>
        </w:rPr>
      </w:pPr>
    </w:p>
    <w:p w14:paraId="5981A4F1" w14:textId="77777777" w:rsidR="00497E85" w:rsidRDefault="00497E85" w:rsidP="00441B6F">
      <w:pPr>
        <w:pStyle w:val="Body"/>
        <w:spacing w:after="0"/>
        <w:rPr>
          <w:rFonts w:ascii="Arial" w:hAnsi="Arial" w:cs="Arial"/>
        </w:rPr>
      </w:pPr>
    </w:p>
    <w:p w14:paraId="660A1C59" w14:textId="5B367265" w:rsidR="00524E58" w:rsidRPr="00DB0EB5" w:rsidRDefault="00DB0EB5" w:rsidP="00524E58">
      <w:pPr>
        <w:pStyle w:val="Body"/>
        <w:spacing w:after="0"/>
        <w:rPr>
          <w:rFonts w:ascii="Arial" w:hAnsi="Arial" w:cs="Arial"/>
          <w:b/>
          <w:bCs/>
          <w:lang w:val="en-AU"/>
        </w:rPr>
      </w:pPr>
      <w:r w:rsidRPr="00DB0EB5">
        <w:rPr>
          <w:rFonts w:ascii="Arial" w:hAnsi="Arial" w:cs="Arial"/>
          <w:b/>
          <w:bCs/>
          <w:lang w:val="en-AU"/>
        </w:rPr>
        <w:t>2</w:t>
      </w:r>
      <w:r w:rsidR="00524E58" w:rsidRPr="00524E58">
        <w:rPr>
          <w:rFonts w:ascii="Arial" w:hAnsi="Arial" w:cs="Arial"/>
          <w:b/>
          <w:bCs/>
          <w:lang w:val="en-AU"/>
        </w:rPr>
        <w:t>.</w:t>
      </w:r>
      <w:r w:rsidRPr="00DB0EB5">
        <w:rPr>
          <w:rFonts w:ascii="Arial" w:hAnsi="Arial" w:cs="Arial"/>
          <w:b/>
          <w:bCs/>
          <w:lang w:val="en-AU"/>
        </w:rPr>
        <w:t>3</w:t>
      </w:r>
      <w:r w:rsidR="00524E58" w:rsidRPr="00524E58">
        <w:rPr>
          <w:rFonts w:ascii="Arial" w:hAnsi="Arial" w:cs="Arial"/>
          <w:b/>
          <w:bCs/>
          <w:lang w:val="en-AU"/>
        </w:rPr>
        <w:t xml:space="preserve"> Signature Mapping</w:t>
      </w:r>
    </w:p>
    <w:p w14:paraId="0C51FF84" w14:textId="77777777" w:rsidR="00524E58" w:rsidRPr="00524E58" w:rsidRDefault="00524E58" w:rsidP="00524E58">
      <w:pPr>
        <w:pStyle w:val="Body"/>
        <w:spacing w:after="0"/>
        <w:rPr>
          <w:rFonts w:ascii="Arial" w:hAnsi="Arial" w:cs="Arial"/>
          <w:b/>
          <w:bCs/>
          <w:lang w:val="en-AU"/>
        </w:rPr>
      </w:pPr>
    </w:p>
    <w:p w14:paraId="2CEE617E" w14:textId="77777777" w:rsidR="00524E58" w:rsidRDefault="00524E58" w:rsidP="00524E58">
      <w:pPr>
        <w:pStyle w:val="Body"/>
        <w:spacing w:after="0"/>
        <w:rPr>
          <w:rFonts w:ascii="Arial" w:hAnsi="Arial" w:cs="Arial"/>
          <w:lang w:val="en-AU"/>
        </w:rPr>
      </w:pPr>
      <w:r w:rsidRPr="00524E58">
        <w:rPr>
          <w:rFonts w:ascii="Arial" w:hAnsi="Arial" w:cs="Arial"/>
          <w:lang w:val="en-AU"/>
        </w:rPr>
        <w:t xml:space="preserve">A key innovation was the creation of a Signature Map worksheet to track how often specific boundary-layer features appeared in the literature. The rationale was that repeated mention of certain signatures across unrelated fields could indicate convergent evidence for real </w:t>
      </w:r>
      <w:r w:rsidRPr="00524E58">
        <w:rPr>
          <w:rFonts w:ascii="Arial" w:hAnsi="Arial" w:cs="Arial"/>
          <w:lang w:val="en-AU"/>
        </w:rPr>
        <w:lastRenderedPageBreak/>
        <w:t>physical mechanisms. Five features were chosen based on consistent appearance in UAP reports and theoretical importance (Table 2). Each reference was coded “Yes” or “No” in these columns. Conditional formatting highlighted the results (green for Yes, red for No), instantly turning the sheet into a visual heatmap of evidence.</w:t>
      </w:r>
    </w:p>
    <w:p w14:paraId="3A9A4468" w14:textId="77777777" w:rsidR="00524E58" w:rsidRDefault="00524E58" w:rsidP="00524E58">
      <w:pPr>
        <w:pStyle w:val="Body"/>
        <w:spacing w:after="0"/>
        <w:rPr>
          <w:rFonts w:ascii="Arial" w:hAnsi="Arial" w:cs="Arial"/>
          <w:lang w:val="en-AU"/>
        </w:rPr>
      </w:pPr>
    </w:p>
    <w:p w14:paraId="3234C13A" w14:textId="77777777" w:rsidR="00524E58" w:rsidRPr="00524E58" w:rsidRDefault="00524E58" w:rsidP="00524E58">
      <w:pPr>
        <w:pStyle w:val="Body"/>
        <w:spacing w:after="0"/>
        <w:rPr>
          <w:rFonts w:ascii="Arial" w:hAnsi="Arial" w:cs="Arial"/>
          <w:lang w:val="en-AU"/>
        </w:rPr>
      </w:pPr>
    </w:p>
    <w:p w14:paraId="501EEC79" w14:textId="77777777" w:rsidR="00524E58" w:rsidRPr="00524E58" w:rsidRDefault="00524E58" w:rsidP="00524E58">
      <w:pPr>
        <w:pStyle w:val="Body"/>
        <w:spacing w:after="0"/>
        <w:rPr>
          <w:rFonts w:ascii="Arial" w:hAnsi="Arial" w:cs="Arial"/>
          <w:lang w:val="en-AU"/>
        </w:rPr>
      </w:pPr>
    </w:p>
    <w:p w14:paraId="4D62C5A8"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Table 2. Boundary-layer signatures coded for each reference.</w:t>
      </w:r>
    </w:p>
    <w:p w14:paraId="6145A6DB" w14:textId="680CA191" w:rsidR="00524E58" w:rsidRPr="00524E58" w:rsidRDefault="00524E58" w:rsidP="00524E58">
      <w:pPr>
        <w:pStyle w:val="Body"/>
        <w:spacing w:after="0"/>
        <w:rPr>
          <w:rFonts w:ascii="Arial" w:hAnsi="Arial" w:cs="Arial"/>
          <w:b/>
          <w:bCs/>
          <w:lang w:val="en-AU"/>
        </w:rPr>
      </w:pPr>
      <w:r w:rsidRPr="00524E58">
        <w:rPr>
          <w:rFonts w:ascii="Arial" w:hAnsi="Arial" w:cs="Arial"/>
          <w:b/>
          <w:bCs/>
          <w:noProof/>
          <w:lang w:val="en-AU"/>
        </w:rPr>
        <mc:AlternateContent>
          <mc:Choice Requires="wps">
            <w:drawing>
              <wp:anchor distT="0" distB="0" distL="114300" distR="114300" simplePos="0" relativeHeight="251670528" behindDoc="0" locked="0" layoutInCell="1" allowOverlap="1" wp14:anchorId="0F97D722" wp14:editId="55F0525C">
                <wp:simplePos x="0" y="0"/>
                <wp:positionH relativeFrom="column">
                  <wp:posOffset>17818</wp:posOffset>
                </wp:positionH>
                <wp:positionV relativeFrom="paragraph">
                  <wp:posOffset>127048</wp:posOffset>
                </wp:positionV>
                <wp:extent cx="5539562" cy="0"/>
                <wp:effectExtent l="0" t="0" r="0" b="0"/>
                <wp:wrapNone/>
                <wp:docPr id="929104720" name="Straight Connector 4"/>
                <wp:cNvGraphicFramePr/>
                <a:graphic xmlns:a="http://schemas.openxmlformats.org/drawingml/2006/main">
                  <a:graphicData uri="http://schemas.microsoft.com/office/word/2010/wordprocessingShape">
                    <wps:wsp>
                      <wps:cNvCnPr/>
                      <wps:spPr>
                        <a:xfrm>
                          <a:off x="0" y="0"/>
                          <a:ext cx="553956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6D49322"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pt,10pt" to="43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3364"/>
        <w:gridCol w:w="2637"/>
      </w:tblGrid>
      <w:tr w:rsidR="00524E58" w:rsidRPr="00524E58" w14:paraId="0B48468F" w14:textId="77777777" w:rsidTr="009E74BA">
        <w:trPr>
          <w:tblHeader/>
          <w:tblCellSpacing w:w="15" w:type="dxa"/>
        </w:trPr>
        <w:tc>
          <w:tcPr>
            <w:tcW w:w="0" w:type="auto"/>
            <w:hideMark/>
          </w:tcPr>
          <w:p w14:paraId="481EFDD1"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Signature</w:t>
            </w:r>
          </w:p>
        </w:tc>
        <w:tc>
          <w:tcPr>
            <w:tcW w:w="0" w:type="auto"/>
            <w:hideMark/>
          </w:tcPr>
          <w:p w14:paraId="67FC2818" w14:textId="479F13EA" w:rsidR="00524E58" w:rsidRPr="00524E58" w:rsidRDefault="00524E58" w:rsidP="00524E58">
            <w:pPr>
              <w:pStyle w:val="Body"/>
              <w:spacing w:after="0"/>
              <w:rPr>
                <w:rFonts w:ascii="Arial" w:hAnsi="Arial" w:cs="Arial"/>
                <w:b/>
                <w:bCs/>
                <w:lang w:val="en-AU"/>
              </w:rPr>
            </w:pPr>
            <w:r w:rsidRPr="00524E58">
              <w:rPr>
                <w:rFonts w:ascii="Arial" w:hAnsi="Arial" w:cs="Arial"/>
                <w:b/>
                <w:bCs/>
                <w:noProof/>
                <w:lang w:val="en-AU"/>
              </w:rPr>
              <mc:AlternateContent>
                <mc:Choice Requires="wps">
                  <w:drawing>
                    <wp:anchor distT="0" distB="0" distL="114300" distR="114300" simplePos="0" relativeHeight="251671552" behindDoc="0" locked="0" layoutInCell="1" allowOverlap="1" wp14:anchorId="3537D672" wp14:editId="47FA6F67">
                      <wp:simplePos x="0" y="0"/>
                      <wp:positionH relativeFrom="column">
                        <wp:posOffset>-1410335</wp:posOffset>
                      </wp:positionH>
                      <wp:positionV relativeFrom="paragraph">
                        <wp:posOffset>146760</wp:posOffset>
                      </wp:positionV>
                      <wp:extent cx="5539105" cy="0"/>
                      <wp:effectExtent l="0" t="0" r="0" b="0"/>
                      <wp:wrapNone/>
                      <wp:docPr id="649579734" name="Straight Connector 5"/>
                      <wp:cNvGraphicFramePr/>
                      <a:graphic xmlns:a="http://schemas.openxmlformats.org/drawingml/2006/main">
                        <a:graphicData uri="http://schemas.microsoft.com/office/word/2010/wordprocessingShape">
                          <wps:wsp>
                            <wps:cNvCnPr/>
                            <wps:spPr>
                              <a:xfrm>
                                <a:off x="0" y="0"/>
                                <a:ext cx="553910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2AE7FF"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1.05pt,11.55pt" to="32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" strokecolor="black [3200]">
                      <v:shadow on="t" color="black" opacity="24903f" origin=",.5" offset="0,.55556mm"/>
                    </v:line>
                  </w:pict>
                </mc:Fallback>
              </mc:AlternateContent>
            </w:r>
            <w:r w:rsidRPr="00524E58">
              <w:rPr>
                <w:rFonts w:ascii="Arial" w:hAnsi="Arial" w:cs="Arial"/>
                <w:b/>
                <w:bCs/>
                <w:lang w:val="en-AU"/>
              </w:rPr>
              <w:t>Definition</w:t>
            </w:r>
          </w:p>
        </w:tc>
        <w:tc>
          <w:tcPr>
            <w:tcW w:w="0" w:type="auto"/>
            <w:hideMark/>
          </w:tcPr>
          <w:p w14:paraId="4F9B1382" w14:textId="77777777" w:rsidR="00524E58" w:rsidRPr="00524E58" w:rsidRDefault="00524E58" w:rsidP="00524E58">
            <w:pPr>
              <w:pStyle w:val="Body"/>
              <w:spacing w:after="0"/>
              <w:rPr>
                <w:rFonts w:ascii="Arial" w:hAnsi="Arial" w:cs="Arial"/>
                <w:b/>
                <w:bCs/>
                <w:lang w:val="en-AU"/>
              </w:rPr>
            </w:pPr>
            <w:r w:rsidRPr="00524E58">
              <w:rPr>
                <w:rFonts w:ascii="Arial" w:hAnsi="Arial" w:cs="Arial"/>
                <w:b/>
                <w:bCs/>
                <w:lang w:val="en-AU"/>
              </w:rPr>
              <w:t>Example of “Yes” coding</w:t>
            </w:r>
          </w:p>
        </w:tc>
      </w:tr>
      <w:tr w:rsidR="00524E58" w:rsidRPr="00524E58" w14:paraId="2910D72F" w14:textId="77777777" w:rsidTr="009E74BA">
        <w:trPr>
          <w:tblCellSpacing w:w="15" w:type="dxa"/>
        </w:trPr>
        <w:tc>
          <w:tcPr>
            <w:tcW w:w="0" w:type="auto"/>
            <w:hideMark/>
          </w:tcPr>
          <w:p w14:paraId="6EC797BD"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Halos/Filaments</w:t>
            </w:r>
          </w:p>
        </w:tc>
        <w:tc>
          <w:tcPr>
            <w:tcW w:w="0" w:type="auto"/>
            <w:hideMark/>
          </w:tcPr>
          <w:p w14:paraId="7A152BE9" w14:textId="73BD6876"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Luminous halos, coronae, or filaments</w:t>
            </w:r>
          </w:p>
        </w:tc>
        <w:tc>
          <w:tcPr>
            <w:tcW w:w="0" w:type="auto"/>
            <w:hideMark/>
          </w:tcPr>
          <w:p w14:paraId="19428C6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Plasma/ball lightning studies</w:t>
            </w:r>
          </w:p>
        </w:tc>
      </w:tr>
      <w:tr w:rsidR="00524E58" w:rsidRPr="00524E58" w14:paraId="0BE4A93E" w14:textId="77777777" w:rsidTr="009E74BA">
        <w:trPr>
          <w:tblCellSpacing w:w="15" w:type="dxa"/>
        </w:trPr>
        <w:tc>
          <w:tcPr>
            <w:tcW w:w="0" w:type="auto"/>
            <w:hideMark/>
          </w:tcPr>
          <w:p w14:paraId="061BED69"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Pane-like Laminar Shells</w:t>
            </w:r>
          </w:p>
        </w:tc>
        <w:tc>
          <w:tcPr>
            <w:tcW w:w="0" w:type="auto"/>
            <w:hideMark/>
          </w:tcPr>
          <w:p w14:paraId="786F859F"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Layered sheaths suppressing turbulence</w:t>
            </w:r>
          </w:p>
        </w:tc>
        <w:tc>
          <w:tcPr>
            <w:tcW w:w="0" w:type="auto"/>
            <w:hideMark/>
          </w:tcPr>
          <w:p w14:paraId="6966129B"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Cloaking/metamaterials optics</w:t>
            </w:r>
          </w:p>
        </w:tc>
      </w:tr>
      <w:tr w:rsidR="00524E58" w:rsidRPr="00524E58" w14:paraId="0E573856" w14:textId="77777777" w:rsidTr="009E74BA">
        <w:trPr>
          <w:tblCellSpacing w:w="15" w:type="dxa"/>
        </w:trPr>
        <w:tc>
          <w:tcPr>
            <w:tcW w:w="0" w:type="auto"/>
            <w:hideMark/>
          </w:tcPr>
          <w:p w14:paraId="5E3D565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Trans-medium (No Wake)</w:t>
            </w:r>
          </w:p>
        </w:tc>
        <w:tc>
          <w:tcPr>
            <w:tcW w:w="0" w:type="auto"/>
            <w:hideMark/>
          </w:tcPr>
          <w:p w14:paraId="7225FE8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Entry/exit without splash, wake, or boom</w:t>
            </w:r>
          </w:p>
        </w:tc>
        <w:tc>
          <w:tcPr>
            <w:tcW w:w="0" w:type="auto"/>
            <w:hideMark/>
          </w:tcPr>
          <w:p w14:paraId="36A2605A"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High-speed propulsion studies</w:t>
            </w:r>
          </w:p>
        </w:tc>
      </w:tr>
      <w:tr w:rsidR="00524E58" w:rsidRPr="00524E58" w14:paraId="792D2466" w14:textId="77777777" w:rsidTr="009E74BA">
        <w:trPr>
          <w:tblCellSpacing w:w="15" w:type="dxa"/>
        </w:trPr>
        <w:tc>
          <w:tcPr>
            <w:tcW w:w="0" w:type="auto"/>
            <w:hideMark/>
          </w:tcPr>
          <w:p w14:paraId="4318F45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Localized Lensing/Cloaking</w:t>
            </w:r>
          </w:p>
        </w:tc>
        <w:tc>
          <w:tcPr>
            <w:tcW w:w="0" w:type="auto"/>
            <w:hideMark/>
          </w:tcPr>
          <w:p w14:paraId="2F6270D1"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Refractive warping, invisibility, optical suppression</w:t>
            </w:r>
          </w:p>
        </w:tc>
        <w:tc>
          <w:tcPr>
            <w:tcW w:w="0" w:type="auto"/>
            <w:hideMark/>
          </w:tcPr>
          <w:p w14:paraId="6E8ED924"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Transformation optics papers</w:t>
            </w:r>
          </w:p>
        </w:tc>
      </w:tr>
      <w:tr w:rsidR="00524E58" w:rsidRPr="00524E58" w14:paraId="4FD0EDFA" w14:textId="77777777" w:rsidTr="009E74BA">
        <w:trPr>
          <w:tblCellSpacing w:w="15" w:type="dxa"/>
        </w:trPr>
        <w:tc>
          <w:tcPr>
            <w:tcW w:w="0" w:type="auto"/>
            <w:hideMark/>
          </w:tcPr>
          <w:p w14:paraId="53DA53AA"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Symmetric Axial Emissions</w:t>
            </w:r>
          </w:p>
        </w:tc>
        <w:tc>
          <w:tcPr>
            <w:tcW w:w="0" w:type="auto"/>
            <w:hideMark/>
          </w:tcPr>
          <w:p w14:paraId="79C88F46"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Polar-aligned emissions</w:t>
            </w:r>
          </w:p>
        </w:tc>
        <w:tc>
          <w:tcPr>
            <w:tcW w:w="0" w:type="auto"/>
            <w:hideMark/>
          </w:tcPr>
          <w:p w14:paraId="1E2D6D90" w14:textId="77777777" w:rsidR="00524E58" w:rsidRPr="00524E58" w:rsidRDefault="00524E58" w:rsidP="00524E58">
            <w:pPr>
              <w:pStyle w:val="Body"/>
              <w:spacing w:after="0"/>
              <w:jc w:val="left"/>
              <w:rPr>
                <w:rFonts w:ascii="Arial" w:hAnsi="Arial" w:cs="Arial"/>
                <w:lang w:val="en-AU"/>
              </w:rPr>
            </w:pPr>
            <w:r w:rsidRPr="00524E58">
              <w:rPr>
                <w:rFonts w:ascii="Arial" w:hAnsi="Arial" w:cs="Arial"/>
                <w:lang w:val="en-AU"/>
              </w:rPr>
              <w:t>Pulsed EM propulsion concepts</w:t>
            </w:r>
          </w:p>
        </w:tc>
      </w:tr>
    </w:tbl>
    <w:p w14:paraId="1D46604C" w14:textId="4D2BE8F4" w:rsidR="00524E58" w:rsidRPr="00524E58" w:rsidRDefault="00524E58" w:rsidP="00524E58">
      <w:pPr>
        <w:pStyle w:val="Body"/>
        <w:spacing w:after="0"/>
        <w:rPr>
          <w:rFonts w:ascii="Arial" w:hAnsi="Arial" w:cs="Arial"/>
          <w:lang w:val="en-AU"/>
        </w:rPr>
      </w:pPr>
      <w:r w:rsidRPr="00524E58">
        <w:rPr>
          <w:rFonts w:ascii="Arial" w:hAnsi="Arial" w:cs="Arial"/>
          <w:b/>
          <w:bCs/>
          <w:noProof/>
          <w:lang w:val="en-AU"/>
        </w:rPr>
        <mc:AlternateContent>
          <mc:Choice Requires="wps">
            <w:drawing>
              <wp:anchor distT="0" distB="0" distL="114300" distR="114300" simplePos="0" relativeHeight="251672576" behindDoc="0" locked="0" layoutInCell="1" allowOverlap="1" wp14:anchorId="006A678D" wp14:editId="08A27EDD">
                <wp:simplePos x="0" y="0"/>
                <wp:positionH relativeFrom="column">
                  <wp:posOffset>10160</wp:posOffset>
                </wp:positionH>
                <wp:positionV relativeFrom="paragraph">
                  <wp:posOffset>23551</wp:posOffset>
                </wp:positionV>
                <wp:extent cx="5443869" cy="0"/>
                <wp:effectExtent l="0" t="0" r="0" b="0"/>
                <wp:wrapNone/>
                <wp:docPr id="1845843361" name="Straight Connector 6"/>
                <wp:cNvGraphicFramePr/>
                <a:graphic xmlns:a="http://schemas.openxmlformats.org/drawingml/2006/main">
                  <a:graphicData uri="http://schemas.microsoft.com/office/word/2010/wordprocessingShape">
                    <wps:wsp>
                      <wps:cNvCnPr/>
                      <wps:spPr>
                        <a:xfrm>
                          <a:off x="0" y="0"/>
                          <a:ext cx="5443869"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FA4C509"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pt,1.85pt" to="42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" strokecolor="black [3200]">
                <v:shadow on="t" color="black" opacity="24903f" origin=",.5" offset="0,.55556mm"/>
              </v:line>
            </w:pict>
          </mc:Fallback>
        </mc:AlternateContent>
      </w:r>
    </w:p>
    <w:p w14:paraId="725A3EF5" w14:textId="3F4C9E01" w:rsidR="00524E58" w:rsidRDefault="00524E58" w:rsidP="00524E58">
      <w:pPr>
        <w:pStyle w:val="Body"/>
        <w:spacing w:after="0"/>
        <w:rPr>
          <w:rFonts w:ascii="Arial" w:hAnsi="Arial" w:cs="Arial"/>
          <w:b/>
          <w:bCs/>
          <w:lang w:val="en-AU"/>
        </w:rPr>
      </w:pPr>
    </w:p>
    <w:p w14:paraId="02C1CEA8" w14:textId="7C46394D" w:rsidR="00524E58" w:rsidRDefault="00524E58" w:rsidP="00524E58">
      <w:pPr>
        <w:pStyle w:val="Body"/>
        <w:spacing w:after="0"/>
        <w:rPr>
          <w:rFonts w:ascii="Arial" w:hAnsi="Arial" w:cs="Arial"/>
          <w:b/>
          <w:bCs/>
          <w:lang w:val="en-AU"/>
        </w:rPr>
      </w:pPr>
    </w:p>
    <w:p w14:paraId="2FE8FA3C" w14:textId="3D194062" w:rsidR="00524E58" w:rsidRPr="00524E58" w:rsidRDefault="00DB0EB5" w:rsidP="00524E58">
      <w:pPr>
        <w:pStyle w:val="Body"/>
        <w:spacing w:after="0"/>
        <w:rPr>
          <w:rFonts w:ascii="Arial" w:hAnsi="Arial" w:cs="Arial"/>
          <w:b/>
          <w:bCs/>
          <w:lang w:val="en-AU"/>
        </w:rPr>
      </w:pPr>
      <w:r w:rsidRPr="00DB0EB5">
        <w:rPr>
          <w:rFonts w:ascii="Arial" w:hAnsi="Arial" w:cs="Arial"/>
          <w:b/>
          <w:bCs/>
          <w:lang w:val="en-AU"/>
        </w:rPr>
        <w:t>2</w:t>
      </w:r>
      <w:r w:rsidR="00524E58" w:rsidRPr="00524E58">
        <w:rPr>
          <w:rFonts w:ascii="Arial" w:hAnsi="Arial" w:cs="Arial"/>
          <w:b/>
          <w:bCs/>
          <w:lang w:val="en-AU"/>
        </w:rPr>
        <w:t>.</w:t>
      </w:r>
      <w:r w:rsidRPr="00DB0EB5">
        <w:rPr>
          <w:rFonts w:ascii="Arial" w:hAnsi="Arial" w:cs="Arial"/>
          <w:b/>
          <w:bCs/>
          <w:lang w:val="en-AU"/>
        </w:rPr>
        <w:t>4</w:t>
      </w:r>
      <w:r w:rsidR="00524E58" w:rsidRPr="00524E58">
        <w:rPr>
          <w:rFonts w:ascii="Arial" w:hAnsi="Arial" w:cs="Arial"/>
          <w:b/>
          <w:bCs/>
          <w:lang w:val="en-AU"/>
        </w:rPr>
        <w:t xml:space="preserve"> Thematic Dashboard and Scoring</w:t>
      </w:r>
    </w:p>
    <w:p w14:paraId="1500E509" w14:textId="0BEA7E19" w:rsidR="00524E58" w:rsidRDefault="00524E58" w:rsidP="00524E58">
      <w:pPr>
        <w:pStyle w:val="Body"/>
        <w:spacing w:after="0"/>
        <w:rPr>
          <w:rFonts w:ascii="Arial" w:hAnsi="Arial" w:cs="Arial"/>
          <w:lang w:val="en-AU"/>
        </w:rPr>
      </w:pPr>
    </w:p>
    <w:p w14:paraId="17D4933C" w14:textId="02366D3D" w:rsidR="00524E58" w:rsidRDefault="00524E58" w:rsidP="00524E58">
      <w:pPr>
        <w:pStyle w:val="Body"/>
        <w:spacing w:after="0"/>
        <w:rPr>
          <w:rFonts w:ascii="Arial" w:hAnsi="Arial" w:cs="Arial"/>
          <w:lang w:val="en-AU"/>
        </w:rPr>
      </w:pPr>
      <w:r w:rsidRPr="00524E58">
        <w:rPr>
          <w:rFonts w:ascii="Arial" w:hAnsi="Arial" w:cs="Arial"/>
          <w:lang w:val="en-AU"/>
        </w:rPr>
        <w:t>The Dashboard sheet transformed the binary codes into aggregated statistics. By using COUNTIFS, the workbook produced a Theme × Signature matrix showing how many references in each theme addressed each boundary-layer feature. This matrix was essential for identifying thematic strengths and gaps. For example, plasma studies overwhelmingly populated the “Halos/Filaments” column, while optics studies dominated “Localized Lensing/Cloaking.” Row totals allowed cross-theme comparisons, while column totals showed which signatures were most frequent overall. A bar chart was generated automatically, presenting these distributions visually.</w:t>
      </w:r>
    </w:p>
    <w:p w14:paraId="3FD8A346" w14:textId="77777777" w:rsidR="00524E58" w:rsidRPr="00524E58" w:rsidRDefault="00524E58" w:rsidP="00524E58">
      <w:pPr>
        <w:pStyle w:val="Body"/>
        <w:spacing w:after="0"/>
        <w:rPr>
          <w:rFonts w:ascii="Arial" w:hAnsi="Arial" w:cs="Arial"/>
          <w:lang w:val="en-AU"/>
        </w:rPr>
      </w:pPr>
    </w:p>
    <w:p w14:paraId="51212A8E" w14:textId="77777777" w:rsidR="00524E58" w:rsidRPr="00524E58" w:rsidRDefault="00524E58" w:rsidP="00524E58">
      <w:pPr>
        <w:pStyle w:val="Body"/>
        <w:spacing w:after="0"/>
        <w:rPr>
          <w:rFonts w:ascii="Arial" w:hAnsi="Arial" w:cs="Arial"/>
          <w:lang w:val="en-AU"/>
        </w:rPr>
      </w:pPr>
      <w:r w:rsidRPr="00524E58">
        <w:rPr>
          <w:rFonts w:ascii="Arial" w:hAnsi="Arial" w:cs="Arial"/>
          <w:lang w:val="en-AU"/>
        </w:rPr>
        <w:t>To move beyond binary classification, a scoring system was introduced. The purpose was to grade the strength of evidence for both boundary-layer dynamics and SRMS theory concepts. Each reference was given two scores on a 1–5 scale. The scoring rubric (Table 3) was designed to capture both directness and quality of linkage.</w:t>
      </w:r>
    </w:p>
    <w:p w14:paraId="180093C6" w14:textId="77777777" w:rsidR="00497E85" w:rsidRDefault="00497E85" w:rsidP="00441B6F">
      <w:pPr>
        <w:pStyle w:val="Body"/>
        <w:spacing w:after="0"/>
        <w:rPr>
          <w:rFonts w:ascii="Arial" w:hAnsi="Arial" w:cs="Arial"/>
        </w:rPr>
      </w:pPr>
    </w:p>
    <w:p w14:paraId="3EA734B0" w14:textId="77777777" w:rsidR="00524E58" w:rsidRPr="00524E58" w:rsidRDefault="00524E58" w:rsidP="00524E58">
      <w:pPr>
        <w:pStyle w:val="Body"/>
        <w:rPr>
          <w:rFonts w:ascii="Arial" w:hAnsi="Arial" w:cs="Arial"/>
          <w:lang w:val="en-AU"/>
        </w:rPr>
      </w:pPr>
      <w:r w:rsidRPr="00524E58">
        <w:rPr>
          <w:rFonts w:ascii="Arial" w:hAnsi="Arial" w:cs="Arial"/>
          <w:lang w:val="en-AU"/>
        </w:rPr>
        <w:t xml:space="preserve">Scores were pre-populated using expert judgment from the expanded tables. For example, Hall and Covington (2025) scored 5/5, while </w:t>
      </w:r>
      <w:proofErr w:type="spellStart"/>
      <w:r w:rsidRPr="00524E58">
        <w:rPr>
          <w:rFonts w:ascii="Arial" w:hAnsi="Arial" w:cs="Arial"/>
          <w:lang w:val="en-AU"/>
        </w:rPr>
        <w:t>Tajmar</w:t>
      </w:r>
      <w:proofErr w:type="spellEnd"/>
      <w:r w:rsidRPr="00524E58">
        <w:rPr>
          <w:rFonts w:ascii="Arial" w:hAnsi="Arial" w:cs="Arial"/>
          <w:lang w:val="en-AU"/>
        </w:rPr>
        <w:t xml:space="preserve"> et al. (2024) scored 1/1. Heatmaps in Excel highlighted high scores in green and low scores in red. The Dashboard Scoring sheet allowed meta-analysis of the scoring data. Its design provided multiple perspectives:</w:t>
      </w:r>
    </w:p>
    <w:p w14:paraId="383EBBF8"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Theme-level averages for Boundary and SRMS, highlighting which themes were most strongly linked.</w:t>
      </w:r>
    </w:p>
    <w:p w14:paraId="59BDDDCD"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Δ (SRMS − Boundary) values, showing whether a theme leaned more toward SRMS theory or boundary-layer phenomena.</w:t>
      </w:r>
    </w:p>
    <w:p w14:paraId="63F2F0F7" w14:textId="77777777" w:rsidR="00524E58" w:rsidRP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Weighted averages, enabling users to adjust emphasis between Boundary and SRMS with editable weight cells (default 1:1).</w:t>
      </w:r>
    </w:p>
    <w:p w14:paraId="7A13185B" w14:textId="77777777" w:rsidR="00524E58" w:rsidRDefault="00524E58" w:rsidP="00DA63E0">
      <w:pPr>
        <w:pStyle w:val="Body"/>
        <w:numPr>
          <w:ilvl w:val="0"/>
          <w:numId w:val="35"/>
        </w:numPr>
        <w:spacing w:after="0"/>
        <w:rPr>
          <w:rFonts w:ascii="Arial" w:hAnsi="Arial" w:cs="Arial"/>
          <w:lang w:val="en-AU"/>
        </w:rPr>
      </w:pPr>
      <w:r w:rsidRPr="00524E58">
        <w:rPr>
          <w:rFonts w:ascii="Arial" w:hAnsi="Arial" w:cs="Arial"/>
          <w:lang w:val="en-AU"/>
        </w:rPr>
        <w:t>A 5 × 5 co-occurrence matrix showing how many references fell into each pair of scores.</w:t>
      </w:r>
    </w:p>
    <w:p w14:paraId="3A2F5AC0" w14:textId="77777777" w:rsidR="00DA63E0" w:rsidRPr="00524E58" w:rsidRDefault="00DA63E0" w:rsidP="00DA63E0">
      <w:pPr>
        <w:pStyle w:val="Body"/>
        <w:spacing w:after="0"/>
        <w:rPr>
          <w:rFonts w:ascii="Arial" w:hAnsi="Arial" w:cs="Arial"/>
          <w:lang w:val="en-AU"/>
        </w:rPr>
      </w:pPr>
    </w:p>
    <w:p w14:paraId="41588EEA" w14:textId="77777777" w:rsidR="00524E58" w:rsidRPr="00524E58" w:rsidRDefault="00524E58" w:rsidP="00524E58">
      <w:pPr>
        <w:pStyle w:val="Body"/>
        <w:rPr>
          <w:rFonts w:ascii="Arial" w:hAnsi="Arial" w:cs="Arial"/>
          <w:lang w:val="en-AU"/>
        </w:rPr>
      </w:pPr>
      <w:r w:rsidRPr="00524E58">
        <w:rPr>
          <w:rFonts w:ascii="Arial" w:hAnsi="Arial" w:cs="Arial"/>
          <w:lang w:val="en-AU"/>
        </w:rPr>
        <w:t>Conditional formatting highlighted dense clusters in green. For example, many plasma references clustered around Boundary = 3, SRMS = 2–3, while metamaterial papers clustered in Boundary = 4, SRMS = 4–5.</w:t>
      </w:r>
    </w:p>
    <w:p w14:paraId="62B9183D" w14:textId="77777777" w:rsidR="00524E58" w:rsidRDefault="00524E58" w:rsidP="00441B6F">
      <w:pPr>
        <w:pStyle w:val="Body"/>
        <w:spacing w:after="0"/>
        <w:rPr>
          <w:rFonts w:ascii="Arial" w:hAnsi="Arial" w:cs="Arial"/>
        </w:rPr>
      </w:pPr>
    </w:p>
    <w:p w14:paraId="29E6FD5E" w14:textId="77777777" w:rsidR="00524E58" w:rsidRDefault="00524E58" w:rsidP="00441B6F">
      <w:pPr>
        <w:pStyle w:val="Body"/>
        <w:spacing w:after="0"/>
        <w:rPr>
          <w:rFonts w:ascii="Arial" w:hAnsi="Arial" w:cs="Arial"/>
        </w:rPr>
      </w:pPr>
    </w:p>
    <w:p w14:paraId="69AADA67"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Table 3. Scoring rubric for Boundary vs SRMS link strength.</w:t>
      </w:r>
    </w:p>
    <w:p w14:paraId="5A897E7A" w14:textId="27B576F5" w:rsidR="00497E85" w:rsidRPr="00497E85" w:rsidRDefault="00497E85" w:rsidP="00497E85">
      <w:pPr>
        <w:pStyle w:val="Body"/>
        <w:spacing w:after="0"/>
        <w:rPr>
          <w:rFonts w:ascii="Arial" w:hAnsi="Arial" w:cs="Arial"/>
          <w:lang w:val="en-AU"/>
        </w:rPr>
      </w:pPr>
      <w:r w:rsidRPr="00497E85">
        <w:rPr>
          <w:rFonts w:ascii="Arial" w:hAnsi="Arial" w:cs="Arial"/>
          <w:noProof/>
          <w:lang w:val="en-AU"/>
        </w:rPr>
        <mc:AlternateContent>
          <mc:Choice Requires="wps">
            <w:drawing>
              <wp:anchor distT="0" distB="0" distL="114300" distR="114300" simplePos="0" relativeHeight="251665408" behindDoc="0" locked="0" layoutInCell="1" allowOverlap="1" wp14:anchorId="112820A7" wp14:editId="660D9FE6">
                <wp:simplePos x="0" y="0"/>
                <wp:positionH relativeFrom="column">
                  <wp:posOffset>-96165</wp:posOffset>
                </wp:positionH>
                <wp:positionV relativeFrom="paragraph">
                  <wp:posOffset>1981127</wp:posOffset>
                </wp:positionV>
                <wp:extent cx="5655945" cy="0"/>
                <wp:effectExtent l="0" t="0" r="0" b="0"/>
                <wp:wrapNone/>
                <wp:docPr id="2031150190" name="Straight Connector 9"/>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9F6A16"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5pt,156pt" to="437.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" strokecolor="black [3200]">
                <v:shadow on="t" color="black" opacity="24903f" origin=",.5" offset="0,.55556mm"/>
              </v:line>
            </w:pict>
          </mc:Fallback>
        </mc:AlternateContent>
      </w:r>
      <w:r w:rsidRPr="00497E85">
        <w:rPr>
          <w:rFonts w:ascii="Arial" w:hAnsi="Arial" w:cs="Arial"/>
          <w:noProof/>
          <w:lang w:val="en-AU"/>
        </w:rPr>
        <mc:AlternateContent>
          <mc:Choice Requires="wps">
            <w:drawing>
              <wp:anchor distT="0" distB="0" distL="114300" distR="114300" simplePos="0" relativeHeight="251663360" behindDoc="0" locked="0" layoutInCell="1" allowOverlap="1" wp14:anchorId="36F57756" wp14:editId="3C420A69">
                <wp:simplePos x="0" y="0"/>
                <wp:positionH relativeFrom="column">
                  <wp:posOffset>10160</wp:posOffset>
                </wp:positionH>
                <wp:positionV relativeFrom="paragraph">
                  <wp:posOffset>162560</wp:posOffset>
                </wp:positionV>
                <wp:extent cx="5655945" cy="0"/>
                <wp:effectExtent l="0" t="0" r="0" b="0"/>
                <wp:wrapNone/>
                <wp:docPr id="590638690" name="Straight Connector 7"/>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DE2C78"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12.8pt" to="446.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" strokecolor="black [3200]">
                <v:shadow on="t" color="black" opacity="24903f" origin=",.5" offset="0,.55556mm"/>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3823"/>
        <w:gridCol w:w="3754"/>
      </w:tblGrid>
      <w:tr w:rsidR="00497E85" w:rsidRPr="00497E85" w14:paraId="316DAA73" w14:textId="77777777" w:rsidTr="009E74BA">
        <w:trPr>
          <w:tblHeader/>
          <w:tblCellSpacing w:w="15" w:type="dxa"/>
        </w:trPr>
        <w:tc>
          <w:tcPr>
            <w:tcW w:w="0" w:type="auto"/>
            <w:hideMark/>
          </w:tcPr>
          <w:p w14:paraId="67C5FF16"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Score</w:t>
            </w:r>
          </w:p>
        </w:tc>
        <w:tc>
          <w:tcPr>
            <w:tcW w:w="0" w:type="auto"/>
            <w:hideMark/>
          </w:tcPr>
          <w:p w14:paraId="31D7D6FE" w14:textId="4EC4E0A9" w:rsidR="00497E85" w:rsidRPr="00497E85" w:rsidRDefault="00497E85" w:rsidP="00497E85">
            <w:pPr>
              <w:pStyle w:val="Body"/>
              <w:spacing w:after="0"/>
              <w:rPr>
                <w:rFonts w:ascii="Arial" w:hAnsi="Arial" w:cs="Arial"/>
                <w:b/>
                <w:bCs/>
                <w:lang w:val="en-AU"/>
              </w:rPr>
            </w:pPr>
            <w:r w:rsidRPr="00497E85">
              <w:rPr>
                <w:rFonts w:ascii="Arial" w:hAnsi="Arial" w:cs="Arial"/>
                <w:noProof/>
                <w:lang w:val="en-AU"/>
              </w:rPr>
              <mc:AlternateContent>
                <mc:Choice Requires="wps">
                  <w:drawing>
                    <wp:anchor distT="0" distB="0" distL="114300" distR="114300" simplePos="0" relativeHeight="251664384" behindDoc="0" locked="0" layoutInCell="1" allowOverlap="1" wp14:anchorId="09926E78" wp14:editId="566FFFB0">
                      <wp:simplePos x="0" y="0"/>
                      <wp:positionH relativeFrom="column">
                        <wp:posOffset>-409575</wp:posOffset>
                      </wp:positionH>
                      <wp:positionV relativeFrom="paragraph">
                        <wp:posOffset>147394</wp:posOffset>
                      </wp:positionV>
                      <wp:extent cx="5655945" cy="0"/>
                      <wp:effectExtent l="0" t="0" r="0" b="0"/>
                      <wp:wrapNone/>
                      <wp:docPr id="1243186286" name="Straight Connector 8"/>
                      <wp:cNvGraphicFramePr/>
                      <a:graphic xmlns:a="http://schemas.openxmlformats.org/drawingml/2006/main">
                        <a:graphicData uri="http://schemas.microsoft.com/office/word/2010/wordprocessingShape">
                          <wps:wsp>
                            <wps:cNvCnPr/>
                            <wps:spPr>
                              <a:xfrm>
                                <a:off x="0" y="0"/>
                                <a:ext cx="565594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9661CA"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25pt,11.6pt" to="41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" strokecolor="black [3200]">
                      <v:shadow on="t" color="black" opacity="24903f" origin=",.5" offset="0,.55556mm"/>
                    </v:line>
                  </w:pict>
                </mc:Fallback>
              </mc:AlternateContent>
            </w:r>
            <w:r w:rsidRPr="00497E85">
              <w:rPr>
                <w:rFonts w:ascii="Arial" w:hAnsi="Arial" w:cs="Arial"/>
                <w:b/>
                <w:bCs/>
                <w:lang w:val="en-AU"/>
              </w:rPr>
              <w:t>Boundary Definition</w:t>
            </w:r>
          </w:p>
        </w:tc>
        <w:tc>
          <w:tcPr>
            <w:tcW w:w="0" w:type="auto"/>
            <w:hideMark/>
          </w:tcPr>
          <w:p w14:paraId="405FAC9C" w14:textId="77777777" w:rsidR="00497E85" w:rsidRPr="00497E85" w:rsidRDefault="00497E85" w:rsidP="00497E85">
            <w:pPr>
              <w:pStyle w:val="Body"/>
              <w:spacing w:after="0"/>
              <w:rPr>
                <w:rFonts w:ascii="Arial" w:hAnsi="Arial" w:cs="Arial"/>
                <w:b/>
                <w:bCs/>
                <w:lang w:val="en-AU"/>
              </w:rPr>
            </w:pPr>
            <w:r w:rsidRPr="00497E85">
              <w:rPr>
                <w:rFonts w:ascii="Arial" w:hAnsi="Arial" w:cs="Arial"/>
                <w:b/>
                <w:bCs/>
                <w:lang w:val="en-AU"/>
              </w:rPr>
              <w:t>SRMS Definition</w:t>
            </w:r>
          </w:p>
        </w:tc>
      </w:tr>
      <w:tr w:rsidR="00497E85" w:rsidRPr="00497E85" w14:paraId="4E0D923D" w14:textId="77777777" w:rsidTr="009E74BA">
        <w:trPr>
          <w:tblCellSpacing w:w="15" w:type="dxa"/>
        </w:trPr>
        <w:tc>
          <w:tcPr>
            <w:tcW w:w="0" w:type="auto"/>
            <w:hideMark/>
          </w:tcPr>
          <w:p w14:paraId="5730C615"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5</w:t>
            </w:r>
          </w:p>
        </w:tc>
        <w:tc>
          <w:tcPr>
            <w:tcW w:w="0" w:type="auto"/>
            <w:hideMark/>
          </w:tcPr>
          <w:p w14:paraId="052BF856" w14:textId="119D94E3"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Direct and central evidence (pane-layer suppression, trans-medium transitions)</w:t>
            </w:r>
          </w:p>
        </w:tc>
        <w:tc>
          <w:tcPr>
            <w:tcW w:w="0" w:type="auto"/>
            <w:hideMark/>
          </w:tcPr>
          <w:p w14:paraId="02E2B384"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Direct resonance model (Unified Scalar Resonance, SRMS related papers)</w:t>
            </w:r>
          </w:p>
        </w:tc>
      </w:tr>
      <w:tr w:rsidR="00497E85" w:rsidRPr="00497E85" w14:paraId="529B6BBD" w14:textId="77777777" w:rsidTr="009E74BA">
        <w:trPr>
          <w:tblCellSpacing w:w="15" w:type="dxa"/>
        </w:trPr>
        <w:tc>
          <w:tcPr>
            <w:tcW w:w="0" w:type="auto"/>
            <w:hideMark/>
          </w:tcPr>
          <w:p w14:paraId="79B00C58"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4</w:t>
            </w:r>
          </w:p>
        </w:tc>
        <w:tc>
          <w:tcPr>
            <w:tcW w:w="0" w:type="auto"/>
            <w:hideMark/>
          </w:tcPr>
          <w:p w14:paraId="71D6892C"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Strong conceptual link (cloaking, inertia-suppression analogies)</w:t>
            </w:r>
          </w:p>
        </w:tc>
        <w:tc>
          <w:tcPr>
            <w:tcW w:w="0" w:type="auto"/>
            <w:hideMark/>
          </w:tcPr>
          <w:p w14:paraId="4E594AE7"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Strong support (cloaking, field drives, metamaterials)</w:t>
            </w:r>
          </w:p>
        </w:tc>
      </w:tr>
      <w:tr w:rsidR="00497E85" w:rsidRPr="00497E85" w14:paraId="124F8CA5" w14:textId="77777777" w:rsidTr="009E74BA">
        <w:trPr>
          <w:tblCellSpacing w:w="15" w:type="dxa"/>
        </w:trPr>
        <w:tc>
          <w:tcPr>
            <w:tcW w:w="0" w:type="auto"/>
            <w:hideMark/>
          </w:tcPr>
          <w:p w14:paraId="2F811A1D"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3</w:t>
            </w:r>
          </w:p>
        </w:tc>
        <w:tc>
          <w:tcPr>
            <w:tcW w:w="0" w:type="auto"/>
            <w:hideMark/>
          </w:tcPr>
          <w:p w14:paraId="06D385F5"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Indirect or moderate link (performance analyses, anomalies)</w:t>
            </w:r>
          </w:p>
        </w:tc>
        <w:tc>
          <w:tcPr>
            <w:tcW w:w="0" w:type="auto"/>
            <w:hideMark/>
          </w:tcPr>
          <w:p w14:paraId="7BC6BD0D"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Indirect link (general propulsion, EM–gravity work)</w:t>
            </w:r>
          </w:p>
        </w:tc>
      </w:tr>
      <w:tr w:rsidR="00497E85" w:rsidRPr="00497E85" w14:paraId="024FA71E" w14:textId="77777777" w:rsidTr="009E74BA">
        <w:trPr>
          <w:tblCellSpacing w:w="15" w:type="dxa"/>
        </w:trPr>
        <w:tc>
          <w:tcPr>
            <w:tcW w:w="0" w:type="auto"/>
            <w:hideMark/>
          </w:tcPr>
          <w:p w14:paraId="10D33F3B"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2</w:t>
            </w:r>
          </w:p>
        </w:tc>
        <w:tc>
          <w:tcPr>
            <w:tcW w:w="0" w:type="auto"/>
            <w:hideMark/>
          </w:tcPr>
          <w:p w14:paraId="132D7122"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Weak link (plasma halos, atmospheric analogies)</w:t>
            </w:r>
          </w:p>
        </w:tc>
        <w:tc>
          <w:tcPr>
            <w:tcW w:w="0" w:type="auto"/>
            <w:hideMark/>
          </w:tcPr>
          <w:p w14:paraId="5159EFC1"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Weak link (non-resonant plasma models)</w:t>
            </w:r>
          </w:p>
        </w:tc>
      </w:tr>
      <w:tr w:rsidR="00497E85" w:rsidRPr="00497E85" w14:paraId="6A8BD2F0" w14:textId="77777777" w:rsidTr="009E74BA">
        <w:trPr>
          <w:tblCellSpacing w:w="15" w:type="dxa"/>
        </w:trPr>
        <w:tc>
          <w:tcPr>
            <w:tcW w:w="0" w:type="auto"/>
            <w:hideMark/>
          </w:tcPr>
          <w:p w14:paraId="44CAE1DF"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1</w:t>
            </w:r>
          </w:p>
        </w:tc>
        <w:tc>
          <w:tcPr>
            <w:tcW w:w="0" w:type="auto"/>
            <w:hideMark/>
          </w:tcPr>
          <w:p w14:paraId="3647F5CA"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Minimal/no link (policy, null results, history)</w:t>
            </w:r>
          </w:p>
        </w:tc>
        <w:tc>
          <w:tcPr>
            <w:tcW w:w="0" w:type="auto"/>
            <w:hideMark/>
          </w:tcPr>
          <w:p w14:paraId="01AD25B2" w14:textId="77777777" w:rsidR="00497E85" w:rsidRPr="00497E85" w:rsidRDefault="00497E85" w:rsidP="00524E58">
            <w:pPr>
              <w:pStyle w:val="Body"/>
              <w:spacing w:after="0"/>
              <w:jc w:val="left"/>
              <w:rPr>
                <w:rFonts w:ascii="Arial" w:hAnsi="Arial" w:cs="Arial"/>
                <w:lang w:val="en-AU"/>
              </w:rPr>
            </w:pPr>
            <w:r w:rsidRPr="00497E85">
              <w:rPr>
                <w:rFonts w:ascii="Arial" w:hAnsi="Arial" w:cs="Arial"/>
                <w:lang w:val="en-AU"/>
              </w:rPr>
              <w:t>Minimal/no link (non-resonant, sociological work)</w:t>
            </w:r>
          </w:p>
        </w:tc>
      </w:tr>
    </w:tbl>
    <w:p w14:paraId="65E8897D" w14:textId="406EE442" w:rsidR="00497E85" w:rsidRDefault="00497E85" w:rsidP="00441B6F">
      <w:pPr>
        <w:pStyle w:val="Body"/>
        <w:spacing w:after="0"/>
        <w:rPr>
          <w:rFonts w:ascii="Arial" w:hAnsi="Arial" w:cs="Arial"/>
        </w:rPr>
      </w:pPr>
    </w:p>
    <w:p w14:paraId="08A33355" w14:textId="4C6D7D21" w:rsidR="00497E85" w:rsidRDefault="00497E85" w:rsidP="00441B6F">
      <w:pPr>
        <w:pStyle w:val="Body"/>
        <w:spacing w:after="0"/>
        <w:rPr>
          <w:rFonts w:ascii="Arial" w:hAnsi="Arial" w:cs="Arial"/>
        </w:rPr>
      </w:pPr>
    </w:p>
    <w:p w14:paraId="6D1E7312" w14:textId="06947584" w:rsidR="00497E85" w:rsidRDefault="00497E85" w:rsidP="00441B6F">
      <w:pPr>
        <w:pStyle w:val="Body"/>
        <w:spacing w:after="0"/>
        <w:rPr>
          <w:rFonts w:ascii="Arial" w:hAnsi="Arial" w:cs="Arial"/>
        </w:rPr>
      </w:pPr>
    </w:p>
    <w:p w14:paraId="614E7418" w14:textId="6AD560D1"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2</w:t>
      </w:r>
      <w:r w:rsidR="00497E85" w:rsidRPr="00497E85">
        <w:rPr>
          <w:rFonts w:ascii="Arial" w:hAnsi="Arial" w:cs="Arial"/>
          <w:b/>
          <w:bCs/>
          <w:lang w:val="en-AU"/>
        </w:rPr>
        <w:t>.</w:t>
      </w:r>
      <w:r w:rsidRPr="00DB0EB5">
        <w:rPr>
          <w:rFonts w:ascii="Arial" w:hAnsi="Arial" w:cs="Arial"/>
          <w:b/>
          <w:bCs/>
          <w:lang w:val="en-AU"/>
        </w:rPr>
        <w:t>5</w:t>
      </w:r>
      <w:r w:rsidR="00497E85" w:rsidRPr="00497E85">
        <w:rPr>
          <w:rFonts w:ascii="Arial" w:hAnsi="Arial" w:cs="Arial"/>
          <w:b/>
          <w:bCs/>
          <w:lang w:val="en-AU"/>
        </w:rPr>
        <w:t xml:space="preserve"> Pre-population of Data</w:t>
      </w:r>
    </w:p>
    <w:p w14:paraId="2538FADE" w14:textId="77777777" w:rsidR="00497E85" w:rsidRPr="00497E85" w:rsidRDefault="00497E85" w:rsidP="00497E85">
      <w:pPr>
        <w:pStyle w:val="Body"/>
        <w:spacing w:after="0"/>
        <w:rPr>
          <w:rFonts w:ascii="Arial" w:hAnsi="Arial" w:cs="Arial"/>
          <w:b/>
          <w:bCs/>
          <w:lang w:val="en-AU"/>
        </w:rPr>
      </w:pPr>
    </w:p>
    <w:p w14:paraId="19C897FC" w14:textId="77777777" w:rsidR="00497E85" w:rsidRDefault="00497E85" w:rsidP="00497E85">
      <w:pPr>
        <w:pStyle w:val="Body"/>
        <w:spacing w:after="0"/>
        <w:rPr>
          <w:rFonts w:ascii="Arial" w:hAnsi="Arial" w:cs="Arial"/>
          <w:lang w:val="en-AU"/>
        </w:rPr>
      </w:pPr>
      <w:r w:rsidRPr="00497E85">
        <w:rPr>
          <w:rFonts w:ascii="Arial" w:hAnsi="Arial" w:cs="Arial"/>
          <w:lang w:val="en-AU"/>
        </w:rPr>
        <w:t>To make the workbook immediately usable, all Yes/No codes and scores were pre-assigned based on the analytical tables. This ensured the dashboards displayed meaningful results without requiring manual input. The defaults reflected expert judgment:</w:t>
      </w:r>
    </w:p>
    <w:p w14:paraId="5341DB6C" w14:textId="77777777" w:rsidR="00497E85" w:rsidRPr="00497E85" w:rsidRDefault="00497E85" w:rsidP="00497E85">
      <w:pPr>
        <w:pStyle w:val="Body"/>
        <w:spacing w:after="0"/>
        <w:rPr>
          <w:rFonts w:ascii="Arial" w:hAnsi="Arial" w:cs="Arial"/>
          <w:lang w:val="en-AU"/>
        </w:rPr>
      </w:pPr>
    </w:p>
    <w:p w14:paraId="3F7B5B2A" w14:textId="77777777" w:rsidR="00497E85" w:rsidRP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Plasma studies were coded Yes for Halos, scored Boundary = 2–3, SRMS = 2.</w:t>
      </w:r>
    </w:p>
    <w:p w14:paraId="7A653212" w14:textId="77777777" w:rsidR="00497E85" w:rsidRP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Cloaking/metamaterials were coded Yes for Lensing, scored Boundary = 4, SRMS = 4–5.</w:t>
      </w:r>
    </w:p>
    <w:p w14:paraId="173ED840" w14:textId="77777777" w:rsidR="00497E85" w:rsidRDefault="00497E85" w:rsidP="00DA63E0">
      <w:pPr>
        <w:pStyle w:val="Body"/>
        <w:numPr>
          <w:ilvl w:val="0"/>
          <w:numId w:val="34"/>
        </w:numPr>
        <w:spacing w:after="0"/>
        <w:rPr>
          <w:rFonts w:ascii="Arial" w:hAnsi="Arial" w:cs="Arial"/>
          <w:lang w:val="en-AU"/>
        </w:rPr>
      </w:pPr>
      <w:r w:rsidRPr="00497E85">
        <w:rPr>
          <w:rFonts w:ascii="Arial" w:hAnsi="Arial" w:cs="Arial"/>
          <w:lang w:val="en-AU"/>
        </w:rPr>
        <w:t>Policy and history references were coded No across all signatures, scored Boundary = 1, SRMS = 1–2.</w:t>
      </w:r>
    </w:p>
    <w:p w14:paraId="3FE85E1E" w14:textId="77777777" w:rsidR="00497E85" w:rsidRPr="00497E85" w:rsidRDefault="00497E85" w:rsidP="00497E85">
      <w:pPr>
        <w:pStyle w:val="Body"/>
        <w:spacing w:after="0"/>
        <w:rPr>
          <w:rFonts w:ascii="Arial" w:hAnsi="Arial" w:cs="Arial"/>
          <w:lang w:val="en-AU"/>
        </w:rPr>
      </w:pPr>
    </w:p>
    <w:p w14:paraId="60FABE87" w14:textId="77777777" w:rsidR="00497E85" w:rsidRDefault="00497E85" w:rsidP="00497E85">
      <w:pPr>
        <w:pStyle w:val="Body"/>
        <w:spacing w:after="0"/>
        <w:rPr>
          <w:rFonts w:ascii="Arial" w:hAnsi="Arial" w:cs="Arial"/>
          <w:lang w:val="en-AU"/>
        </w:rPr>
      </w:pPr>
      <w:r w:rsidRPr="00497E85">
        <w:rPr>
          <w:rFonts w:ascii="Arial" w:hAnsi="Arial" w:cs="Arial"/>
          <w:lang w:val="en-AU"/>
        </w:rPr>
        <w:t>Users can edit any coding or scoring, and the dashboards update dynamically. This combination of pre-population and interactivity transforms the workbook from a passive bibliography into an active analytical tool.</w:t>
      </w:r>
    </w:p>
    <w:p w14:paraId="1FB78245" w14:textId="77777777" w:rsidR="00524E58" w:rsidRPr="00497E85" w:rsidRDefault="00524E58" w:rsidP="00497E85">
      <w:pPr>
        <w:pStyle w:val="Body"/>
        <w:spacing w:after="0"/>
        <w:rPr>
          <w:rFonts w:ascii="Arial" w:hAnsi="Arial" w:cs="Arial"/>
          <w:lang w:val="en-AU"/>
        </w:rPr>
      </w:pPr>
    </w:p>
    <w:p w14:paraId="0A40F49E" w14:textId="77777777" w:rsidR="00497E85" w:rsidRDefault="00497E85" w:rsidP="00441B6F">
      <w:pPr>
        <w:pStyle w:val="Body"/>
        <w:spacing w:after="0"/>
        <w:rPr>
          <w:rFonts w:ascii="Arial" w:hAnsi="Arial" w:cs="Arial"/>
        </w:rPr>
      </w:pPr>
    </w:p>
    <w:p w14:paraId="1708E157" w14:textId="343AC737" w:rsidR="00497E85" w:rsidRPr="00497E85" w:rsidRDefault="00DB0EB5" w:rsidP="00497E85">
      <w:pPr>
        <w:pStyle w:val="Body"/>
        <w:spacing w:after="0"/>
        <w:rPr>
          <w:rFonts w:ascii="Arial" w:hAnsi="Arial" w:cs="Arial"/>
          <w:b/>
          <w:bCs/>
          <w:sz w:val="22"/>
          <w:szCs w:val="22"/>
          <w:lang w:val="en-AU"/>
        </w:rPr>
      </w:pPr>
      <w:r>
        <w:rPr>
          <w:rFonts w:ascii="Arial" w:hAnsi="Arial" w:cs="Arial"/>
          <w:b/>
          <w:bCs/>
          <w:sz w:val="22"/>
          <w:szCs w:val="22"/>
          <w:lang w:val="en-AU"/>
        </w:rPr>
        <w:t>3</w:t>
      </w:r>
      <w:r w:rsidR="00497E85" w:rsidRPr="00497E85">
        <w:rPr>
          <w:rFonts w:ascii="Arial" w:hAnsi="Arial" w:cs="Arial"/>
          <w:b/>
          <w:bCs/>
          <w:sz w:val="22"/>
          <w:szCs w:val="22"/>
          <w:lang w:val="en-AU"/>
        </w:rPr>
        <w:t>. RESULTS</w:t>
      </w:r>
    </w:p>
    <w:p w14:paraId="13426B50" w14:textId="77777777" w:rsidR="00497E85" w:rsidRPr="00497E85" w:rsidRDefault="00497E85" w:rsidP="00497E85">
      <w:pPr>
        <w:pStyle w:val="Body"/>
        <w:spacing w:after="0"/>
        <w:rPr>
          <w:rFonts w:ascii="Arial" w:hAnsi="Arial" w:cs="Arial"/>
          <w:b/>
          <w:bCs/>
          <w:lang w:val="en-AU"/>
        </w:rPr>
      </w:pPr>
    </w:p>
    <w:p w14:paraId="4AB99727" w14:textId="39184B60" w:rsidR="00497E85" w:rsidRPr="00497E85" w:rsidRDefault="00497E85" w:rsidP="00497E85">
      <w:pPr>
        <w:pStyle w:val="Body"/>
        <w:spacing w:after="0"/>
        <w:rPr>
          <w:rFonts w:ascii="Arial" w:hAnsi="Arial" w:cs="Arial"/>
          <w:lang w:val="en-AU"/>
        </w:rPr>
      </w:pPr>
      <w:r w:rsidRPr="00497E85">
        <w:rPr>
          <w:rFonts w:ascii="Arial" w:hAnsi="Arial" w:cs="Arial"/>
          <w:lang w:val="en-AU"/>
        </w:rPr>
        <w:t xml:space="preserve">The structured thematic coding and quantitative scoring of the reference corpus revealed clear patterns in how boundary-layer signatures </w:t>
      </w:r>
      <w:r w:rsidR="001E3366">
        <w:rPr>
          <w:rFonts w:ascii="Arial" w:hAnsi="Arial" w:cs="Arial"/>
          <w:lang w:val="en-AU"/>
        </w:rPr>
        <w:t>were</w:t>
      </w:r>
      <w:r w:rsidRPr="00497E85">
        <w:rPr>
          <w:rFonts w:ascii="Arial" w:hAnsi="Arial" w:cs="Arial"/>
          <w:lang w:val="en-AU"/>
        </w:rPr>
        <w:t xml:space="preserve"> distributed across disciplines and how strongly they relate</w:t>
      </w:r>
      <w:r w:rsidR="001E3366">
        <w:rPr>
          <w:rFonts w:ascii="Arial" w:hAnsi="Arial" w:cs="Arial"/>
          <w:lang w:val="en-AU"/>
        </w:rPr>
        <w:t>d</w:t>
      </w:r>
      <w:r w:rsidRPr="00497E85">
        <w:rPr>
          <w:rFonts w:ascii="Arial" w:hAnsi="Arial" w:cs="Arial"/>
          <w:lang w:val="en-AU"/>
        </w:rPr>
        <w:t xml:space="preserve"> to resonance-based theoretical models. By aggregating binary signature coding and 1–5 scoring across all nine thematic categories, the analysis enabled both descriptive and comparative insights. The dashboards and visualizations highlight</w:t>
      </w:r>
      <w:r w:rsidR="001E3366">
        <w:rPr>
          <w:rFonts w:ascii="Arial" w:hAnsi="Arial" w:cs="Arial"/>
          <w:lang w:val="en-AU"/>
        </w:rPr>
        <w:t>ed</w:t>
      </w:r>
      <w:r w:rsidRPr="00497E85">
        <w:rPr>
          <w:rFonts w:ascii="Arial" w:hAnsi="Arial" w:cs="Arial"/>
          <w:lang w:val="en-AU"/>
        </w:rPr>
        <w:t xml:space="preserve"> which themes most frequently reported halos, laminar shells, trans-medium transitions, localized cloaking, and axial emissions, and how these signatures align</w:t>
      </w:r>
      <w:r w:rsidR="001E3366">
        <w:rPr>
          <w:rFonts w:ascii="Arial" w:hAnsi="Arial" w:cs="Arial"/>
          <w:lang w:val="en-AU"/>
        </w:rPr>
        <w:t>ed</w:t>
      </w:r>
      <w:r w:rsidRPr="00497E85">
        <w:rPr>
          <w:rFonts w:ascii="Arial" w:hAnsi="Arial" w:cs="Arial"/>
          <w:lang w:val="en-AU"/>
        </w:rPr>
        <w:t xml:space="preserve"> with graded relevance to boundary-layer frameworks and scalar resonance concepts. Together, these results provide</w:t>
      </w:r>
      <w:r w:rsidR="001E3366">
        <w:rPr>
          <w:rFonts w:ascii="Arial" w:hAnsi="Arial" w:cs="Arial"/>
          <w:lang w:val="en-AU"/>
        </w:rPr>
        <w:t>d</w:t>
      </w:r>
      <w:r w:rsidRPr="00497E85">
        <w:rPr>
          <w:rFonts w:ascii="Arial" w:hAnsi="Arial" w:cs="Arial"/>
          <w:lang w:val="en-AU"/>
        </w:rPr>
        <w:t xml:space="preserve"> an integrated view of the literature, showing how empirical observations, optical and </w:t>
      </w:r>
      <w:r w:rsidRPr="00497E85">
        <w:rPr>
          <w:rFonts w:ascii="Arial" w:hAnsi="Arial" w:cs="Arial"/>
          <w:lang w:val="en-AU"/>
        </w:rPr>
        <w:lastRenderedPageBreak/>
        <w:t>gravitational analogues, and theoretical propulsion models converge</w:t>
      </w:r>
      <w:r w:rsidR="001E3366">
        <w:rPr>
          <w:rFonts w:ascii="Arial" w:hAnsi="Arial" w:cs="Arial"/>
          <w:lang w:val="en-AU"/>
        </w:rPr>
        <w:t>d</w:t>
      </w:r>
      <w:r w:rsidRPr="00497E85">
        <w:rPr>
          <w:rFonts w:ascii="Arial" w:hAnsi="Arial" w:cs="Arial"/>
          <w:lang w:val="en-AU"/>
        </w:rPr>
        <w:t xml:space="preserve"> into distinct clusters that inform</w:t>
      </w:r>
      <w:r w:rsidR="001E3366">
        <w:rPr>
          <w:rFonts w:ascii="Arial" w:hAnsi="Arial" w:cs="Arial"/>
          <w:lang w:val="en-AU"/>
        </w:rPr>
        <w:t>ed</w:t>
      </w:r>
      <w:r w:rsidRPr="00497E85">
        <w:rPr>
          <w:rFonts w:ascii="Arial" w:hAnsi="Arial" w:cs="Arial"/>
          <w:lang w:val="en-AU"/>
        </w:rPr>
        <w:t xml:space="preserve"> the Scalar Resonant Mobility Systems (SRMS) theoretical framework.</w:t>
      </w:r>
    </w:p>
    <w:p w14:paraId="4CE8971F" w14:textId="77777777" w:rsidR="00497E85" w:rsidRPr="00497E85" w:rsidRDefault="00497E85" w:rsidP="00497E85">
      <w:pPr>
        <w:pStyle w:val="Body"/>
        <w:spacing w:after="0"/>
        <w:rPr>
          <w:rFonts w:ascii="Arial" w:hAnsi="Arial" w:cs="Arial"/>
          <w:b/>
          <w:bCs/>
          <w:lang w:val="en-AU"/>
        </w:rPr>
      </w:pPr>
    </w:p>
    <w:p w14:paraId="7549FC72" w14:textId="77777777" w:rsidR="002D430B" w:rsidRDefault="002D430B" w:rsidP="00497E85">
      <w:pPr>
        <w:pStyle w:val="Body"/>
        <w:spacing w:after="0"/>
        <w:rPr>
          <w:rFonts w:ascii="Arial" w:hAnsi="Arial" w:cs="Arial"/>
          <w:b/>
          <w:bCs/>
          <w:sz w:val="22"/>
          <w:szCs w:val="22"/>
          <w:lang w:val="en-AU"/>
        </w:rPr>
      </w:pPr>
    </w:p>
    <w:p w14:paraId="11FA65F1" w14:textId="25F27AB8"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3</w:t>
      </w:r>
      <w:r w:rsidR="00497E85" w:rsidRPr="00497E85">
        <w:rPr>
          <w:rFonts w:ascii="Arial" w:hAnsi="Arial" w:cs="Arial"/>
          <w:b/>
          <w:bCs/>
          <w:lang w:val="en-AU"/>
        </w:rPr>
        <w:t>.1 Distribution of References Across Themes</w:t>
      </w:r>
    </w:p>
    <w:p w14:paraId="4111864C" w14:textId="77777777" w:rsidR="00497E85" w:rsidRPr="00497E85" w:rsidRDefault="00497E85" w:rsidP="00497E85">
      <w:pPr>
        <w:pStyle w:val="Body"/>
        <w:spacing w:after="0"/>
        <w:rPr>
          <w:rFonts w:ascii="Arial" w:hAnsi="Arial" w:cs="Arial"/>
          <w:b/>
          <w:bCs/>
          <w:lang w:val="en-AU"/>
        </w:rPr>
      </w:pPr>
    </w:p>
    <w:p w14:paraId="4E2594AF" w14:textId="3C0A5AF3" w:rsidR="00497E85" w:rsidRDefault="00497E85" w:rsidP="00497E85">
      <w:pPr>
        <w:pStyle w:val="Body"/>
        <w:spacing w:after="0"/>
        <w:rPr>
          <w:rFonts w:ascii="Arial" w:hAnsi="Arial" w:cs="Arial"/>
          <w:lang w:val="en-AU"/>
        </w:rPr>
      </w:pPr>
      <w:r w:rsidRPr="00497E85">
        <w:rPr>
          <w:rFonts w:ascii="Arial" w:hAnsi="Arial" w:cs="Arial"/>
          <w:lang w:val="en-AU"/>
        </w:rPr>
        <w:t>The first step of the analysis was to examine how the reference corpus was distributed across the nine thematic categories defined in the Methods. This distribution provide</w:t>
      </w:r>
      <w:r w:rsidR="00FA4220">
        <w:rPr>
          <w:rFonts w:ascii="Arial" w:hAnsi="Arial" w:cs="Arial"/>
          <w:lang w:val="en-AU"/>
        </w:rPr>
        <w:t>d</w:t>
      </w:r>
      <w:r w:rsidRPr="00497E85">
        <w:rPr>
          <w:rFonts w:ascii="Arial" w:hAnsi="Arial" w:cs="Arial"/>
          <w:lang w:val="en-AU"/>
        </w:rPr>
        <w:t xml:space="preserve"> a landscape view of the literature, showing which areas </w:t>
      </w:r>
      <w:r w:rsidR="00FA4220">
        <w:rPr>
          <w:rFonts w:ascii="Arial" w:hAnsi="Arial" w:cs="Arial"/>
          <w:lang w:val="en-AU"/>
        </w:rPr>
        <w:t>were</w:t>
      </w:r>
      <w:r w:rsidRPr="00497E85">
        <w:rPr>
          <w:rFonts w:ascii="Arial" w:hAnsi="Arial" w:cs="Arial"/>
          <w:lang w:val="en-AU"/>
        </w:rPr>
        <w:t xml:space="preserve"> most heavily represented and which remain</w:t>
      </w:r>
      <w:r w:rsidR="00FA4220">
        <w:rPr>
          <w:rFonts w:ascii="Arial" w:hAnsi="Arial" w:cs="Arial"/>
          <w:lang w:val="en-AU"/>
        </w:rPr>
        <w:t>ed</w:t>
      </w:r>
      <w:r w:rsidRPr="00497E85">
        <w:rPr>
          <w:rFonts w:ascii="Arial" w:hAnsi="Arial" w:cs="Arial"/>
          <w:lang w:val="en-AU"/>
        </w:rPr>
        <w:t xml:space="preserve"> comparatively underdeveloped. Balance </w:t>
      </w:r>
      <w:r w:rsidR="00FA4220">
        <w:rPr>
          <w:rFonts w:ascii="Arial" w:hAnsi="Arial" w:cs="Arial"/>
          <w:lang w:val="en-AU"/>
        </w:rPr>
        <w:t>wa</w:t>
      </w:r>
      <w:r w:rsidRPr="00497E85">
        <w:rPr>
          <w:rFonts w:ascii="Arial" w:hAnsi="Arial" w:cs="Arial"/>
          <w:lang w:val="en-AU"/>
        </w:rPr>
        <w:t>s important, because clustering of references in certain themes c</w:t>
      </w:r>
      <w:r w:rsidR="00FA4220">
        <w:rPr>
          <w:rFonts w:ascii="Arial" w:hAnsi="Arial" w:cs="Arial"/>
          <w:lang w:val="en-AU"/>
        </w:rPr>
        <w:t>ould</w:t>
      </w:r>
      <w:r w:rsidRPr="00497E85">
        <w:rPr>
          <w:rFonts w:ascii="Arial" w:hAnsi="Arial" w:cs="Arial"/>
          <w:lang w:val="en-AU"/>
        </w:rPr>
        <w:t xml:space="preserve"> bias the perception of which signatures </w:t>
      </w:r>
      <w:r w:rsidR="00FA4220">
        <w:rPr>
          <w:rFonts w:ascii="Arial" w:hAnsi="Arial" w:cs="Arial"/>
          <w:lang w:val="en-AU"/>
        </w:rPr>
        <w:t>were</w:t>
      </w:r>
      <w:r w:rsidRPr="00497E85">
        <w:rPr>
          <w:rFonts w:ascii="Arial" w:hAnsi="Arial" w:cs="Arial"/>
          <w:lang w:val="en-AU"/>
        </w:rPr>
        <w:t xml:space="preserve"> most credible, or which theoretical models </w:t>
      </w:r>
      <w:r w:rsidR="00FA4220">
        <w:rPr>
          <w:rFonts w:ascii="Arial" w:hAnsi="Arial" w:cs="Arial"/>
          <w:lang w:val="en-AU"/>
        </w:rPr>
        <w:t>were</w:t>
      </w:r>
      <w:r w:rsidRPr="00497E85">
        <w:rPr>
          <w:rFonts w:ascii="Arial" w:hAnsi="Arial" w:cs="Arial"/>
          <w:lang w:val="en-AU"/>
        </w:rPr>
        <w:t xml:space="preserve"> best supported. By quantifying the spread of references across themes, it was possible to assess both the coverage of the corpus and the relative weight of evidence brought by each domain.</w:t>
      </w:r>
    </w:p>
    <w:p w14:paraId="02BE9A7B" w14:textId="77777777" w:rsidR="00497E85" w:rsidRPr="00497E85" w:rsidRDefault="00497E85" w:rsidP="00497E85">
      <w:pPr>
        <w:pStyle w:val="Body"/>
        <w:spacing w:after="0"/>
        <w:rPr>
          <w:rFonts w:ascii="Arial" w:hAnsi="Arial" w:cs="Arial"/>
          <w:lang w:val="en-AU"/>
        </w:rPr>
      </w:pPr>
    </w:p>
    <w:p w14:paraId="12C5D804" w14:textId="77777777" w:rsidR="00497E85" w:rsidRPr="00497E85" w:rsidRDefault="00497E85" w:rsidP="00497E85">
      <w:pPr>
        <w:pStyle w:val="Body"/>
        <w:spacing w:after="0"/>
        <w:rPr>
          <w:rFonts w:ascii="Arial" w:hAnsi="Arial" w:cs="Arial"/>
          <w:lang w:val="en-AU"/>
        </w:rPr>
      </w:pPr>
      <w:r w:rsidRPr="00497E85">
        <w:rPr>
          <w:rFonts w:ascii="Arial" w:hAnsi="Arial" w:cs="Arial"/>
          <w:lang w:val="en-AU"/>
        </w:rPr>
        <w:t>The corpus showed clear asymmetries. Plasma and atmospheric studies (Theme 1) and propulsion-related papers (Theme 4) accounted for over a third of the total references, reflecting their long-standing roles in both observational documentation and theoretical speculation (Figure 1). Transformation optics/metamaterials (Theme 3) and gravitational lensing/modified gravity (Theme 2) also contributed large clusters, suggesting that optical and field-theoretical approaches are well developed. By contrast, sociocultural, historical, and general overview themes (Themes 7–8) contained fewer entries, emphasizing their contextual rather than technical role.</w:t>
      </w:r>
    </w:p>
    <w:p w14:paraId="4AFCCE25" w14:textId="77777777" w:rsidR="00497E85" w:rsidRPr="00497E85" w:rsidRDefault="00497E85" w:rsidP="00497E85">
      <w:pPr>
        <w:pStyle w:val="Body"/>
        <w:spacing w:after="0"/>
        <w:rPr>
          <w:rFonts w:ascii="Arial" w:hAnsi="Arial" w:cs="Arial"/>
          <w:b/>
          <w:bCs/>
          <w:lang w:val="en-AU"/>
        </w:rPr>
      </w:pPr>
    </w:p>
    <w:p w14:paraId="43461725" w14:textId="77777777" w:rsidR="002D430B" w:rsidRDefault="002D430B" w:rsidP="00497E85">
      <w:pPr>
        <w:pStyle w:val="Body"/>
        <w:spacing w:after="0"/>
        <w:rPr>
          <w:rFonts w:ascii="Arial" w:hAnsi="Arial" w:cs="Arial"/>
          <w:b/>
          <w:bCs/>
          <w:sz w:val="22"/>
          <w:szCs w:val="22"/>
          <w:lang w:val="en-AU"/>
        </w:rPr>
      </w:pPr>
    </w:p>
    <w:p w14:paraId="5F7D4039" w14:textId="4EDE6C7F" w:rsidR="00497E85" w:rsidRPr="00DB0EB5" w:rsidRDefault="00DB0EB5" w:rsidP="00497E85">
      <w:pPr>
        <w:pStyle w:val="Body"/>
        <w:spacing w:after="0"/>
        <w:rPr>
          <w:rFonts w:ascii="Arial" w:hAnsi="Arial" w:cs="Arial"/>
          <w:b/>
          <w:bCs/>
          <w:lang w:val="en-AU"/>
        </w:rPr>
      </w:pPr>
      <w:r w:rsidRPr="00DB0EB5">
        <w:rPr>
          <w:rFonts w:ascii="Arial" w:hAnsi="Arial" w:cs="Arial"/>
          <w:b/>
          <w:bCs/>
          <w:lang w:val="en-AU"/>
        </w:rPr>
        <w:t>3</w:t>
      </w:r>
      <w:r w:rsidR="00497E85" w:rsidRPr="00497E85">
        <w:rPr>
          <w:rFonts w:ascii="Arial" w:hAnsi="Arial" w:cs="Arial"/>
          <w:b/>
          <w:bCs/>
          <w:lang w:val="en-AU"/>
        </w:rPr>
        <w:t>.2 Boundary-Layer Signatures by Theme</w:t>
      </w:r>
    </w:p>
    <w:p w14:paraId="4A84CBEE" w14:textId="77777777" w:rsidR="00497E85" w:rsidRPr="00497E85" w:rsidRDefault="00497E85" w:rsidP="00497E85">
      <w:pPr>
        <w:pStyle w:val="Body"/>
        <w:spacing w:after="0"/>
        <w:rPr>
          <w:rFonts w:ascii="Arial" w:hAnsi="Arial" w:cs="Arial"/>
          <w:b/>
          <w:bCs/>
          <w:lang w:val="en-AU"/>
        </w:rPr>
      </w:pPr>
    </w:p>
    <w:p w14:paraId="6315C24A" w14:textId="648379FA" w:rsidR="00497E85" w:rsidRDefault="00497E85" w:rsidP="00497E85">
      <w:pPr>
        <w:pStyle w:val="Body"/>
        <w:spacing w:after="0"/>
        <w:rPr>
          <w:rFonts w:ascii="Arial" w:hAnsi="Arial" w:cs="Arial"/>
          <w:lang w:val="en-AU"/>
        </w:rPr>
      </w:pPr>
      <w:r w:rsidRPr="00497E85">
        <w:rPr>
          <w:rFonts w:ascii="Arial" w:hAnsi="Arial" w:cs="Arial"/>
          <w:lang w:val="en-AU"/>
        </w:rPr>
        <w:t xml:space="preserve">After establishing the thematic distribution of references, the analysis turned to the Signature Map, which coded the presence or absence of five recurring boundary-layer features. This binary classification provided a structured way to assess how often specific UAP-like signatures appeared across diverse literature. The results </w:t>
      </w:r>
      <w:r w:rsidR="003418DC">
        <w:rPr>
          <w:rFonts w:ascii="Arial" w:hAnsi="Arial" w:cs="Arial"/>
          <w:lang w:val="en-AU"/>
        </w:rPr>
        <w:t>were</w:t>
      </w:r>
      <w:r w:rsidRPr="00497E85">
        <w:rPr>
          <w:rFonts w:ascii="Arial" w:hAnsi="Arial" w:cs="Arial"/>
          <w:lang w:val="en-AU"/>
        </w:rPr>
        <w:t xml:space="preserve"> significant because they reveal</w:t>
      </w:r>
      <w:r w:rsidR="003418DC">
        <w:rPr>
          <w:rFonts w:ascii="Arial" w:hAnsi="Arial" w:cs="Arial"/>
          <w:lang w:val="en-AU"/>
        </w:rPr>
        <w:t>ed</w:t>
      </w:r>
      <w:r w:rsidRPr="00497E85">
        <w:rPr>
          <w:rFonts w:ascii="Arial" w:hAnsi="Arial" w:cs="Arial"/>
          <w:lang w:val="en-AU"/>
        </w:rPr>
        <w:t xml:space="preserve"> convergent motifs: when independent fields repeatedly describe</w:t>
      </w:r>
      <w:r w:rsidR="003418DC">
        <w:rPr>
          <w:rFonts w:ascii="Arial" w:hAnsi="Arial" w:cs="Arial"/>
          <w:lang w:val="en-AU"/>
        </w:rPr>
        <w:t>d</w:t>
      </w:r>
      <w:r w:rsidRPr="00497E85">
        <w:rPr>
          <w:rFonts w:ascii="Arial" w:hAnsi="Arial" w:cs="Arial"/>
          <w:lang w:val="en-AU"/>
        </w:rPr>
        <w:t xml:space="preserve"> similar features (e.g., halos or cloaking), the likelihood that these correspond to genuine physical processes increase</w:t>
      </w:r>
      <w:r w:rsidR="003418DC">
        <w:rPr>
          <w:rFonts w:ascii="Arial" w:hAnsi="Arial" w:cs="Arial"/>
          <w:lang w:val="en-AU"/>
        </w:rPr>
        <w:t>d</w:t>
      </w:r>
      <w:r w:rsidRPr="00497E85">
        <w:rPr>
          <w:rFonts w:ascii="Arial" w:hAnsi="Arial" w:cs="Arial"/>
          <w:lang w:val="en-AU"/>
        </w:rPr>
        <w:t xml:space="preserve"> (Figure 1). The aggregated Theme × Signature matrix show</w:t>
      </w:r>
      <w:r w:rsidR="003418DC">
        <w:rPr>
          <w:rFonts w:ascii="Arial" w:hAnsi="Arial" w:cs="Arial"/>
          <w:lang w:val="en-AU"/>
        </w:rPr>
        <w:t>ed</w:t>
      </w:r>
      <w:r w:rsidRPr="00497E85">
        <w:rPr>
          <w:rFonts w:ascii="Arial" w:hAnsi="Arial" w:cs="Arial"/>
          <w:lang w:val="en-AU"/>
        </w:rPr>
        <w:t xml:space="preserve"> how many references in each theme were coded “Yes” for each of the five boundary-layer features. The distribution highlight</w:t>
      </w:r>
      <w:r w:rsidR="003418DC">
        <w:rPr>
          <w:rFonts w:ascii="Arial" w:hAnsi="Arial" w:cs="Arial"/>
          <w:lang w:val="en-AU"/>
        </w:rPr>
        <w:t>ed</w:t>
      </w:r>
      <w:r w:rsidRPr="00497E85">
        <w:rPr>
          <w:rFonts w:ascii="Arial" w:hAnsi="Arial" w:cs="Arial"/>
          <w:lang w:val="en-AU"/>
        </w:rPr>
        <w:t xml:space="preserve"> both thematic emphases and gaps. </w:t>
      </w:r>
    </w:p>
    <w:p w14:paraId="15BF153C" w14:textId="77777777" w:rsidR="00497E85" w:rsidRPr="00497E85" w:rsidRDefault="00497E85" w:rsidP="00497E85">
      <w:pPr>
        <w:pStyle w:val="Body"/>
        <w:spacing w:after="0"/>
        <w:rPr>
          <w:rFonts w:ascii="Arial" w:hAnsi="Arial" w:cs="Arial"/>
          <w:lang w:val="en-AU"/>
        </w:rPr>
      </w:pPr>
    </w:p>
    <w:p w14:paraId="54CB8D30" w14:textId="2CAA607C" w:rsidR="00497E85" w:rsidRDefault="00497E85" w:rsidP="00497E85">
      <w:pPr>
        <w:pStyle w:val="Body"/>
        <w:spacing w:after="0"/>
        <w:rPr>
          <w:rFonts w:ascii="Arial" w:hAnsi="Arial" w:cs="Arial"/>
          <w:lang w:val="en-AU"/>
        </w:rPr>
      </w:pPr>
      <w:r w:rsidRPr="00497E85">
        <w:rPr>
          <w:rFonts w:ascii="Arial" w:hAnsi="Arial" w:cs="Arial"/>
          <w:lang w:val="en-AU"/>
        </w:rPr>
        <w:t xml:space="preserve">Halos/Filaments emerged as the most consistently reported, supported by 15 references, particularly in plasma studies (Theme 1), where they </w:t>
      </w:r>
      <w:r w:rsidR="003418DC">
        <w:rPr>
          <w:rFonts w:ascii="Arial" w:hAnsi="Arial" w:cs="Arial"/>
          <w:lang w:val="en-AU"/>
        </w:rPr>
        <w:t>were</w:t>
      </w:r>
      <w:r w:rsidRPr="00497E85">
        <w:rPr>
          <w:rFonts w:ascii="Arial" w:hAnsi="Arial" w:cs="Arial"/>
          <w:lang w:val="en-AU"/>
        </w:rPr>
        <w:t xml:space="preserve"> an intrinsic feature of luminous discharges. Pane-like Laminar Shells were also common in Theme 1, reflecting their close association with plasma boundary structuring. Trans-medium (No Wake) transitions were strongly represented in propulsion studies (Theme 4), aligning with their diagnostic role in anomalous flight performance. Localized Lensing/Cloaking was highly represented in gravitational lensing (Theme 2) and transformation optics (Theme 3), demonstrating a convergence between astrophysical observations and engineered metamaterial analogues. Symmetric Axial Emissions appeared more sporadically, though when present, they were most clearly associated with propulsion and field-drive concepts (Theme 4).</w:t>
      </w:r>
    </w:p>
    <w:p w14:paraId="4C0247BB" w14:textId="77777777" w:rsidR="00497E85" w:rsidRPr="00497E85" w:rsidRDefault="00497E85" w:rsidP="00497E85">
      <w:pPr>
        <w:pStyle w:val="Body"/>
        <w:spacing w:after="0"/>
        <w:rPr>
          <w:rFonts w:ascii="Arial" w:hAnsi="Arial" w:cs="Arial"/>
          <w:lang w:val="en-AU"/>
        </w:rPr>
      </w:pPr>
    </w:p>
    <w:p w14:paraId="1FF45164" w14:textId="6804A308" w:rsidR="00497E85" w:rsidRPr="00497E85" w:rsidRDefault="00497E85" w:rsidP="00497E85">
      <w:pPr>
        <w:pStyle w:val="Body"/>
        <w:spacing w:after="0"/>
        <w:rPr>
          <w:rFonts w:ascii="Arial" w:hAnsi="Arial" w:cs="Arial"/>
          <w:lang w:val="en-AU"/>
        </w:rPr>
      </w:pPr>
      <w:r w:rsidRPr="00497E85">
        <w:rPr>
          <w:rFonts w:ascii="Arial" w:hAnsi="Arial" w:cs="Arial"/>
          <w:lang w:val="en-AU"/>
        </w:rPr>
        <w:t>Row totals revealed that certain themes, notably Plasma (Theme 1) and Propulsion (Theme 4), provided broad support across multiple signatures, while contextual domains such as History, Policy, and Safety (Theme 7) or Statistical Cataloguing (Theme 6) contributed little beyond framing. Column totals showed that localized cloaking and halos dominate</w:t>
      </w:r>
      <w:r w:rsidR="003418DC">
        <w:rPr>
          <w:rFonts w:ascii="Arial" w:hAnsi="Arial" w:cs="Arial"/>
          <w:lang w:val="en-AU"/>
        </w:rPr>
        <w:t>d</w:t>
      </w:r>
      <w:r w:rsidRPr="00497E85">
        <w:rPr>
          <w:rFonts w:ascii="Arial" w:hAnsi="Arial" w:cs="Arial"/>
          <w:lang w:val="en-AU"/>
        </w:rPr>
        <w:t xml:space="preserve"> the </w:t>
      </w:r>
      <w:r w:rsidR="003418DC">
        <w:rPr>
          <w:rFonts w:ascii="Arial" w:hAnsi="Arial" w:cs="Arial"/>
          <w:lang w:val="en-AU"/>
        </w:rPr>
        <w:t xml:space="preserve">literature </w:t>
      </w:r>
      <w:r w:rsidRPr="00497E85">
        <w:rPr>
          <w:rFonts w:ascii="Arial" w:hAnsi="Arial" w:cs="Arial"/>
          <w:lang w:val="en-AU"/>
        </w:rPr>
        <w:t>corpus, while axial emissions remain</w:t>
      </w:r>
      <w:r w:rsidR="003418DC">
        <w:rPr>
          <w:rFonts w:ascii="Arial" w:hAnsi="Arial" w:cs="Arial"/>
          <w:lang w:val="en-AU"/>
        </w:rPr>
        <w:t>ed</w:t>
      </w:r>
      <w:r w:rsidRPr="00497E85">
        <w:rPr>
          <w:rFonts w:ascii="Arial" w:hAnsi="Arial" w:cs="Arial"/>
          <w:lang w:val="en-AU"/>
        </w:rPr>
        <w:t xml:space="preserve"> comparatively rare. Together, these findings </w:t>
      </w:r>
      <w:r w:rsidRPr="00497E85">
        <w:rPr>
          <w:rFonts w:ascii="Arial" w:hAnsi="Arial" w:cs="Arial"/>
          <w:lang w:val="en-AU"/>
        </w:rPr>
        <w:lastRenderedPageBreak/>
        <w:t>confirm</w:t>
      </w:r>
      <w:r w:rsidR="003418DC">
        <w:rPr>
          <w:rFonts w:ascii="Arial" w:hAnsi="Arial" w:cs="Arial"/>
          <w:lang w:val="en-AU"/>
        </w:rPr>
        <w:t>ed</w:t>
      </w:r>
      <w:r w:rsidRPr="00497E85">
        <w:rPr>
          <w:rFonts w:ascii="Arial" w:hAnsi="Arial" w:cs="Arial"/>
          <w:lang w:val="en-AU"/>
        </w:rPr>
        <w:t xml:space="preserve"> that boundary-layer features </w:t>
      </w:r>
      <w:r w:rsidR="003418DC">
        <w:rPr>
          <w:rFonts w:ascii="Arial" w:hAnsi="Arial" w:cs="Arial"/>
          <w:lang w:val="en-AU"/>
        </w:rPr>
        <w:t>were</w:t>
      </w:r>
      <w:r w:rsidRPr="00497E85">
        <w:rPr>
          <w:rFonts w:ascii="Arial" w:hAnsi="Arial" w:cs="Arial"/>
          <w:lang w:val="en-AU"/>
        </w:rPr>
        <w:t xml:space="preserve"> not distributed evenly but map</w:t>
      </w:r>
      <w:r w:rsidR="003418DC">
        <w:rPr>
          <w:rFonts w:ascii="Arial" w:hAnsi="Arial" w:cs="Arial"/>
          <w:lang w:val="en-AU"/>
        </w:rPr>
        <w:t>ped</w:t>
      </w:r>
      <w:r w:rsidRPr="00497E85">
        <w:rPr>
          <w:rFonts w:ascii="Arial" w:hAnsi="Arial" w:cs="Arial"/>
          <w:lang w:val="en-AU"/>
        </w:rPr>
        <w:t xml:space="preserve"> strongly to thematic expertise, with some themes serving as signature-rich feeders and others acting more as contextual backdrops.</w:t>
      </w:r>
    </w:p>
    <w:p w14:paraId="6B1614E4" w14:textId="77777777" w:rsidR="00497E85" w:rsidRDefault="00497E85" w:rsidP="00441B6F">
      <w:pPr>
        <w:pStyle w:val="Body"/>
        <w:spacing w:after="0"/>
        <w:rPr>
          <w:rFonts w:ascii="Arial" w:hAnsi="Arial" w:cs="Arial"/>
        </w:rPr>
      </w:pPr>
    </w:p>
    <w:p w14:paraId="0D3A4DF8" w14:textId="77777777" w:rsidR="002D430B" w:rsidRDefault="002D430B" w:rsidP="002D430B">
      <w:pPr>
        <w:pStyle w:val="Body"/>
        <w:spacing w:after="0"/>
        <w:rPr>
          <w:rFonts w:ascii="Arial" w:hAnsi="Arial" w:cs="Arial"/>
          <w:b/>
          <w:bCs/>
          <w:sz w:val="22"/>
          <w:szCs w:val="22"/>
          <w:lang w:val="en-AU"/>
        </w:rPr>
      </w:pPr>
    </w:p>
    <w:p w14:paraId="12C18447" w14:textId="065A9E1D" w:rsidR="002D430B" w:rsidRPr="00DB0EB5" w:rsidRDefault="00DB0EB5" w:rsidP="002D430B">
      <w:pPr>
        <w:pStyle w:val="Body"/>
        <w:spacing w:after="0"/>
        <w:rPr>
          <w:rFonts w:ascii="Arial" w:hAnsi="Arial" w:cs="Arial"/>
          <w:b/>
          <w:bCs/>
          <w:lang w:val="en-AU"/>
        </w:rPr>
      </w:pPr>
      <w:r w:rsidRPr="00DB0EB5">
        <w:rPr>
          <w:rFonts w:ascii="Arial" w:hAnsi="Arial" w:cs="Arial"/>
          <w:b/>
          <w:bCs/>
          <w:lang w:val="en-AU"/>
        </w:rPr>
        <w:t>3</w:t>
      </w:r>
      <w:r w:rsidR="002D430B" w:rsidRPr="002D430B">
        <w:rPr>
          <w:rFonts w:ascii="Arial" w:hAnsi="Arial" w:cs="Arial"/>
          <w:b/>
          <w:bCs/>
          <w:lang w:val="en-AU"/>
        </w:rPr>
        <w:t>.</w:t>
      </w:r>
      <w:r w:rsidRPr="00DB0EB5">
        <w:rPr>
          <w:rFonts w:ascii="Arial" w:hAnsi="Arial" w:cs="Arial"/>
          <w:b/>
          <w:bCs/>
          <w:lang w:val="en-AU"/>
        </w:rPr>
        <w:t>3</w:t>
      </w:r>
      <w:r w:rsidR="002D430B" w:rsidRPr="002D430B">
        <w:rPr>
          <w:rFonts w:ascii="Arial" w:hAnsi="Arial" w:cs="Arial"/>
          <w:b/>
          <w:bCs/>
          <w:lang w:val="en-AU"/>
        </w:rPr>
        <w:t xml:space="preserve"> Quantitative Scoring Patterns</w:t>
      </w:r>
    </w:p>
    <w:p w14:paraId="099E089D" w14:textId="77777777" w:rsidR="002D430B" w:rsidRPr="002D430B" w:rsidRDefault="002D430B" w:rsidP="002D430B">
      <w:pPr>
        <w:pStyle w:val="Body"/>
        <w:spacing w:after="0"/>
        <w:rPr>
          <w:rFonts w:ascii="Arial" w:hAnsi="Arial" w:cs="Arial"/>
          <w:b/>
          <w:bCs/>
          <w:lang w:val="en-AU"/>
        </w:rPr>
      </w:pPr>
    </w:p>
    <w:p w14:paraId="24FC6233" w14:textId="6156F0D6" w:rsidR="002D430B" w:rsidRDefault="002D430B" w:rsidP="002D430B">
      <w:pPr>
        <w:pStyle w:val="Body"/>
        <w:spacing w:after="0"/>
        <w:rPr>
          <w:rFonts w:ascii="Arial" w:hAnsi="Arial" w:cs="Arial"/>
          <w:lang w:val="en-AU"/>
        </w:rPr>
      </w:pPr>
      <w:r w:rsidRPr="002D430B">
        <w:rPr>
          <w:rFonts w:ascii="Arial" w:hAnsi="Arial" w:cs="Arial"/>
          <w:lang w:val="en-AU"/>
        </w:rPr>
        <w:t>Beyond binary coding, references were assigned 1–5 scores for both Boundary and SRMS theory linkage. This provided a gradient view of strength of connection rather than a simple presence/absence. The significance of this analysis lies in its ability to identify not only where features appear, but how directly and strongly each reference support</w:t>
      </w:r>
      <w:r w:rsidR="003418DC">
        <w:rPr>
          <w:rFonts w:ascii="Arial" w:hAnsi="Arial" w:cs="Arial"/>
          <w:lang w:val="en-AU"/>
        </w:rPr>
        <w:t>ed</w:t>
      </w:r>
      <w:r w:rsidRPr="002D430B">
        <w:rPr>
          <w:rFonts w:ascii="Arial" w:hAnsi="Arial" w:cs="Arial"/>
          <w:lang w:val="en-AU"/>
        </w:rPr>
        <w:t xml:space="preserve"> boundary-layer or SRMS theoretical models.</w:t>
      </w:r>
    </w:p>
    <w:p w14:paraId="4FA15200" w14:textId="77777777" w:rsidR="002D430B" w:rsidRPr="002D430B" w:rsidRDefault="002D430B" w:rsidP="002D430B">
      <w:pPr>
        <w:pStyle w:val="Body"/>
        <w:spacing w:after="0"/>
        <w:rPr>
          <w:rFonts w:ascii="Arial" w:hAnsi="Arial" w:cs="Arial"/>
          <w:lang w:val="en-AU"/>
        </w:rPr>
      </w:pPr>
    </w:p>
    <w:p w14:paraId="11F9F811" w14:textId="06E6A869" w:rsidR="00497E85" w:rsidRDefault="002D430B" w:rsidP="00441B6F">
      <w:pPr>
        <w:pStyle w:val="Body"/>
        <w:spacing w:after="0"/>
        <w:rPr>
          <w:rFonts w:ascii="Arial" w:hAnsi="Arial" w:cs="Arial"/>
        </w:rPr>
      </w:pPr>
      <w:r w:rsidRPr="002D430B">
        <w:rPr>
          <w:rFonts w:ascii="Arial" w:hAnsi="Arial" w:cs="Arial"/>
          <w:lang w:val="en-AU"/>
        </w:rPr>
        <w:t>Results showed that Boundary-Link Scores were strongest in Themes 1–3, reflecting their direct observation or modelling of halos, lensing, and cloaking (Table 4). Several references (e.g., Pendry et al. 2006, Leonhardt 2006) reached scores of 4–5. SRMS-Link Scores were highest in Themes 3 and 4, where resonance mobility, metamaterials, and propulsion intersect. Hall and Covington (2025) scored 5 for both, as an explicit resonance formulation. In contrast, history and policy studies consistently scored 1–2, contributing little to either boundary or SRMS theory. These scoring patterns highlight</w:t>
      </w:r>
      <w:r w:rsidR="003418DC">
        <w:rPr>
          <w:rFonts w:ascii="Arial" w:hAnsi="Arial" w:cs="Arial"/>
          <w:lang w:val="en-AU"/>
        </w:rPr>
        <w:t>ed</w:t>
      </w:r>
      <w:r w:rsidRPr="002D430B">
        <w:rPr>
          <w:rFonts w:ascii="Arial" w:hAnsi="Arial" w:cs="Arial"/>
          <w:lang w:val="en-AU"/>
        </w:rPr>
        <w:t xml:space="preserve"> that while m</w:t>
      </w:r>
      <w:r w:rsidR="003418DC">
        <w:rPr>
          <w:rFonts w:ascii="Arial" w:hAnsi="Arial" w:cs="Arial"/>
          <w:lang w:val="en-AU"/>
        </w:rPr>
        <w:t xml:space="preserve">uch of the </w:t>
      </w:r>
      <w:r w:rsidRPr="002D430B">
        <w:rPr>
          <w:rFonts w:ascii="Arial" w:hAnsi="Arial" w:cs="Arial"/>
          <w:lang w:val="en-AU"/>
        </w:rPr>
        <w:t>literature touch</w:t>
      </w:r>
      <w:r w:rsidR="003418DC">
        <w:rPr>
          <w:rFonts w:ascii="Arial" w:hAnsi="Arial" w:cs="Arial"/>
          <w:lang w:val="en-AU"/>
        </w:rPr>
        <w:t>ed</w:t>
      </w:r>
      <w:r w:rsidRPr="002D430B">
        <w:rPr>
          <w:rFonts w:ascii="Arial" w:hAnsi="Arial" w:cs="Arial"/>
          <w:lang w:val="en-AU"/>
        </w:rPr>
        <w:t xml:space="preserve"> on anomalous phenomena, only a subset provide</w:t>
      </w:r>
      <w:r w:rsidR="003418DC">
        <w:rPr>
          <w:rFonts w:ascii="Arial" w:hAnsi="Arial" w:cs="Arial"/>
          <w:lang w:val="en-AU"/>
        </w:rPr>
        <w:t>d</w:t>
      </w:r>
      <w:r w:rsidRPr="002D430B">
        <w:rPr>
          <w:rFonts w:ascii="Arial" w:hAnsi="Arial" w:cs="Arial"/>
          <w:lang w:val="en-AU"/>
        </w:rPr>
        <w:t xml:space="preserve"> direct, high-strength evidence.</w:t>
      </w:r>
    </w:p>
    <w:p w14:paraId="60F55DC4" w14:textId="77777777" w:rsidR="00ED5EA4" w:rsidRDefault="00ED5EA4" w:rsidP="00441B6F">
      <w:pPr>
        <w:pStyle w:val="Body"/>
        <w:spacing w:after="0"/>
        <w:rPr>
          <w:rFonts w:ascii="Arial" w:hAnsi="Arial" w:cs="Arial"/>
        </w:rPr>
      </w:pPr>
    </w:p>
    <w:p w14:paraId="1F681B8A" w14:textId="77777777" w:rsidR="00A45B8E" w:rsidRDefault="00A45B8E" w:rsidP="00441B6F">
      <w:pPr>
        <w:pStyle w:val="Body"/>
        <w:spacing w:after="0"/>
        <w:rPr>
          <w:rFonts w:ascii="Arial" w:hAnsi="Arial" w:cs="Arial"/>
        </w:rPr>
      </w:pPr>
    </w:p>
    <w:p w14:paraId="05F844DC" w14:textId="6A379C21" w:rsidR="00A45B8E" w:rsidRPr="00A45B8E" w:rsidRDefault="00DB0EB5" w:rsidP="00A45B8E">
      <w:pPr>
        <w:pStyle w:val="Body"/>
        <w:rPr>
          <w:rFonts w:ascii="Arial" w:hAnsi="Arial" w:cs="Arial"/>
          <w:b/>
          <w:bCs/>
          <w:lang w:val="en-AU"/>
        </w:rPr>
      </w:pPr>
      <w:r>
        <w:rPr>
          <w:rFonts w:ascii="Arial" w:hAnsi="Arial" w:cs="Arial"/>
          <w:b/>
          <w:bCs/>
          <w:lang w:val="en-AU"/>
        </w:rPr>
        <w:t>3</w:t>
      </w:r>
      <w:r w:rsidR="00A45B8E" w:rsidRPr="00A45B8E">
        <w:rPr>
          <w:rFonts w:ascii="Arial" w:hAnsi="Arial" w:cs="Arial"/>
          <w:b/>
          <w:bCs/>
          <w:lang w:val="en-AU"/>
        </w:rPr>
        <w:t>.</w:t>
      </w:r>
      <w:r>
        <w:rPr>
          <w:rFonts w:ascii="Arial" w:hAnsi="Arial" w:cs="Arial"/>
          <w:b/>
          <w:bCs/>
          <w:lang w:val="en-AU"/>
        </w:rPr>
        <w:t>4</w:t>
      </w:r>
      <w:r w:rsidR="00A45B8E" w:rsidRPr="00A45B8E">
        <w:rPr>
          <w:rFonts w:ascii="Arial" w:hAnsi="Arial" w:cs="Arial"/>
          <w:b/>
          <w:bCs/>
          <w:lang w:val="en-AU"/>
        </w:rPr>
        <w:t xml:space="preserve"> Δ (SRMS – Boundary) Trends</w:t>
      </w:r>
    </w:p>
    <w:p w14:paraId="77A12473" w14:textId="4BF1961D" w:rsidR="00A45B8E" w:rsidRPr="00A45B8E" w:rsidRDefault="00A45B8E" w:rsidP="00A45B8E">
      <w:pPr>
        <w:pStyle w:val="Body"/>
        <w:rPr>
          <w:rFonts w:ascii="Arial" w:hAnsi="Arial" w:cs="Arial"/>
          <w:lang w:val="en-AU"/>
        </w:rPr>
      </w:pPr>
      <w:r w:rsidRPr="00A45B8E">
        <w:rPr>
          <w:rFonts w:ascii="Arial" w:hAnsi="Arial" w:cs="Arial"/>
          <w:lang w:val="en-AU"/>
        </w:rPr>
        <w:t xml:space="preserve">A further refinement was the calculation of Δ values, representing the difference between average SRMS theory and Boundary scores per theme. This analysis </w:t>
      </w:r>
      <w:r w:rsidR="003418DC">
        <w:rPr>
          <w:rFonts w:ascii="Arial" w:hAnsi="Arial" w:cs="Arial"/>
          <w:lang w:val="en-AU"/>
        </w:rPr>
        <w:t>wa</w:t>
      </w:r>
      <w:r w:rsidRPr="00A45B8E">
        <w:rPr>
          <w:rFonts w:ascii="Arial" w:hAnsi="Arial" w:cs="Arial"/>
          <w:lang w:val="en-AU"/>
        </w:rPr>
        <w:t>s critical because it identifie</w:t>
      </w:r>
      <w:r w:rsidR="003418DC">
        <w:rPr>
          <w:rFonts w:ascii="Arial" w:hAnsi="Arial" w:cs="Arial"/>
          <w:lang w:val="en-AU"/>
        </w:rPr>
        <w:t>d</w:t>
      </w:r>
      <w:r w:rsidRPr="00A45B8E">
        <w:rPr>
          <w:rFonts w:ascii="Arial" w:hAnsi="Arial" w:cs="Arial"/>
          <w:lang w:val="en-AU"/>
        </w:rPr>
        <w:t xml:space="preserve"> thematic imbalances: some literature leans more heavily toward describing physical boundary-layer phenomena, while others lean toward theoretical resonance explanations. Understanding these imbalances help</w:t>
      </w:r>
      <w:r w:rsidR="003418DC">
        <w:rPr>
          <w:rFonts w:ascii="Arial" w:hAnsi="Arial" w:cs="Arial"/>
          <w:lang w:val="en-AU"/>
        </w:rPr>
        <w:t>ed</w:t>
      </w:r>
      <w:r w:rsidRPr="00A45B8E">
        <w:rPr>
          <w:rFonts w:ascii="Arial" w:hAnsi="Arial" w:cs="Arial"/>
          <w:lang w:val="en-AU"/>
        </w:rPr>
        <w:t xml:space="preserve"> clarify the complementary roles of different fields.</w:t>
      </w:r>
    </w:p>
    <w:p w14:paraId="7C003FA4" w14:textId="00505DE3" w:rsidR="00A45B8E" w:rsidRPr="00A45B8E" w:rsidRDefault="00A45B8E" w:rsidP="00A45B8E">
      <w:pPr>
        <w:pStyle w:val="Body"/>
        <w:rPr>
          <w:rFonts w:ascii="Arial" w:hAnsi="Arial" w:cs="Arial"/>
          <w:lang w:val="en-AU"/>
        </w:rPr>
      </w:pPr>
      <w:r w:rsidRPr="00A45B8E">
        <w:rPr>
          <w:rFonts w:ascii="Arial" w:hAnsi="Arial" w:cs="Arial"/>
          <w:lang w:val="en-AU"/>
        </w:rPr>
        <w:t xml:space="preserve">The Δ analysis, shown in Figure 2, highlighted clear differences between themes in how strongly they emphasize resonance-based (SRMS) theory compared to boundary-layer evidence. Theme 1 (Plasma, Ball Lightning, and Atmospheric Luminous Phenomena) carried a slightly </w:t>
      </w:r>
      <w:r w:rsidRPr="00A45B8E">
        <w:rPr>
          <w:rFonts w:ascii="Arial" w:hAnsi="Arial" w:cs="Arial"/>
          <w:b/>
          <w:bCs/>
          <w:lang w:val="en-AU"/>
        </w:rPr>
        <w:t>negative Δ (–0.11)</w:t>
      </w:r>
      <w:r w:rsidRPr="00A45B8E">
        <w:rPr>
          <w:rFonts w:ascii="Arial" w:hAnsi="Arial" w:cs="Arial"/>
          <w:lang w:val="en-AU"/>
        </w:rPr>
        <w:t>, confirming that plasma studies remain</w:t>
      </w:r>
      <w:r w:rsidR="003418DC">
        <w:rPr>
          <w:rFonts w:ascii="Arial" w:hAnsi="Arial" w:cs="Arial"/>
          <w:lang w:val="en-AU"/>
        </w:rPr>
        <w:t>ed</w:t>
      </w:r>
      <w:r w:rsidRPr="00A45B8E">
        <w:rPr>
          <w:rFonts w:ascii="Arial" w:hAnsi="Arial" w:cs="Arial"/>
          <w:lang w:val="en-AU"/>
        </w:rPr>
        <w:t xml:space="preserve"> boundary-heavy, grounded in luminous discharge and halo phenomena, with only limited extension into resonance-based interpretations. In contrast, Theme 4 (Propulsion, Field Drives, and Inertia/Gravity Couplings) showed a strongly </w:t>
      </w:r>
      <w:r w:rsidRPr="00A45B8E">
        <w:rPr>
          <w:rFonts w:ascii="Arial" w:hAnsi="Arial" w:cs="Arial"/>
          <w:b/>
          <w:bCs/>
          <w:lang w:val="en-AU"/>
        </w:rPr>
        <w:t>positive Δ (+0.57)</w:t>
      </w:r>
      <w:r w:rsidRPr="00A45B8E">
        <w:rPr>
          <w:rFonts w:ascii="Arial" w:hAnsi="Arial" w:cs="Arial"/>
          <w:lang w:val="en-AU"/>
        </w:rPr>
        <w:t>, reflecting its emphasis on theoretical SRMS linkages, including propulsion concepts, inertia suppression, and resonance-driven field mechanics.</w:t>
      </w:r>
    </w:p>
    <w:p w14:paraId="7002A1E2" w14:textId="77777777" w:rsidR="00A45B8E" w:rsidRDefault="00A45B8E" w:rsidP="00441B6F">
      <w:pPr>
        <w:pStyle w:val="Body"/>
        <w:spacing w:after="0"/>
        <w:rPr>
          <w:rFonts w:ascii="Arial" w:hAnsi="Arial" w:cs="Arial"/>
        </w:rPr>
        <w:sectPr w:rsidR="00A45B8E" w:rsidSect="00F1627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F09CB91" w14:textId="77777777" w:rsidR="00ED5EA4" w:rsidRPr="00ED5EA4" w:rsidRDefault="00ED5EA4" w:rsidP="00ED5EA4">
      <w:pPr>
        <w:pStyle w:val="Body"/>
        <w:spacing w:after="0"/>
        <w:rPr>
          <w:rFonts w:ascii="Arial" w:hAnsi="Arial" w:cs="Arial"/>
          <w:lang w:val="en-AU"/>
        </w:rPr>
      </w:pPr>
      <w:r w:rsidRPr="00ED5EA4">
        <w:rPr>
          <w:rFonts w:ascii="Arial" w:hAnsi="Arial" w:cs="Arial"/>
          <w:noProof/>
          <w:lang w:val="en-AU"/>
        </w:rPr>
        <w:lastRenderedPageBreak/>
        <w:drawing>
          <wp:inline distT="0" distB="0" distL="0" distR="0" wp14:anchorId="21278677" wp14:editId="43850643">
            <wp:extent cx="7843673" cy="3838353"/>
            <wp:effectExtent l="0" t="0" r="5080" b="0"/>
            <wp:docPr id="17816613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9489" cy="3850986"/>
                    </a:xfrm>
                    <a:prstGeom prst="rect">
                      <a:avLst/>
                    </a:prstGeom>
                    <a:noFill/>
                  </pic:spPr>
                </pic:pic>
              </a:graphicData>
            </a:graphic>
          </wp:inline>
        </w:drawing>
      </w:r>
    </w:p>
    <w:p w14:paraId="49189349" w14:textId="77777777" w:rsidR="00232C63" w:rsidRDefault="00232C63" w:rsidP="00ED5EA4">
      <w:pPr>
        <w:pStyle w:val="Body"/>
        <w:spacing w:after="0"/>
        <w:rPr>
          <w:rFonts w:ascii="Arial" w:hAnsi="Arial" w:cs="Arial"/>
          <w:b/>
          <w:bCs/>
          <w:lang w:val="en-AU"/>
        </w:rPr>
      </w:pPr>
    </w:p>
    <w:p w14:paraId="72F56A67" w14:textId="77777777" w:rsidR="00232C63" w:rsidRDefault="00232C63" w:rsidP="00ED5EA4">
      <w:pPr>
        <w:pStyle w:val="Body"/>
        <w:spacing w:after="0"/>
        <w:rPr>
          <w:rFonts w:ascii="Arial" w:hAnsi="Arial" w:cs="Arial"/>
          <w:b/>
          <w:bCs/>
          <w:lang w:val="en-AU"/>
        </w:rPr>
      </w:pPr>
    </w:p>
    <w:p w14:paraId="0AA919B6" w14:textId="142E6B68" w:rsidR="00ED5EA4" w:rsidRDefault="00ED5EA4" w:rsidP="00ED5EA4">
      <w:pPr>
        <w:pStyle w:val="Body"/>
        <w:spacing w:after="0"/>
        <w:rPr>
          <w:rFonts w:ascii="Arial" w:hAnsi="Arial" w:cs="Arial"/>
          <w:lang w:val="en-AU"/>
        </w:rPr>
        <w:sectPr w:rsidR="00ED5EA4" w:rsidSect="00F1627F">
          <w:pgSz w:w="15840" w:h="12240" w:orient="landscape"/>
          <w:pgMar w:top="2016" w:right="1440" w:bottom="2016" w:left="2016" w:header="720" w:footer="1123" w:gutter="0"/>
          <w:cols w:space="720"/>
          <w:docGrid w:linePitch="272"/>
        </w:sectPr>
      </w:pPr>
      <w:r w:rsidRPr="00ED5EA4">
        <w:rPr>
          <w:rFonts w:ascii="Arial" w:hAnsi="Arial" w:cs="Arial"/>
          <w:b/>
          <w:bCs/>
          <w:lang w:val="en-AU"/>
        </w:rPr>
        <w:t>Figure 1.</w:t>
      </w:r>
      <w:r w:rsidRPr="00ED5EA4">
        <w:rPr>
          <w:rFonts w:ascii="Arial" w:hAnsi="Arial" w:cs="Arial"/>
          <w:lang w:val="en-AU"/>
        </w:rPr>
        <w:t xml:space="preserve"> </w:t>
      </w:r>
      <w:r w:rsidRPr="00ED5EA4">
        <w:rPr>
          <w:rFonts w:ascii="Arial" w:hAnsi="Arial" w:cs="Arial"/>
          <w:i/>
          <w:iCs/>
          <w:lang w:val="en-AU"/>
        </w:rPr>
        <w:t>Theme by Signature distribution of boundary-layer features.</w:t>
      </w:r>
      <w:r w:rsidRPr="00ED5EA4">
        <w:rPr>
          <w:rFonts w:ascii="Arial" w:hAnsi="Arial" w:cs="Arial"/>
          <w:lang w:val="en-AU"/>
        </w:rPr>
        <w:t xml:space="preserve"> Stacked bar chart showing the number of references coded “Yes” for five recurring boundary-layer signatures across thematic categories. Plasma and atmospheric studies contributed most reports of </w:t>
      </w:r>
      <w:r w:rsidRPr="00ED5EA4">
        <w:rPr>
          <w:rFonts w:ascii="Arial" w:hAnsi="Arial" w:cs="Arial"/>
          <w:b/>
          <w:bCs/>
          <w:lang w:val="en-AU"/>
        </w:rPr>
        <w:t>halos/filaments</w:t>
      </w:r>
      <w:r w:rsidRPr="00ED5EA4">
        <w:rPr>
          <w:rFonts w:ascii="Arial" w:hAnsi="Arial" w:cs="Arial"/>
          <w:lang w:val="en-AU"/>
        </w:rPr>
        <w:t xml:space="preserve"> and </w:t>
      </w:r>
      <w:r w:rsidRPr="00ED5EA4">
        <w:rPr>
          <w:rFonts w:ascii="Arial" w:hAnsi="Arial" w:cs="Arial"/>
          <w:b/>
          <w:bCs/>
          <w:lang w:val="en-AU"/>
        </w:rPr>
        <w:t>pane-like shells</w:t>
      </w:r>
      <w:r w:rsidRPr="00ED5EA4">
        <w:rPr>
          <w:rFonts w:ascii="Arial" w:hAnsi="Arial" w:cs="Arial"/>
          <w:lang w:val="en-AU"/>
        </w:rPr>
        <w:t xml:space="preserve">, while gravitational lensing and transformation optics studies dominated </w:t>
      </w:r>
      <w:r w:rsidRPr="00ED5EA4">
        <w:rPr>
          <w:rFonts w:ascii="Arial" w:hAnsi="Arial" w:cs="Arial"/>
          <w:b/>
          <w:bCs/>
          <w:lang w:val="en-AU"/>
        </w:rPr>
        <w:t>localized cloaking/lensing</w:t>
      </w:r>
      <w:r w:rsidRPr="00ED5EA4">
        <w:rPr>
          <w:rFonts w:ascii="Arial" w:hAnsi="Arial" w:cs="Arial"/>
          <w:lang w:val="en-AU"/>
        </w:rPr>
        <w:t xml:space="preserve">. Propulsion-related works accounted for </w:t>
      </w:r>
      <w:r w:rsidR="00232C63" w:rsidRPr="00ED5EA4">
        <w:rPr>
          <w:rFonts w:ascii="Arial" w:hAnsi="Arial" w:cs="Arial"/>
          <w:lang w:val="en-AU"/>
        </w:rPr>
        <w:t>most</w:t>
      </w:r>
      <w:r w:rsidRPr="00ED5EA4">
        <w:rPr>
          <w:rFonts w:ascii="Arial" w:hAnsi="Arial" w:cs="Arial"/>
          <w:lang w:val="en-AU"/>
        </w:rPr>
        <w:t xml:space="preserve"> </w:t>
      </w:r>
      <w:r w:rsidRPr="00ED5EA4">
        <w:rPr>
          <w:rFonts w:ascii="Arial" w:hAnsi="Arial" w:cs="Arial"/>
          <w:b/>
          <w:bCs/>
          <w:lang w:val="en-AU"/>
        </w:rPr>
        <w:t>trans-medium transitions</w:t>
      </w:r>
      <w:r w:rsidRPr="00ED5EA4">
        <w:rPr>
          <w:rFonts w:ascii="Arial" w:hAnsi="Arial" w:cs="Arial"/>
          <w:lang w:val="en-AU"/>
        </w:rPr>
        <w:t xml:space="preserve"> and </w:t>
      </w:r>
      <w:r w:rsidRPr="00ED5EA4">
        <w:rPr>
          <w:rFonts w:ascii="Arial" w:hAnsi="Arial" w:cs="Arial"/>
          <w:b/>
          <w:bCs/>
          <w:lang w:val="en-AU"/>
        </w:rPr>
        <w:t>symmetric axial emissions</w:t>
      </w:r>
      <w:r w:rsidRPr="00ED5EA4">
        <w:rPr>
          <w:rFonts w:ascii="Arial" w:hAnsi="Arial" w:cs="Arial"/>
          <w:lang w:val="en-AU"/>
        </w:rPr>
        <w:t>. The distribution highlights how different research domains emphasize distinct aspects of UAP-related boundary-layer phenomena, providing complementary evidence streams for comparative analysis.</w:t>
      </w:r>
    </w:p>
    <w:p w14:paraId="1C457CFD" w14:textId="77777777" w:rsidR="00A45B8E" w:rsidRPr="00A45B8E" w:rsidRDefault="00A45B8E" w:rsidP="00A45B8E">
      <w:pPr>
        <w:pStyle w:val="Body"/>
        <w:spacing w:after="0"/>
        <w:rPr>
          <w:rFonts w:ascii="Arial" w:hAnsi="Arial" w:cs="Arial"/>
          <w:lang w:val="en-AU"/>
        </w:rPr>
      </w:pPr>
    </w:p>
    <w:p w14:paraId="1681C053" w14:textId="041B8307" w:rsidR="00A45B8E" w:rsidRDefault="00A45B8E" w:rsidP="00A45B8E">
      <w:pPr>
        <w:pStyle w:val="Body"/>
        <w:spacing w:after="0"/>
        <w:rPr>
          <w:rFonts w:ascii="Arial" w:hAnsi="Arial" w:cs="Arial"/>
          <w:lang w:val="en-AU"/>
        </w:rPr>
      </w:pPr>
      <w:r w:rsidRPr="00A45B8E">
        <w:rPr>
          <w:rFonts w:ascii="Arial" w:hAnsi="Arial" w:cs="Arial"/>
          <w:lang w:val="en-AU"/>
        </w:rPr>
        <w:t>Intermediate domains showed more balanced relationships. Themes 2 (Gravitational Lensing, Modified Gravity, and Optical Scalars) and 3 (Transformation Optics, Cloaking, and Metamaterials) displayed moderately positive Δ values (</w:t>
      </w:r>
      <w:r w:rsidRPr="00A45B8E">
        <w:rPr>
          <w:rFonts w:ascii="Arial" w:hAnsi="Arial" w:cs="Arial"/>
          <w:b/>
          <w:bCs/>
          <w:lang w:val="en-AU"/>
        </w:rPr>
        <w:t>+0.38</w:t>
      </w:r>
      <w:r w:rsidRPr="00A45B8E">
        <w:rPr>
          <w:rFonts w:ascii="Arial" w:hAnsi="Arial" w:cs="Arial"/>
          <w:lang w:val="en-AU"/>
        </w:rPr>
        <w:t xml:space="preserve"> and </w:t>
      </w:r>
      <w:r w:rsidRPr="00A45B8E">
        <w:rPr>
          <w:rFonts w:ascii="Arial" w:hAnsi="Arial" w:cs="Arial"/>
          <w:b/>
          <w:bCs/>
          <w:lang w:val="en-AU"/>
        </w:rPr>
        <w:t>+0.33</w:t>
      </w:r>
      <w:r w:rsidRPr="00A45B8E">
        <w:rPr>
          <w:rFonts w:ascii="Arial" w:hAnsi="Arial" w:cs="Arial"/>
          <w:lang w:val="en-AU"/>
        </w:rPr>
        <w:t>, respectively), suggesting that while they remain</w:t>
      </w:r>
      <w:r w:rsidR="003418DC">
        <w:rPr>
          <w:rFonts w:ascii="Arial" w:hAnsi="Arial" w:cs="Arial"/>
          <w:lang w:val="en-AU"/>
        </w:rPr>
        <w:t>ed</w:t>
      </w:r>
      <w:r w:rsidRPr="00A45B8E">
        <w:rPr>
          <w:rFonts w:ascii="Arial" w:hAnsi="Arial" w:cs="Arial"/>
          <w:lang w:val="en-AU"/>
        </w:rPr>
        <w:t xml:space="preserve"> grounded in some boundary-related evidence such as lensing distortions and cloaking analogues, they contribute</w:t>
      </w:r>
      <w:r w:rsidR="003418DC">
        <w:rPr>
          <w:rFonts w:ascii="Arial" w:hAnsi="Arial" w:cs="Arial"/>
          <w:lang w:val="en-AU"/>
        </w:rPr>
        <w:t>d</w:t>
      </w:r>
      <w:r w:rsidRPr="00A45B8E">
        <w:rPr>
          <w:rFonts w:ascii="Arial" w:hAnsi="Arial" w:cs="Arial"/>
          <w:lang w:val="en-AU"/>
        </w:rPr>
        <w:t xml:space="preserve"> more to resonance-based theoretical support. Theme 5 (Observational Field Studies, Instrumentation, and Data) also leaned slightly positive (</w:t>
      </w:r>
      <w:r w:rsidRPr="00A45B8E">
        <w:rPr>
          <w:rFonts w:ascii="Arial" w:hAnsi="Arial" w:cs="Arial"/>
          <w:b/>
          <w:bCs/>
          <w:lang w:val="en-AU"/>
        </w:rPr>
        <w:t>+0.17</w:t>
      </w:r>
      <w:r w:rsidRPr="00A45B8E">
        <w:rPr>
          <w:rFonts w:ascii="Arial" w:hAnsi="Arial" w:cs="Arial"/>
          <w:lang w:val="en-AU"/>
        </w:rPr>
        <w:t>), indicating that empirical reports and instrument datasets often contain</w:t>
      </w:r>
      <w:r w:rsidR="003418DC">
        <w:rPr>
          <w:rFonts w:ascii="Arial" w:hAnsi="Arial" w:cs="Arial"/>
          <w:lang w:val="en-AU"/>
        </w:rPr>
        <w:t>ed</w:t>
      </w:r>
      <w:r w:rsidRPr="00A45B8E">
        <w:rPr>
          <w:rFonts w:ascii="Arial" w:hAnsi="Arial" w:cs="Arial"/>
          <w:lang w:val="en-AU"/>
        </w:rPr>
        <w:t xml:space="preserve"> implicit SRMS-relevant clues alongside their boundary observations.</w:t>
      </w:r>
    </w:p>
    <w:p w14:paraId="370A26DD" w14:textId="77777777" w:rsidR="00A45B8E" w:rsidRPr="00A45B8E" w:rsidRDefault="00A45B8E" w:rsidP="00A45B8E">
      <w:pPr>
        <w:pStyle w:val="Body"/>
        <w:spacing w:after="0"/>
        <w:rPr>
          <w:rFonts w:ascii="Arial" w:hAnsi="Arial" w:cs="Arial"/>
          <w:lang w:val="en-AU"/>
        </w:rPr>
      </w:pPr>
    </w:p>
    <w:p w14:paraId="0ABBFBC2" w14:textId="4567082C" w:rsidR="00A45B8E" w:rsidRDefault="00A45B8E" w:rsidP="00A45B8E">
      <w:pPr>
        <w:pStyle w:val="Body"/>
        <w:spacing w:after="0"/>
        <w:rPr>
          <w:rFonts w:ascii="Arial" w:hAnsi="Arial" w:cs="Arial"/>
          <w:lang w:val="en-AU"/>
        </w:rPr>
      </w:pPr>
      <w:r w:rsidRPr="00A45B8E">
        <w:rPr>
          <w:rFonts w:ascii="Arial" w:hAnsi="Arial" w:cs="Arial"/>
          <w:lang w:val="en-AU"/>
        </w:rPr>
        <w:t>By comparison, Theme 6 (Statistics, Reporting Dynamics, and Catalogues) was exactly balanced (</w:t>
      </w:r>
      <w:r w:rsidRPr="00A45B8E">
        <w:rPr>
          <w:rFonts w:ascii="Arial" w:hAnsi="Arial" w:cs="Arial"/>
          <w:b/>
          <w:bCs/>
          <w:lang w:val="en-AU"/>
        </w:rPr>
        <w:t>Δ = 0.00</w:t>
      </w:r>
      <w:r w:rsidRPr="00A45B8E">
        <w:rPr>
          <w:rFonts w:ascii="Arial" w:hAnsi="Arial" w:cs="Arial"/>
          <w:lang w:val="en-AU"/>
        </w:rPr>
        <w:t>), reflecting its neutral role in classification rather than theoretical or empirical emphasis. Theme 7 (History, Policy, Culture, and Safety) carried a modest positive Δ (</w:t>
      </w:r>
      <w:r w:rsidRPr="00A45B8E">
        <w:rPr>
          <w:rFonts w:ascii="Arial" w:hAnsi="Arial" w:cs="Arial"/>
          <w:b/>
          <w:bCs/>
          <w:lang w:val="en-AU"/>
        </w:rPr>
        <w:t>+0.33</w:t>
      </w:r>
      <w:r w:rsidRPr="00A45B8E">
        <w:rPr>
          <w:rFonts w:ascii="Arial" w:hAnsi="Arial" w:cs="Arial"/>
          <w:lang w:val="en-AU"/>
        </w:rPr>
        <w:t>), although these studies contribute</w:t>
      </w:r>
      <w:r w:rsidR="003418DC">
        <w:rPr>
          <w:rFonts w:ascii="Arial" w:hAnsi="Arial" w:cs="Arial"/>
          <w:lang w:val="en-AU"/>
        </w:rPr>
        <w:t>d</w:t>
      </w:r>
      <w:r w:rsidRPr="00A45B8E">
        <w:rPr>
          <w:rFonts w:ascii="Arial" w:hAnsi="Arial" w:cs="Arial"/>
          <w:lang w:val="en-AU"/>
        </w:rPr>
        <w:t xml:space="preserve"> little beyond contextual framing. Theme 8 (General Overviews, Handbooks, and Guidance) was strongly negative (–0.33), reinforcing that overviews tend to document established boundary-layer features rather than propose resonance frameworks. Finally, Theme 9 (Additional Thematic Fits) carried the highest positive Δ (</w:t>
      </w:r>
      <w:r w:rsidRPr="00A45B8E">
        <w:rPr>
          <w:rFonts w:ascii="Arial" w:hAnsi="Arial" w:cs="Arial"/>
          <w:b/>
          <w:bCs/>
          <w:lang w:val="en-AU"/>
        </w:rPr>
        <w:t>+0.60</w:t>
      </w:r>
      <w:r w:rsidRPr="00A45B8E">
        <w:rPr>
          <w:rFonts w:ascii="Arial" w:hAnsi="Arial" w:cs="Arial"/>
          <w:lang w:val="en-AU"/>
        </w:rPr>
        <w:t>), capturing eclectic studies that often speculate</w:t>
      </w:r>
      <w:r w:rsidR="003418DC">
        <w:rPr>
          <w:rFonts w:ascii="Arial" w:hAnsi="Arial" w:cs="Arial"/>
          <w:lang w:val="en-AU"/>
        </w:rPr>
        <w:t>d</w:t>
      </w:r>
      <w:r w:rsidRPr="00A45B8E">
        <w:rPr>
          <w:rFonts w:ascii="Arial" w:hAnsi="Arial" w:cs="Arial"/>
          <w:lang w:val="en-AU"/>
        </w:rPr>
        <w:t xml:space="preserve"> more heavily on resonance-related interpretations than on direct boundary evidence.</w:t>
      </w:r>
    </w:p>
    <w:p w14:paraId="4C06358C" w14:textId="77777777" w:rsidR="00A45B8E" w:rsidRPr="00A45B8E" w:rsidRDefault="00A45B8E" w:rsidP="00A45B8E">
      <w:pPr>
        <w:pStyle w:val="Body"/>
        <w:spacing w:after="0"/>
        <w:rPr>
          <w:rFonts w:ascii="Arial" w:hAnsi="Arial" w:cs="Arial"/>
          <w:lang w:val="en-AU"/>
        </w:rPr>
      </w:pPr>
    </w:p>
    <w:p w14:paraId="68B5FF84" w14:textId="2E71B77B" w:rsidR="00A45B8E" w:rsidRPr="00A45B8E" w:rsidRDefault="00A45B8E" w:rsidP="00A45B8E">
      <w:pPr>
        <w:pStyle w:val="Body"/>
        <w:spacing w:after="0"/>
        <w:rPr>
          <w:rFonts w:ascii="Arial" w:hAnsi="Arial" w:cs="Arial"/>
          <w:lang w:val="en-AU"/>
        </w:rPr>
      </w:pPr>
      <w:r w:rsidRPr="00A45B8E">
        <w:rPr>
          <w:rFonts w:ascii="Arial" w:hAnsi="Arial" w:cs="Arial"/>
          <w:lang w:val="en-AU"/>
        </w:rPr>
        <w:t>Overall, this Δ metric clarified the roles of different literatures: plasma studies function</w:t>
      </w:r>
      <w:r w:rsidR="005916BE">
        <w:rPr>
          <w:rFonts w:ascii="Arial" w:hAnsi="Arial" w:cs="Arial"/>
          <w:lang w:val="en-AU"/>
        </w:rPr>
        <w:t>ed</w:t>
      </w:r>
      <w:r w:rsidRPr="00A45B8E">
        <w:rPr>
          <w:rFonts w:ascii="Arial" w:hAnsi="Arial" w:cs="Arial"/>
          <w:lang w:val="en-AU"/>
        </w:rPr>
        <w:t xml:space="preserve"> as empirical feeders anchored in boundary signatures; propulsion and additional thematic works serve</w:t>
      </w:r>
      <w:r w:rsidR="005916BE">
        <w:rPr>
          <w:rFonts w:ascii="Arial" w:hAnsi="Arial" w:cs="Arial"/>
          <w:lang w:val="en-AU"/>
        </w:rPr>
        <w:t>d</w:t>
      </w:r>
      <w:r w:rsidRPr="00A45B8E">
        <w:rPr>
          <w:rFonts w:ascii="Arial" w:hAnsi="Arial" w:cs="Arial"/>
          <w:lang w:val="en-AU"/>
        </w:rPr>
        <w:t xml:space="preserve"> as theoretical engines with strong SRMS emphasis; lensing, optics, and observational reports bridge</w:t>
      </w:r>
      <w:r w:rsidR="005916BE">
        <w:rPr>
          <w:rFonts w:ascii="Arial" w:hAnsi="Arial" w:cs="Arial"/>
          <w:lang w:val="en-AU"/>
        </w:rPr>
        <w:t>d</w:t>
      </w:r>
      <w:r w:rsidRPr="00A45B8E">
        <w:rPr>
          <w:rFonts w:ascii="Arial" w:hAnsi="Arial" w:cs="Arial"/>
          <w:lang w:val="en-AU"/>
        </w:rPr>
        <w:t xml:space="preserve"> the two domains; and statistical or contextual themes remain</w:t>
      </w:r>
      <w:r w:rsidR="005916BE">
        <w:rPr>
          <w:rFonts w:ascii="Arial" w:hAnsi="Arial" w:cs="Arial"/>
          <w:lang w:val="en-AU"/>
        </w:rPr>
        <w:t>ed</w:t>
      </w:r>
      <w:r w:rsidRPr="00A45B8E">
        <w:rPr>
          <w:rFonts w:ascii="Arial" w:hAnsi="Arial" w:cs="Arial"/>
          <w:lang w:val="en-AU"/>
        </w:rPr>
        <w:t xml:space="preserve"> peripheral.</w:t>
      </w:r>
    </w:p>
    <w:p w14:paraId="1111FDCA" w14:textId="77777777" w:rsidR="00ED5EA4" w:rsidRDefault="00ED5EA4" w:rsidP="00441B6F">
      <w:pPr>
        <w:pStyle w:val="Body"/>
        <w:spacing w:after="0"/>
        <w:rPr>
          <w:rFonts w:ascii="Arial" w:hAnsi="Arial" w:cs="Arial"/>
        </w:rPr>
      </w:pPr>
    </w:p>
    <w:p w14:paraId="55E2B797" w14:textId="77777777" w:rsidR="00A45B8E" w:rsidRDefault="00A45B8E" w:rsidP="00A45B8E">
      <w:pPr>
        <w:pStyle w:val="Body"/>
        <w:spacing w:after="0"/>
        <w:rPr>
          <w:rFonts w:ascii="Arial" w:hAnsi="Arial" w:cs="Arial"/>
          <w:b/>
          <w:bCs/>
          <w:lang w:val="en-AU"/>
        </w:rPr>
      </w:pPr>
    </w:p>
    <w:p w14:paraId="1B9221CD" w14:textId="13EB11CD" w:rsidR="00A45B8E" w:rsidRPr="00A45B8E" w:rsidRDefault="00DB0EB5" w:rsidP="00A45B8E">
      <w:pPr>
        <w:pStyle w:val="Body"/>
        <w:spacing w:after="0"/>
        <w:rPr>
          <w:rFonts w:ascii="Arial" w:hAnsi="Arial" w:cs="Arial"/>
          <w:b/>
          <w:bCs/>
          <w:lang w:val="en-AU"/>
        </w:rPr>
      </w:pPr>
      <w:r w:rsidRPr="00DB0EB5">
        <w:rPr>
          <w:rFonts w:ascii="Arial" w:hAnsi="Arial" w:cs="Arial"/>
          <w:b/>
          <w:bCs/>
          <w:lang w:val="en-AU"/>
        </w:rPr>
        <w:t>3</w:t>
      </w:r>
      <w:r w:rsidR="00A45B8E" w:rsidRPr="00A45B8E">
        <w:rPr>
          <w:rFonts w:ascii="Arial" w:hAnsi="Arial" w:cs="Arial"/>
          <w:b/>
          <w:bCs/>
          <w:lang w:val="en-AU"/>
        </w:rPr>
        <w:t>.</w:t>
      </w:r>
      <w:r w:rsidRPr="00DB0EB5">
        <w:rPr>
          <w:rFonts w:ascii="Arial" w:hAnsi="Arial" w:cs="Arial"/>
          <w:b/>
          <w:bCs/>
          <w:lang w:val="en-AU"/>
        </w:rPr>
        <w:t>5</w:t>
      </w:r>
      <w:r w:rsidR="00A45B8E" w:rsidRPr="00A45B8E">
        <w:rPr>
          <w:rFonts w:ascii="Arial" w:hAnsi="Arial" w:cs="Arial"/>
          <w:b/>
          <w:bCs/>
          <w:lang w:val="en-AU"/>
        </w:rPr>
        <w:t xml:space="preserve"> Co-occurrence Matrix Results</w:t>
      </w:r>
    </w:p>
    <w:p w14:paraId="4C1AFC68" w14:textId="77777777" w:rsidR="00A45B8E" w:rsidRDefault="00A45B8E" w:rsidP="00A45B8E">
      <w:pPr>
        <w:pStyle w:val="Body"/>
        <w:spacing w:after="0"/>
        <w:rPr>
          <w:rFonts w:ascii="Arial" w:hAnsi="Arial" w:cs="Arial"/>
          <w:lang w:val="en-AU"/>
        </w:rPr>
      </w:pPr>
    </w:p>
    <w:p w14:paraId="5027844C" w14:textId="1B629036" w:rsidR="00A45B8E" w:rsidRDefault="00A45B8E" w:rsidP="00A45B8E">
      <w:pPr>
        <w:pStyle w:val="Body"/>
        <w:spacing w:after="0"/>
        <w:rPr>
          <w:rFonts w:ascii="Arial" w:hAnsi="Arial" w:cs="Arial"/>
          <w:lang w:val="en-AU"/>
        </w:rPr>
      </w:pPr>
      <w:r w:rsidRPr="00A45B8E">
        <w:rPr>
          <w:rFonts w:ascii="Arial" w:hAnsi="Arial" w:cs="Arial"/>
          <w:lang w:val="en-AU"/>
        </w:rPr>
        <w:t>The final layer of analysis came from the 5 × 5 Boundary vs SRMS</w:t>
      </w:r>
      <w:r w:rsidRPr="00A45B8E">
        <w:rPr>
          <w:rFonts w:ascii="Arial" w:hAnsi="Arial" w:cs="Arial"/>
          <w:b/>
          <w:bCs/>
          <w:lang w:val="en-AU"/>
        </w:rPr>
        <w:t xml:space="preserve"> </w:t>
      </w:r>
      <w:r w:rsidRPr="00A45B8E">
        <w:rPr>
          <w:rFonts w:ascii="Arial" w:hAnsi="Arial" w:cs="Arial"/>
          <w:lang w:val="en-AU"/>
        </w:rPr>
        <w:t>co-occurrence matrix, which examined how often specific score combinations appeared (</w:t>
      </w:r>
      <w:r w:rsidRPr="00A45B8E">
        <w:rPr>
          <w:rFonts w:ascii="Arial" w:hAnsi="Arial" w:cs="Arial"/>
          <w:b/>
          <w:bCs/>
          <w:lang w:val="en-AU"/>
        </w:rPr>
        <w:t>Figure 3</w:t>
      </w:r>
      <w:r w:rsidRPr="00A45B8E">
        <w:rPr>
          <w:rFonts w:ascii="Arial" w:hAnsi="Arial" w:cs="Arial"/>
          <w:lang w:val="en-AU"/>
        </w:rPr>
        <w:t>). This two-dimensional view is important because it reveal</w:t>
      </w:r>
      <w:r w:rsidR="005916BE">
        <w:rPr>
          <w:rFonts w:ascii="Arial" w:hAnsi="Arial" w:cs="Arial"/>
          <w:lang w:val="en-AU"/>
        </w:rPr>
        <w:t>ed</w:t>
      </w:r>
      <w:r w:rsidRPr="00A45B8E">
        <w:rPr>
          <w:rFonts w:ascii="Arial" w:hAnsi="Arial" w:cs="Arial"/>
          <w:lang w:val="en-AU"/>
        </w:rPr>
        <w:t xml:space="preserve"> whether strong boundary evidence tend</w:t>
      </w:r>
      <w:r w:rsidR="005916BE">
        <w:rPr>
          <w:rFonts w:ascii="Arial" w:hAnsi="Arial" w:cs="Arial"/>
          <w:lang w:val="en-AU"/>
        </w:rPr>
        <w:t>ed</w:t>
      </w:r>
      <w:r w:rsidRPr="00A45B8E">
        <w:rPr>
          <w:rFonts w:ascii="Arial" w:hAnsi="Arial" w:cs="Arial"/>
          <w:lang w:val="en-AU"/>
        </w:rPr>
        <w:t xml:space="preserve"> to co-occur with strong SRMS theory evidence, reinforcing results for SRMS – boundary trends described previously, or whether the two </w:t>
      </w:r>
      <w:r w:rsidR="005916BE">
        <w:rPr>
          <w:rFonts w:ascii="Arial" w:hAnsi="Arial" w:cs="Arial"/>
          <w:lang w:val="en-AU"/>
        </w:rPr>
        <w:t>a</w:t>
      </w:r>
      <w:r w:rsidRPr="00A45B8E">
        <w:rPr>
          <w:rFonts w:ascii="Arial" w:hAnsi="Arial" w:cs="Arial"/>
          <w:lang w:val="en-AU"/>
        </w:rPr>
        <w:t>re decoupled (see Table 3). Such clustering patterns can show whether the field is converging toward unified explanations or remaining fragmented.</w:t>
      </w:r>
    </w:p>
    <w:p w14:paraId="37EE11DF" w14:textId="77777777" w:rsidR="00A45B8E" w:rsidRPr="00A45B8E" w:rsidRDefault="00A45B8E" w:rsidP="00A45B8E">
      <w:pPr>
        <w:pStyle w:val="Body"/>
        <w:spacing w:after="0"/>
        <w:rPr>
          <w:rFonts w:ascii="Arial" w:hAnsi="Arial" w:cs="Arial"/>
          <w:lang w:val="en-AU"/>
        </w:rPr>
      </w:pPr>
    </w:p>
    <w:p w14:paraId="170B34C0" w14:textId="4F113864" w:rsidR="00A45B8E" w:rsidRPr="00A45B8E" w:rsidRDefault="00A45B8E" w:rsidP="00A45B8E">
      <w:pPr>
        <w:pStyle w:val="Body"/>
        <w:spacing w:after="0"/>
        <w:rPr>
          <w:rFonts w:ascii="Arial" w:hAnsi="Arial" w:cs="Arial"/>
          <w:lang w:val="en-AU"/>
        </w:rPr>
      </w:pPr>
      <w:r w:rsidRPr="00A45B8E">
        <w:rPr>
          <w:rFonts w:ascii="Arial" w:hAnsi="Arial" w:cs="Arial"/>
          <w:lang w:val="en-AU"/>
        </w:rPr>
        <w:t xml:space="preserve">The populated matrix showed two clear clusters (Figure 3). The first was a mid-range concentration spanning </w:t>
      </w:r>
      <w:r w:rsidRPr="00A45B8E">
        <w:rPr>
          <w:rFonts w:ascii="Arial" w:hAnsi="Arial" w:cs="Arial"/>
          <w:b/>
          <w:bCs/>
          <w:lang w:val="en-AU"/>
        </w:rPr>
        <w:t>Boundary = 2–3 and SRMS = 2–3</w:t>
      </w:r>
      <w:r w:rsidRPr="00A45B8E">
        <w:rPr>
          <w:rFonts w:ascii="Arial" w:hAnsi="Arial" w:cs="Arial"/>
          <w:lang w:val="en-AU"/>
        </w:rPr>
        <w:t xml:space="preserve">, dominated by plasma and atmospheric studies that documented halos and partial anomalies without strong resonance interpretation. The second cluster emerged at </w:t>
      </w:r>
      <w:r w:rsidRPr="00A45B8E">
        <w:rPr>
          <w:rFonts w:ascii="Arial" w:hAnsi="Arial" w:cs="Arial"/>
          <w:b/>
          <w:bCs/>
          <w:lang w:val="en-AU"/>
        </w:rPr>
        <w:t>Boundary = 3–4 and SRMS = 3–4</w:t>
      </w:r>
      <w:r w:rsidRPr="00A45B8E">
        <w:rPr>
          <w:rFonts w:ascii="Arial" w:hAnsi="Arial" w:cs="Arial"/>
          <w:lang w:val="en-AU"/>
        </w:rPr>
        <w:t>, populated mainly by optics, metamaterials, and propulsion papers that explicitly linked anomalous features to resonance mobility. Only isolated entries appeared in the extreme corners (e.g., Boundary = 5, SRMS = 1, or Boundary = 5, SRMS = 5), confirming that strong boundary evidence almost always coincide</w:t>
      </w:r>
      <w:r w:rsidR="005916BE">
        <w:rPr>
          <w:rFonts w:ascii="Arial" w:hAnsi="Arial" w:cs="Arial"/>
          <w:lang w:val="en-AU"/>
        </w:rPr>
        <w:t>d</w:t>
      </w:r>
      <w:r w:rsidRPr="00A45B8E">
        <w:rPr>
          <w:rFonts w:ascii="Arial" w:hAnsi="Arial" w:cs="Arial"/>
          <w:lang w:val="en-AU"/>
        </w:rPr>
        <w:t xml:space="preserve"> with at least moderate resonance relevance. This distribution suggest</w:t>
      </w:r>
      <w:r w:rsidR="005916BE">
        <w:rPr>
          <w:rFonts w:ascii="Arial" w:hAnsi="Arial" w:cs="Arial"/>
          <w:lang w:val="en-AU"/>
        </w:rPr>
        <w:t>ed</w:t>
      </w:r>
      <w:r w:rsidRPr="00A45B8E">
        <w:rPr>
          <w:rFonts w:ascii="Arial" w:hAnsi="Arial" w:cs="Arial"/>
          <w:lang w:val="en-AU"/>
        </w:rPr>
        <w:t xml:space="preserve"> that the literature </w:t>
      </w:r>
      <w:r w:rsidR="005916BE">
        <w:rPr>
          <w:rFonts w:ascii="Arial" w:hAnsi="Arial" w:cs="Arial"/>
          <w:lang w:val="en-AU"/>
        </w:rPr>
        <w:t>wa</w:t>
      </w:r>
      <w:r w:rsidRPr="00A45B8E">
        <w:rPr>
          <w:rFonts w:ascii="Arial" w:hAnsi="Arial" w:cs="Arial"/>
          <w:lang w:val="en-AU"/>
        </w:rPr>
        <w:t xml:space="preserve">s </w:t>
      </w:r>
      <w:r w:rsidRPr="00A45B8E">
        <w:rPr>
          <w:rFonts w:ascii="Arial" w:hAnsi="Arial" w:cs="Arial"/>
          <w:b/>
          <w:bCs/>
          <w:lang w:val="en-AU"/>
        </w:rPr>
        <w:t>bimodal</w:t>
      </w:r>
      <w:r w:rsidRPr="00A45B8E">
        <w:rPr>
          <w:rFonts w:ascii="Arial" w:hAnsi="Arial" w:cs="Arial"/>
          <w:lang w:val="en-AU"/>
        </w:rPr>
        <w:t>: it divide</w:t>
      </w:r>
      <w:r w:rsidR="005916BE">
        <w:rPr>
          <w:rFonts w:ascii="Arial" w:hAnsi="Arial" w:cs="Arial"/>
          <w:lang w:val="en-AU"/>
        </w:rPr>
        <w:t>d</w:t>
      </w:r>
      <w:r w:rsidRPr="00A45B8E">
        <w:rPr>
          <w:rFonts w:ascii="Arial" w:hAnsi="Arial" w:cs="Arial"/>
          <w:lang w:val="en-AU"/>
        </w:rPr>
        <w:t xml:space="preserve"> between mid-strength empirical feeders and higher strength theoretical engines, with very few outliers.</w:t>
      </w:r>
    </w:p>
    <w:p w14:paraId="2B03B3D9" w14:textId="77777777" w:rsidR="00ED5EA4" w:rsidRDefault="00ED5EA4" w:rsidP="00441B6F">
      <w:pPr>
        <w:pStyle w:val="Body"/>
        <w:spacing w:after="0"/>
        <w:rPr>
          <w:rFonts w:ascii="Arial" w:hAnsi="Arial" w:cs="Arial"/>
        </w:rPr>
      </w:pPr>
    </w:p>
    <w:p w14:paraId="7D6077D6" w14:textId="77777777" w:rsidR="00ED5EA4" w:rsidRDefault="00ED5EA4" w:rsidP="00441B6F">
      <w:pPr>
        <w:pStyle w:val="Body"/>
        <w:spacing w:after="0"/>
        <w:rPr>
          <w:rFonts w:ascii="Arial" w:hAnsi="Arial" w:cs="Arial"/>
        </w:rPr>
      </w:pPr>
    </w:p>
    <w:p w14:paraId="62DE5D0E" w14:textId="77777777" w:rsidR="00ED5EA4" w:rsidRDefault="00ED5EA4" w:rsidP="00441B6F">
      <w:pPr>
        <w:pStyle w:val="Body"/>
        <w:spacing w:after="0"/>
        <w:rPr>
          <w:rFonts w:ascii="Arial" w:hAnsi="Arial" w:cs="Arial"/>
        </w:rPr>
      </w:pPr>
    </w:p>
    <w:p w14:paraId="4EEB64A6" w14:textId="77777777" w:rsidR="00A45B8E" w:rsidRDefault="00A45B8E" w:rsidP="00441B6F">
      <w:pPr>
        <w:pStyle w:val="Body"/>
        <w:spacing w:after="0"/>
        <w:rPr>
          <w:rFonts w:ascii="Arial" w:hAnsi="Arial" w:cs="Arial"/>
        </w:rPr>
        <w:sectPr w:rsidR="00A45B8E" w:rsidSect="00F1627F">
          <w:pgSz w:w="12240" w:h="15840"/>
          <w:pgMar w:top="1440" w:right="2016" w:bottom="2016" w:left="2016" w:header="720" w:footer="1123" w:gutter="0"/>
          <w:cols w:space="720"/>
          <w:docGrid w:linePitch="272"/>
        </w:sectPr>
      </w:pPr>
    </w:p>
    <w:p w14:paraId="6B2F60C3" w14:textId="77777777" w:rsidR="00A45B8E" w:rsidRPr="00A45B8E" w:rsidRDefault="00A45B8E" w:rsidP="00A45B8E">
      <w:pPr>
        <w:pStyle w:val="Body"/>
        <w:spacing w:after="0"/>
        <w:rPr>
          <w:rFonts w:ascii="Arial" w:hAnsi="Arial" w:cs="Arial"/>
          <w:lang w:val="en-AU"/>
        </w:rPr>
      </w:pPr>
      <w:r w:rsidRPr="00A45B8E">
        <w:rPr>
          <w:rFonts w:ascii="Arial" w:hAnsi="Arial" w:cs="Arial"/>
          <w:b/>
          <w:bCs/>
          <w:lang w:val="en-AU"/>
        </w:rPr>
        <w:lastRenderedPageBreak/>
        <w:t xml:space="preserve">Table 4. Mean Boundary and SRMS Linkage </w:t>
      </w:r>
      <w:r w:rsidRPr="00A45B8E">
        <w:rPr>
          <w:rFonts w:ascii="Arial" w:hAnsi="Arial" w:cs="Arial"/>
          <w:lang w:val="en-AU"/>
        </w:rPr>
        <w:t>Scores by Theme. Summary of mean and median Boundary-Link and SRMS-Link scores by theme, showing how different domains vary in their empirical boundary evidence and theoretical resonance relevance.</w:t>
      </w:r>
    </w:p>
    <w:p w14:paraId="139FFE72" w14:textId="77777777" w:rsidR="00A45B8E" w:rsidRDefault="00A45B8E" w:rsidP="00A45B8E">
      <w:pPr>
        <w:pStyle w:val="Body"/>
        <w:spacing w:after="0"/>
        <w:rPr>
          <w:rFonts w:ascii="Arial" w:hAnsi="Arial" w:cs="Arial"/>
          <w:b/>
          <w:bCs/>
          <w:lang w:val="en-AU"/>
        </w:rPr>
      </w:pPr>
    </w:p>
    <w:p w14:paraId="7AA65A23" w14:textId="60E8506C" w:rsidR="00A45B8E" w:rsidRPr="00A45B8E" w:rsidRDefault="00A45B8E" w:rsidP="00A45B8E">
      <w:pPr>
        <w:pStyle w:val="Body"/>
        <w:spacing w:after="0"/>
        <w:rPr>
          <w:rFonts w:ascii="Arial" w:hAnsi="Arial" w:cs="Arial"/>
          <w:b/>
          <w:bCs/>
          <w:lang w:val="en-AU"/>
        </w:rPr>
      </w:pPr>
      <w:r>
        <w:rPr>
          <w:rFonts w:ascii="Arial" w:hAnsi="Arial" w:cs="Arial"/>
          <w:b/>
          <w:bCs/>
          <w:noProof/>
          <w:lang w:val="en-AU"/>
        </w:rPr>
        <mc:AlternateContent>
          <mc:Choice Requires="wps">
            <w:drawing>
              <wp:anchor distT="0" distB="0" distL="114300" distR="114300" simplePos="0" relativeHeight="251666432" behindDoc="0" locked="0" layoutInCell="1" allowOverlap="1" wp14:anchorId="24445226" wp14:editId="2FDE1D4C">
                <wp:simplePos x="0" y="0"/>
                <wp:positionH relativeFrom="column">
                  <wp:posOffset>27295</wp:posOffset>
                </wp:positionH>
                <wp:positionV relativeFrom="paragraph">
                  <wp:posOffset>162351</wp:posOffset>
                </wp:positionV>
                <wp:extent cx="8665845" cy="0"/>
                <wp:effectExtent l="0" t="0" r="0" b="0"/>
                <wp:wrapNone/>
                <wp:docPr id="761681694" name="Straight Connector 2"/>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21A238"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8pt" to="68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2"/>
        <w:gridCol w:w="1308"/>
        <w:gridCol w:w="1302"/>
        <w:gridCol w:w="1398"/>
        <w:gridCol w:w="946"/>
        <w:gridCol w:w="1093"/>
        <w:gridCol w:w="4159"/>
      </w:tblGrid>
      <w:tr w:rsidR="00A45B8E" w:rsidRPr="00A45B8E" w14:paraId="33497F4C" w14:textId="77777777" w:rsidTr="00A45B8E">
        <w:trPr>
          <w:tblHeader/>
          <w:tblCellSpacing w:w="15" w:type="dxa"/>
        </w:trPr>
        <w:tc>
          <w:tcPr>
            <w:tcW w:w="0" w:type="auto"/>
            <w:vAlign w:val="center"/>
            <w:hideMark/>
          </w:tcPr>
          <w:p w14:paraId="7BF11A93" w14:textId="772EB032" w:rsidR="00A45B8E" w:rsidRPr="00A45B8E" w:rsidRDefault="00A45B8E" w:rsidP="00A45B8E">
            <w:pPr>
              <w:pStyle w:val="Body"/>
              <w:spacing w:after="0"/>
              <w:rPr>
                <w:rFonts w:ascii="Arial" w:hAnsi="Arial" w:cs="Arial"/>
                <w:b/>
                <w:bCs/>
                <w:lang w:val="en-AU"/>
              </w:rPr>
            </w:pPr>
            <w:r>
              <w:rPr>
                <w:rFonts w:ascii="Arial" w:hAnsi="Arial" w:cs="Arial"/>
                <w:b/>
                <w:bCs/>
                <w:noProof/>
                <w:lang w:val="en-AU"/>
              </w:rPr>
              <mc:AlternateContent>
                <mc:Choice Requires="wps">
                  <w:drawing>
                    <wp:anchor distT="0" distB="0" distL="114300" distR="114300" simplePos="0" relativeHeight="251667456" behindDoc="0" locked="0" layoutInCell="1" allowOverlap="1" wp14:anchorId="552A5DBB" wp14:editId="01779953">
                      <wp:simplePos x="0" y="0"/>
                      <wp:positionH relativeFrom="column">
                        <wp:posOffset>3810</wp:posOffset>
                      </wp:positionH>
                      <wp:positionV relativeFrom="paragraph">
                        <wp:posOffset>273050</wp:posOffset>
                      </wp:positionV>
                      <wp:extent cx="8665845" cy="0"/>
                      <wp:effectExtent l="0" t="0" r="0" b="0"/>
                      <wp:wrapNone/>
                      <wp:docPr id="595613696" name="Straight Connector 3"/>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6311B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5pt" to="682.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" strokecolor="black [3040]"/>
                  </w:pict>
                </mc:Fallback>
              </mc:AlternateContent>
            </w:r>
            <w:r w:rsidRPr="00A45B8E">
              <w:rPr>
                <w:rFonts w:ascii="Arial" w:hAnsi="Arial" w:cs="Arial"/>
                <w:b/>
                <w:bCs/>
                <w:lang w:val="en-AU"/>
              </w:rPr>
              <w:t>Theme</w:t>
            </w:r>
          </w:p>
        </w:tc>
        <w:tc>
          <w:tcPr>
            <w:tcW w:w="0" w:type="auto"/>
            <w:vAlign w:val="center"/>
            <w:hideMark/>
          </w:tcPr>
          <w:p w14:paraId="6B957E53" w14:textId="1A12DE56"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References (n)</w:t>
            </w:r>
          </w:p>
        </w:tc>
        <w:tc>
          <w:tcPr>
            <w:tcW w:w="0" w:type="auto"/>
            <w:vAlign w:val="center"/>
            <w:hideMark/>
          </w:tcPr>
          <w:p w14:paraId="611C18FB"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Mean Boundary</w:t>
            </w:r>
          </w:p>
        </w:tc>
        <w:tc>
          <w:tcPr>
            <w:tcW w:w="0" w:type="auto"/>
            <w:vAlign w:val="center"/>
            <w:hideMark/>
          </w:tcPr>
          <w:p w14:paraId="0DF74581"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Median Boundary</w:t>
            </w:r>
          </w:p>
        </w:tc>
        <w:tc>
          <w:tcPr>
            <w:tcW w:w="0" w:type="auto"/>
            <w:vAlign w:val="center"/>
            <w:hideMark/>
          </w:tcPr>
          <w:p w14:paraId="6232240D"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Mean SRMS</w:t>
            </w:r>
          </w:p>
        </w:tc>
        <w:tc>
          <w:tcPr>
            <w:tcW w:w="0" w:type="auto"/>
            <w:vAlign w:val="center"/>
            <w:hideMark/>
          </w:tcPr>
          <w:p w14:paraId="389DFDC9"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Median SRMS</w:t>
            </w:r>
          </w:p>
        </w:tc>
        <w:tc>
          <w:tcPr>
            <w:tcW w:w="0" w:type="auto"/>
            <w:vAlign w:val="center"/>
            <w:hideMark/>
          </w:tcPr>
          <w:p w14:paraId="201DD38D"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Notes</w:t>
            </w:r>
          </w:p>
        </w:tc>
      </w:tr>
      <w:tr w:rsidR="00A45B8E" w:rsidRPr="00A45B8E" w14:paraId="6F46AE4B" w14:textId="77777777" w:rsidTr="00A45B8E">
        <w:trPr>
          <w:tblCellSpacing w:w="15" w:type="dxa"/>
        </w:trPr>
        <w:tc>
          <w:tcPr>
            <w:tcW w:w="0" w:type="auto"/>
            <w:vAlign w:val="center"/>
            <w:hideMark/>
          </w:tcPr>
          <w:p w14:paraId="25A54D7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1. Plasma, Ball Lightning &amp; Atmospheric Luminous Phenomena</w:t>
            </w:r>
          </w:p>
        </w:tc>
        <w:tc>
          <w:tcPr>
            <w:tcW w:w="0" w:type="auto"/>
            <w:vAlign w:val="center"/>
            <w:hideMark/>
          </w:tcPr>
          <w:p w14:paraId="519AAE2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9</w:t>
            </w:r>
          </w:p>
        </w:tc>
        <w:tc>
          <w:tcPr>
            <w:tcW w:w="0" w:type="auto"/>
            <w:vAlign w:val="center"/>
            <w:hideMark/>
          </w:tcPr>
          <w:p w14:paraId="361887D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3.00</w:t>
            </w:r>
          </w:p>
        </w:tc>
        <w:tc>
          <w:tcPr>
            <w:tcW w:w="0" w:type="auto"/>
            <w:vAlign w:val="center"/>
            <w:hideMark/>
          </w:tcPr>
          <w:p w14:paraId="661FB28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6911793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2.89</w:t>
            </w:r>
          </w:p>
        </w:tc>
        <w:tc>
          <w:tcPr>
            <w:tcW w:w="0" w:type="auto"/>
            <w:vAlign w:val="center"/>
            <w:hideMark/>
          </w:tcPr>
          <w:p w14:paraId="5E649423"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5393FC66"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Strongest in halos/filaments and laminar shells; weaker SRMS linkage</w:t>
            </w:r>
          </w:p>
        </w:tc>
      </w:tr>
      <w:tr w:rsidR="00A45B8E" w:rsidRPr="00A45B8E" w14:paraId="48EF4C5F" w14:textId="77777777" w:rsidTr="00A45B8E">
        <w:trPr>
          <w:tblCellSpacing w:w="15" w:type="dxa"/>
        </w:trPr>
        <w:tc>
          <w:tcPr>
            <w:tcW w:w="0" w:type="auto"/>
            <w:vAlign w:val="center"/>
            <w:hideMark/>
          </w:tcPr>
          <w:p w14:paraId="059959E7"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2. Gravitational Lensing, Modified Gravity &amp; Optical Analogues</w:t>
            </w:r>
          </w:p>
        </w:tc>
        <w:tc>
          <w:tcPr>
            <w:tcW w:w="0" w:type="auto"/>
            <w:vAlign w:val="center"/>
            <w:hideMark/>
          </w:tcPr>
          <w:p w14:paraId="671AA0B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8</w:t>
            </w:r>
          </w:p>
        </w:tc>
        <w:tc>
          <w:tcPr>
            <w:tcW w:w="0" w:type="auto"/>
            <w:vAlign w:val="center"/>
            <w:hideMark/>
          </w:tcPr>
          <w:p w14:paraId="0393CC3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3.00</w:t>
            </w:r>
          </w:p>
        </w:tc>
        <w:tc>
          <w:tcPr>
            <w:tcW w:w="0" w:type="auto"/>
            <w:vAlign w:val="center"/>
            <w:hideMark/>
          </w:tcPr>
          <w:p w14:paraId="580D537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1248942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3.38</w:t>
            </w:r>
          </w:p>
        </w:tc>
        <w:tc>
          <w:tcPr>
            <w:tcW w:w="0" w:type="auto"/>
            <w:vAlign w:val="center"/>
            <w:hideMark/>
          </w:tcPr>
          <w:p w14:paraId="0568DA1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22844F9F"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Balanced: consistent boundary and SRMS relevance</w:t>
            </w:r>
          </w:p>
        </w:tc>
      </w:tr>
      <w:tr w:rsidR="00A45B8E" w:rsidRPr="00A45B8E" w14:paraId="4FA817DD" w14:textId="77777777" w:rsidTr="00A45B8E">
        <w:trPr>
          <w:tblCellSpacing w:w="15" w:type="dxa"/>
        </w:trPr>
        <w:tc>
          <w:tcPr>
            <w:tcW w:w="0" w:type="auto"/>
            <w:vAlign w:val="center"/>
            <w:hideMark/>
          </w:tcPr>
          <w:p w14:paraId="1F51A88A"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3. Transformation Optics, Cloaking &amp; Metamaterials</w:t>
            </w:r>
          </w:p>
        </w:tc>
        <w:tc>
          <w:tcPr>
            <w:tcW w:w="0" w:type="auto"/>
            <w:vAlign w:val="center"/>
            <w:hideMark/>
          </w:tcPr>
          <w:p w14:paraId="1ABB695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22C3D7D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3.83</w:t>
            </w:r>
          </w:p>
        </w:tc>
        <w:tc>
          <w:tcPr>
            <w:tcW w:w="0" w:type="auto"/>
            <w:vAlign w:val="center"/>
            <w:hideMark/>
          </w:tcPr>
          <w:p w14:paraId="4E3CFCC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14BAEAD7"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4.17</w:t>
            </w:r>
          </w:p>
        </w:tc>
        <w:tc>
          <w:tcPr>
            <w:tcW w:w="0" w:type="auto"/>
            <w:vAlign w:val="center"/>
            <w:hideMark/>
          </w:tcPr>
          <w:p w14:paraId="61CFED9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00DA3EC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Highest overall: strong in both boundary and SRMS</w:t>
            </w:r>
          </w:p>
        </w:tc>
      </w:tr>
      <w:tr w:rsidR="00A45B8E" w:rsidRPr="00A45B8E" w14:paraId="02E7A411" w14:textId="77777777" w:rsidTr="00A45B8E">
        <w:trPr>
          <w:tblCellSpacing w:w="15" w:type="dxa"/>
        </w:trPr>
        <w:tc>
          <w:tcPr>
            <w:tcW w:w="0" w:type="auto"/>
            <w:vAlign w:val="center"/>
            <w:hideMark/>
          </w:tcPr>
          <w:p w14:paraId="7EA84782"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4. Propulsion, Field Drives &amp; Inertia/Gravity Coupling</w:t>
            </w:r>
          </w:p>
        </w:tc>
        <w:tc>
          <w:tcPr>
            <w:tcW w:w="0" w:type="auto"/>
            <w:vAlign w:val="center"/>
            <w:hideMark/>
          </w:tcPr>
          <w:p w14:paraId="18CC43CF"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7</w:t>
            </w:r>
          </w:p>
        </w:tc>
        <w:tc>
          <w:tcPr>
            <w:tcW w:w="0" w:type="auto"/>
            <w:vAlign w:val="center"/>
            <w:hideMark/>
          </w:tcPr>
          <w:p w14:paraId="6F522028"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2.86</w:t>
            </w:r>
          </w:p>
        </w:tc>
        <w:tc>
          <w:tcPr>
            <w:tcW w:w="0" w:type="auto"/>
            <w:vAlign w:val="center"/>
            <w:hideMark/>
          </w:tcPr>
          <w:p w14:paraId="3CA8951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2A6B94C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3.43</w:t>
            </w:r>
          </w:p>
        </w:tc>
        <w:tc>
          <w:tcPr>
            <w:tcW w:w="0" w:type="auto"/>
            <w:vAlign w:val="center"/>
            <w:hideMark/>
          </w:tcPr>
          <w:p w14:paraId="7C385E53"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4</w:t>
            </w:r>
          </w:p>
        </w:tc>
        <w:tc>
          <w:tcPr>
            <w:tcW w:w="0" w:type="auto"/>
            <w:vAlign w:val="center"/>
            <w:hideMark/>
          </w:tcPr>
          <w:p w14:paraId="19879EE6"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High SRMS linkage, consistent boundary connections</w:t>
            </w:r>
          </w:p>
        </w:tc>
      </w:tr>
      <w:tr w:rsidR="00A45B8E" w:rsidRPr="00A45B8E" w14:paraId="3B18DE55" w14:textId="77777777" w:rsidTr="00A45B8E">
        <w:trPr>
          <w:tblCellSpacing w:w="15" w:type="dxa"/>
        </w:trPr>
        <w:tc>
          <w:tcPr>
            <w:tcW w:w="0" w:type="auto"/>
            <w:vAlign w:val="center"/>
            <w:hideMark/>
          </w:tcPr>
          <w:p w14:paraId="0B8DD0BC"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5. Observational Field Studies, Instrumentation &amp; Datasets</w:t>
            </w:r>
          </w:p>
        </w:tc>
        <w:tc>
          <w:tcPr>
            <w:tcW w:w="0" w:type="auto"/>
            <w:vAlign w:val="center"/>
            <w:hideMark/>
          </w:tcPr>
          <w:p w14:paraId="5A8D6462"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7D50FB4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2.67</w:t>
            </w:r>
          </w:p>
        </w:tc>
        <w:tc>
          <w:tcPr>
            <w:tcW w:w="0" w:type="auto"/>
            <w:vAlign w:val="center"/>
            <w:hideMark/>
          </w:tcPr>
          <w:p w14:paraId="26C3BA3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2.5</w:t>
            </w:r>
          </w:p>
        </w:tc>
        <w:tc>
          <w:tcPr>
            <w:tcW w:w="0" w:type="auto"/>
            <w:vAlign w:val="center"/>
            <w:hideMark/>
          </w:tcPr>
          <w:p w14:paraId="3DCC96E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2.83</w:t>
            </w:r>
          </w:p>
        </w:tc>
        <w:tc>
          <w:tcPr>
            <w:tcW w:w="0" w:type="auto"/>
            <w:vAlign w:val="center"/>
            <w:hideMark/>
          </w:tcPr>
          <w:p w14:paraId="6CC595C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730FAAD0"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Empirical feeders: strong boundary reporting, moderate SRMS</w:t>
            </w:r>
          </w:p>
        </w:tc>
      </w:tr>
      <w:tr w:rsidR="00A45B8E" w:rsidRPr="00A45B8E" w14:paraId="36C86F43" w14:textId="77777777" w:rsidTr="00A45B8E">
        <w:trPr>
          <w:tblCellSpacing w:w="15" w:type="dxa"/>
        </w:trPr>
        <w:tc>
          <w:tcPr>
            <w:tcW w:w="0" w:type="auto"/>
            <w:vAlign w:val="center"/>
            <w:hideMark/>
          </w:tcPr>
          <w:p w14:paraId="44162497"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6. Statistics, Reporting Dynamics &amp; Catalogues</w:t>
            </w:r>
          </w:p>
        </w:tc>
        <w:tc>
          <w:tcPr>
            <w:tcW w:w="0" w:type="auto"/>
            <w:vAlign w:val="center"/>
            <w:hideMark/>
          </w:tcPr>
          <w:p w14:paraId="20869A29"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66D4E08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0FB749E8"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059B041B"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26F9237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3ED2C47B"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Sparse data, low to mid scores</w:t>
            </w:r>
          </w:p>
        </w:tc>
      </w:tr>
      <w:tr w:rsidR="00A45B8E" w:rsidRPr="00A45B8E" w14:paraId="378D427C" w14:textId="77777777" w:rsidTr="00A45B8E">
        <w:trPr>
          <w:tblCellSpacing w:w="15" w:type="dxa"/>
        </w:trPr>
        <w:tc>
          <w:tcPr>
            <w:tcW w:w="0" w:type="auto"/>
            <w:vAlign w:val="center"/>
            <w:hideMark/>
          </w:tcPr>
          <w:p w14:paraId="4261293E"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7. History, Policy, Culture &amp; Safety</w:t>
            </w:r>
          </w:p>
        </w:tc>
        <w:tc>
          <w:tcPr>
            <w:tcW w:w="0" w:type="auto"/>
            <w:vAlign w:val="center"/>
            <w:hideMark/>
          </w:tcPr>
          <w:p w14:paraId="24780970"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6</w:t>
            </w:r>
          </w:p>
        </w:tc>
        <w:tc>
          <w:tcPr>
            <w:tcW w:w="0" w:type="auto"/>
            <w:vAlign w:val="center"/>
            <w:hideMark/>
          </w:tcPr>
          <w:p w14:paraId="2C0EE654"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1.83</w:t>
            </w:r>
          </w:p>
        </w:tc>
        <w:tc>
          <w:tcPr>
            <w:tcW w:w="0" w:type="auto"/>
            <w:vAlign w:val="center"/>
            <w:hideMark/>
          </w:tcPr>
          <w:p w14:paraId="52A6F9C9"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1.5</w:t>
            </w:r>
          </w:p>
        </w:tc>
        <w:tc>
          <w:tcPr>
            <w:tcW w:w="0" w:type="auto"/>
            <w:vAlign w:val="center"/>
            <w:hideMark/>
          </w:tcPr>
          <w:p w14:paraId="6AC9629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2.17</w:t>
            </w:r>
          </w:p>
        </w:tc>
        <w:tc>
          <w:tcPr>
            <w:tcW w:w="0" w:type="auto"/>
            <w:vAlign w:val="center"/>
            <w:hideMark/>
          </w:tcPr>
          <w:p w14:paraId="4AD935FE"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09F92F03"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Consistently low (1–2), minor contextual support</w:t>
            </w:r>
          </w:p>
        </w:tc>
      </w:tr>
      <w:tr w:rsidR="00A45B8E" w:rsidRPr="00A45B8E" w14:paraId="5A4C8C73" w14:textId="77777777" w:rsidTr="00A45B8E">
        <w:trPr>
          <w:tblCellSpacing w:w="15" w:type="dxa"/>
        </w:trPr>
        <w:tc>
          <w:tcPr>
            <w:tcW w:w="0" w:type="auto"/>
            <w:vAlign w:val="center"/>
            <w:hideMark/>
          </w:tcPr>
          <w:p w14:paraId="413C51F5"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8. General Overviews, Handbooks &amp; Guidance</w:t>
            </w:r>
          </w:p>
        </w:tc>
        <w:tc>
          <w:tcPr>
            <w:tcW w:w="0" w:type="auto"/>
            <w:vAlign w:val="center"/>
            <w:hideMark/>
          </w:tcPr>
          <w:p w14:paraId="422105B6"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07E4EB9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2.67</w:t>
            </w:r>
          </w:p>
        </w:tc>
        <w:tc>
          <w:tcPr>
            <w:tcW w:w="0" w:type="auto"/>
            <w:vAlign w:val="center"/>
            <w:hideMark/>
          </w:tcPr>
          <w:p w14:paraId="742DC1FC"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1A77D61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2.33</w:t>
            </w:r>
          </w:p>
        </w:tc>
        <w:tc>
          <w:tcPr>
            <w:tcW w:w="0" w:type="auto"/>
            <w:vAlign w:val="center"/>
            <w:hideMark/>
          </w:tcPr>
          <w:p w14:paraId="025DC9DD"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6315E705"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Background framing; limited theoretical linkage</w:t>
            </w:r>
          </w:p>
        </w:tc>
      </w:tr>
      <w:tr w:rsidR="00A45B8E" w:rsidRPr="00A45B8E" w14:paraId="16501657" w14:textId="77777777" w:rsidTr="00A45B8E">
        <w:trPr>
          <w:tblCellSpacing w:w="15" w:type="dxa"/>
        </w:trPr>
        <w:tc>
          <w:tcPr>
            <w:tcW w:w="0" w:type="auto"/>
            <w:vAlign w:val="center"/>
            <w:hideMark/>
          </w:tcPr>
          <w:p w14:paraId="45B4FC42" w14:textId="584B2B6C" w:rsidR="00A45B8E" w:rsidRPr="00A45B8E" w:rsidRDefault="00A45B8E" w:rsidP="00A45B8E">
            <w:pPr>
              <w:pStyle w:val="Body"/>
              <w:spacing w:after="0"/>
              <w:jc w:val="left"/>
              <w:rPr>
                <w:rFonts w:ascii="Arial" w:hAnsi="Arial" w:cs="Arial"/>
                <w:lang w:val="en-AU"/>
              </w:rPr>
            </w:pPr>
            <w:r>
              <w:rPr>
                <w:rFonts w:ascii="Arial" w:hAnsi="Arial" w:cs="Arial"/>
                <w:noProof/>
                <w:lang w:val="en-AU"/>
              </w:rPr>
              <mc:AlternateContent>
                <mc:Choice Requires="wps">
                  <w:drawing>
                    <wp:anchor distT="0" distB="0" distL="114300" distR="114300" simplePos="0" relativeHeight="251668480" behindDoc="0" locked="0" layoutInCell="1" allowOverlap="1" wp14:anchorId="56CDB4CF" wp14:editId="16CF0E56">
                      <wp:simplePos x="0" y="0"/>
                      <wp:positionH relativeFrom="column">
                        <wp:posOffset>3810</wp:posOffset>
                      </wp:positionH>
                      <wp:positionV relativeFrom="paragraph">
                        <wp:posOffset>173355</wp:posOffset>
                      </wp:positionV>
                      <wp:extent cx="8665845" cy="0"/>
                      <wp:effectExtent l="0" t="0" r="0" b="0"/>
                      <wp:wrapNone/>
                      <wp:docPr id="1160103975" name="Straight Connector 4"/>
                      <wp:cNvGraphicFramePr/>
                      <a:graphic xmlns:a="http://schemas.openxmlformats.org/drawingml/2006/main">
                        <a:graphicData uri="http://schemas.microsoft.com/office/word/2010/wordprocessingShape">
                          <wps:wsp>
                            <wps:cNvCnPr/>
                            <wps:spPr>
                              <a:xfrm>
                                <a:off x="0" y="0"/>
                                <a:ext cx="866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27912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65pt" to="682.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gE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" strokecolor="black [3040]"/>
                  </w:pict>
                </mc:Fallback>
              </mc:AlternateContent>
            </w:r>
            <w:r w:rsidRPr="00A45B8E">
              <w:rPr>
                <w:rFonts w:ascii="Arial" w:hAnsi="Arial" w:cs="Arial"/>
                <w:lang w:val="en-AU"/>
              </w:rPr>
              <w:t>9. Additional Thematic Fits</w:t>
            </w:r>
          </w:p>
        </w:tc>
        <w:tc>
          <w:tcPr>
            <w:tcW w:w="0" w:type="auto"/>
            <w:vAlign w:val="center"/>
            <w:hideMark/>
          </w:tcPr>
          <w:p w14:paraId="4B3E39B5"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5</w:t>
            </w:r>
          </w:p>
        </w:tc>
        <w:tc>
          <w:tcPr>
            <w:tcW w:w="0" w:type="auto"/>
            <w:vAlign w:val="center"/>
            <w:hideMark/>
          </w:tcPr>
          <w:p w14:paraId="2D38A467"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2.20</w:t>
            </w:r>
          </w:p>
        </w:tc>
        <w:tc>
          <w:tcPr>
            <w:tcW w:w="0" w:type="auto"/>
            <w:vAlign w:val="center"/>
            <w:hideMark/>
          </w:tcPr>
          <w:p w14:paraId="7107E07A"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w:t>
            </w:r>
          </w:p>
        </w:tc>
        <w:tc>
          <w:tcPr>
            <w:tcW w:w="0" w:type="auto"/>
            <w:vAlign w:val="center"/>
            <w:hideMark/>
          </w:tcPr>
          <w:p w14:paraId="563B9916"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2.80</w:t>
            </w:r>
          </w:p>
        </w:tc>
        <w:tc>
          <w:tcPr>
            <w:tcW w:w="0" w:type="auto"/>
            <w:vAlign w:val="center"/>
            <w:hideMark/>
          </w:tcPr>
          <w:p w14:paraId="476CC911" w14:textId="77777777" w:rsidR="00A45B8E" w:rsidRPr="00A45B8E" w:rsidRDefault="00A45B8E" w:rsidP="00A45B8E">
            <w:pPr>
              <w:pStyle w:val="Body"/>
              <w:spacing w:after="0"/>
              <w:jc w:val="center"/>
              <w:rPr>
                <w:rFonts w:ascii="Arial" w:hAnsi="Arial" w:cs="Arial"/>
                <w:lang w:val="en-AU"/>
              </w:rPr>
            </w:pPr>
            <w:r w:rsidRPr="00A45B8E">
              <w:rPr>
                <w:rFonts w:ascii="Arial" w:hAnsi="Arial" w:cs="Arial"/>
                <w:lang w:val="en-AU"/>
              </w:rPr>
              <w:t>3</w:t>
            </w:r>
          </w:p>
        </w:tc>
        <w:tc>
          <w:tcPr>
            <w:tcW w:w="0" w:type="auto"/>
            <w:vAlign w:val="center"/>
            <w:hideMark/>
          </w:tcPr>
          <w:p w14:paraId="336A767B" w14:textId="77777777" w:rsidR="00A45B8E" w:rsidRPr="00A45B8E" w:rsidRDefault="00A45B8E" w:rsidP="00A45B8E">
            <w:pPr>
              <w:pStyle w:val="Body"/>
              <w:spacing w:after="0"/>
              <w:jc w:val="left"/>
              <w:rPr>
                <w:rFonts w:ascii="Arial" w:hAnsi="Arial" w:cs="Arial"/>
                <w:lang w:val="en-AU"/>
              </w:rPr>
            </w:pPr>
            <w:r w:rsidRPr="00A45B8E">
              <w:rPr>
                <w:rFonts w:ascii="Arial" w:hAnsi="Arial" w:cs="Arial"/>
                <w:lang w:val="en-AU"/>
              </w:rPr>
              <w:t>Mixed/ambiguous entries</w:t>
            </w:r>
          </w:p>
        </w:tc>
      </w:tr>
    </w:tbl>
    <w:p w14:paraId="2C3021AC" w14:textId="77777777" w:rsidR="00A45B8E" w:rsidRDefault="00A45B8E" w:rsidP="00441B6F">
      <w:pPr>
        <w:pStyle w:val="Body"/>
        <w:spacing w:after="0"/>
        <w:rPr>
          <w:rFonts w:ascii="Arial" w:hAnsi="Arial" w:cs="Arial"/>
        </w:rPr>
      </w:pPr>
    </w:p>
    <w:p w14:paraId="48734023" w14:textId="77777777" w:rsidR="00A45B8E" w:rsidRDefault="00A45B8E" w:rsidP="00441B6F">
      <w:pPr>
        <w:pStyle w:val="Body"/>
        <w:spacing w:after="0"/>
        <w:rPr>
          <w:rFonts w:ascii="Arial" w:hAnsi="Arial" w:cs="Arial"/>
        </w:rPr>
      </w:pPr>
    </w:p>
    <w:p w14:paraId="65082DFF" w14:textId="77777777" w:rsidR="00A45B8E" w:rsidRDefault="00A45B8E" w:rsidP="00441B6F">
      <w:pPr>
        <w:pStyle w:val="Body"/>
        <w:spacing w:after="0"/>
        <w:rPr>
          <w:rFonts w:ascii="Arial" w:hAnsi="Arial" w:cs="Arial"/>
        </w:rPr>
      </w:pPr>
    </w:p>
    <w:p w14:paraId="3F0B9968" w14:textId="77777777" w:rsidR="00A45B8E" w:rsidRDefault="00A45B8E" w:rsidP="00441B6F">
      <w:pPr>
        <w:pStyle w:val="Body"/>
        <w:spacing w:after="0"/>
        <w:rPr>
          <w:rFonts w:ascii="Arial" w:hAnsi="Arial" w:cs="Arial"/>
        </w:rPr>
      </w:pPr>
    </w:p>
    <w:p w14:paraId="6492D2F7" w14:textId="77777777" w:rsidR="00A45B8E" w:rsidRDefault="00A45B8E" w:rsidP="00441B6F">
      <w:pPr>
        <w:pStyle w:val="Body"/>
        <w:spacing w:after="0"/>
        <w:rPr>
          <w:rFonts w:ascii="Arial" w:hAnsi="Arial" w:cs="Arial"/>
        </w:rPr>
      </w:pPr>
    </w:p>
    <w:p w14:paraId="70EB34D7" w14:textId="77777777" w:rsidR="00A45B8E" w:rsidRDefault="00A45B8E" w:rsidP="00441B6F">
      <w:pPr>
        <w:pStyle w:val="Body"/>
        <w:spacing w:after="0"/>
        <w:rPr>
          <w:rFonts w:ascii="Arial" w:hAnsi="Arial" w:cs="Arial"/>
        </w:rPr>
      </w:pPr>
    </w:p>
    <w:p w14:paraId="4B2AD158" w14:textId="77777777" w:rsidR="00A45B8E" w:rsidRDefault="00A45B8E" w:rsidP="00441B6F">
      <w:pPr>
        <w:pStyle w:val="Body"/>
        <w:spacing w:after="0"/>
        <w:rPr>
          <w:rFonts w:ascii="Arial" w:hAnsi="Arial" w:cs="Arial"/>
        </w:rPr>
      </w:pPr>
    </w:p>
    <w:p w14:paraId="53339946" w14:textId="77777777" w:rsidR="00A45B8E" w:rsidRDefault="00A45B8E" w:rsidP="00441B6F">
      <w:pPr>
        <w:pStyle w:val="Body"/>
        <w:spacing w:after="0"/>
        <w:rPr>
          <w:rFonts w:ascii="Arial" w:hAnsi="Arial" w:cs="Arial"/>
        </w:rPr>
      </w:pPr>
    </w:p>
    <w:p w14:paraId="54FA27BB" w14:textId="77777777" w:rsidR="00A45B8E" w:rsidRPr="00A45B8E" w:rsidRDefault="00A45B8E" w:rsidP="00A45B8E">
      <w:pPr>
        <w:pStyle w:val="Body"/>
        <w:spacing w:after="0"/>
        <w:rPr>
          <w:rFonts w:ascii="Arial" w:hAnsi="Arial" w:cs="Arial"/>
          <w:b/>
          <w:bCs/>
          <w:lang w:val="en-AU"/>
        </w:rPr>
      </w:pPr>
      <w:r w:rsidRPr="00A45B8E">
        <w:rPr>
          <w:rFonts w:ascii="Arial" w:hAnsi="Arial" w:cs="Arial"/>
          <w:b/>
          <w:bCs/>
          <w:noProof/>
          <w:lang w:val="en-AU"/>
        </w:rPr>
        <w:lastRenderedPageBreak/>
        <w:drawing>
          <wp:inline distT="0" distB="0" distL="0" distR="0" wp14:anchorId="42013E55" wp14:editId="44C10783">
            <wp:extent cx="8867904" cy="4423144"/>
            <wp:effectExtent l="0" t="0" r="0" b="0"/>
            <wp:docPr id="1007104264" name="Picture 13" descr="A graph with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6944" name="Picture 13" descr="A graph with blue and orange ba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11329" cy="4444804"/>
                    </a:xfrm>
                    <a:prstGeom prst="rect">
                      <a:avLst/>
                    </a:prstGeom>
                    <a:noFill/>
                    <a:ln>
                      <a:noFill/>
                    </a:ln>
                  </pic:spPr>
                </pic:pic>
              </a:graphicData>
            </a:graphic>
          </wp:inline>
        </w:drawing>
      </w:r>
    </w:p>
    <w:p w14:paraId="3D67C731" w14:textId="77777777" w:rsidR="00A45B8E" w:rsidRDefault="00A45B8E" w:rsidP="00A45B8E">
      <w:pPr>
        <w:pStyle w:val="Body"/>
        <w:spacing w:after="0"/>
        <w:rPr>
          <w:rFonts w:ascii="Arial" w:hAnsi="Arial" w:cs="Arial"/>
          <w:b/>
          <w:bCs/>
          <w:lang w:val="en-AU"/>
        </w:rPr>
      </w:pPr>
    </w:p>
    <w:p w14:paraId="73CAADE0" w14:textId="77777777" w:rsidR="00A45B8E" w:rsidRDefault="00A45B8E" w:rsidP="00A45B8E">
      <w:pPr>
        <w:pStyle w:val="Body"/>
        <w:spacing w:after="0"/>
        <w:rPr>
          <w:rFonts w:ascii="Arial" w:hAnsi="Arial" w:cs="Arial"/>
          <w:b/>
          <w:bCs/>
          <w:lang w:val="en-AU"/>
        </w:rPr>
      </w:pPr>
    </w:p>
    <w:p w14:paraId="1BD3012F" w14:textId="3FECA033" w:rsidR="00A45B8E" w:rsidRPr="00A45B8E" w:rsidRDefault="00A45B8E" w:rsidP="00A45B8E">
      <w:pPr>
        <w:pStyle w:val="Body"/>
        <w:spacing w:after="0"/>
        <w:rPr>
          <w:rFonts w:ascii="Arial" w:hAnsi="Arial" w:cs="Arial"/>
          <w:b/>
          <w:bCs/>
          <w:lang w:val="en-AU"/>
        </w:rPr>
      </w:pPr>
      <w:r w:rsidRPr="00A45B8E">
        <w:rPr>
          <w:rFonts w:ascii="Arial" w:hAnsi="Arial" w:cs="Arial"/>
          <w:b/>
          <w:bCs/>
          <w:lang w:val="en-AU"/>
        </w:rPr>
        <w:t xml:space="preserve">Figure 2. </w:t>
      </w:r>
      <w:r w:rsidRPr="00A45B8E">
        <w:rPr>
          <w:rFonts w:ascii="Arial" w:hAnsi="Arial" w:cs="Arial"/>
          <w:i/>
          <w:iCs/>
          <w:lang w:val="en-AU"/>
        </w:rPr>
        <w:t>Δ (SRMS – Boundary) linkage values across themes.</w:t>
      </w:r>
      <w:r w:rsidRPr="00A45B8E">
        <w:rPr>
          <w:rFonts w:ascii="Arial" w:hAnsi="Arial" w:cs="Arial"/>
          <w:lang w:val="en-AU"/>
        </w:rPr>
        <w:t xml:space="preserve"> Horizontal bar chart illustrating the difference between mean SRMS-Link and Boundary-Link scores for each theme. Negative values (blue) indicate stronger boundary evidence relative to resonance (Theme 1: Plasma, –0.11; Theme 8: Overviews, –0.33), while positive values (orange) highlight stronger resonance emphasis (Theme 4: Propulsion, +0.57; Theme 9: Additional Fits, +0.60). Near-zero values (Themes 2 and 6) reflect balanced contributions. This visualization emphasizes the complementary roles of plasma studies as empirical feeders, optics and lensing as bridges, and propulsion-related research as theoretical engines within the boundary–SRMS framework.</w:t>
      </w:r>
    </w:p>
    <w:p w14:paraId="08E13029" w14:textId="77777777" w:rsidR="00A45B8E" w:rsidRPr="00A45B8E" w:rsidRDefault="00A45B8E" w:rsidP="00A45B8E">
      <w:pPr>
        <w:pStyle w:val="Body"/>
        <w:spacing w:after="0"/>
        <w:rPr>
          <w:rFonts w:ascii="Arial" w:hAnsi="Arial" w:cs="Arial"/>
          <w:b/>
          <w:bCs/>
          <w:lang w:val="en-AU"/>
        </w:rPr>
        <w:sectPr w:rsidR="00A45B8E" w:rsidRPr="00A45B8E" w:rsidSect="00F1627F">
          <w:pgSz w:w="16838" w:h="11906" w:orient="landscape"/>
          <w:pgMar w:top="1440" w:right="1440" w:bottom="1440" w:left="1440" w:header="708" w:footer="708" w:gutter="0"/>
          <w:cols w:space="708"/>
          <w:docGrid w:linePitch="360"/>
        </w:sectPr>
      </w:pPr>
    </w:p>
    <w:p w14:paraId="0E4B0F86" w14:textId="77777777" w:rsidR="00B422E6" w:rsidRPr="00B422E6" w:rsidRDefault="00B422E6" w:rsidP="00B422E6">
      <w:pPr>
        <w:pStyle w:val="Body"/>
        <w:spacing w:after="0"/>
        <w:rPr>
          <w:rFonts w:ascii="Arial" w:hAnsi="Arial" w:cs="Arial"/>
          <w:lang w:val="en-AU"/>
        </w:rPr>
      </w:pPr>
      <w:r w:rsidRPr="00B422E6">
        <w:rPr>
          <w:rFonts w:ascii="Arial" w:hAnsi="Arial" w:cs="Arial"/>
          <w:noProof/>
          <w:lang w:val="en-AU"/>
        </w:rPr>
        <w:lastRenderedPageBreak/>
        <w:drawing>
          <wp:inline distT="0" distB="0" distL="0" distR="0" wp14:anchorId="57D8CBFF" wp14:editId="796961BE">
            <wp:extent cx="5156791" cy="4549471"/>
            <wp:effectExtent l="0" t="0" r="6350" b="3810"/>
            <wp:docPr id="239486372" name="Picture 2" descr="A diagram of a matr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86372" name="Picture 2" descr="A diagram of a matrix&#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9263" cy="4595763"/>
                    </a:xfrm>
                    <a:prstGeom prst="rect">
                      <a:avLst/>
                    </a:prstGeom>
                    <a:noFill/>
                    <a:ln>
                      <a:noFill/>
                    </a:ln>
                  </pic:spPr>
                </pic:pic>
              </a:graphicData>
            </a:graphic>
          </wp:inline>
        </w:drawing>
      </w:r>
    </w:p>
    <w:p w14:paraId="709F3ED3" w14:textId="77777777" w:rsidR="00B422E6" w:rsidRPr="00B422E6" w:rsidRDefault="00B422E6" w:rsidP="00B422E6">
      <w:pPr>
        <w:pStyle w:val="Body"/>
        <w:spacing w:after="0"/>
        <w:rPr>
          <w:rFonts w:ascii="Arial" w:hAnsi="Arial" w:cs="Arial"/>
          <w:b/>
          <w:bCs/>
          <w:lang w:val="en-AU"/>
        </w:rPr>
      </w:pPr>
    </w:p>
    <w:p w14:paraId="0219CDEF" w14:textId="77777777" w:rsidR="00B422E6" w:rsidRDefault="00B422E6" w:rsidP="00B422E6">
      <w:pPr>
        <w:pStyle w:val="Body"/>
        <w:spacing w:after="0"/>
        <w:rPr>
          <w:rFonts w:ascii="Arial" w:hAnsi="Arial" w:cs="Arial"/>
          <w:b/>
          <w:bCs/>
          <w:lang w:val="en-AU"/>
        </w:rPr>
      </w:pPr>
    </w:p>
    <w:p w14:paraId="283A18DE" w14:textId="33F3D15B" w:rsidR="00B422E6" w:rsidRPr="00B422E6" w:rsidRDefault="00B422E6" w:rsidP="00B422E6">
      <w:pPr>
        <w:pStyle w:val="Body"/>
        <w:spacing w:after="0"/>
        <w:rPr>
          <w:rFonts w:ascii="Arial" w:hAnsi="Arial" w:cs="Arial"/>
          <w:lang w:val="en-AU"/>
        </w:rPr>
      </w:pPr>
      <w:r w:rsidRPr="00B422E6">
        <w:rPr>
          <w:rFonts w:ascii="Arial" w:hAnsi="Arial" w:cs="Arial"/>
          <w:b/>
          <w:bCs/>
          <w:lang w:val="en-AU"/>
        </w:rPr>
        <w:t>Figure 3.</w:t>
      </w:r>
      <w:r w:rsidRPr="00B422E6">
        <w:rPr>
          <w:rFonts w:ascii="Arial" w:hAnsi="Arial" w:cs="Arial"/>
          <w:lang w:val="en-AU"/>
        </w:rPr>
        <w:t xml:space="preserve"> Boundary vs SRMS co-occurrence matrix. Heatmap showing the number of references assigned each combination of Boundary-Link Score and SRMS-Link Score (1–5 scale). Two dense clusters are evident: a mid-range cluster spanning </w:t>
      </w:r>
      <w:r w:rsidRPr="00B422E6">
        <w:rPr>
          <w:rFonts w:ascii="Arial" w:hAnsi="Arial" w:cs="Arial"/>
          <w:b/>
          <w:bCs/>
          <w:lang w:val="en-AU"/>
        </w:rPr>
        <w:t>Boundary = 2–3 and SRMS = 2–3</w:t>
      </w:r>
      <w:r w:rsidRPr="00B422E6">
        <w:rPr>
          <w:rFonts w:ascii="Arial" w:hAnsi="Arial" w:cs="Arial"/>
          <w:lang w:val="en-AU"/>
        </w:rPr>
        <w:t xml:space="preserve"> (e.g., plasma and observational studies), and a higher-strength cluster at </w:t>
      </w:r>
      <w:r w:rsidRPr="00B422E6">
        <w:rPr>
          <w:rFonts w:ascii="Arial" w:hAnsi="Arial" w:cs="Arial"/>
          <w:b/>
          <w:bCs/>
          <w:lang w:val="en-AU"/>
        </w:rPr>
        <w:t>Boundary = 3–4 and SRMS = 3–4</w:t>
      </w:r>
      <w:r w:rsidRPr="00B422E6">
        <w:rPr>
          <w:rFonts w:ascii="Arial" w:hAnsi="Arial" w:cs="Arial"/>
          <w:lang w:val="en-AU"/>
        </w:rPr>
        <w:t xml:space="preserve"> (e.g., optics, metamaterials, and propulsion studies). Only isolated entries appear in the extreme corners (e.g., Boundary = 5, SRMS = 1 or 5), indicating that strong boundary evidence almost always coincide</w:t>
      </w:r>
      <w:r w:rsidR="005916BE">
        <w:rPr>
          <w:rFonts w:ascii="Arial" w:hAnsi="Arial" w:cs="Arial"/>
          <w:lang w:val="en-AU"/>
        </w:rPr>
        <w:t>s</w:t>
      </w:r>
      <w:r w:rsidRPr="00B422E6">
        <w:rPr>
          <w:rFonts w:ascii="Arial" w:hAnsi="Arial" w:cs="Arial"/>
          <w:lang w:val="en-AU"/>
        </w:rPr>
        <w:t xml:space="preserve"> with at least moderate SRMS relevance.</w:t>
      </w:r>
    </w:p>
    <w:p w14:paraId="207768B2" w14:textId="77777777" w:rsidR="00A45B8E" w:rsidRDefault="00A45B8E" w:rsidP="00441B6F">
      <w:pPr>
        <w:pStyle w:val="Body"/>
        <w:spacing w:after="0"/>
        <w:rPr>
          <w:rFonts w:ascii="Arial" w:hAnsi="Arial" w:cs="Arial"/>
        </w:rPr>
      </w:pPr>
    </w:p>
    <w:p w14:paraId="04DB641F" w14:textId="77777777" w:rsidR="00A45B8E" w:rsidRDefault="00A45B8E" w:rsidP="00441B6F">
      <w:pPr>
        <w:pStyle w:val="Body"/>
        <w:spacing w:after="0"/>
        <w:rPr>
          <w:rFonts w:ascii="Arial" w:hAnsi="Arial" w:cs="Arial"/>
        </w:rPr>
      </w:pPr>
    </w:p>
    <w:p w14:paraId="5C5B63C0" w14:textId="77777777" w:rsidR="00A45B8E" w:rsidRDefault="00A45B8E" w:rsidP="00441B6F">
      <w:pPr>
        <w:pStyle w:val="Body"/>
        <w:spacing w:after="0"/>
        <w:rPr>
          <w:rFonts w:ascii="Arial" w:hAnsi="Arial" w:cs="Arial"/>
        </w:rPr>
      </w:pPr>
    </w:p>
    <w:p w14:paraId="1EF0F172" w14:textId="4A1E848E" w:rsidR="00B422E6" w:rsidRPr="00DB0EB5"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5. D</w:t>
      </w:r>
      <w:r w:rsidRPr="00DB0EB5">
        <w:rPr>
          <w:rFonts w:ascii="Arial" w:hAnsi="Arial" w:cs="Arial"/>
          <w:b/>
          <w:bCs/>
          <w:sz w:val="22"/>
          <w:szCs w:val="22"/>
          <w:lang w:val="en-AU"/>
        </w:rPr>
        <w:t>ISCUSSION</w:t>
      </w:r>
    </w:p>
    <w:p w14:paraId="1C2DC366" w14:textId="77777777" w:rsidR="00B422E6" w:rsidRPr="00B422E6" w:rsidRDefault="00B422E6" w:rsidP="00B422E6">
      <w:pPr>
        <w:pStyle w:val="Body"/>
        <w:spacing w:after="0"/>
        <w:rPr>
          <w:rFonts w:ascii="Arial" w:hAnsi="Arial" w:cs="Arial"/>
          <w:b/>
          <w:bCs/>
          <w:lang w:val="en-AU"/>
        </w:rPr>
      </w:pPr>
    </w:p>
    <w:p w14:paraId="1C6B7596"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The structured analysis of boundary-layer features across nine thematic domains provided new insight into how empirical observations and theoretical models interacted within the wider reference corpus. The non-random clustering of halos, laminar shells, trans-medium transitions, cloaking, and axial emissions confirmed that these motifs recurred across multiple literature, and the Δ scoring trends clarified where resonance-based interpretations were already embedded and where they remained absent. This synthesis carried three key implications: it validated the empirical reliability of boundary-layer motifs, demonstrated the </w:t>
      </w:r>
      <w:r w:rsidRPr="00B422E6">
        <w:rPr>
          <w:rFonts w:ascii="Arial" w:hAnsi="Arial" w:cs="Arial"/>
          <w:lang w:val="en-AU"/>
        </w:rPr>
        <w:lastRenderedPageBreak/>
        <w:t>existence of conceptual bridges between empirical and engineered literature, and highlighted clear pathways for moving from descriptive studies toward testable resonance-driven models.</w:t>
      </w:r>
    </w:p>
    <w:p w14:paraId="2A27A7B6" w14:textId="77777777" w:rsidR="005916BE" w:rsidRPr="00B422E6" w:rsidRDefault="005916BE" w:rsidP="00B422E6">
      <w:pPr>
        <w:pStyle w:val="Body"/>
        <w:spacing w:after="0"/>
        <w:rPr>
          <w:rFonts w:ascii="Arial" w:hAnsi="Arial" w:cs="Arial"/>
          <w:lang w:val="en-AU"/>
        </w:rPr>
      </w:pPr>
    </w:p>
    <w:p w14:paraId="618AC6CB"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Plasma and atmospheric research remained the strongest empirical feeders, with halos and laminar shells documented across decades of field and laboratory work (Smirnov, 1993; </w:t>
      </w:r>
      <w:proofErr w:type="spellStart"/>
      <w:r w:rsidRPr="00B422E6">
        <w:rPr>
          <w:rFonts w:ascii="Arial" w:hAnsi="Arial" w:cs="Arial"/>
          <w:lang w:val="en-AU"/>
        </w:rPr>
        <w:t>Stenhoff</w:t>
      </w:r>
      <w:proofErr w:type="spellEnd"/>
      <w:r w:rsidRPr="00B422E6">
        <w:rPr>
          <w:rFonts w:ascii="Arial" w:hAnsi="Arial" w:cs="Arial"/>
          <w:lang w:val="en-AU"/>
        </w:rPr>
        <w:t xml:space="preserve">, 1999; Abrahamson and </w:t>
      </w:r>
      <w:proofErr w:type="spellStart"/>
      <w:r w:rsidRPr="00B422E6">
        <w:rPr>
          <w:rFonts w:ascii="Arial" w:hAnsi="Arial" w:cs="Arial"/>
          <w:lang w:val="en-AU"/>
        </w:rPr>
        <w:t>Dinniss</w:t>
      </w:r>
      <w:proofErr w:type="spellEnd"/>
      <w:r w:rsidRPr="00B422E6">
        <w:rPr>
          <w:rFonts w:ascii="Arial" w:hAnsi="Arial" w:cs="Arial"/>
          <w:lang w:val="en-AU"/>
        </w:rPr>
        <w:t xml:space="preserve">, 2000; </w:t>
      </w:r>
      <w:proofErr w:type="spellStart"/>
      <w:r w:rsidRPr="00B422E6">
        <w:rPr>
          <w:rFonts w:ascii="Arial" w:hAnsi="Arial" w:cs="Arial"/>
          <w:lang w:val="en-AU"/>
        </w:rPr>
        <w:t>Zhilyaev</w:t>
      </w:r>
      <w:proofErr w:type="spellEnd"/>
      <w:r w:rsidRPr="00B422E6">
        <w:rPr>
          <w:rFonts w:ascii="Arial" w:hAnsi="Arial" w:cs="Arial"/>
          <w:lang w:val="en-AU"/>
        </w:rPr>
        <w:t xml:space="preserve"> et al., 2022a and b; </w:t>
      </w:r>
      <w:proofErr w:type="spellStart"/>
      <w:r w:rsidRPr="00B422E6">
        <w:rPr>
          <w:rFonts w:ascii="Arial" w:hAnsi="Arial" w:cs="Arial"/>
          <w:lang w:val="en-AU"/>
        </w:rPr>
        <w:t>Teodorani</w:t>
      </w:r>
      <w:proofErr w:type="spellEnd"/>
      <w:r w:rsidRPr="00B422E6">
        <w:rPr>
          <w:rFonts w:ascii="Arial" w:hAnsi="Arial" w:cs="Arial"/>
          <w:lang w:val="en-AU"/>
        </w:rPr>
        <w:t>, 2004, 2024). Their dominance in the signature map demonstrated that boundary-structuring phenomena were not isolated reports but recurring features of luminous discharges. Yet their negative Δ value underscored a critical gap: this literature has yet to incorporate resonance-based explanations. This positions them as essential baselines for validation, anchoring SRMS theory in well-documented boundary physics, while also identifying a target for theoretical integration.</w:t>
      </w:r>
    </w:p>
    <w:p w14:paraId="354CBD1D" w14:textId="77777777" w:rsidR="00B422E6" w:rsidRPr="00B422E6" w:rsidRDefault="00B422E6" w:rsidP="00B422E6">
      <w:pPr>
        <w:pStyle w:val="Body"/>
        <w:spacing w:after="0"/>
        <w:rPr>
          <w:rFonts w:ascii="Arial" w:hAnsi="Arial" w:cs="Arial"/>
          <w:lang w:val="en-AU"/>
        </w:rPr>
      </w:pPr>
    </w:p>
    <w:p w14:paraId="23F948A4" w14:textId="77777777" w:rsidR="00B422E6" w:rsidRDefault="00B422E6" w:rsidP="00B422E6">
      <w:pPr>
        <w:pStyle w:val="Body"/>
        <w:spacing w:after="0"/>
        <w:rPr>
          <w:rFonts w:ascii="Arial" w:hAnsi="Arial" w:cs="Arial"/>
          <w:lang w:val="en-AU"/>
        </w:rPr>
      </w:pPr>
      <w:r w:rsidRPr="00B422E6">
        <w:rPr>
          <w:rFonts w:ascii="Arial" w:hAnsi="Arial" w:cs="Arial"/>
          <w:lang w:val="en-AU"/>
        </w:rPr>
        <w:t>Optics, metamaterials, and gravitational lensing research filled that gap by providing frameworks that reproduced cloaking and refractive anomalies both experimentally and theoretically (Leonhardt, 2006; Pendry et al., 2006; Greenleaf et al., 2007; Wyman, 2011; Nassar et al., 2020; Peralta et al., 2020; Schneider et al., 2024). Their positive Δ values reflect a tilt toward SRMS theory relevance, confirming that these domains are not merely analogies but demonstrate mechanisms that can be tuned and reproduced in the laboratory. The implication here is that SRMS theory principles are not speculative abstractions: they overlap directly with established optics research that already manipulates fields to suppress, redirect, or cloak wave propagation.</w:t>
      </w:r>
    </w:p>
    <w:p w14:paraId="351722D9" w14:textId="77777777" w:rsidR="00B422E6" w:rsidRPr="00B422E6" w:rsidRDefault="00B422E6" w:rsidP="00B422E6">
      <w:pPr>
        <w:pStyle w:val="Body"/>
        <w:spacing w:after="0"/>
        <w:rPr>
          <w:rFonts w:ascii="Arial" w:hAnsi="Arial" w:cs="Arial"/>
          <w:lang w:val="en-AU"/>
        </w:rPr>
      </w:pPr>
    </w:p>
    <w:p w14:paraId="2D648ED3" w14:textId="339910D3" w:rsidR="00B422E6" w:rsidRDefault="00B422E6" w:rsidP="00B422E6">
      <w:pPr>
        <w:pStyle w:val="Body"/>
        <w:spacing w:after="0"/>
        <w:rPr>
          <w:rFonts w:ascii="Arial" w:hAnsi="Arial" w:cs="Arial"/>
          <w:lang w:val="en-AU"/>
        </w:rPr>
      </w:pPr>
      <w:r w:rsidRPr="00B422E6">
        <w:rPr>
          <w:rFonts w:ascii="Arial" w:hAnsi="Arial" w:cs="Arial"/>
          <w:lang w:val="en-AU"/>
        </w:rPr>
        <w:t>Propulsion studies extended this bridge into system-level theory. From early proposals of inertia modification through vacuum interactions (Holt, 1979; Puthoff, 1987; Haisch et al., 1994) to more recent resonance-based propulsion constants (Hall and Covington, 2025), this literature populated the high-strength quadrant of the co-occurrence matrix. Their high Δ values identif</w:t>
      </w:r>
      <w:r w:rsidR="005916BE">
        <w:rPr>
          <w:rFonts w:ascii="Arial" w:hAnsi="Arial" w:cs="Arial"/>
          <w:lang w:val="en-AU"/>
        </w:rPr>
        <w:t>ied</w:t>
      </w:r>
      <w:r w:rsidRPr="00B422E6">
        <w:rPr>
          <w:rFonts w:ascii="Arial" w:hAnsi="Arial" w:cs="Arial"/>
          <w:lang w:val="en-AU"/>
        </w:rPr>
        <w:t xml:space="preserve"> them as theoretical engines of the framework: they explicitly attempt to unify empirical anomalies with resonance-driven mechanics. Importantly, their overlap with coded signatures such as trans-medium transitions and axial emissions suggested that SRMS theory can filter speculative propulsion models, privileging those with clear connections to boundary-layer evidence.</w:t>
      </w:r>
    </w:p>
    <w:p w14:paraId="3582B28B" w14:textId="77777777" w:rsidR="00B422E6" w:rsidRPr="00B422E6" w:rsidRDefault="00B422E6" w:rsidP="00B422E6">
      <w:pPr>
        <w:pStyle w:val="Body"/>
        <w:spacing w:after="0"/>
        <w:rPr>
          <w:rFonts w:ascii="Arial" w:hAnsi="Arial" w:cs="Arial"/>
          <w:lang w:val="en-AU"/>
        </w:rPr>
      </w:pPr>
    </w:p>
    <w:p w14:paraId="05C806ED" w14:textId="37FC3F67" w:rsidR="00B422E6" w:rsidRDefault="00B422E6" w:rsidP="00B422E6">
      <w:pPr>
        <w:pStyle w:val="Body"/>
        <w:spacing w:after="0"/>
        <w:rPr>
          <w:rFonts w:ascii="Arial" w:hAnsi="Arial" w:cs="Arial"/>
          <w:lang w:val="en-AU"/>
        </w:rPr>
      </w:pPr>
      <w:r w:rsidRPr="00B422E6">
        <w:rPr>
          <w:rFonts w:ascii="Arial" w:hAnsi="Arial" w:cs="Arial"/>
          <w:lang w:val="en-AU"/>
        </w:rPr>
        <w:t xml:space="preserve">Observational and statistical studies played a complementary role. Their mid-range scores showed that while they rarely embedded </w:t>
      </w:r>
      <w:r w:rsidR="005916BE">
        <w:rPr>
          <w:rFonts w:ascii="Arial" w:hAnsi="Arial" w:cs="Arial"/>
          <w:lang w:val="en-AU"/>
        </w:rPr>
        <w:t xml:space="preserve">with </w:t>
      </w:r>
      <w:r w:rsidRPr="00B422E6">
        <w:rPr>
          <w:rFonts w:ascii="Arial" w:hAnsi="Arial" w:cs="Arial"/>
          <w:lang w:val="en-AU"/>
        </w:rPr>
        <w:t xml:space="preserve">resonance theory, they consistently reinforced the recurrence and non-random clustering of boundary-layer signatures (Poher and Poher, 2010; Knuth et al., 2019, 2025; Antonio et al., 2022; </w:t>
      </w:r>
      <w:proofErr w:type="spellStart"/>
      <w:r w:rsidRPr="00B422E6">
        <w:rPr>
          <w:rFonts w:ascii="Arial" w:hAnsi="Arial" w:cs="Arial"/>
          <w:lang w:val="en-AU"/>
        </w:rPr>
        <w:t>Szydagis</w:t>
      </w:r>
      <w:proofErr w:type="spellEnd"/>
      <w:r w:rsidRPr="00B422E6">
        <w:rPr>
          <w:rFonts w:ascii="Arial" w:hAnsi="Arial" w:cs="Arial"/>
          <w:lang w:val="en-AU"/>
        </w:rPr>
        <w:t xml:space="preserve"> et al., 2025). This literature functioned as a validation platform: they did not propose mechanisms but provided structured datasets against which SRMS theory prototypes and predictions can be benchmarked. The implication is that methodological progress in SRMS theory research requires aligning experimental outcomes with these independently documented anomalies.</w:t>
      </w:r>
    </w:p>
    <w:p w14:paraId="00E0DE10" w14:textId="77777777" w:rsidR="00B422E6" w:rsidRPr="00B422E6" w:rsidRDefault="00B422E6" w:rsidP="00B422E6">
      <w:pPr>
        <w:pStyle w:val="Body"/>
        <w:spacing w:after="0"/>
        <w:rPr>
          <w:rFonts w:ascii="Arial" w:hAnsi="Arial" w:cs="Arial"/>
          <w:lang w:val="en-AU"/>
        </w:rPr>
      </w:pPr>
    </w:p>
    <w:p w14:paraId="65BE7681" w14:textId="77777777" w:rsidR="00B422E6" w:rsidRDefault="00B422E6" w:rsidP="00B422E6">
      <w:pPr>
        <w:pStyle w:val="Body"/>
        <w:spacing w:after="0"/>
        <w:rPr>
          <w:rFonts w:ascii="Arial" w:hAnsi="Arial" w:cs="Arial"/>
          <w:lang w:val="en-AU"/>
        </w:rPr>
      </w:pPr>
      <w:r w:rsidRPr="00B422E6">
        <w:rPr>
          <w:rFonts w:ascii="Arial" w:hAnsi="Arial" w:cs="Arial"/>
          <w:lang w:val="en-AU"/>
        </w:rPr>
        <w:t>Finally, contextual literatures (history, culture, statistics, cataloguing) scored consistently low, but this consistency is important. Their limited contributions confirmed that signature-rich clusters are not artefacts of reporting bias but emerge robustly even when wider studies are considered (Akers, 2001; Antonio et al., 2022). The implication is that SRMS research can proceed with confidence that the boundary-layer motifs it seeks to explain are not only recurrent but stable across cultural and historical frames of reference.</w:t>
      </w:r>
    </w:p>
    <w:p w14:paraId="4439709F" w14:textId="77777777" w:rsidR="00B422E6" w:rsidRPr="00B422E6" w:rsidRDefault="00B422E6" w:rsidP="00B422E6">
      <w:pPr>
        <w:pStyle w:val="Body"/>
        <w:spacing w:after="0"/>
        <w:rPr>
          <w:rFonts w:ascii="Arial" w:hAnsi="Arial" w:cs="Arial"/>
          <w:lang w:val="en-AU"/>
        </w:rPr>
      </w:pPr>
    </w:p>
    <w:p w14:paraId="56D52CD8"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Together, the results implied that SRMS theory is best understood not as an isolated hypothesis but as a synthesis of three interacting research trajectories: empirical feeders (plasma, atmospheric, observational), conceptual bridges (optics, metamaterials, lensing), and theoretical engines (propulsion and resonance models) (Figure 4). The alignment of these </w:t>
      </w:r>
      <w:r w:rsidRPr="00B422E6">
        <w:rPr>
          <w:rFonts w:ascii="Arial" w:hAnsi="Arial" w:cs="Arial"/>
          <w:lang w:val="en-AU"/>
        </w:rPr>
        <w:lastRenderedPageBreak/>
        <w:t>clusters across the scoring outputs (Figures 1–3; Table 4) demonstrated that SRMS theory is simultaneously grounded in observation, validated by experimental analogues, and formalized in theoretical models. This integrated structure suggests that the next step is not to ask whether resonance-driven boundary modulation occurs, but how it can be experimentally controlled and engineered.</w:t>
      </w:r>
    </w:p>
    <w:p w14:paraId="3580289D" w14:textId="77777777" w:rsidR="005916BE" w:rsidRDefault="005916BE" w:rsidP="00B422E6">
      <w:pPr>
        <w:pStyle w:val="Body"/>
        <w:spacing w:after="0"/>
        <w:rPr>
          <w:rFonts w:ascii="Arial" w:hAnsi="Arial" w:cs="Arial"/>
          <w:lang w:val="en-AU"/>
        </w:rPr>
      </w:pPr>
    </w:p>
    <w:p w14:paraId="5AD43D83" w14:textId="77777777" w:rsidR="00A45B8E" w:rsidRDefault="00A45B8E" w:rsidP="00441B6F">
      <w:pPr>
        <w:pStyle w:val="Body"/>
        <w:spacing w:after="0"/>
        <w:rPr>
          <w:rFonts w:ascii="Arial" w:hAnsi="Arial" w:cs="Arial"/>
        </w:rPr>
      </w:pPr>
    </w:p>
    <w:p w14:paraId="221D3287" w14:textId="77777777" w:rsidR="00B422E6" w:rsidRPr="00B422E6" w:rsidRDefault="00B422E6" w:rsidP="00C25398">
      <w:pPr>
        <w:pStyle w:val="Body"/>
        <w:spacing w:after="0"/>
        <w:jc w:val="center"/>
        <w:rPr>
          <w:rFonts w:ascii="Arial" w:hAnsi="Arial" w:cs="Arial"/>
          <w:lang w:val="en-AU"/>
        </w:rPr>
      </w:pPr>
      <w:r w:rsidRPr="00B422E6">
        <w:rPr>
          <w:rFonts w:ascii="Arial" w:hAnsi="Arial" w:cs="Arial"/>
          <w:noProof/>
          <w:lang w:val="en-AU"/>
        </w:rPr>
        <w:drawing>
          <wp:inline distT="0" distB="0" distL="0" distR="0" wp14:anchorId="0254E90C" wp14:editId="6CBBE0FF">
            <wp:extent cx="4646888" cy="3404594"/>
            <wp:effectExtent l="0" t="0" r="1905" b="5715"/>
            <wp:docPr id="1871101066"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01066" name="Picture 3" descr="A diagram of a diagram&#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6594" cy="3426358"/>
                    </a:xfrm>
                    <a:prstGeom prst="rect">
                      <a:avLst/>
                    </a:prstGeom>
                    <a:noFill/>
                    <a:ln>
                      <a:noFill/>
                    </a:ln>
                  </pic:spPr>
                </pic:pic>
              </a:graphicData>
            </a:graphic>
          </wp:inline>
        </w:drawing>
      </w:r>
    </w:p>
    <w:p w14:paraId="552833B7" w14:textId="77777777" w:rsidR="00B422E6" w:rsidRDefault="00B422E6" w:rsidP="00B422E6">
      <w:pPr>
        <w:pStyle w:val="Body"/>
        <w:spacing w:after="0"/>
        <w:rPr>
          <w:rFonts w:ascii="Arial" w:hAnsi="Arial" w:cs="Arial"/>
          <w:lang w:val="en-AU"/>
        </w:rPr>
      </w:pPr>
      <w:r w:rsidRPr="00B422E6">
        <w:rPr>
          <w:rFonts w:ascii="Arial" w:hAnsi="Arial" w:cs="Arial"/>
          <w:b/>
          <w:bCs/>
          <w:lang w:val="en-AU"/>
        </w:rPr>
        <w:t>Figure 4.</w:t>
      </w:r>
      <w:r w:rsidRPr="00B422E6">
        <w:rPr>
          <w:rFonts w:ascii="Arial" w:hAnsi="Arial" w:cs="Arial"/>
          <w:lang w:val="en-AU"/>
        </w:rPr>
        <w:t xml:space="preserve"> </w:t>
      </w:r>
      <w:r w:rsidRPr="00B422E6">
        <w:rPr>
          <w:rFonts w:ascii="Arial" w:hAnsi="Arial" w:cs="Arial"/>
          <w:i/>
          <w:iCs/>
          <w:lang w:val="en-AU"/>
        </w:rPr>
        <w:t>Integration of literature clusters into the SRMS framework.</w:t>
      </w:r>
      <w:r w:rsidRPr="00B422E6">
        <w:rPr>
          <w:rFonts w:ascii="Arial" w:hAnsi="Arial" w:cs="Arial"/>
          <w:lang w:val="en-AU"/>
        </w:rPr>
        <w:t xml:space="preserve"> Conceptual diagram showing how three distinct clusters of research converge into the Scalar Resonant Mobility Systems (SRMS) model. </w:t>
      </w:r>
      <w:r w:rsidRPr="00B422E6">
        <w:rPr>
          <w:rFonts w:ascii="Arial" w:hAnsi="Arial" w:cs="Arial"/>
          <w:b/>
          <w:bCs/>
          <w:lang w:val="en-AU"/>
        </w:rPr>
        <w:t>Empirical feeders</w:t>
      </w:r>
      <w:r w:rsidRPr="00B422E6">
        <w:rPr>
          <w:rFonts w:ascii="Arial" w:hAnsi="Arial" w:cs="Arial"/>
          <w:lang w:val="en-AU"/>
        </w:rPr>
        <w:t xml:space="preserve"> (blue) include plasma, ball lightning, and observational studies that document halos, laminar shells, and trans-medium transitions. </w:t>
      </w:r>
      <w:r w:rsidRPr="00B422E6">
        <w:rPr>
          <w:rFonts w:ascii="Arial" w:hAnsi="Arial" w:cs="Arial"/>
          <w:b/>
          <w:bCs/>
          <w:lang w:val="en-AU"/>
        </w:rPr>
        <w:t>Optical bridges</w:t>
      </w:r>
      <w:r w:rsidRPr="00B422E6">
        <w:rPr>
          <w:rFonts w:ascii="Arial" w:hAnsi="Arial" w:cs="Arial"/>
          <w:lang w:val="en-AU"/>
        </w:rPr>
        <w:t xml:space="preserve"> (green) encompass gravitational lensing, metamaterials, and cloaking optics that demonstrate refractive and resonance-based boundary control. </w:t>
      </w:r>
      <w:r w:rsidRPr="00B422E6">
        <w:rPr>
          <w:rFonts w:ascii="Arial" w:hAnsi="Arial" w:cs="Arial"/>
          <w:b/>
          <w:bCs/>
          <w:lang w:val="en-AU"/>
        </w:rPr>
        <w:t>Theoretical engines</w:t>
      </w:r>
      <w:r w:rsidRPr="00B422E6">
        <w:rPr>
          <w:rFonts w:ascii="Arial" w:hAnsi="Arial" w:cs="Arial"/>
          <w:lang w:val="en-AU"/>
        </w:rPr>
        <w:t xml:space="preserve"> (red) include propulsion studies, vacuum-field models, and resonance formulations that explicitly describe mobility mechanisms. Together, these clusters funnel into the </w:t>
      </w:r>
      <w:r w:rsidRPr="00B422E6">
        <w:rPr>
          <w:rFonts w:ascii="Arial" w:hAnsi="Arial" w:cs="Arial"/>
          <w:b/>
          <w:bCs/>
          <w:lang w:val="en-AU"/>
        </w:rPr>
        <w:t>SRMS core</w:t>
      </w:r>
      <w:r w:rsidRPr="00B422E6">
        <w:rPr>
          <w:rFonts w:ascii="Arial" w:hAnsi="Arial" w:cs="Arial"/>
          <w:lang w:val="en-AU"/>
        </w:rPr>
        <w:t xml:space="preserve"> (yellow), illustrating how observational evidence, bridging theories, and resonant propulsion concepts combine to form a unified explanatory and engineering framework.</w:t>
      </w:r>
    </w:p>
    <w:p w14:paraId="5E3FB3DD" w14:textId="77777777" w:rsidR="00B422E6" w:rsidRDefault="00B422E6" w:rsidP="00B422E6">
      <w:pPr>
        <w:pStyle w:val="Body"/>
        <w:spacing w:after="0"/>
        <w:rPr>
          <w:rFonts w:ascii="Arial" w:hAnsi="Arial" w:cs="Arial"/>
          <w:lang w:val="en-AU"/>
        </w:rPr>
      </w:pPr>
    </w:p>
    <w:p w14:paraId="25124ED5" w14:textId="77777777" w:rsidR="00B422E6" w:rsidRDefault="00B422E6" w:rsidP="00B422E6">
      <w:pPr>
        <w:pStyle w:val="Body"/>
        <w:spacing w:after="0"/>
        <w:rPr>
          <w:rFonts w:ascii="Arial" w:hAnsi="Arial" w:cs="Arial"/>
          <w:lang w:val="en-AU"/>
        </w:rPr>
      </w:pPr>
    </w:p>
    <w:p w14:paraId="412E7137" w14:textId="77777777" w:rsidR="005916BE" w:rsidRPr="00B422E6" w:rsidRDefault="005916BE" w:rsidP="00B422E6">
      <w:pPr>
        <w:pStyle w:val="Body"/>
        <w:spacing w:after="0"/>
        <w:rPr>
          <w:rFonts w:ascii="Arial" w:hAnsi="Arial" w:cs="Arial"/>
          <w:lang w:val="en-AU"/>
        </w:rPr>
      </w:pPr>
    </w:p>
    <w:p w14:paraId="103A847B" w14:textId="25241451" w:rsidR="00B422E6" w:rsidRPr="00DB0EB5"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6. C</w:t>
      </w:r>
      <w:r w:rsidRPr="00DB0EB5">
        <w:rPr>
          <w:rFonts w:ascii="Arial" w:hAnsi="Arial" w:cs="Arial"/>
          <w:b/>
          <w:bCs/>
          <w:sz w:val="22"/>
          <w:szCs w:val="22"/>
          <w:lang w:val="en-AU"/>
        </w:rPr>
        <w:t>ONCLUSION</w:t>
      </w:r>
    </w:p>
    <w:p w14:paraId="2123CE58" w14:textId="77777777" w:rsidR="00B422E6" w:rsidRPr="00B422E6" w:rsidRDefault="00B422E6" w:rsidP="00B422E6">
      <w:pPr>
        <w:pStyle w:val="Body"/>
        <w:spacing w:after="0"/>
        <w:rPr>
          <w:rFonts w:ascii="Arial" w:hAnsi="Arial" w:cs="Arial"/>
          <w:b/>
          <w:bCs/>
          <w:lang w:val="en-AU"/>
        </w:rPr>
      </w:pPr>
    </w:p>
    <w:p w14:paraId="2FF929B8"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This study demonstrated that boundary-layer signatures, halos, laminar shells, trans-medium transitions, cloaking effects, and axial emissions, were consistently distributed across the reference corpus in structured rather than random ways. Thematic scoring revealed that plasma and observational studies functioned as </w:t>
      </w:r>
      <w:r w:rsidRPr="00B422E6">
        <w:rPr>
          <w:rFonts w:ascii="Arial" w:hAnsi="Arial" w:cs="Arial"/>
          <w:b/>
          <w:bCs/>
          <w:lang w:val="en-AU"/>
        </w:rPr>
        <w:t>empirical feeders</w:t>
      </w:r>
      <w:r w:rsidRPr="00B422E6">
        <w:rPr>
          <w:rFonts w:ascii="Arial" w:hAnsi="Arial" w:cs="Arial"/>
          <w:lang w:val="en-AU"/>
        </w:rPr>
        <w:t xml:space="preserve">, establishing a recurrent baseline of anomalous phenomena, while optics, metamaterials, and gravitational lensing served as </w:t>
      </w:r>
      <w:r w:rsidRPr="00B422E6">
        <w:rPr>
          <w:rFonts w:ascii="Arial" w:hAnsi="Arial" w:cs="Arial"/>
          <w:b/>
          <w:bCs/>
          <w:lang w:val="en-AU"/>
        </w:rPr>
        <w:t>conceptual bridges</w:t>
      </w:r>
      <w:r w:rsidRPr="00B422E6">
        <w:rPr>
          <w:rFonts w:ascii="Arial" w:hAnsi="Arial" w:cs="Arial"/>
          <w:lang w:val="en-AU"/>
        </w:rPr>
        <w:t xml:space="preserve">, translating these observations into experimentally reproducible field effects. Propulsion and resonance models acted as </w:t>
      </w:r>
      <w:r w:rsidRPr="00B422E6">
        <w:rPr>
          <w:rFonts w:ascii="Arial" w:hAnsi="Arial" w:cs="Arial"/>
          <w:b/>
          <w:bCs/>
          <w:lang w:val="en-AU"/>
        </w:rPr>
        <w:t>theoretical engines</w:t>
      </w:r>
      <w:r w:rsidRPr="00B422E6">
        <w:rPr>
          <w:rFonts w:ascii="Arial" w:hAnsi="Arial" w:cs="Arial"/>
          <w:lang w:val="en-AU"/>
        </w:rPr>
        <w:t xml:space="preserve">, explicitly formalizing how resonance with scalar fields could unify these features under a </w:t>
      </w:r>
      <w:r w:rsidRPr="00B422E6">
        <w:rPr>
          <w:rFonts w:ascii="Arial" w:hAnsi="Arial" w:cs="Arial"/>
          <w:lang w:val="en-AU"/>
        </w:rPr>
        <w:lastRenderedPageBreak/>
        <w:t>coherent framework of mobility. Together, these strands produced the bimodal clustering observed in the co-occurrence matrix and Δ analysis, showing that SRMS concepts are simultaneously grounded in empirical observation, validated by experimental analogues, and advanced through theoretical models.</w:t>
      </w:r>
    </w:p>
    <w:p w14:paraId="5B1A5A33" w14:textId="77777777" w:rsidR="00B422E6" w:rsidRPr="00B422E6" w:rsidRDefault="00B422E6" w:rsidP="00B422E6">
      <w:pPr>
        <w:pStyle w:val="Body"/>
        <w:spacing w:after="0"/>
        <w:rPr>
          <w:rFonts w:ascii="Arial" w:hAnsi="Arial" w:cs="Arial"/>
          <w:lang w:val="en-AU"/>
        </w:rPr>
      </w:pPr>
    </w:p>
    <w:p w14:paraId="04C232D1" w14:textId="77777777" w:rsidR="00B422E6" w:rsidRPr="00B422E6" w:rsidRDefault="00B422E6" w:rsidP="00B422E6">
      <w:pPr>
        <w:pStyle w:val="Body"/>
        <w:spacing w:after="0"/>
        <w:rPr>
          <w:rFonts w:ascii="Arial" w:hAnsi="Arial" w:cs="Arial"/>
          <w:lang w:val="en-AU"/>
        </w:rPr>
      </w:pPr>
      <w:r w:rsidRPr="00B422E6">
        <w:rPr>
          <w:rFonts w:ascii="Arial" w:hAnsi="Arial" w:cs="Arial"/>
          <w:lang w:val="en-AU"/>
        </w:rPr>
        <w:t>The implications extend beyond cataloguing anomalies. Plasma and atmospheric studies provided robust observational anchors, but their weaker resonance linkages highlighted opportunities for theoretical integration. Optics and metamaterials demonstrated that resonance-driven boundary control is experimentally achievable, suggesting that SRMS theory can be tested in laboratory conditions. Propulsion research formalized this integration, offering constants and thresholds that translate anomalies into engineering criteria. Observational and statistical datasets supplied benchmarks for validation, ensuring that resonance-based prototypes can be evaluated against documented patterns. Taken together, the convergence of feeders, bridges, and engines indicated that SRMS theory is not speculative but represents a viable path from anomaly documentation to experimental control, providing a roadmap for advancing boundary-layer studies into testable aerospace applications.</w:t>
      </w:r>
    </w:p>
    <w:p w14:paraId="5A328261" w14:textId="77777777" w:rsidR="00B422E6" w:rsidRDefault="00B422E6" w:rsidP="00441B6F">
      <w:pPr>
        <w:pStyle w:val="Body"/>
        <w:spacing w:after="0"/>
        <w:rPr>
          <w:rFonts w:ascii="Arial" w:hAnsi="Arial" w:cs="Arial"/>
        </w:rPr>
      </w:pPr>
    </w:p>
    <w:p w14:paraId="71BDEB79" w14:textId="77777777" w:rsidR="007E3302" w:rsidRDefault="007E3302" w:rsidP="00441B6F">
      <w:pPr>
        <w:pStyle w:val="Body"/>
        <w:spacing w:after="0"/>
        <w:rPr>
          <w:rFonts w:ascii="Arial" w:hAnsi="Arial" w:cs="Arial"/>
        </w:rPr>
      </w:pPr>
    </w:p>
    <w:p w14:paraId="3FE4114C" w14:textId="77777777" w:rsidR="007E3302" w:rsidRDefault="007E3302" w:rsidP="00441B6F">
      <w:pPr>
        <w:pStyle w:val="Body"/>
        <w:spacing w:after="0"/>
        <w:rPr>
          <w:rFonts w:ascii="Arial" w:hAnsi="Arial" w:cs="Arial"/>
        </w:rPr>
      </w:pPr>
    </w:p>
    <w:p w14:paraId="1FA12E7A" w14:textId="77777777" w:rsidR="005916BE" w:rsidRDefault="005916BE" w:rsidP="00441B6F">
      <w:pPr>
        <w:pStyle w:val="Body"/>
        <w:spacing w:after="0"/>
        <w:rPr>
          <w:rFonts w:ascii="Arial" w:hAnsi="Arial" w:cs="Arial"/>
        </w:rPr>
      </w:pPr>
    </w:p>
    <w:p w14:paraId="76AD1198" w14:textId="0294BAB1" w:rsidR="00B422E6" w:rsidRPr="00B422E6" w:rsidRDefault="00B422E6" w:rsidP="00B422E6">
      <w:pPr>
        <w:pStyle w:val="Body"/>
        <w:spacing w:after="0"/>
        <w:rPr>
          <w:rFonts w:ascii="Arial" w:hAnsi="Arial" w:cs="Arial"/>
          <w:b/>
          <w:bCs/>
          <w:sz w:val="22"/>
          <w:szCs w:val="22"/>
          <w:lang w:val="en-AU"/>
        </w:rPr>
      </w:pPr>
      <w:r w:rsidRPr="00B422E6">
        <w:rPr>
          <w:rFonts w:ascii="Arial" w:hAnsi="Arial" w:cs="Arial"/>
          <w:b/>
          <w:bCs/>
          <w:sz w:val="22"/>
          <w:szCs w:val="22"/>
          <w:lang w:val="en-AU"/>
        </w:rPr>
        <w:t>R</w:t>
      </w:r>
      <w:r w:rsidR="00DB0EB5">
        <w:rPr>
          <w:rFonts w:ascii="Arial" w:hAnsi="Arial" w:cs="Arial"/>
          <w:b/>
          <w:bCs/>
          <w:sz w:val="22"/>
          <w:szCs w:val="22"/>
          <w:lang w:val="en-AU"/>
        </w:rPr>
        <w:t>EFERENCES</w:t>
      </w:r>
    </w:p>
    <w:p w14:paraId="48DC20A0" w14:textId="77777777" w:rsidR="00B422E6" w:rsidRPr="00B422E6" w:rsidRDefault="00B422E6" w:rsidP="00B422E6">
      <w:pPr>
        <w:pStyle w:val="Body"/>
        <w:spacing w:after="0"/>
        <w:rPr>
          <w:rFonts w:ascii="Arial" w:hAnsi="Arial" w:cs="Arial"/>
          <w:b/>
          <w:bCs/>
          <w:lang w:val="en-AU"/>
        </w:rPr>
      </w:pPr>
    </w:p>
    <w:p w14:paraId="6888E1B0" w14:textId="77777777" w:rsidR="00B422E6" w:rsidRDefault="00B422E6" w:rsidP="00B422E6">
      <w:pPr>
        <w:pStyle w:val="Body"/>
        <w:spacing w:after="0"/>
        <w:rPr>
          <w:rFonts w:ascii="Arial" w:hAnsi="Arial" w:cs="Arial"/>
        </w:rPr>
      </w:pPr>
      <w:r w:rsidRPr="00B422E6">
        <w:rPr>
          <w:rFonts w:ascii="Arial" w:hAnsi="Arial" w:cs="Arial"/>
          <w:lang w:val="en-AU"/>
        </w:rPr>
        <w:t xml:space="preserve">Abrahamson, J., &amp; </w:t>
      </w:r>
      <w:proofErr w:type="spellStart"/>
      <w:r w:rsidRPr="00B422E6">
        <w:rPr>
          <w:rFonts w:ascii="Arial" w:hAnsi="Arial" w:cs="Arial"/>
          <w:lang w:val="en-AU"/>
        </w:rPr>
        <w:t>Dinniss</w:t>
      </w:r>
      <w:proofErr w:type="spellEnd"/>
      <w:r w:rsidRPr="00B422E6">
        <w:rPr>
          <w:rFonts w:ascii="Arial" w:hAnsi="Arial" w:cs="Arial"/>
          <w:lang w:val="en-AU"/>
        </w:rPr>
        <w:t xml:space="preserve">, J. (2000). Ball lightning caused by oxidation of nanoparticle networks from normal lightning strikes on soil. </w:t>
      </w:r>
      <w:r w:rsidRPr="00B422E6">
        <w:rPr>
          <w:rFonts w:ascii="Arial" w:hAnsi="Arial" w:cs="Arial"/>
          <w:i/>
          <w:iCs/>
          <w:lang w:val="en-AU"/>
        </w:rPr>
        <w:t>Nature, 403</w:t>
      </w:r>
      <w:r w:rsidRPr="00B422E6">
        <w:rPr>
          <w:rFonts w:ascii="Arial" w:hAnsi="Arial" w:cs="Arial"/>
          <w:lang w:val="en-AU"/>
        </w:rPr>
        <w:t xml:space="preserve">(6769), 519–521. </w:t>
      </w:r>
      <w:hyperlink r:id="rId22" w:history="1">
        <w:r w:rsidRPr="00B422E6">
          <w:rPr>
            <w:rStyle w:val="Hyperlink"/>
            <w:rFonts w:ascii="Arial" w:hAnsi="Arial" w:cs="Arial"/>
            <w:lang w:val="en-AU"/>
          </w:rPr>
          <w:t>https://doi.org/10.1038/35000525</w:t>
        </w:r>
      </w:hyperlink>
    </w:p>
    <w:p w14:paraId="2A4FFC3E" w14:textId="77777777" w:rsidR="00B422E6" w:rsidRPr="00B422E6" w:rsidRDefault="00B422E6" w:rsidP="00B422E6">
      <w:pPr>
        <w:pStyle w:val="Body"/>
        <w:spacing w:after="0"/>
        <w:rPr>
          <w:rFonts w:ascii="Arial" w:hAnsi="Arial" w:cs="Arial"/>
          <w:lang w:val="en-AU"/>
        </w:rPr>
      </w:pPr>
    </w:p>
    <w:p w14:paraId="66470550" w14:textId="77777777" w:rsidR="00B422E6" w:rsidRDefault="00B422E6" w:rsidP="00B422E6">
      <w:pPr>
        <w:pStyle w:val="Body"/>
        <w:spacing w:after="0"/>
        <w:rPr>
          <w:rFonts w:ascii="Arial" w:hAnsi="Arial" w:cs="Arial"/>
        </w:rPr>
      </w:pPr>
      <w:r w:rsidRPr="00B422E6">
        <w:rPr>
          <w:rFonts w:ascii="Arial" w:hAnsi="Arial" w:cs="Arial"/>
          <w:lang w:val="en-AU"/>
        </w:rPr>
        <w:t xml:space="preserve">Akers, D. (2001). </w:t>
      </w:r>
      <w:r w:rsidRPr="00B422E6">
        <w:rPr>
          <w:rFonts w:ascii="Arial" w:hAnsi="Arial" w:cs="Arial"/>
          <w:i/>
          <w:iCs/>
          <w:lang w:val="en-AU"/>
        </w:rPr>
        <w:t>Preliminary report on magnetic field measurements recorded at Status Fire Lookout – July 11, 2001.</w:t>
      </w:r>
      <w:r w:rsidRPr="00B422E6">
        <w:rPr>
          <w:rFonts w:ascii="Arial" w:hAnsi="Arial" w:cs="Arial"/>
          <w:lang w:val="en-AU"/>
        </w:rPr>
        <w:t xml:space="preserve"> Retrieved from </w:t>
      </w:r>
      <w:hyperlink r:id="rId23" w:history="1">
        <w:r w:rsidRPr="00B422E6">
          <w:rPr>
            <w:rStyle w:val="Hyperlink"/>
            <w:rFonts w:ascii="Arial" w:hAnsi="Arial" w:cs="Arial"/>
            <w:lang w:val="en-AU"/>
          </w:rPr>
          <w:t>http://www.leeh.net/polyarts/Archive/01070001.pdf</w:t>
        </w:r>
      </w:hyperlink>
    </w:p>
    <w:p w14:paraId="22289862" w14:textId="77777777" w:rsidR="00B422E6" w:rsidRPr="00B422E6" w:rsidRDefault="00B422E6" w:rsidP="00B422E6">
      <w:pPr>
        <w:pStyle w:val="Body"/>
        <w:spacing w:after="0"/>
        <w:rPr>
          <w:rFonts w:ascii="Arial" w:hAnsi="Arial" w:cs="Arial"/>
          <w:lang w:val="en-AU"/>
        </w:rPr>
      </w:pPr>
    </w:p>
    <w:p w14:paraId="4DA3A8E0" w14:textId="77777777" w:rsidR="00B422E6" w:rsidRDefault="00B422E6" w:rsidP="00B422E6">
      <w:pPr>
        <w:pStyle w:val="Body"/>
        <w:spacing w:after="0"/>
        <w:rPr>
          <w:rFonts w:ascii="Arial" w:hAnsi="Arial" w:cs="Arial"/>
        </w:rPr>
      </w:pPr>
      <w:proofErr w:type="spellStart"/>
      <w:r w:rsidRPr="00B422E6">
        <w:rPr>
          <w:rFonts w:ascii="Arial" w:hAnsi="Arial" w:cs="Arial"/>
        </w:rPr>
        <w:t>Ailleris</w:t>
      </w:r>
      <w:proofErr w:type="spellEnd"/>
      <w:r w:rsidRPr="00B422E6">
        <w:rPr>
          <w:rFonts w:ascii="Arial" w:hAnsi="Arial" w:cs="Arial"/>
        </w:rPr>
        <w:t xml:space="preserve">, P. (2024). Exploring unidentified aerospace phenomena through instrumented field studies: Historical insights, current challenges, and future directions. </w:t>
      </w:r>
      <w:r w:rsidRPr="00B422E6">
        <w:rPr>
          <w:rFonts w:ascii="Arial" w:hAnsi="Arial" w:cs="Arial"/>
          <w:i/>
          <w:iCs/>
        </w:rPr>
        <w:t>Journal of UAP Studies</w:t>
      </w:r>
      <w:r w:rsidRPr="00B422E6">
        <w:rPr>
          <w:rFonts w:ascii="Arial" w:hAnsi="Arial" w:cs="Arial"/>
        </w:rPr>
        <w:t xml:space="preserve">, </w:t>
      </w:r>
      <w:r w:rsidRPr="00B422E6">
        <w:rPr>
          <w:rFonts w:ascii="Arial" w:hAnsi="Arial" w:cs="Arial"/>
          <w:i/>
          <w:iCs/>
        </w:rPr>
        <w:t>1</w:t>
      </w:r>
      <w:r w:rsidRPr="00B422E6">
        <w:rPr>
          <w:rFonts w:ascii="Arial" w:hAnsi="Arial" w:cs="Arial"/>
        </w:rPr>
        <w:t>(1), 11–30.</w:t>
      </w:r>
    </w:p>
    <w:p w14:paraId="325184F1" w14:textId="77777777" w:rsidR="00B422E6" w:rsidRPr="00B422E6" w:rsidRDefault="00B422E6" w:rsidP="00B422E6">
      <w:pPr>
        <w:pStyle w:val="Body"/>
        <w:spacing w:after="0"/>
        <w:rPr>
          <w:rFonts w:ascii="Arial" w:hAnsi="Arial" w:cs="Arial"/>
          <w:lang w:val="en-AU"/>
        </w:rPr>
      </w:pPr>
    </w:p>
    <w:p w14:paraId="1A9278E9" w14:textId="77777777" w:rsidR="00B422E6" w:rsidRDefault="00B422E6" w:rsidP="00B422E6">
      <w:pPr>
        <w:pStyle w:val="Body"/>
        <w:spacing w:after="0"/>
        <w:rPr>
          <w:rFonts w:ascii="Arial" w:hAnsi="Arial" w:cs="Arial"/>
        </w:rPr>
      </w:pPr>
      <w:r w:rsidRPr="00B422E6">
        <w:rPr>
          <w:rFonts w:ascii="Arial" w:hAnsi="Arial" w:cs="Arial"/>
          <w:lang w:val="en-AU"/>
        </w:rPr>
        <w:t xml:space="preserve">Antonio, F. J., Itami, A. S., </w:t>
      </w:r>
      <w:proofErr w:type="spellStart"/>
      <w:r w:rsidRPr="00B422E6">
        <w:rPr>
          <w:rFonts w:ascii="Arial" w:hAnsi="Arial" w:cs="Arial"/>
          <w:lang w:val="en-AU"/>
        </w:rPr>
        <w:t>Dalmedico</w:t>
      </w:r>
      <w:proofErr w:type="spellEnd"/>
      <w:r w:rsidRPr="00B422E6">
        <w:rPr>
          <w:rFonts w:ascii="Arial" w:hAnsi="Arial" w:cs="Arial"/>
          <w:lang w:val="en-AU"/>
        </w:rPr>
        <w:t xml:space="preserve">, J. F., &amp; Mendes, R. S. (2022). On the dynamics of reporting data: A case study of UFO sightings. </w:t>
      </w:r>
      <w:r w:rsidRPr="00B422E6">
        <w:rPr>
          <w:rFonts w:ascii="Arial" w:hAnsi="Arial" w:cs="Arial"/>
          <w:i/>
          <w:iCs/>
          <w:lang w:val="en-AU"/>
        </w:rPr>
        <w:t>Physica A: Statistical Mechanics and its Applications, 603,</w:t>
      </w:r>
      <w:r w:rsidRPr="00B422E6">
        <w:rPr>
          <w:rFonts w:ascii="Arial" w:hAnsi="Arial" w:cs="Arial"/>
          <w:lang w:val="en-AU"/>
        </w:rPr>
        <w:t xml:space="preserve"> 127807. </w:t>
      </w:r>
      <w:hyperlink r:id="rId24" w:history="1">
        <w:r w:rsidRPr="00B422E6">
          <w:rPr>
            <w:rStyle w:val="Hyperlink"/>
            <w:rFonts w:ascii="Arial" w:hAnsi="Arial" w:cs="Arial"/>
            <w:lang w:val="en-AU"/>
          </w:rPr>
          <w:t>https://doi.org/10.1016/j.physa.2022.127807</w:t>
        </w:r>
      </w:hyperlink>
    </w:p>
    <w:p w14:paraId="26783212" w14:textId="77777777" w:rsidR="00B422E6" w:rsidRPr="00B422E6" w:rsidRDefault="00B422E6" w:rsidP="00B422E6">
      <w:pPr>
        <w:pStyle w:val="Body"/>
        <w:spacing w:after="0"/>
        <w:rPr>
          <w:rFonts w:ascii="Arial" w:hAnsi="Arial" w:cs="Arial"/>
          <w:lang w:val="en-AU"/>
        </w:rPr>
      </w:pPr>
    </w:p>
    <w:p w14:paraId="00354CD4"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Aquino, F. de. (2010). </w:t>
      </w:r>
      <w:r w:rsidRPr="00B422E6">
        <w:rPr>
          <w:rFonts w:ascii="Arial" w:hAnsi="Arial" w:cs="Arial"/>
          <w:i/>
          <w:iCs/>
          <w:lang w:val="en-AU"/>
        </w:rPr>
        <w:t>Gravity control by means of electromagnetic field through gas or plasma at ultra-low pressure</w:t>
      </w:r>
      <w:r w:rsidRPr="00B422E6">
        <w:rPr>
          <w:rFonts w:ascii="Arial" w:hAnsi="Arial" w:cs="Arial"/>
          <w:lang w:val="en-AU"/>
        </w:rPr>
        <w:t>. Maranhão State University, Physics Department, São Luís, Brazil.</w:t>
      </w:r>
    </w:p>
    <w:p w14:paraId="79169430" w14:textId="77777777" w:rsidR="00B422E6" w:rsidRPr="00B422E6" w:rsidRDefault="00B422E6" w:rsidP="00B422E6">
      <w:pPr>
        <w:pStyle w:val="Body"/>
        <w:spacing w:after="0"/>
        <w:rPr>
          <w:rFonts w:ascii="Arial" w:hAnsi="Arial" w:cs="Arial"/>
          <w:lang w:val="en-AU"/>
        </w:rPr>
      </w:pPr>
    </w:p>
    <w:p w14:paraId="17D10DC0"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Aquino, F. de. (2012). </w:t>
      </w:r>
      <w:r w:rsidRPr="00B422E6">
        <w:rPr>
          <w:rFonts w:ascii="Arial" w:hAnsi="Arial" w:cs="Arial"/>
          <w:i/>
          <w:iCs/>
          <w:lang w:val="en-AU"/>
        </w:rPr>
        <w:t>A system to convert gravitational energy directly into electrical energy</w:t>
      </w:r>
      <w:r w:rsidRPr="00B422E6">
        <w:rPr>
          <w:rFonts w:ascii="Arial" w:hAnsi="Arial" w:cs="Arial"/>
          <w:lang w:val="en-AU"/>
        </w:rPr>
        <w:t>. Maranhão State University, Physics Department, São Luís, Brazil.</w:t>
      </w:r>
    </w:p>
    <w:p w14:paraId="3F1A6952" w14:textId="77777777" w:rsidR="00B422E6" w:rsidRPr="00B422E6" w:rsidRDefault="00B422E6" w:rsidP="00B422E6">
      <w:pPr>
        <w:pStyle w:val="Body"/>
        <w:spacing w:after="0"/>
        <w:rPr>
          <w:rFonts w:ascii="Arial" w:hAnsi="Arial" w:cs="Arial"/>
          <w:lang w:val="en-AU"/>
        </w:rPr>
      </w:pPr>
    </w:p>
    <w:p w14:paraId="4A094316" w14:textId="77777777" w:rsidR="00B422E6" w:rsidRDefault="00B422E6" w:rsidP="00B422E6">
      <w:pPr>
        <w:pStyle w:val="Body"/>
        <w:spacing w:after="0"/>
        <w:rPr>
          <w:rFonts w:ascii="Arial" w:hAnsi="Arial" w:cs="Arial"/>
        </w:rPr>
      </w:pPr>
      <w:r w:rsidRPr="00B422E6">
        <w:rPr>
          <w:rFonts w:ascii="Arial" w:hAnsi="Arial" w:cs="Arial"/>
          <w:lang w:val="en-AU"/>
        </w:rPr>
        <w:t xml:space="preserve">Aquino, F. de. (2016). Quantum controller of gravity. </w:t>
      </w:r>
      <w:r w:rsidRPr="00B422E6">
        <w:rPr>
          <w:rFonts w:ascii="Arial" w:hAnsi="Arial" w:cs="Arial"/>
          <w:i/>
          <w:iCs/>
          <w:lang w:val="en-AU"/>
        </w:rPr>
        <w:t>HAL Archives.</w:t>
      </w:r>
      <w:r w:rsidRPr="00B422E6">
        <w:rPr>
          <w:rFonts w:ascii="Arial" w:hAnsi="Arial" w:cs="Arial"/>
          <w:lang w:val="en-AU"/>
        </w:rPr>
        <w:t xml:space="preserve"> </w:t>
      </w:r>
      <w:hyperlink r:id="rId25" w:history="1">
        <w:r w:rsidRPr="00B422E6">
          <w:rPr>
            <w:rStyle w:val="Hyperlink"/>
            <w:rFonts w:ascii="Arial" w:hAnsi="Arial" w:cs="Arial"/>
            <w:lang w:val="en-AU"/>
          </w:rPr>
          <w:t>https://hal.science/hal-01320459v3</w:t>
        </w:r>
      </w:hyperlink>
    </w:p>
    <w:p w14:paraId="2848F55F" w14:textId="77777777" w:rsidR="00B422E6" w:rsidRPr="00B422E6" w:rsidRDefault="00B422E6" w:rsidP="00B422E6">
      <w:pPr>
        <w:pStyle w:val="Body"/>
        <w:spacing w:after="0"/>
        <w:rPr>
          <w:rFonts w:ascii="Arial" w:hAnsi="Arial" w:cs="Arial"/>
          <w:lang w:val="en-AU"/>
        </w:rPr>
      </w:pPr>
    </w:p>
    <w:p w14:paraId="605F7E02" w14:textId="77777777" w:rsidR="00B422E6" w:rsidRDefault="00B422E6" w:rsidP="00B422E6">
      <w:pPr>
        <w:pStyle w:val="Body"/>
        <w:spacing w:after="0"/>
        <w:rPr>
          <w:rFonts w:ascii="Arial" w:hAnsi="Arial" w:cs="Arial"/>
        </w:rPr>
      </w:pPr>
      <w:r w:rsidRPr="00B422E6">
        <w:rPr>
          <w:rFonts w:ascii="Arial" w:hAnsi="Arial" w:cs="Arial"/>
          <w:lang w:val="en-AU"/>
        </w:rPr>
        <w:t xml:space="preserve">Aquino, F. de. (2021). Decreasing of gravitational mass of the magnesium subjected to an alternating magnetic field of extremely low frequency. </w:t>
      </w:r>
      <w:r w:rsidRPr="00B422E6">
        <w:rPr>
          <w:rFonts w:ascii="Arial" w:hAnsi="Arial" w:cs="Arial"/>
          <w:i/>
          <w:iCs/>
          <w:lang w:val="en-AU"/>
        </w:rPr>
        <w:t>HAL Archives.</w:t>
      </w:r>
      <w:r w:rsidRPr="00B422E6">
        <w:rPr>
          <w:rFonts w:ascii="Arial" w:hAnsi="Arial" w:cs="Arial"/>
          <w:lang w:val="en-AU"/>
        </w:rPr>
        <w:t xml:space="preserve"> </w:t>
      </w:r>
      <w:hyperlink r:id="rId26" w:history="1">
        <w:r w:rsidRPr="00B422E6">
          <w:rPr>
            <w:rStyle w:val="Hyperlink"/>
            <w:rFonts w:ascii="Arial" w:hAnsi="Arial" w:cs="Arial"/>
            <w:lang w:val="en-AU"/>
          </w:rPr>
          <w:t>https://hal.science/hal-03120208v2</w:t>
        </w:r>
      </w:hyperlink>
    </w:p>
    <w:p w14:paraId="321934D8" w14:textId="77777777" w:rsidR="00B422E6" w:rsidRPr="00B422E6" w:rsidRDefault="00B422E6" w:rsidP="00B422E6">
      <w:pPr>
        <w:pStyle w:val="Body"/>
        <w:spacing w:after="0"/>
        <w:rPr>
          <w:rFonts w:ascii="Arial" w:hAnsi="Arial" w:cs="Arial"/>
          <w:lang w:val="en-AU"/>
        </w:rPr>
      </w:pPr>
    </w:p>
    <w:p w14:paraId="4A720F08" w14:textId="5D108D85" w:rsidR="00B422E6" w:rsidRPr="00C25398" w:rsidRDefault="00B422E6" w:rsidP="00B422E6">
      <w:pPr>
        <w:pStyle w:val="Body"/>
        <w:spacing w:after="0"/>
        <w:rPr>
          <w:rFonts w:ascii="Arial" w:hAnsi="Arial" w:cs="Arial"/>
        </w:rPr>
      </w:pPr>
      <w:proofErr w:type="spellStart"/>
      <w:r w:rsidRPr="00B422E6">
        <w:rPr>
          <w:rFonts w:ascii="Arial" w:hAnsi="Arial" w:cs="Arial"/>
          <w:lang w:val="en-AU"/>
        </w:rPr>
        <w:t>Bekenstein</w:t>
      </w:r>
      <w:proofErr w:type="spellEnd"/>
      <w:r w:rsidRPr="00B422E6">
        <w:rPr>
          <w:rFonts w:ascii="Arial" w:hAnsi="Arial" w:cs="Arial"/>
          <w:lang w:val="en-AU"/>
        </w:rPr>
        <w:t xml:space="preserve">, J. D., &amp; Sanders, R. H. (1993). Gravitational lenses and unconventional gravity theories. </w:t>
      </w:r>
      <w:r w:rsidRPr="00B422E6">
        <w:rPr>
          <w:rFonts w:ascii="Arial" w:hAnsi="Arial" w:cs="Arial"/>
          <w:i/>
          <w:iCs/>
          <w:lang w:val="en-AU"/>
        </w:rPr>
        <w:t>Astrophysical Journal, 429,</w:t>
      </w:r>
      <w:r w:rsidRPr="00B422E6">
        <w:rPr>
          <w:rFonts w:ascii="Arial" w:hAnsi="Arial" w:cs="Arial"/>
          <w:lang w:val="en-AU"/>
        </w:rPr>
        <w:t xml:space="preserve"> 480–490</w:t>
      </w:r>
    </w:p>
    <w:p w14:paraId="500724D4" w14:textId="77777777" w:rsidR="00B422E6" w:rsidRPr="00B422E6" w:rsidRDefault="00B422E6" w:rsidP="00B422E6">
      <w:pPr>
        <w:pStyle w:val="Body"/>
        <w:spacing w:after="0"/>
        <w:rPr>
          <w:rFonts w:ascii="Arial" w:hAnsi="Arial" w:cs="Arial"/>
          <w:lang w:val="en-AU"/>
        </w:rPr>
      </w:pPr>
    </w:p>
    <w:p w14:paraId="14B78CDC" w14:textId="673B6CB9" w:rsidR="00B422E6" w:rsidRDefault="00B422E6" w:rsidP="00B422E6">
      <w:pPr>
        <w:pStyle w:val="Body"/>
        <w:spacing w:after="0"/>
        <w:rPr>
          <w:rFonts w:ascii="Arial" w:hAnsi="Arial" w:cs="Arial"/>
        </w:rPr>
      </w:pPr>
      <w:r w:rsidRPr="00B422E6">
        <w:rPr>
          <w:rFonts w:ascii="Arial" w:hAnsi="Arial" w:cs="Arial"/>
          <w:lang w:val="en-AU"/>
        </w:rPr>
        <w:t xml:space="preserve">Berghaus, K. V., Kable, J., &amp; Miranda, V. (2024). Testing dark energy and modified gravity with strong lensing. </w:t>
      </w:r>
      <w:r w:rsidRPr="00B422E6">
        <w:rPr>
          <w:rFonts w:ascii="Arial" w:hAnsi="Arial" w:cs="Arial"/>
          <w:i/>
          <w:iCs/>
          <w:lang w:val="en-AU"/>
        </w:rPr>
        <w:t>Physical Review D, 109</w:t>
      </w:r>
      <w:r w:rsidRPr="00B422E6">
        <w:rPr>
          <w:rFonts w:ascii="Arial" w:hAnsi="Arial" w:cs="Arial"/>
          <w:lang w:val="en-AU"/>
        </w:rPr>
        <w:t xml:space="preserve">(6), 063524. </w:t>
      </w:r>
    </w:p>
    <w:p w14:paraId="40ABD720" w14:textId="77777777" w:rsidR="00283F16" w:rsidRPr="00B422E6" w:rsidRDefault="00283F16" w:rsidP="00B422E6">
      <w:pPr>
        <w:pStyle w:val="Body"/>
        <w:spacing w:after="0"/>
        <w:rPr>
          <w:rFonts w:ascii="Arial" w:hAnsi="Arial" w:cs="Arial"/>
          <w:lang w:val="en-AU"/>
        </w:rPr>
      </w:pPr>
    </w:p>
    <w:p w14:paraId="027C8958" w14:textId="77777777" w:rsidR="00572B7F" w:rsidRPr="00572B7F" w:rsidRDefault="00572B7F" w:rsidP="00572B7F">
      <w:pPr>
        <w:pStyle w:val="Body"/>
        <w:rPr>
          <w:rFonts w:ascii="Arial" w:hAnsi="Arial" w:cs="Arial"/>
          <w:lang w:val="en-AU"/>
        </w:rPr>
      </w:pPr>
      <w:r w:rsidRPr="00572B7F">
        <w:rPr>
          <w:rFonts w:ascii="Arial" w:hAnsi="Arial" w:cs="Arial"/>
          <w:lang w:val="en-AU"/>
        </w:rPr>
        <w:t xml:space="preserve">Gobbi, J. C. (2021). Carr technology. </w:t>
      </w:r>
      <w:r w:rsidRPr="00572B7F">
        <w:rPr>
          <w:rFonts w:ascii="Arial" w:hAnsi="Arial" w:cs="Arial"/>
          <w:i/>
          <w:iCs/>
          <w:lang w:val="en-AU"/>
        </w:rPr>
        <w:t>The General Science Journal, 1</w:t>
      </w:r>
      <w:r w:rsidRPr="00572B7F">
        <w:rPr>
          <w:rFonts w:ascii="Arial" w:hAnsi="Arial" w:cs="Arial"/>
          <w:lang w:val="en-AU"/>
        </w:rPr>
        <w:t>, 1–30.</w:t>
      </w:r>
    </w:p>
    <w:p w14:paraId="7FDB3FB3" w14:textId="0425C64C" w:rsidR="00B422E6" w:rsidRDefault="00B422E6" w:rsidP="00B422E6">
      <w:pPr>
        <w:pStyle w:val="Body"/>
        <w:spacing w:after="0"/>
        <w:rPr>
          <w:rFonts w:ascii="Arial" w:hAnsi="Arial" w:cs="Arial"/>
          <w:lang w:val="en-AU"/>
        </w:rPr>
      </w:pPr>
      <w:r w:rsidRPr="00B422E6">
        <w:rPr>
          <w:rFonts w:ascii="Arial" w:hAnsi="Arial" w:cs="Arial"/>
          <w:lang w:val="en-AU"/>
        </w:rPr>
        <w:t xml:space="preserve">Greenleaf, A., </w:t>
      </w:r>
      <w:proofErr w:type="spellStart"/>
      <w:r w:rsidRPr="00B422E6">
        <w:rPr>
          <w:rFonts w:ascii="Arial" w:hAnsi="Arial" w:cs="Arial"/>
          <w:lang w:val="en-AU"/>
        </w:rPr>
        <w:t>Kurylev</w:t>
      </w:r>
      <w:proofErr w:type="spellEnd"/>
      <w:r w:rsidRPr="00B422E6">
        <w:rPr>
          <w:rFonts w:ascii="Arial" w:hAnsi="Arial" w:cs="Arial"/>
          <w:lang w:val="en-AU"/>
        </w:rPr>
        <w:t xml:space="preserve">, Y., </w:t>
      </w:r>
      <w:proofErr w:type="spellStart"/>
      <w:r w:rsidRPr="00B422E6">
        <w:rPr>
          <w:rFonts w:ascii="Arial" w:hAnsi="Arial" w:cs="Arial"/>
          <w:lang w:val="en-AU"/>
        </w:rPr>
        <w:t>Lassas</w:t>
      </w:r>
      <w:proofErr w:type="spellEnd"/>
      <w:r w:rsidRPr="00B422E6">
        <w:rPr>
          <w:rFonts w:ascii="Arial" w:hAnsi="Arial" w:cs="Arial"/>
          <w:lang w:val="en-AU"/>
        </w:rPr>
        <w:t xml:space="preserve">, M., &amp; Uhlmann, G. (2007). Full-wave invisibility of active devices at all frequencies. </w:t>
      </w:r>
      <w:r w:rsidRPr="00B422E6">
        <w:rPr>
          <w:rFonts w:ascii="Arial" w:hAnsi="Arial" w:cs="Arial"/>
          <w:i/>
          <w:iCs/>
          <w:lang w:val="en-AU"/>
        </w:rPr>
        <w:t>Communications in Mathematical Physics, 275</w:t>
      </w:r>
      <w:r w:rsidRPr="00B422E6">
        <w:rPr>
          <w:rFonts w:ascii="Arial" w:hAnsi="Arial" w:cs="Arial"/>
          <w:lang w:val="en-AU"/>
        </w:rPr>
        <w:t xml:space="preserve">(3), 749–789. </w:t>
      </w:r>
    </w:p>
    <w:p w14:paraId="3F675EB6" w14:textId="77777777" w:rsidR="00283F16" w:rsidRPr="00B422E6" w:rsidRDefault="00283F16" w:rsidP="00B422E6">
      <w:pPr>
        <w:pStyle w:val="Body"/>
        <w:spacing w:after="0"/>
        <w:rPr>
          <w:rFonts w:ascii="Arial" w:hAnsi="Arial" w:cs="Arial"/>
          <w:lang w:val="en-AU"/>
        </w:rPr>
      </w:pPr>
    </w:p>
    <w:p w14:paraId="1927C5D1"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Gupta, N., &amp; Beckwith, A. (2025). Exploring transformation optics for cloaking applications in UAP analogues. </w:t>
      </w:r>
      <w:r w:rsidRPr="00B422E6">
        <w:rPr>
          <w:rFonts w:ascii="Arial" w:hAnsi="Arial" w:cs="Arial"/>
          <w:i/>
          <w:iCs/>
          <w:lang w:val="en-AU"/>
        </w:rPr>
        <w:t>Journal of UAP Studies, 2</w:t>
      </w:r>
      <w:r w:rsidRPr="00B422E6">
        <w:rPr>
          <w:rFonts w:ascii="Arial" w:hAnsi="Arial" w:cs="Arial"/>
          <w:lang w:val="en-AU"/>
        </w:rPr>
        <w:t>(1), 15–32.</w:t>
      </w:r>
    </w:p>
    <w:p w14:paraId="55D06DCE" w14:textId="77777777" w:rsidR="00283F16" w:rsidRPr="00B422E6" w:rsidRDefault="00283F16" w:rsidP="00B422E6">
      <w:pPr>
        <w:pStyle w:val="Body"/>
        <w:spacing w:after="0"/>
        <w:rPr>
          <w:rFonts w:ascii="Arial" w:hAnsi="Arial" w:cs="Arial"/>
          <w:lang w:val="en-AU"/>
        </w:rPr>
      </w:pPr>
    </w:p>
    <w:p w14:paraId="25DCAC48"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Hall, B., &amp; Covington, D. (2025). Unified scalar resonance model: Exploring universal constants and scaling laws. </w:t>
      </w:r>
      <w:r w:rsidRPr="00B422E6">
        <w:rPr>
          <w:rFonts w:ascii="Arial" w:hAnsi="Arial" w:cs="Arial"/>
          <w:i/>
          <w:iCs/>
          <w:lang w:val="en-AU"/>
        </w:rPr>
        <w:t>Journal of Scientific Research and Reports, 31</w:t>
      </w:r>
      <w:r w:rsidRPr="00B422E6">
        <w:rPr>
          <w:rFonts w:ascii="Arial" w:hAnsi="Arial" w:cs="Arial"/>
          <w:lang w:val="en-AU"/>
        </w:rPr>
        <w:t>(1), 635–649.</w:t>
      </w:r>
    </w:p>
    <w:p w14:paraId="268F9D08" w14:textId="77777777" w:rsidR="00283F16" w:rsidRPr="00B422E6" w:rsidRDefault="00283F16" w:rsidP="00B422E6">
      <w:pPr>
        <w:pStyle w:val="Body"/>
        <w:spacing w:after="0"/>
        <w:rPr>
          <w:rFonts w:ascii="Arial" w:hAnsi="Arial" w:cs="Arial"/>
          <w:lang w:val="en-AU"/>
        </w:rPr>
      </w:pPr>
    </w:p>
    <w:p w14:paraId="6D3A76D1" w14:textId="7AE715F8" w:rsidR="00B422E6" w:rsidRDefault="00B422E6" w:rsidP="00B422E6">
      <w:pPr>
        <w:pStyle w:val="Body"/>
        <w:spacing w:after="0"/>
        <w:rPr>
          <w:rFonts w:ascii="Arial" w:hAnsi="Arial" w:cs="Arial"/>
          <w:lang w:val="en-AU"/>
        </w:rPr>
      </w:pPr>
      <w:r w:rsidRPr="00B422E6">
        <w:rPr>
          <w:rFonts w:ascii="Arial" w:hAnsi="Arial" w:cs="Arial"/>
          <w:lang w:val="en-AU"/>
        </w:rPr>
        <w:t xml:space="preserve">Haisch, B., Rueda, A., &amp; Puthoff, H. E. (1994). Inertia as a zero-point-field Lorentz force. </w:t>
      </w:r>
      <w:r w:rsidRPr="00B422E6">
        <w:rPr>
          <w:rFonts w:ascii="Arial" w:hAnsi="Arial" w:cs="Arial"/>
          <w:i/>
          <w:iCs/>
          <w:lang w:val="en-AU"/>
        </w:rPr>
        <w:t>Physical Review A, 49</w:t>
      </w:r>
      <w:r w:rsidRPr="00B422E6">
        <w:rPr>
          <w:rFonts w:ascii="Arial" w:hAnsi="Arial" w:cs="Arial"/>
          <w:lang w:val="en-AU"/>
        </w:rPr>
        <w:t xml:space="preserve">(2), 678–694. </w:t>
      </w:r>
      <w:hyperlink r:id="rId27" w:history="1">
        <w:r w:rsidR="00283F16" w:rsidRPr="00B422E6">
          <w:rPr>
            <w:rStyle w:val="Hyperlink"/>
            <w:rFonts w:ascii="Arial" w:hAnsi="Arial" w:cs="Arial"/>
            <w:lang w:val="en-AU"/>
          </w:rPr>
          <w:t>https://doi.org/10.1103/PhysRevA.49.678</w:t>
        </w:r>
      </w:hyperlink>
    </w:p>
    <w:p w14:paraId="182B4722" w14:textId="77777777" w:rsidR="00283F16" w:rsidRPr="00B422E6" w:rsidRDefault="00283F16" w:rsidP="00B422E6">
      <w:pPr>
        <w:pStyle w:val="Body"/>
        <w:spacing w:after="0"/>
        <w:rPr>
          <w:rFonts w:ascii="Arial" w:hAnsi="Arial" w:cs="Arial"/>
          <w:lang w:val="en-AU"/>
        </w:rPr>
      </w:pPr>
    </w:p>
    <w:p w14:paraId="76ED1ED1"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Holt, A. (1979). Propulsion concepts for spacecraft interstellar travel. </w:t>
      </w:r>
      <w:r w:rsidRPr="00B422E6">
        <w:rPr>
          <w:rFonts w:ascii="Arial" w:hAnsi="Arial" w:cs="Arial"/>
          <w:i/>
          <w:iCs/>
          <w:lang w:val="en-AU"/>
        </w:rPr>
        <w:t>JBIS – Journal of the British Interplanetary Society, 32,</w:t>
      </w:r>
      <w:r w:rsidRPr="00B422E6">
        <w:rPr>
          <w:rFonts w:ascii="Arial" w:hAnsi="Arial" w:cs="Arial"/>
          <w:lang w:val="en-AU"/>
        </w:rPr>
        <w:t xml:space="preserve"> 409–414.</w:t>
      </w:r>
    </w:p>
    <w:p w14:paraId="3F39AB10" w14:textId="77777777" w:rsidR="00283F16" w:rsidRPr="00B422E6" w:rsidRDefault="00283F16" w:rsidP="00B422E6">
      <w:pPr>
        <w:pStyle w:val="Body"/>
        <w:spacing w:after="0"/>
        <w:rPr>
          <w:rFonts w:ascii="Arial" w:hAnsi="Arial" w:cs="Arial"/>
          <w:lang w:val="en-AU"/>
        </w:rPr>
      </w:pPr>
    </w:p>
    <w:p w14:paraId="01C4318A" w14:textId="77777777" w:rsidR="00B422E6" w:rsidRDefault="00B422E6" w:rsidP="00B422E6">
      <w:pPr>
        <w:pStyle w:val="Body"/>
        <w:spacing w:after="0"/>
        <w:rPr>
          <w:rFonts w:ascii="Arial" w:hAnsi="Arial" w:cs="Arial"/>
        </w:rPr>
      </w:pPr>
      <w:r w:rsidRPr="00B422E6">
        <w:rPr>
          <w:rFonts w:ascii="Arial" w:hAnsi="Arial" w:cs="Arial"/>
          <w:lang w:val="en-AU"/>
        </w:rPr>
        <w:t xml:space="preserve">Knuth, K. H., Powell, R. M., &amp; Reali, P. A. (2019). Estimating flight characteristics of anomalous unidentified aerial vehicles. </w:t>
      </w:r>
      <w:r w:rsidRPr="00B422E6">
        <w:rPr>
          <w:rFonts w:ascii="Arial" w:hAnsi="Arial" w:cs="Arial"/>
          <w:i/>
          <w:iCs/>
          <w:lang w:val="en-AU"/>
        </w:rPr>
        <w:t>Entropy, 21</w:t>
      </w:r>
      <w:r w:rsidRPr="00B422E6">
        <w:rPr>
          <w:rFonts w:ascii="Arial" w:hAnsi="Arial" w:cs="Arial"/>
          <w:lang w:val="en-AU"/>
        </w:rPr>
        <w:t xml:space="preserve">(10), 939. </w:t>
      </w:r>
      <w:hyperlink r:id="rId28" w:tgtFrame="_new" w:history="1">
        <w:r w:rsidRPr="00B422E6">
          <w:rPr>
            <w:rStyle w:val="Hyperlink"/>
            <w:rFonts w:ascii="Arial" w:hAnsi="Arial" w:cs="Arial"/>
            <w:lang w:val="en-AU"/>
          </w:rPr>
          <w:t>https://doi.org/10.3390/e21100939</w:t>
        </w:r>
      </w:hyperlink>
    </w:p>
    <w:p w14:paraId="23A6475C" w14:textId="77777777" w:rsidR="00283F16" w:rsidRPr="00B422E6" w:rsidRDefault="00283F16" w:rsidP="00B422E6">
      <w:pPr>
        <w:pStyle w:val="Body"/>
        <w:spacing w:after="0"/>
        <w:rPr>
          <w:rFonts w:ascii="Arial" w:hAnsi="Arial" w:cs="Arial"/>
          <w:lang w:val="en-AU"/>
        </w:rPr>
      </w:pPr>
    </w:p>
    <w:p w14:paraId="5EAD271D" w14:textId="22E017EF" w:rsidR="00B422E6" w:rsidRDefault="00B422E6" w:rsidP="00B422E6">
      <w:pPr>
        <w:pStyle w:val="Body"/>
        <w:spacing w:after="0"/>
        <w:rPr>
          <w:rFonts w:ascii="Arial" w:hAnsi="Arial" w:cs="Arial"/>
        </w:rPr>
      </w:pPr>
      <w:r w:rsidRPr="00B422E6">
        <w:rPr>
          <w:rFonts w:ascii="Arial" w:hAnsi="Arial" w:cs="Arial"/>
          <w:lang w:val="en-AU"/>
        </w:rPr>
        <w:t xml:space="preserve">Knuth, K. H., Kayal, H., </w:t>
      </w:r>
      <w:proofErr w:type="spellStart"/>
      <w:r w:rsidRPr="00B422E6">
        <w:rPr>
          <w:rFonts w:ascii="Arial" w:hAnsi="Arial" w:cs="Arial"/>
          <w:lang w:val="en-AU"/>
        </w:rPr>
        <w:t>Ailleris</w:t>
      </w:r>
      <w:proofErr w:type="spellEnd"/>
      <w:r w:rsidRPr="00B422E6">
        <w:rPr>
          <w:rFonts w:ascii="Arial" w:hAnsi="Arial" w:cs="Arial"/>
          <w:lang w:val="en-AU"/>
        </w:rPr>
        <w:t xml:space="preserve">, P., et al. (2025). The new science of unidentified aerospace–undersea phenomena (UAP). </w:t>
      </w:r>
      <w:r w:rsidRPr="00B422E6">
        <w:rPr>
          <w:rFonts w:ascii="Arial" w:hAnsi="Arial" w:cs="Arial"/>
          <w:i/>
          <w:iCs/>
          <w:lang w:val="en-AU"/>
        </w:rPr>
        <w:t>Progress in Aerospace Sciences, 156,</w:t>
      </w:r>
      <w:r w:rsidRPr="00B422E6">
        <w:rPr>
          <w:rFonts w:ascii="Arial" w:hAnsi="Arial" w:cs="Arial"/>
          <w:lang w:val="en-AU"/>
        </w:rPr>
        <w:t xml:space="preserve"> 100986. </w:t>
      </w:r>
    </w:p>
    <w:p w14:paraId="20673C7F" w14:textId="77777777" w:rsidR="00283F16" w:rsidRPr="00B422E6" w:rsidRDefault="00283F16" w:rsidP="00B422E6">
      <w:pPr>
        <w:pStyle w:val="Body"/>
        <w:spacing w:after="0"/>
        <w:rPr>
          <w:rFonts w:ascii="Arial" w:hAnsi="Arial" w:cs="Arial"/>
          <w:lang w:val="en-AU"/>
        </w:rPr>
      </w:pPr>
    </w:p>
    <w:p w14:paraId="33C27548" w14:textId="77777777" w:rsidR="00B422E6" w:rsidRDefault="00B422E6" w:rsidP="00B422E6">
      <w:pPr>
        <w:pStyle w:val="Body"/>
        <w:spacing w:after="0"/>
        <w:rPr>
          <w:rFonts w:ascii="Arial" w:hAnsi="Arial" w:cs="Arial"/>
        </w:rPr>
      </w:pPr>
      <w:r w:rsidRPr="00B422E6">
        <w:rPr>
          <w:rFonts w:ascii="Arial" w:hAnsi="Arial" w:cs="Arial"/>
          <w:lang w:val="en-AU"/>
        </w:rPr>
        <w:t xml:space="preserve">Leonhardt, U. (2006). Optical conformal mapping. </w:t>
      </w:r>
      <w:r w:rsidRPr="00B422E6">
        <w:rPr>
          <w:rFonts w:ascii="Arial" w:hAnsi="Arial" w:cs="Arial"/>
          <w:i/>
          <w:iCs/>
          <w:lang w:val="en-AU"/>
        </w:rPr>
        <w:t>Science, 312</w:t>
      </w:r>
      <w:r w:rsidRPr="00B422E6">
        <w:rPr>
          <w:rFonts w:ascii="Arial" w:hAnsi="Arial" w:cs="Arial"/>
          <w:lang w:val="en-AU"/>
        </w:rPr>
        <w:t xml:space="preserve">(5781), 1777–1780. </w:t>
      </w:r>
      <w:hyperlink r:id="rId29" w:tgtFrame="_new" w:history="1">
        <w:r w:rsidRPr="00B422E6">
          <w:rPr>
            <w:rStyle w:val="Hyperlink"/>
            <w:rFonts w:ascii="Arial" w:hAnsi="Arial" w:cs="Arial"/>
            <w:lang w:val="en-AU"/>
          </w:rPr>
          <w:t>https://doi.org/10.1126/science.1126493</w:t>
        </w:r>
      </w:hyperlink>
    </w:p>
    <w:p w14:paraId="454451F4" w14:textId="77777777" w:rsidR="00283F16" w:rsidRPr="00B422E6" w:rsidRDefault="00283F16" w:rsidP="00B422E6">
      <w:pPr>
        <w:pStyle w:val="Body"/>
        <w:spacing w:after="0"/>
        <w:rPr>
          <w:rFonts w:ascii="Arial" w:hAnsi="Arial" w:cs="Arial"/>
          <w:lang w:val="en-AU"/>
        </w:rPr>
      </w:pPr>
    </w:p>
    <w:p w14:paraId="461A0B4B" w14:textId="135E7766" w:rsidR="00B422E6" w:rsidRDefault="00B422E6" w:rsidP="00B422E6">
      <w:pPr>
        <w:pStyle w:val="Body"/>
        <w:spacing w:after="0"/>
        <w:rPr>
          <w:rFonts w:ascii="Arial" w:hAnsi="Arial" w:cs="Arial"/>
        </w:rPr>
      </w:pPr>
      <w:r w:rsidRPr="00B422E6">
        <w:rPr>
          <w:rFonts w:ascii="Arial" w:hAnsi="Arial" w:cs="Arial"/>
          <w:lang w:val="en-AU"/>
        </w:rPr>
        <w:t xml:space="preserve">Loeb, A., &amp; Kirkpatrick, S. (2023). Physical constraints from the first reported interstellar UAP candidate. </w:t>
      </w:r>
      <w:r w:rsidRPr="00B422E6">
        <w:rPr>
          <w:rFonts w:ascii="Arial" w:hAnsi="Arial" w:cs="Arial"/>
          <w:i/>
          <w:iCs/>
          <w:lang w:val="en-AU"/>
        </w:rPr>
        <w:t>Astrophysical Journal Letters, 945</w:t>
      </w:r>
      <w:r w:rsidRPr="00B422E6">
        <w:rPr>
          <w:rFonts w:ascii="Arial" w:hAnsi="Arial" w:cs="Arial"/>
          <w:lang w:val="en-AU"/>
        </w:rPr>
        <w:t xml:space="preserve">(1), L12. </w:t>
      </w:r>
    </w:p>
    <w:p w14:paraId="068D064F" w14:textId="77777777" w:rsidR="00283F16" w:rsidRPr="00B422E6" w:rsidRDefault="00283F16" w:rsidP="00B422E6">
      <w:pPr>
        <w:pStyle w:val="Body"/>
        <w:spacing w:after="0"/>
        <w:rPr>
          <w:rFonts w:ascii="Arial" w:hAnsi="Arial" w:cs="Arial"/>
          <w:lang w:val="en-AU"/>
        </w:rPr>
      </w:pPr>
    </w:p>
    <w:p w14:paraId="703028AA" w14:textId="77777777" w:rsidR="00B422E6" w:rsidRDefault="00B422E6" w:rsidP="00B422E6">
      <w:pPr>
        <w:pStyle w:val="Body"/>
        <w:spacing w:after="0"/>
        <w:rPr>
          <w:rFonts w:ascii="Arial" w:hAnsi="Arial" w:cs="Arial"/>
        </w:rPr>
      </w:pPr>
      <w:r w:rsidRPr="00B422E6">
        <w:rPr>
          <w:rFonts w:ascii="Arial" w:hAnsi="Arial" w:cs="Arial"/>
        </w:rPr>
        <w:t xml:space="preserve">Minami, Y. (2022). UAP propulsion principle and resulting flight performance: Theoretical analysis of UAP flight characteristics. </w:t>
      </w:r>
      <w:r w:rsidRPr="00B422E6">
        <w:rPr>
          <w:rFonts w:ascii="Arial" w:hAnsi="Arial" w:cs="Arial"/>
          <w:i/>
          <w:iCs/>
        </w:rPr>
        <w:t>American Journal of Engineering Research, 11</w:t>
      </w:r>
      <w:r w:rsidRPr="00B422E6">
        <w:rPr>
          <w:rFonts w:ascii="Arial" w:hAnsi="Arial" w:cs="Arial"/>
        </w:rPr>
        <w:t>(8), 134–156.</w:t>
      </w:r>
    </w:p>
    <w:p w14:paraId="47904C5B" w14:textId="77777777" w:rsidR="00283F16" w:rsidRPr="00B422E6" w:rsidRDefault="00283F16" w:rsidP="00B422E6">
      <w:pPr>
        <w:pStyle w:val="Body"/>
        <w:spacing w:after="0"/>
        <w:rPr>
          <w:rFonts w:ascii="Arial" w:hAnsi="Arial" w:cs="Arial"/>
          <w:lang w:val="en-AU"/>
        </w:rPr>
      </w:pPr>
    </w:p>
    <w:p w14:paraId="0294FB98" w14:textId="77777777" w:rsidR="00B422E6" w:rsidRDefault="00B422E6" w:rsidP="00B422E6">
      <w:pPr>
        <w:pStyle w:val="Body"/>
        <w:spacing w:after="0"/>
        <w:rPr>
          <w:rFonts w:ascii="Arial" w:hAnsi="Arial" w:cs="Arial"/>
        </w:rPr>
      </w:pPr>
      <w:r w:rsidRPr="00B422E6">
        <w:rPr>
          <w:rFonts w:ascii="Arial" w:hAnsi="Arial" w:cs="Arial"/>
        </w:rPr>
        <w:t xml:space="preserve">Minami, Y. (2023). Flight characteristics of UAP from the perspective of propulsion principle: Flight performance derived from propulsion principle. </w:t>
      </w:r>
      <w:r w:rsidRPr="00B422E6">
        <w:rPr>
          <w:rFonts w:ascii="Arial" w:hAnsi="Arial" w:cs="Arial"/>
          <w:i/>
          <w:iCs/>
        </w:rPr>
        <w:t>British Journal of Multidisciplinary and Advanced Studies: Sciences, 4</w:t>
      </w:r>
      <w:r w:rsidRPr="00B422E6">
        <w:rPr>
          <w:rFonts w:ascii="Arial" w:hAnsi="Arial" w:cs="Arial"/>
        </w:rPr>
        <w:t xml:space="preserve">(3), 9–21. </w:t>
      </w:r>
    </w:p>
    <w:p w14:paraId="31E57CE5" w14:textId="77777777" w:rsidR="00283F16" w:rsidRPr="00B422E6" w:rsidRDefault="00283F16" w:rsidP="00B422E6">
      <w:pPr>
        <w:pStyle w:val="Body"/>
        <w:spacing w:after="0"/>
        <w:rPr>
          <w:rFonts w:ascii="Arial" w:hAnsi="Arial" w:cs="Arial"/>
          <w:lang w:val="en-AU"/>
        </w:rPr>
      </w:pPr>
    </w:p>
    <w:p w14:paraId="2884B72F"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Meessen, A. (2012a). Evidence of very strong low frequency magnetic fields. </w:t>
      </w:r>
      <w:r w:rsidRPr="00B422E6">
        <w:rPr>
          <w:rFonts w:ascii="Arial" w:hAnsi="Arial" w:cs="Arial"/>
          <w:i/>
          <w:iCs/>
          <w:lang w:val="en-AU"/>
        </w:rPr>
        <w:t>PIERS Proceedings, Moscow,</w:t>
      </w:r>
      <w:r w:rsidRPr="00B422E6">
        <w:rPr>
          <w:rFonts w:ascii="Arial" w:hAnsi="Arial" w:cs="Arial"/>
          <w:lang w:val="en-AU"/>
        </w:rPr>
        <w:t xml:space="preserve"> 19–23.</w:t>
      </w:r>
    </w:p>
    <w:p w14:paraId="1DC4E52C" w14:textId="77777777" w:rsidR="00283F16" w:rsidRPr="00B422E6" w:rsidRDefault="00283F16" w:rsidP="00B422E6">
      <w:pPr>
        <w:pStyle w:val="Body"/>
        <w:spacing w:after="0"/>
        <w:rPr>
          <w:rFonts w:ascii="Arial" w:hAnsi="Arial" w:cs="Arial"/>
          <w:lang w:val="en-AU"/>
        </w:rPr>
      </w:pPr>
    </w:p>
    <w:p w14:paraId="06744C10"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Meessen, A. (2012b). Pulsed EM propulsion of unconventional flying objects. </w:t>
      </w:r>
      <w:r w:rsidRPr="00B422E6">
        <w:rPr>
          <w:rFonts w:ascii="Arial" w:hAnsi="Arial" w:cs="Arial"/>
          <w:i/>
          <w:iCs/>
          <w:lang w:val="en-AU"/>
        </w:rPr>
        <w:t>PIERS Proceedings, Moscow,</w:t>
      </w:r>
      <w:r w:rsidRPr="00B422E6">
        <w:rPr>
          <w:rFonts w:ascii="Arial" w:hAnsi="Arial" w:cs="Arial"/>
          <w:lang w:val="en-AU"/>
        </w:rPr>
        <w:t xml:space="preserve"> 19–23.</w:t>
      </w:r>
    </w:p>
    <w:p w14:paraId="3D6DBC45" w14:textId="77777777" w:rsidR="00283F16" w:rsidRPr="00B422E6" w:rsidRDefault="00283F16" w:rsidP="00B422E6">
      <w:pPr>
        <w:pStyle w:val="Body"/>
        <w:spacing w:after="0"/>
        <w:rPr>
          <w:rFonts w:ascii="Arial" w:hAnsi="Arial" w:cs="Arial"/>
          <w:lang w:val="en-AU"/>
        </w:rPr>
      </w:pPr>
    </w:p>
    <w:p w14:paraId="3696BEF4" w14:textId="694879D3" w:rsidR="00B422E6" w:rsidRDefault="00B422E6" w:rsidP="00B422E6">
      <w:pPr>
        <w:pStyle w:val="Body"/>
        <w:spacing w:after="0"/>
        <w:rPr>
          <w:rFonts w:ascii="Arial" w:hAnsi="Arial" w:cs="Arial"/>
        </w:rPr>
      </w:pPr>
      <w:r w:rsidRPr="00B422E6">
        <w:rPr>
          <w:rFonts w:ascii="Arial" w:hAnsi="Arial" w:cs="Arial"/>
          <w:lang w:val="en-AU"/>
        </w:rPr>
        <w:t xml:space="preserve">Nassar, H., Chen, H., &amp; Huang, G. (2020). Non-reciprocal wave propagation in mechanical metamaterials. </w:t>
      </w:r>
      <w:r w:rsidRPr="00B422E6">
        <w:rPr>
          <w:rFonts w:ascii="Arial" w:hAnsi="Arial" w:cs="Arial"/>
          <w:i/>
          <w:iCs/>
          <w:lang w:val="en-AU"/>
        </w:rPr>
        <w:t>Nature Reviews Materials, 5</w:t>
      </w:r>
      <w:r w:rsidRPr="00B422E6">
        <w:rPr>
          <w:rFonts w:ascii="Arial" w:hAnsi="Arial" w:cs="Arial"/>
          <w:lang w:val="en-AU"/>
        </w:rPr>
        <w:t xml:space="preserve">(9), 667–685. </w:t>
      </w:r>
    </w:p>
    <w:p w14:paraId="313BE29F" w14:textId="77777777" w:rsidR="00283F16" w:rsidRPr="00B422E6" w:rsidRDefault="00283F16" w:rsidP="00B422E6">
      <w:pPr>
        <w:pStyle w:val="Body"/>
        <w:spacing w:after="0"/>
        <w:rPr>
          <w:rFonts w:ascii="Arial" w:hAnsi="Arial" w:cs="Arial"/>
          <w:lang w:val="en-AU"/>
        </w:rPr>
      </w:pPr>
    </w:p>
    <w:p w14:paraId="502878DF" w14:textId="77777777" w:rsidR="00B422E6" w:rsidRDefault="00B422E6" w:rsidP="00B422E6">
      <w:pPr>
        <w:pStyle w:val="Body"/>
        <w:spacing w:after="0"/>
        <w:rPr>
          <w:rFonts w:ascii="Arial" w:hAnsi="Arial" w:cs="Arial"/>
        </w:rPr>
      </w:pPr>
      <w:r w:rsidRPr="00B422E6">
        <w:rPr>
          <w:rFonts w:ascii="Arial" w:hAnsi="Arial" w:cs="Arial"/>
          <w:lang w:val="en-AU"/>
        </w:rPr>
        <w:t xml:space="preserve">Pendry, J. B., Schurig, D., &amp; Smith, D. R. (2006). Controlling electromagnetic fields. </w:t>
      </w:r>
      <w:r w:rsidRPr="00B422E6">
        <w:rPr>
          <w:rFonts w:ascii="Arial" w:hAnsi="Arial" w:cs="Arial"/>
          <w:i/>
          <w:iCs/>
          <w:lang w:val="en-AU"/>
        </w:rPr>
        <w:t>Science, 312</w:t>
      </w:r>
      <w:r w:rsidRPr="00B422E6">
        <w:rPr>
          <w:rFonts w:ascii="Arial" w:hAnsi="Arial" w:cs="Arial"/>
          <w:lang w:val="en-AU"/>
        </w:rPr>
        <w:t xml:space="preserve">(5781), 1780–1782. </w:t>
      </w:r>
      <w:hyperlink r:id="rId30" w:tgtFrame="_new" w:history="1">
        <w:r w:rsidRPr="00B422E6">
          <w:rPr>
            <w:rStyle w:val="Hyperlink"/>
            <w:rFonts w:ascii="Arial" w:hAnsi="Arial" w:cs="Arial"/>
            <w:lang w:val="en-AU"/>
          </w:rPr>
          <w:t>https://doi.org/10.1126/science.1125907</w:t>
        </w:r>
      </w:hyperlink>
    </w:p>
    <w:p w14:paraId="4C2D3F40" w14:textId="77777777" w:rsidR="00283F16" w:rsidRPr="00B422E6" w:rsidRDefault="00283F16" w:rsidP="00B422E6">
      <w:pPr>
        <w:pStyle w:val="Body"/>
        <w:spacing w:after="0"/>
        <w:rPr>
          <w:rFonts w:ascii="Arial" w:hAnsi="Arial" w:cs="Arial"/>
          <w:lang w:val="en-AU"/>
        </w:rPr>
      </w:pPr>
    </w:p>
    <w:p w14:paraId="3BB1E1DF" w14:textId="2722E962" w:rsidR="00B422E6" w:rsidRDefault="00B422E6" w:rsidP="00B422E6">
      <w:pPr>
        <w:pStyle w:val="Body"/>
        <w:spacing w:after="0"/>
        <w:rPr>
          <w:rFonts w:ascii="Arial" w:hAnsi="Arial" w:cs="Arial"/>
        </w:rPr>
      </w:pPr>
      <w:r w:rsidRPr="00B422E6">
        <w:rPr>
          <w:rFonts w:ascii="Arial" w:hAnsi="Arial" w:cs="Arial"/>
          <w:lang w:val="en-AU"/>
        </w:rPr>
        <w:lastRenderedPageBreak/>
        <w:t xml:space="preserve">Peralta, F., </w:t>
      </w:r>
      <w:proofErr w:type="spellStart"/>
      <w:r w:rsidRPr="00B422E6">
        <w:rPr>
          <w:rFonts w:ascii="Arial" w:hAnsi="Arial" w:cs="Arial"/>
          <w:lang w:val="en-AU"/>
        </w:rPr>
        <w:t>Fachinotti</w:t>
      </w:r>
      <w:proofErr w:type="spellEnd"/>
      <w:r w:rsidRPr="00B422E6">
        <w:rPr>
          <w:rFonts w:ascii="Arial" w:hAnsi="Arial" w:cs="Arial"/>
          <w:lang w:val="en-AU"/>
        </w:rPr>
        <w:t xml:space="preserve">, V., &amp; Álvarez, E. (2020). Transformation acoustics and elastic cloaking: A review. </w:t>
      </w:r>
      <w:r w:rsidRPr="00B422E6">
        <w:rPr>
          <w:rFonts w:ascii="Arial" w:hAnsi="Arial" w:cs="Arial"/>
          <w:i/>
          <w:iCs/>
          <w:lang w:val="en-AU"/>
        </w:rPr>
        <w:t>Wave Motion, 97,</w:t>
      </w:r>
      <w:r w:rsidRPr="00B422E6">
        <w:rPr>
          <w:rFonts w:ascii="Arial" w:hAnsi="Arial" w:cs="Arial"/>
          <w:lang w:val="en-AU"/>
        </w:rPr>
        <w:t xml:space="preserve"> 102557. </w:t>
      </w:r>
    </w:p>
    <w:p w14:paraId="2058A68B" w14:textId="77777777" w:rsidR="00283F16" w:rsidRPr="00B422E6" w:rsidRDefault="00283F16" w:rsidP="00B422E6">
      <w:pPr>
        <w:pStyle w:val="Body"/>
        <w:spacing w:after="0"/>
        <w:rPr>
          <w:rFonts w:ascii="Arial" w:hAnsi="Arial" w:cs="Arial"/>
          <w:lang w:val="en-AU"/>
        </w:rPr>
      </w:pPr>
    </w:p>
    <w:p w14:paraId="32330034" w14:textId="77777777" w:rsidR="00B422E6" w:rsidRDefault="00B422E6" w:rsidP="00B422E6">
      <w:pPr>
        <w:pStyle w:val="Body"/>
        <w:spacing w:after="0"/>
        <w:rPr>
          <w:rFonts w:ascii="Arial" w:hAnsi="Arial" w:cs="Arial"/>
        </w:rPr>
      </w:pPr>
      <w:r w:rsidRPr="00B422E6">
        <w:rPr>
          <w:rFonts w:ascii="Arial" w:hAnsi="Arial" w:cs="Arial"/>
        </w:rPr>
        <w:t xml:space="preserve">Poher, C., Poher, D. (2010). Statistical Analysis of Global UFO Sightings: Temporal and Spatial Distributions. </w:t>
      </w:r>
      <w:proofErr w:type="spellStart"/>
      <w:r w:rsidRPr="00B422E6">
        <w:rPr>
          <w:rFonts w:ascii="Arial" w:hAnsi="Arial" w:cs="Arial"/>
        </w:rPr>
        <w:t>Parmay</w:t>
      </w:r>
      <w:proofErr w:type="spellEnd"/>
      <w:r w:rsidRPr="00B422E6">
        <w:rPr>
          <w:rFonts w:ascii="Arial" w:hAnsi="Arial" w:cs="Arial"/>
        </w:rPr>
        <w:t xml:space="preserve">, France: </w:t>
      </w:r>
      <w:proofErr w:type="spellStart"/>
      <w:r w:rsidRPr="00B422E6">
        <w:rPr>
          <w:rFonts w:ascii="Arial" w:hAnsi="Arial" w:cs="Arial"/>
        </w:rPr>
        <w:t>Institut</w:t>
      </w:r>
      <w:proofErr w:type="spellEnd"/>
      <w:r w:rsidRPr="00B422E6">
        <w:rPr>
          <w:rFonts w:ascii="Arial" w:hAnsi="Arial" w:cs="Arial"/>
        </w:rPr>
        <w:t xml:space="preserve"> </w:t>
      </w:r>
      <w:proofErr w:type="spellStart"/>
      <w:r w:rsidRPr="00B422E6">
        <w:rPr>
          <w:rFonts w:ascii="Arial" w:hAnsi="Arial" w:cs="Arial"/>
        </w:rPr>
        <w:t>Poher</w:t>
      </w:r>
      <w:proofErr w:type="spellEnd"/>
      <w:r w:rsidRPr="00B422E6">
        <w:rPr>
          <w:rFonts w:ascii="Arial" w:hAnsi="Arial" w:cs="Arial"/>
        </w:rPr>
        <w:t>.</w:t>
      </w:r>
    </w:p>
    <w:p w14:paraId="5CE635DC" w14:textId="77777777" w:rsidR="00283F16" w:rsidRPr="00B422E6" w:rsidRDefault="00283F16" w:rsidP="00B422E6">
      <w:pPr>
        <w:pStyle w:val="Body"/>
        <w:spacing w:after="0"/>
        <w:rPr>
          <w:rFonts w:ascii="Arial" w:hAnsi="Arial" w:cs="Arial"/>
          <w:lang w:val="en-AU"/>
        </w:rPr>
      </w:pPr>
    </w:p>
    <w:p w14:paraId="699B9CB6" w14:textId="77777777" w:rsidR="00B422E6" w:rsidRDefault="00B422E6" w:rsidP="00B422E6">
      <w:pPr>
        <w:pStyle w:val="Body"/>
        <w:spacing w:after="0"/>
        <w:rPr>
          <w:rFonts w:ascii="Arial" w:hAnsi="Arial" w:cs="Arial"/>
        </w:rPr>
      </w:pPr>
      <w:r w:rsidRPr="00B422E6">
        <w:rPr>
          <w:rFonts w:ascii="Arial" w:hAnsi="Arial" w:cs="Arial"/>
          <w:lang w:val="en-AU"/>
        </w:rPr>
        <w:t xml:space="preserve">Puthoff, H. E. (1987). Ground state of hydrogen as a zero-point-fluctuation-determined state. </w:t>
      </w:r>
      <w:r w:rsidRPr="00B422E6">
        <w:rPr>
          <w:rFonts w:ascii="Arial" w:hAnsi="Arial" w:cs="Arial"/>
          <w:i/>
          <w:iCs/>
          <w:lang w:val="en-AU"/>
        </w:rPr>
        <w:t>Physical Review D, 35</w:t>
      </w:r>
      <w:r w:rsidRPr="00B422E6">
        <w:rPr>
          <w:rFonts w:ascii="Arial" w:hAnsi="Arial" w:cs="Arial"/>
          <w:lang w:val="en-AU"/>
        </w:rPr>
        <w:t xml:space="preserve">(10), 3266–3269. </w:t>
      </w:r>
      <w:hyperlink r:id="rId31" w:history="1">
        <w:r w:rsidRPr="00B422E6">
          <w:rPr>
            <w:rStyle w:val="Hyperlink"/>
            <w:rFonts w:ascii="Arial" w:hAnsi="Arial" w:cs="Arial"/>
            <w:lang w:val="en-AU"/>
          </w:rPr>
          <w:t>https://doi.org/10.1103/PhysRevD.35.3266</w:t>
        </w:r>
      </w:hyperlink>
    </w:p>
    <w:p w14:paraId="5109835C" w14:textId="77777777" w:rsidR="00283F16" w:rsidRPr="00B422E6" w:rsidRDefault="00283F16" w:rsidP="00B422E6">
      <w:pPr>
        <w:pStyle w:val="Body"/>
        <w:spacing w:after="0"/>
        <w:rPr>
          <w:rFonts w:ascii="Arial" w:hAnsi="Arial" w:cs="Arial"/>
          <w:lang w:val="en-AU"/>
        </w:rPr>
      </w:pPr>
    </w:p>
    <w:p w14:paraId="11D7D972" w14:textId="77777777" w:rsidR="00B422E6" w:rsidRPr="00B422E6" w:rsidRDefault="00B422E6" w:rsidP="00B422E6">
      <w:pPr>
        <w:pStyle w:val="Body"/>
        <w:spacing w:after="0"/>
        <w:rPr>
          <w:rFonts w:ascii="Arial" w:hAnsi="Arial" w:cs="Arial"/>
          <w:lang w:val="en-AU"/>
        </w:rPr>
      </w:pPr>
      <w:r w:rsidRPr="00B422E6">
        <w:rPr>
          <w:rFonts w:ascii="Arial" w:hAnsi="Arial" w:cs="Arial"/>
          <w:lang w:val="en-AU"/>
        </w:rPr>
        <w:t xml:space="preserve">Schneider, P., </w:t>
      </w:r>
      <w:proofErr w:type="spellStart"/>
      <w:r w:rsidRPr="00B422E6">
        <w:rPr>
          <w:rFonts w:ascii="Arial" w:hAnsi="Arial" w:cs="Arial"/>
          <w:lang w:val="en-AU"/>
        </w:rPr>
        <w:t>Suyu</w:t>
      </w:r>
      <w:proofErr w:type="spellEnd"/>
      <w:r w:rsidRPr="00B422E6">
        <w:rPr>
          <w:rFonts w:ascii="Arial" w:hAnsi="Arial" w:cs="Arial"/>
          <w:lang w:val="en-AU"/>
        </w:rPr>
        <w:t xml:space="preserve">, S. H., Collett, T. E., &amp; Treu, T. (2024). Essentials of strong gravitational lensing. </w:t>
      </w:r>
      <w:r w:rsidRPr="00B422E6">
        <w:rPr>
          <w:rFonts w:ascii="Arial" w:hAnsi="Arial" w:cs="Arial"/>
          <w:i/>
          <w:iCs/>
          <w:lang w:val="en-AU"/>
        </w:rPr>
        <w:t>Space Science Reviews, 220</w:t>
      </w:r>
      <w:r w:rsidRPr="00B422E6">
        <w:rPr>
          <w:rFonts w:ascii="Arial" w:hAnsi="Arial" w:cs="Arial"/>
          <w:lang w:val="en-AU"/>
        </w:rPr>
        <w:t xml:space="preserve">(2), 20. </w:t>
      </w:r>
      <w:hyperlink r:id="rId32" w:tgtFrame="_new" w:history="1">
        <w:r w:rsidRPr="00B422E6">
          <w:rPr>
            <w:rStyle w:val="Hyperlink"/>
            <w:rFonts w:ascii="Arial" w:hAnsi="Arial" w:cs="Arial"/>
            <w:lang w:val="en-AU"/>
          </w:rPr>
          <w:t>https://doi.org/10.1007/s11214-024-01041-w</w:t>
        </w:r>
      </w:hyperlink>
    </w:p>
    <w:p w14:paraId="20BDB066"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Smirnov, B. M. (1993). </w:t>
      </w:r>
      <w:r w:rsidRPr="00B422E6">
        <w:rPr>
          <w:rFonts w:ascii="Arial" w:hAnsi="Arial" w:cs="Arial"/>
          <w:i/>
          <w:iCs/>
          <w:lang w:val="en-AU"/>
        </w:rPr>
        <w:t>Physics of Ball Lightning</w:t>
      </w:r>
      <w:r w:rsidRPr="00B422E6">
        <w:rPr>
          <w:rFonts w:ascii="Arial" w:hAnsi="Arial" w:cs="Arial"/>
          <w:lang w:val="en-AU"/>
        </w:rPr>
        <w:t>. New York, NY: Springer.</w:t>
      </w:r>
    </w:p>
    <w:p w14:paraId="27B33057" w14:textId="77777777" w:rsidR="00283F16" w:rsidRPr="00B422E6" w:rsidRDefault="00283F16" w:rsidP="00B422E6">
      <w:pPr>
        <w:pStyle w:val="Body"/>
        <w:spacing w:after="0"/>
        <w:rPr>
          <w:rFonts w:ascii="Arial" w:hAnsi="Arial" w:cs="Arial"/>
          <w:lang w:val="en-AU"/>
        </w:rPr>
      </w:pPr>
    </w:p>
    <w:p w14:paraId="2825058F" w14:textId="77777777" w:rsidR="00B422E6" w:rsidRPr="00B422E6" w:rsidRDefault="00B422E6" w:rsidP="00B422E6">
      <w:pPr>
        <w:pStyle w:val="Body"/>
        <w:spacing w:after="0"/>
        <w:rPr>
          <w:rFonts w:ascii="Arial" w:hAnsi="Arial" w:cs="Arial"/>
          <w:lang w:val="en-AU"/>
        </w:rPr>
      </w:pPr>
      <w:r w:rsidRPr="00B422E6">
        <w:rPr>
          <w:rFonts w:ascii="Arial" w:hAnsi="Arial" w:cs="Arial"/>
          <w:lang w:val="en-AU"/>
        </w:rPr>
        <w:t xml:space="preserve">Stenhoff, M. (1999). </w:t>
      </w:r>
      <w:r w:rsidRPr="00B422E6">
        <w:rPr>
          <w:rFonts w:ascii="Arial" w:hAnsi="Arial" w:cs="Arial"/>
          <w:i/>
          <w:iCs/>
          <w:lang w:val="en-AU"/>
        </w:rPr>
        <w:t>Ball lightning: An unsolved problem in atmospheric physics.</w:t>
      </w:r>
      <w:r w:rsidRPr="00B422E6">
        <w:rPr>
          <w:rFonts w:ascii="Arial" w:hAnsi="Arial" w:cs="Arial"/>
          <w:lang w:val="en-AU"/>
        </w:rPr>
        <w:t xml:space="preserve"> Springer.</w:t>
      </w:r>
    </w:p>
    <w:p w14:paraId="2F5303E2" w14:textId="77777777" w:rsidR="00B422E6" w:rsidRDefault="00B422E6" w:rsidP="00B422E6">
      <w:pPr>
        <w:pStyle w:val="Body"/>
        <w:spacing w:after="0"/>
        <w:rPr>
          <w:rFonts w:ascii="Arial" w:hAnsi="Arial" w:cs="Arial"/>
        </w:rPr>
      </w:pPr>
      <w:r w:rsidRPr="00B422E6">
        <w:rPr>
          <w:rFonts w:ascii="Arial" w:hAnsi="Arial" w:cs="Arial"/>
          <w:lang w:val="en-AU"/>
        </w:rPr>
        <w:t xml:space="preserve">Surkov, V. V., &amp; Hayakawa, M. (2020). Progress in the study of transient luminous and atmospheric events: A review. </w:t>
      </w:r>
      <w:r w:rsidRPr="00B422E6">
        <w:rPr>
          <w:rFonts w:ascii="Arial" w:hAnsi="Arial" w:cs="Arial"/>
          <w:i/>
          <w:iCs/>
          <w:lang w:val="en-AU"/>
        </w:rPr>
        <w:t>Surveys in Geophysics, 41</w:t>
      </w:r>
      <w:r w:rsidRPr="00B422E6">
        <w:rPr>
          <w:rFonts w:ascii="Arial" w:hAnsi="Arial" w:cs="Arial"/>
          <w:lang w:val="en-AU"/>
        </w:rPr>
        <w:t xml:space="preserve">(6), 1247–1284. </w:t>
      </w:r>
      <w:hyperlink r:id="rId33" w:tgtFrame="_new" w:history="1">
        <w:r w:rsidRPr="00B422E6">
          <w:rPr>
            <w:rStyle w:val="Hyperlink"/>
            <w:rFonts w:ascii="Arial" w:hAnsi="Arial" w:cs="Arial"/>
            <w:lang w:val="en-AU"/>
          </w:rPr>
          <w:t>https://doi.org/10.1007/s10712-020-09597-2</w:t>
        </w:r>
      </w:hyperlink>
    </w:p>
    <w:p w14:paraId="2E44EDA1" w14:textId="77777777" w:rsidR="00283F16" w:rsidRPr="00B422E6" w:rsidRDefault="00283F16" w:rsidP="00B422E6">
      <w:pPr>
        <w:pStyle w:val="Body"/>
        <w:spacing w:after="0"/>
        <w:rPr>
          <w:rFonts w:ascii="Arial" w:hAnsi="Arial" w:cs="Arial"/>
          <w:lang w:val="en-AU"/>
        </w:rPr>
      </w:pPr>
    </w:p>
    <w:p w14:paraId="1EC8D324" w14:textId="77777777" w:rsidR="00B422E6" w:rsidRDefault="00B422E6" w:rsidP="00B422E6">
      <w:pPr>
        <w:pStyle w:val="Body"/>
        <w:spacing w:after="0"/>
        <w:rPr>
          <w:rFonts w:ascii="Arial" w:hAnsi="Arial" w:cs="Arial"/>
        </w:rPr>
      </w:pPr>
      <w:r w:rsidRPr="00B422E6">
        <w:rPr>
          <w:rFonts w:ascii="Arial" w:hAnsi="Arial" w:cs="Arial"/>
          <w:lang w:val="en-AU"/>
        </w:rPr>
        <w:t xml:space="preserve">Szydagis, M., Knuth, K. H., Kugielsky, B. W., Levy, C., McGowan, J. D., Phelan, M. D., &amp; Voorhies, G. P. (2025). Initial results from the first field expedition of </w:t>
      </w:r>
      <w:proofErr w:type="spellStart"/>
      <w:r w:rsidRPr="00B422E6">
        <w:rPr>
          <w:rFonts w:ascii="Arial" w:hAnsi="Arial" w:cs="Arial"/>
          <w:lang w:val="en-AU"/>
        </w:rPr>
        <w:t>UAPx</w:t>
      </w:r>
      <w:proofErr w:type="spellEnd"/>
      <w:r w:rsidRPr="00B422E6">
        <w:rPr>
          <w:rFonts w:ascii="Arial" w:hAnsi="Arial" w:cs="Arial"/>
          <w:lang w:val="en-AU"/>
        </w:rPr>
        <w:t xml:space="preserve"> to study unidentified anomalous phenomena. </w:t>
      </w:r>
      <w:r w:rsidRPr="00B422E6">
        <w:rPr>
          <w:rFonts w:ascii="Arial" w:hAnsi="Arial" w:cs="Arial"/>
          <w:i/>
          <w:iCs/>
          <w:lang w:val="en-AU"/>
        </w:rPr>
        <w:t>Progress in Aerospace Sciences, 156</w:t>
      </w:r>
      <w:r w:rsidRPr="00B422E6">
        <w:rPr>
          <w:rFonts w:ascii="Arial" w:hAnsi="Arial" w:cs="Arial"/>
          <w:lang w:val="en-AU"/>
        </w:rPr>
        <w:t xml:space="preserve">(1), 101099. </w:t>
      </w:r>
      <w:hyperlink r:id="rId34" w:history="1">
        <w:r w:rsidRPr="00B422E6">
          <w:rPr>
            <w:rStyle w:val="Hyperlink"/>
            <w:rFonts w:ascii="Arial" w:hAnsi="Arial" w:cs="Arial"/>
            <w:lang w:val="en-AU"/>
          </w:rPr>
          <w:t>https://doi.org/10.1016/j.paerosci.2025.101099</w:t>
        </w:r>
      </w:hyperlink>
    </w:p>
    <w:p w14:paraId="0B099033" w14:textId="77777777" w:rsidR="00283F16" w:rsidRPr="00B422E6" w:rsidRDefault="00283F16" w:rsidP="00B422E6">
      <w:pPr>
        <w:pStyle w:val="Body"/>
        <w:spacing w:after="0"/>
        <w:rPr>
          <w:rFonts w:ascii="Arial" w:hAnsi="Arial" w:cs="Arial"/>
          <w:lang w:val="en-AU"/>
        </w:rPr>
      </w:pPr>
    </w:p>
    <w:p w14:paraId="21E4BDCE" w14:textId="77777777" w:rsidR="00EE721C" w:rsidRPr="00EE721C" w:rsidRDefault="00EE721C" w:rsidP="00EE721C">
      <w:pPr>
        <w:pStyle w:val="Body"/>
        <w:rPr>
          <w:rFonts w:ascii="Arial" w:hAnsi="Arial" w:cs="Arial"/>
        </w:rPr>
      </w:pPr>
      <w:proofErr w:type="spellStart"/>
      <w:r w:rsidRPr="00EE721C">
        <w:rPr>
          <w:rFonts w:ascii="Arial" w:hAnsi="Arial" w:cs="Arial"/>
        </w:rPr>
        <w:t>Tajmar</w:t>
      </w:r>
      <w:proofErr w:type="spellEnd"/>
      <w:r w:rsidRPr="00EE721C">
        <w:rPr>
          <w:rFonts w:ascii="Arial" w:hAnsi="Arial" w:cs="Arial"/>
        </w:rPr>
        <w:t xml:space="preserve">, M., </w:t>
      </w:r>
      <w:proofErr w:type="spellStart"/>
      <w:r w:rsidRPr="00EE721C">
        <w:rPr>
          <w:rFonts w:ascii="Arial" w:hAnsi="Arial" w:cs="Arial"/>
        </w:rPr>
        <w:t>Kößling</w:t>
      </w:r>
      <w:proofErr w:type="spellEnd"/>
      <w:r w:rsidRPr="00EE721C">
        <w:rPr>
          <w:rFonts w:ascii="Arial" w:hAnsi="Arial" w:cs="Arial"/>
        </w:rPr>
        <w:t xml:space="preserve">, M. &amp; </w:t>
      </w:r>
      <w:proofErr w:type="spellStart"/>
      <w:r w:rsidRPr="00EE721C">
        <w:rPr>
          <w:rFonts w:ascii="Arial" w:hAnsi="Arial" w:cs="Arial"/>
        </w:rPr>
        <w:t>Neunzig</w:t>
      </w:r>
      <w:proofErr w:type="spellEnd"/>
      <w:r w:rsidRPr="00EE721C">
        <w:rPr>
          <w:rFonts w:ascii="Arial" w:hAnsi="Arial" w:cs="Arial"/>
        </w:rPr>
        <w:t>, O. (2024). In-depth experimental search for a coupling between gravity and electromagnetism with steady fields. </w:t>
      </w:r>
      <w:r w:rsidRPr="00EE721C">
        <w:rPr>
          <w:rFonts w:ascii="Arial" w:hAnsi="Arial" w:cs="Arial"/>
          <w:i/>
          <w:iCs/>
        </w:rPr>
        <w:t>Scientific Reports,</w:t>
      </w:r>
      <w:r w:rsidRPr="00EE721C">
        <w:rPr>
          <w:rFonts w:ascii="Arial" w:hAnsi="Arial" w:cs="Arial"/>
        </w:rPr>
        <w:t> </w:t>
      </w:r>
      <w:r w:rsidRPr="00EE721C">
        <w:rPr>
          <w:rFonts w:ascii="Arial" w:hAnsi="Arial" w:cs="Arial"/>
          <w:b/>
          <w:bCs/>
        </w:rPr>
        <w:t>14</w:t>
      </w:r>
      <w:r w:rsidRPr="00EE721C">
        <w:rPr>
          <w:rFonts w:ascii="Arial" w:hAnsi="Arial" w:cs="Arial"/>
        </w:rPr>
        <w:t xml:space="preserve">, 19427. </w:t>
      </w:r>
      <w:hyperlink r:id="rId35" w:history="1">
        <w:r w:rsidRPr="00EE721C">
          <w:rPr>
            <w:rStyle w:val="Hyperlink"/>
            <w:rFonts w:ascii="Arial" w:hAnsi="Arial" w:cs="Arial"/>
          </w:rPr>
          <w:t>https://doi.org/10.1038/s41598-024-70286-w</w:t>
        </w:r>
      </w:hyperlink>
    </w:p>
    <w:p w14:paraId="1958BDFC" w14:textId="7EEE0395" w:rsidR="00B422E6" w:rsidRDefault="00B422E6" w:rsidP="00B422E6">
      <w:pPr>
        <w:pStyle w:val="Body"/>
        <w:spacing w:after="0"/>
        <w:rPr>
          <w:rFonts w:ascii="Arial" w:hAnsi="Arial" w:cs="Arial"/>
          <w:lang w:val="en-AU"/>
        </w:rPr>
      </w:pPr>
      <w:proofErr w:type="spellStart"/>
      <w:r w:rsidRPr="00B422E6">
        <w:rPr>
          <w:rFonts w:ascii="Arial" w:hAnsi="Arial" w:cs="Arial"/>
          <w:lang w:val="en-AU"/>
        </w:rPr>
        <w:t>Teodorani</w:t>
      </w:r>
      <w:proofErr w:type="spellEnd"/>
      <w:r w:rsidRPr="00B422E6">
        <w:rPr>
          <w:rFonts w:ascii="Arial" w:hAnsi="Arial" w:cs="Arial"/>
          <w:lang w:val="en-AU"/>
        </w:rPr>
        <w:t xml:space="preserve">, M. (2004). A long-term scientific survey of the Hessdalen phenomenon. </w:t>
      </w:r>
      <w:r w:rsidRPr="00B422E6">
        <w:rPr>
          <w:rFonts w:ascii="Arial" w:hAnsi="Arial" w:cs="Arial"/>
          <w:i/>
          <w:iCs/>
          <w:lang w:val="en-AU"/>
        </w:rPr>
        <w:t>Journal of Scientific Exploration, 18</w:t>
      </w:r>
      <w:r w:rsidRPr="00B422E6">
        <w:rPr>
          <w:rFonts w:ascii="Arial" w:hAnsi="Arial" w:cs="Arial"/>
          <w:lang w:val="en-AU"/>
        </w:rPr>
        <w:t>(2), 217–251.</w:t>
      </w:r>
    </w:p>
    <w:p w14:paraId="320035B9" w14:textId="77777777" w:rsidR="00283F16" w:rsidRPr="00B422E6" w:rsidRDefault="00283F16" w:rsidP="00B422E6">
      <w:pPr>
        <w:pStyle w:val="Body"/>
        <w:spacing w:after="0"/>
        <w:rPr>
          <w:rFonts w:ascii="Arial" w:hAnsi="Arial" w:cs="Arial"/>
          <w:lang w:val="en-AU"/>
        </w:rPr>
      </w:pPr>
    </w:p>
    <w:p w14:paraId="7C7D1EF8" w14:textId="77777777" w:rsidR="00B422E6" w:rsidRDefault="00B422E6" w:rsidP="00B422E6">
      <w:pPr>
        <w:pStyle w:val="Body"/>
        <w:spacing w:after="0"/>
        <w:rPr>
          <w:rFonts w:ascii="Arial" w:hAnsi="Arial" w:cs="Arial"/>
          <w:lang w:val="en-AU"/>
        </w:rPr>
      </w:pPr>
      <w:proofErr w:type="spellStart"/>
      <w:r w:rsidRPr="00B422E6">
        <w:rPr>
          <w:rFonts w:ascii="Arial" w:hAnsi="Arial" w:cs="Arial"/>
          <w:lang w:val="en-AU"/>
        </w:rPr>
        <w:t>Teodorani</w:t>
      </w:r>
      <w:proofErr w:type="spellEnd"/>
      <w:r w:rsidRPr="00B422E6">
        <w:rPr>
          <w:rFonts w:ascii="Arial" w:hAnsi="Arial" w:cs="Arial"/>
          <w:lang w:val="en-AU"/>
        </w:rPr>
        <w:t xml:space="preserve">, M. (2024). Investigating UAP events using astronomical techniques. </w:t>
      </w:r>
      <w:r w:rsidRPr="00B422E6">
        <w:rPr>
          <w:rFonts w:ascii="Arial" w:hAnsi="Arial" w:cs="Arial"/>
          <w:i/>
          <w:iCs/>
          <w:lang w:val="en-AU"/>
        </w:rPr>
        <w:t>Journal of UAP Studies, 1</w:t>
      </w:r>
      <w:r w:rsidRPr="00B422E6">
        <w:rPr>
          <w:rFonts w:ascii="Arial" w:hAnsi="Arial" w:cs="Arial"/>
          <w:lang w:val="en-AU"/>
        </w:rPr>
        <w:t>(1), 40–54.</w:t>
      </w:r>
    </w:p>
    <w:p w14:paraId="37D9F8B2" w14:textId="77777777" w:rsidR="00283F16" w:rsidRPr="00B422E6" w:rsidRDefault="00283F16" w:rsidP="00B422E6">
      <w:pPr>
        <w:pStyle w:val="Body"/>
        <w:spacing w:after="0"/>
        <w:rPr>
          <w:rFonts w:ascii="Arial" w:hAnsi="Arial" w:cs="Arial"/>
          <w:lang w:val="en-AU"/>
        </w:rPr>
      </w:pPr>
    </w:p>
    <w:p w14:paraId="671A19A9" w14:textId="0AEA90EF" w:rsidR="00B422E6" w:rsidRDefault="00B422E6" w:rsidP="00B422E6">
      <w:pPr>
        <w:pStyle w:val="Body"/>
        <w:spacing w:after="0"/>
        <w:rPr>
          <w:rFonts w:ascii="Arial" w:hAnsi="Arial" w:cs="Arial"/>
        </w:rPr>
      </w:pPr>
      <w:bookmarkStart w:id="1" w:name="_Hlk210213438"/>
      <w:r w:rsidRPr="00B422E6">
        <w:rPr>
          <w:rFonts w:ascii="Arial" w:hAnsi="Arial" w:cs="Arial"/>
          <w:lang w:val="en-AU"/>
        </w:rPr>
        <w:t xml:space="preserve">Tizfahm, T., Fakhry, S., </w:t>
      </w:r>
      <w:proofErr w:type="spellStart"/>
      <w:r w:rsidRPr="00B422E6">
        <w:rPr>
          <w:rFonts w:ascii="Arial" w:hAnsi="Arial" w:cs="Arial"/>
          <w:lang w:val="en-AU"/>
        </w:rPr>
        <w:t>Firouzjaee</w:t>
      </w:r>
      <w:proofErr w:type="spellEnd"/>
      <w:r w:rsidRPr="00B422E6">
        <w:rPr>
          <w:rFonts w:ascii="Arial" w:hAnsi="Arial" w:cs="Arial"/>
          <w:lang w:val="en-AU"/>
        </w:rPr>
        <w:t xml:space="preserve">, J. T., &amp; Del Popolo, A. (2025). Gravitational lensing in modified gravity: Constraints from scalar–tensor theories. </w:t>
      </w:r>
      <w:r w:rsidRPr="00B422E6">
        <w:rPr>
          <w:rFonts w:ascii="Arial" w:hAnsi="Arial" w:cs="Arial"/>
          <w:i/>
          <w:iCs/>
          <w:lang w:val="en-AU"/>
        </w:rPr>
        <w:t>Monthly Notices of the Royal Astronomical Society, 527</w:t>
      </w:r>
      <w:r w:rsidRPr="00B422E6">
        <w:rPr>
          <w:rFonts w:ascii="Arial" w:hAnsi="Arial" w:cs="Arial"/>
          <w:lang w:val="en-AU"/>
        </w:rPr>
        <w:t xml:space="preserve">(1), 104–116. </w:t>
      </w:r>
    </w:p>
    <w:bookmarkEnd w:id="1"/>
    <w:p w14:paraId="34A5B319" w14:textId="77777777" w:rsidR="00283F16" w:rsidRPr="00B422E6" w:rsidRDefault="00283F16" w:rsidP="00B422E6">
      <w:pPr>
        <w:pStyle w:val="Body"/>
        <w:spacing w:after="0"/>
        <w:rPr>
          <w:rFonts w:ascii="Arial" w:hAnsi="Arial" w:cs="Arial"/>
          <w:lang w:val="en-AU"/>
        </w:rPr>
      </w:pPr>
    </w:p>
    <w:p w14:paraId="6F57551D" w14:textId="77777777" w:rsidR="00B422E6" w:rsidRDefault="00B422E6" w:rsidP="00B422E6">
      <w:pPr>
        <w:pStyle w:val="Body"/>
        <w:spacing w:after="0"/>
        <w:rPr>
          <w:rFonts w:ascii="Arial" w:hAnsi="Arial" w:cs="Arial"/>
          <w:lang w:val="en-AU"/>
        </w:rPr>
      </w:pPr>
      <w:r w:rsidRPr="00B422E6">
        <w:rPr>
          <w:rFonts w:ascii="Arial" w:hAnsi="Arial" w:cs="Arial"/>
          <w:lang w:val="en-AU"/>
        </w:rPr>
        <w:t xml:space="preserve">Valone, T. (2012). </w:t>
      </w:r>
      <w:proofErr w:type="gramStart"/>
      <w:r w:rsidRPr="00B422E6">
        <w:rPr>
          <w:rFonts w:ascii="Arial" w:hAnsi="Arial" w:cs="Arial"/>
          <w:i/>
          <w:iCs/>
          <w:lang w:val="en-AU"/>
        </w:rPr>
        <w:t>Zero point</w:t>
      </w:r>
      <w:proofErr w:type="gramEnd"/>
      <w:r w:rsidRPr="00B422E6">
        <w:rPr>
          <w:rFonts w:ascii="Arial" w:hAnsi="Arial" w:cs="Arial"/>
          <w:i/>
          <w:iCs/>
          <w:lang w:val="en-AU"/>
        </w:rPr>
        <w:t xml:space="preserve"> energy: The fuel of the future.</w:t>
      </w:r>
      <w:r w:rsidRPr="00B422E6">
        <w:rPr>
          <w:rFonts w:ascii="Arial" w:hAnsi="Arial" w:cs="Arial"/>
          <w:lang w:val="en-AU"/>
        </w:rPr>
        <w:t xml:space="preserve"> Integrity Research Institute.</w:t>
      </w:r>
    </w:p>
    <w:p w14:paraId="70079DE9" w14:textId="77777777" w:rsidR="00C12544" w:rsidRPr="00B422E6" w:rsidRDefault="00C12544" w:rsidP="00B422E6">
      <w:pPr>
        <w:pStyle w:val="Body"/>
        <w:spacing w:after="0"/>
        <w:rPr>
          <w:rFonts w:ascii="Arial" w:hAnsi="Arial" w:cs="Arial"/>
          <w:lang w:val="en-AU"/>
        </w:rPr>
      </w:pPr>
    </w:p>
    <w:p w14:paraId="046928E2" w14:textId="228969EA" w:rsidR="00B422E6" w:rsidRPr="00C25398" w:rsidRDefault="00B422E6" w:rsidP="00B422E6">
      <w:pPr>
        <w:pStyle w:val="Body"/>
        <w:spacing w:after="0"/>
        <w:rPr>
          <w:rFonts w:ascii="Arial" w:hAnsi="Arial" w:cs="Arial"/>
        </w:rPr>
      </w:pPr>
      <w:bookmarkStart w:id="2" w:name="_Hlk210213824"/>
      <w:proofErr w:type="spellStart"/>
      <w:r w:rsidRPr="00B422E6">
        <w:rPr>
          <w:rFonts w:ascii="Arial" w:hAnsi="Arial" w:cs="Arial"/>
          <w:lang w:val="en-AU"/>
        </w:rPr>
        <w:t>Vegetti</w:t>
      </w:r>
      <w:proofErr w:type="spellEnd"/>
      <w:r w:rsidRPr="00B422E6">
        <w:rPr>
          <w:rFonts w:ascii="Arial" w:hAnsi="Arial" w:cs="Arial"/>
          <w:lang w:val="en-AU"/>
        </w:rPr>
        <w:t xml:space="preserve">, S., </w:t>
      </w:r>
      <w:proofErr w:type="spellStart"/>
      <w:r w:rsidRPr="00B422E6">
        <w:rPr>
          <w:rFonts w:ascii="Arial" w:hAnsi="Arial" w:cs="Arial"/>
          <w:lang w:val="en-AU"/>
        </w:rPr>
        <w:t>Despali</w:t>
      </w:r>
      <w:proofErr w:type="spellEnd"/>
      <w:r w:rsidRPr="00B422E6">
        <w:rPr>
          <w:rFonts w:ascii="Arial" w:hAnsi="Arial" w:cs="Arial"/>
          <w:lang w:val="en-AU"/>
        </w:rPr>
        <w:t xml:space="preserve">, G., Lovell, M., Cyr-Racine, F.-Y., &amp; Gilman, D. (2024). Strong lensing as a probe of dark matter microphysics. </w:t>
      </w:r>
      <w:r w:rsidRPr="00B422E6">
        <w:rPr>
          <w:rFonts w:ascii="Arial" w:hAnsi="Arial" w:cs="Arial"/>
          <w:i/>
          <w:iCs/>
          <w:lang w:val="en-AU"/>
        </w:rPr>
        <w:t>Space Science Reviews, 220</w:t>
      </w:r>
      <w:r w:rsidRPr="00B422E6">
        <w:rPr>
          <w:rFonts w:ascii="Arial" w:hAnsi="Arial" w:cs="Arial"/>
          <w:lang w:val="en-AU"/>
        </w:rPr>
        <w:t xml:space="preserve">(2), 23. </w:t>
      </w:r>
    </w:p>
    <w:bookmarkEnd w:id="2"/>
    <w:p w14:paraId="5091154B" w14:textId="77777777" w:rsidR="00283F16" w:rsidRPr="00B422E6" w:rsidRDefault="00283F16" w:rsidP="00B422E6">
      <w:pPr>
        <w:pStyle w:val="Body"/>
        <w:spacing w:after="0"/>
        <w:rPr>
          <w:rFonts w:ascii="Arial" w:hAnsi="Arial" w:cs="Arial"/>
          <w:lang w:val="en-AU"/>
        </w:rPr>
      </w:pPr>
    </w:p>
    <w:p w14:paraId="51521694" w14:textId="49475523" w:rsidR="00B422E6" w:rsidRDefault="00B422E6" w:rsidP="00B422E6">
      <w:pPr>
        <w:pStyle w:val="Body"/>
        <w:spacing w:after="0"/>
        <w:rPr>
          <w:rFonts w:ascii="Arial" w:hAnsi="Arial" w:cs="Arial"/>
        </w:rPr>
      </w:pPr>
      <w:r w:rsidRPr="00B422E6">
        <w:rPr>
          <w:rFonts w:ascii="Arial" w:hAnsi="Arial" w:cs="Arial"/>
          <w:lang w:val="en-AU"/>
        </w:rPr>
        <w:t xml:space="preserve">Watters, D., Kaye, J., &amp; McMillan, P. (2023). Designing observatories for anomalous aerial phenomena: A systems approach. </w:t>
      </w:r>
      <w:r w:rsidRPr="00B422E6">
        <w:rPr>
          <w:rFonts w:ascii="Arial" w:hAnsi="Arial" w:cs="Arial"/>
          <w:i/>
          <w:iCs/>
          <w:lang w:val="en-AU"/>
        </w:rPr>
        <w:t>Journal of Astronomical Instrumentation, 12</w:t>
      </w:r>
      <w:r w:rsidRPr="00B422E6">
        <w:rPr>
          <w:rFonts w:ascii="Arial" w:hAnsi="Arial" w:cs="Arial"/>
          <w:lang w:val="en-AU"/>
        </w:rPr>
        <w:t xml:space="preserve">(4), 2340005. </w:t>
      </w:r>
    </w:p>
    <w:p w14:paraId="3C843CAD" w14:textId="77777777" w:rsidR="00283F16" w:rsidRPr="00B422E6" w:rsidRDefault="00283F16" w:rsidP="00B422E6">
      <w:pPr>
        <w:pStyle w:val="Body"/>
        <w:spacing w:after="0"/>
        <w:rPr>
          <w:rFonts w:ascii="Arial" w:hAnsi="Arial" w:cs="Arial"/>
          <w:lang w:val="en-AU"/>
        </w:rPr>
      </w:pPr>
    </w:p>
    <w:p w14:paraId="5539199C" w14:textId="77777777" w:rsidR="00B422E6" w:rsidRDefault="00B422E6" w:rsidP="00B422E6">
      <w:pPr>
        <w:pStyle w:val="Body"/>
        <w:spacing w:after="0"/>
        <w:rPr>
          <w:rFonts w:ascii="Arial" w:hAnsi="Arial" w:cs="Arial"/>
        </w:rPr>
      </w:pPr>
      <w:r w:rsidRPr="00B422E6">
        <w:rPr>
          <w:rFonts w:ascii="Arial" w:hAnsi="Arial" w:cs="Arial"/>
          <w:lang w:val="en-AU"/>
        </w:rPr>
        <w:t xml:space="preserve">Wyman, M. (2011). Galilean-invariant scalar fields can strengthen gravitational lensing. </w:t>
      </w:r>
      <w:r w:rsidRPr="00B422E6">
        <w:rPr>
          <w:rFonts w:ascii="Arial" w:hAnsi="Arial" w:cs="Arial"/>
          <w:i/>
          <w:iCs/>
          <w:lang w:val="en-AU"/>
        </w:rPr>
        <w:t>Physical Review Letters, 106</w:t>
      </w:r>
      <w:r w:rsidRPr="00B422E6">
        <w:rPr>
          <w:rFonts w:ascii="Arial" w:hAnsi="Arial" w:cs="Arial"/>
          <w:lang w:val="en-AU"/>
        </w:rPr>
        <w:t xml:space="preserve">(20), 201102. </w:t>
      </w:r>
      <w:hyperlink r:id="rId36" w:tgtFrame="_new" w:history="1">
        <w:r w:rsidRPr="00B422E6">
          <w:rPr>
            <w:rStyle w:val="Hyperlink"/>
            <w:rFonts w:ascii="Arial" w:hAnsi="Arial" w:cs="Arial"/>
            <w:lang w:val="en-AU"/>
          </w:rPr>
          <w:t>https://doi.org/10.1103/PhysRevLett.106.201102</w:t>
        </w:r>
      </w:hyperlink>
    </w:p>
    <w:p w14:paraId="30F49D9D" w14:textId="77777777" w:rsidR="00283F16" w:rsidRPr="00B422E6" w:rsidRDefault="00283F16" w:rsidP="00B422E6">
      <w:pPr>
        <w:pStyle w:val="Body"/>
        <w:spacing w:after="0"/>
        <w:rPr>
          <w:rFonts w:ascii="Arial" w:hAnsi="Arial" w:cs="Arial"/>
          <w:lang w:val="en-AU"/>
        </w:rPr>
      </w:pPr>
    </w:p>
    <w:p w14:paraId="0A985A74" w14:textId="77777777" w:rsidR="00B422E6" w:rsidRDefault="00B422E6" w:rsidP="00B422E6">
      <w:pPr>
        <w:pStyle w:val="Body"/>
        <w:spacing w:after="0"/>
        <w:rPr>
          <w:rFonts w:ascii="Arial" w:hAnsi="Arial" w:cs="Arial"/>
        </w:rPr>
      </w:pPr>
      <w:r w:rsidRPr="00B422E6">
        <w:rPr>
          <w:rFonts w:ascii="Arial" w:hAnsi="Arial" w:cs="Arial"/>
          <w:lang w:val="en-AU"/>
        </w:rPr>
        <w:t xml:space="preserve">Zhilyaev, B. E., Petukhov, V. N., &amp; </w:t>
      </w:r>
      <w:proofErr w:type="spellStart"/>
      <w:r w:rsidRPr="00B422E6">
        <w:rPr>
          <w:rFonts w:ascii="Arial" w:hAnsi="Arial" w:cs="Arial"/>
          <w:lang w:val="en-AU"/>
        </w:rPr>
        <w:t>Reshetnyk</w:t>
      </w:r>
      <w:proofErr w:type="spellEnd"/>
      <w:r w:rsidRPr="00B422E6">
        <w:rPr>
          <w:rFonts w:ascii="Arial" w:hAnsi="Arial" w:cs="Arial"/>
          <w:lang w:val="en-AU"/>
        </w:rPr>
        <w:t xml:space="preserve">, V. M. (2022a). Unidentified aerial phenomena I: Observations of events. </w:t>
      </w:r>
      <w:proofErr w:type="spellStart"/>
      <w:r w:rsidRPr="00B422E6">
        <w:rPr>
          <w:rFonts w:ascii="Arial" w:hAnsi="Arial" w:cs="Arial"/>
          <w:i/>
          <w:iCs/>
          <w:lang w:val="en-AU"/>
        </w:rPr>
        <w:t>arXiv</w:t>
      </w:r>
      <w:proofErr w:type="spellEnd"/>
      <w:r w:rsidRPr="00B422E6">
        <w:rPr>
          <w:rFonts w:ascii="Arial" w:hAnsi="Arial" w:cs="Arial"/>
          <w:i/>
          <w:iCs/>
          <w:lang w:val="en-AU"/>
        </w:rPr>
        <w:t xml:space="preserve"> preprint.</w:t>
      </w:r>
      <w:r w:rsidRPr="00B422E6">
        <w:rPr>
          <w:rFonts w:ascii="Arial" w:hAnsi="Arial" w:cs="Arial"/>
          <w:lang w:val="en-AU"/>
        </w:rPr>
        <w:t xml:space="preserve"> </w:t>
      </w:r>
      <w:hyperlink r:id="rId37" w:tgtFrame="_new" w:history="1">
        <w:r w:rsidRPr="00B422E6">
          <w:rPr>
            <w:rStyle w:val="Hyperlink"/>
            <w:rFonts w:ascii="Arial" w:hAnsi="Arial" w:cs="Arial"/>
            <w:lang w:val="en-AU"/>
          </w:rPr>
          <w:t>https://arxiv.org/abs/2208.11215</w:t>
        </w:r>
      </w:hyperlink>
    </w:p>
    <w:p w14:paraId="31E40983" w14:textId="77777777" w:rsidR="00283F16" w:rsidRPr="00B422E6" w:rsidRDefault="00283F16" w:rsidP="00B422E6">
      <w:pPr>
        <w:pStyle w:val="Body"/>
        <w:spacing w:after="0"/>
        <w:rPr>
          <w:rFonts w:ascii="Arial" w:hAnsi="Arial" w:cs="Arial"/>
          <w:lang w:val="en-AU"/>
        </w:rPr>
      </w:pPr>
    </w:p>
    <w:p w14:paraId="274D42F6" w14:textId="38797B73" w:rsidR="005916BE" w:rsidRDefault="00B422E6" w:rsidP="00C25398">
      <w:pPr>
        <w:pStyle w:val="Body"/>
        <w:spacing w:after="0"/>
        <w:rPr>
          <w:rFonts w:ascii="Arial" w:hAnsi="Arial" w:cs="Arial"/>
          <w:b/>
          <w:bCs/>
          <w:lang w:val="en-AU"/>
        </w:rPr>
      </w:pPr>
      <w:r w:rsidRPr="00B422E6">
        <w:rPr>
          <w:rFonts w:ascii="Arial" w:hAnsi="Arial" w:cs="Arial"/>
          <w:lang w:val="en-AU"/>
        </w:rPr>
        <w:t xml:space="preserve">Zhilyaev, B. E., Petukhov, V. N., &amp; </w:t>
      </w:r>
      <w:proofErr w:type="spellStart"/>
      <w:r w:rsidRPr="00B422E6">
        <w:rPr>
          <w:rFonts w:ascii="Arial" w:hAnsi="Arial" w:cs="Arial"/>
          <w:lang w:val="en-AU"/>
        </w:rPr>
        <w:t>Reshetnyk</w:t>
      </w:r>
      <w:proofErr w:type="spellEnd"/>
      <w:r w:rsidRPr="00B422E6">
        <w:rPr>
          <w:rFonts w:ascii="Arial" w:hAnsi="Arial" w:cs="Arial"/>
          <w:lang w:val="en-AU"/>
        </w:rPr>
        <w:t xml:space="preserve">, V. M. (2022b). Unidentified aerial phenomena II: Evaluation of UAP properties. </w:t>
      </w:r>
      <w:proofErr w:type="spellStart"/>
      <w:r w:rsidRPr="00B422E6">
        <w:rPr>
          <w:rFonts w:ascii="Arial" w:hAnsi="Arial" w:cs="Arial"/>
          <w:i/>
          <w:iCs/>
          <w:lang w:val="en-AU"/>
        </w:rPr>
        <w:t>arXiv</w:t>
      </w:r>
      <w:proofErr w:type="spellEnd"/>
      <w:r w:rsidRPr="00B422E6">
        <w:rPr>
          <w:rFonts w:ascii="Arial" w:hAnsi="Arial" w:cs="Arial"/>
          <w:i/>
          <w:iCs/>
          <w:lang w:val="en-AU"/>
        </w:rPr>
        <w:t xml:space="preserve"> preprint.</w:t>
      </w:r>
      <w:r w:rsidRPr="00B422E6">
        <w:rPr>
          <w:rFonts w:ascii="Arial" w:hAnsi="Arial" w:cs="Arial"/>
          <w:lang w:val="en-AU"/>
        </w:rPr>
        <w:t xml:space="preserve"> </w:t>
      </w:r>
      <w:hyperlink r:id="rId38" w:tgtFrame="_new" w:history="1">
        <w:r w:rsidRPr="00B422E6">
          <w:rPr>
            <w:rStyle w:val="Hyperlink"/>
            <w:rFonts w:ascii="Arial" w:hAnsi="Arial" w:cs="Arial"/>
            <w:lang w:val="en-AU"/>
          </w:rPr>
          <w:t>https://arxiv.org/abs/2211.17085</w:t>
        </w:r>
      </w:hyperlink>
      <w:r w:rsidR="005916BE">
        <w:rPr>
          <w:rFonts w:ascii="Arial" w:hAnsi="Arial" w:cs="Arial"/>
          <w:b/>
          <w:bCs/>
          <w:lang w:val="en-AU"/>
        </w:rPr>
        <w:br w:type="page"/>
      </w:r>
    </w:p>
    <w:p w14:paraId="6FA9E543" w14:textId="77777777" w:rsidR="001B7495" w:rsidRDefault="00283F16" w:rsidP="00283F16">
      <w:pPr>
        <w:pStyle w:val="Body"/>
        <w:spacing w:after="0"/>
        <w:rPr>
          <w:rFonts w:ascii="Arial" w:hAnsi="Arial" w:cs="Arial"/>
          <w:b/>
          <w:bCs/>
          <w:lang w:val="en-AU"/>
        </w:rPr>
      </w:pPr>
      <w:r w:rsidRPr="00283F16">
        <w:rPr>
          <w:rFonts w:ascii="Arial" w:hAnsi="Arial" w:cs="Arial"/>
          <w:b/>
          <w:bCs/>
          <w:lang w:val="en-AU"/>
        </w:rPr>
        <w:lastRenderedPageBreak/>
        <w:t xml:space="preserve">Appendix A. </w:t>
      </w:r>
    </w:p>
    <w:p w14:paraId="6796C2FD" w14:textId="77777777" w:rsidR="001B7495" w:rsidRDefault="001B7495" w:rsidP="00283F16">
      <w:pPr>
        <w:pStyle w:val="Body"/>
        <w:spacing w:after="0"/>
        <w:rPr>
          <w:rFonts w:ascii="Arial" w:hAnsi="Arial" w:cs="Arial"/>
          <w:b/>
          <w:bCs/>
          <w:lang w:val="en-AU"/>
        </w:rPr>
      </w:pPr>
    </w:p>
    <w:p w14:paraId="6916616A" w14:textId="68783BB0" w:rsidR="00283F16" w:rsidRDefault="00283F16" w:rsidP="00283F16">
      <w:pPr>
        <w:pStyle w:val="Body"/>
        <w:spacing w:after="0"/>
        <w:rPr>
          <w:rFonts w:ascii="Arial" w:hAnsi="Arial" w:cs="Arial"/>
          <w:b/>
          <w:bCs/>
          <w:lang w:val="en-AU"/>
        </w:rPr>
      </w:pPr>
      <w:r w:rsidRPr="00283F16">
        <w:rPr>
          <w:rFonts w:ascii="Arial" w:hAnsi="Arial" w:cs="Arial"/>
          <w:b/>
          <w:bCs/>
          <w:lang w:val="en-AU"/>
        </w:rPr>
        <w:t>References Included in Thematic Coding and Quantitative Analysis</w:t>
      </w:r>
    </w:p>
    <w:p w14:paraId="4D1C4E0E" w14:textId="77777777" w:rsidR="00283F16" w:rsidRPr="00283F16" w:rsidRDefault="00283F16" w:rsidP="00283F16">
      <w:pPr>
        <w:pStyle w:val="Body"/>
        <w:spacing w:after="0"/>
        <w:rPr>
          <w:rFonts w:ascii="Arial" w:hAnsi="Arial" w:cs="Arial"/>
          <w:b/>
          <w:bCs/>
          <w:lang w:val="en-AU"/>
        </w:rPr>
      </w:pPr>
    </w:p>
    <w:p w14:paraId="1AA40962" w14:textId="77777777" w:rsidR="00283F16" w:rsidRDefault="00283F16" w:rsidP="00283F16">
      <w:pPr>
        <w:pStyle w:val="Body"/>
        <w:spacing w:after="0"/>
        <w:rPr>
          <w:rFonts w:ascii="Arial" w:hAnsi="Arial" w:cs="Arial"/>
          <w:lang w:val="en-AU"/>
        </w:rPr>
      </w:pPr>
      <w:r w:rsidRPr="00283F16">
        <w:rPr>
          <w:rFonts w:ascii="Arial" w:hAnsi="Arial" w:cs="Arial"/>
          <w:lang w:val="en-AU"/>
        </w:rPr>
        <w:t>The following references were included in the structured thematic analysis and quantitative scoring described in the Methods section. Each reference was assigned to one of nine thematic categories, coded across five boundary-layer signatures (halos/filaments, pane-like laminar shells, trans-medium transitions, localized cloaking, and symmetric axial emissions), and scored for both boundary-layer relevance and resonance-based theoretical linkage.</w:t>
      </w:r>
    </w:p>
    <w:p w14:paraId="29153EA1" w14:textId="77777777" w:rsidR="00283F16" w:rsidRPr="00283F16" w:rsidRDefault="00283F16" w:rsidP="00283F16">
      <w:pPr>
        <w:pStyle w:val="Body"/>
        <w:spacing w:after="0"/>
        <w:rPr>
          <w:rFonts w:ascii="Arial" w:hAnsi="Arial" w:cs="Arial"/>
          <w:lang w:val="en-AU"/>
        </w:rPr>
      </w:pPr>
    </w:p>
    <w:p w14:paraId="2208C155" w14:textId="77777777"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Although not all of these works are cited directly in the main text, </w:t>
      </w:r>
      <w:r w:rsidRPr="00283F16">
        <w:rPr>
          <w:rFonts w:ascii="Arial" w:hAnsi="Arial" w:cs="Arial"/>
          <w:b/>
          <w:bCs/>
          <w:lang w:val="en-AU"/>
        </w:rPr>
        <w:t>every reference in this appendix contributed to the aggregated results reported in the bar plots, heatmaps, and dashboards</w:t>
      </w:r>
      <w:r w:rsidRPr="00283F16">
        <w:rPr>
          <w:rFonts w:ascii="Arial" w:hAnsi="Arial" w:cs="Arial"/>
          <w:lang w:val="en-AU"/>
        </w:rPr>
        <w:t>. This appendix is provided to ensure transparency and reproducibility of the analysis.</w:t>
      </w:r>
    </w:p>
    <w:p w14:paraId="44ED8D5B" w14:textId="77777777" w:rsidR="00283F16" w:rsidRPr="00283F16" w:rsidRDefault="00283F16" w:rsidP="00283F16">
      <w:pPr>
        <w:pStyle w:val="Body"/>
        <w:spacing w:after="0"/>
        <w:rPr>
          <w:rFonts w:ascii="Arial" w:hAnsi="Arial" w:cs="Arial"/>
          <w:lang w:val="en-AU"/>
        </w:rPr>
      </w:pPr>
    </w:p>
    <w:p w14:paraId="6854ADBA" w14:textId="77777777" w:rsidR="00283F16" w:rsidRDefault="00283F16" w:rsidP="00283F16">
      <w:pPr>
        <w:pStyle w:val="Body"/>
        <w:spacing w:after="0"/>
        <w:rPr>
          <w:rFonts w:ascii="Arial" w:hAnsi="Arial" w:cs="Arial"/>
        </w:rPr>
      </w:pPr>
      <w:r w:rsidRPr="00283F16">
        <w:rPr>
          <w:rFonts w:ascii="Arial" w:hAnsi="Arial" w:cs="Arial"/>
        </w:rPr>
        <w:t xml:space="preserve">Abrahamson, J., </w:t>
      </w:r>
      <w:proofErr w:type="spellStart"/>
      <w:r w:rsidRPr="00283F16">
        <w:rPr>
          <w:rFonts w:ascii="Arial" w:hAnsi="Arial" w:cs="Arial"/>
        </w:rPr>
        <w:t>Dinniss</w:t>
      </w:r>
      <w:proofErr w:type="spellEnd"/>
      <w:r w:rsidRPr="00283F16">
        <w:rPr>
          <w:rFonts w:ascii="Arial" w:hAnsi="Arial" w:cs="Arial"/>
        </w:rPr>
        <w:t xml:space="preserve">, J. (2000). Ball lightning caused by oxidation of nanoparticle networks from normal lightning strikes on soil. </w:t>
      </w:r>
      <w:r w:rsidRPr="00283F16">
        <w:rPr>
          <w:rFonts w:ascii="Arial" w:hAnsi="Arial" w:cs="Arial"/>
          <w:i/>
          <w:iCs/>
        </w:rPr>
        <w:t>Nature, 403</w:t>
      </w:r>
      <w:r w:rsidRPr="00283F16">
        <w:rPr>
          <w:rFonts w:ascii="Arial" w:hAnsi="Arial" w:cs="Arial"/>
        </w:rPr>
        <w:t xml:space="preserve">(6769), 519–521. </w:t>
      </w:r>
    </w:p>
    <w:p w14:paraId="7178638C" w14:textId="77777777" w:rsidR="001B7495" w:rsidRPr="00283F16" w:rsidRDefault="001B7495" w:rsidP="00283F16">
      <w:pPr>
        <w:pStyle w:val="Body"/>
        <w:spacing w:after="0"/>
        <w:rPr>
          <w:rFonts w:ascii="Arial" w:hAnsi="Arial" w:cs="Arial"/>
          <w:lang w:val="en-AU"/>
        </w:rPr>
      </w:pPr>
    </w:p>
    <w:p w14:paraId="1399B853"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Ahedo, E., Merino, M. (2010). Two-dimensional supersonic plasma expansion in a magnetic nozzle: Separation due to ion demagnetization. </w:t>
      </w:r>
      <w:r w:rsidRPr="00283F16">
        <w:rPr>
          <w:rFonts w:ascii="Arial" w:hAnsi="Arial" w:cs="Arial"/>
          <w:i/>
          <w:iCs/>
          <w:lang w:val="en-AU"/>
        </w:rPr>
        <w:t>Physics of Plasmas, 17</w:t>
      </w:r>
      <w:r w:rsidRPr="00283F16">
        <w:rPr>
          <w:rFonts w:ascii="Arial" w:hAnsi="Arial" w:cs="Arial"/>
          <w:lang w:val="en-AU"/>
        </w:rPr>
        <w:t>(7), 073501.</w:t>
      </w:r>
    </w:p>
    <w:p w14:paraId="2C1E194F" w14:textId="77777777" w:rsidR="001B7495" w:rsidRPr="00283F16" w:rsidRDefault="001B7495" w:rsidP="00283F16">
      <w:pPr>
        <w:pStyle w:val="Body"/>
        <w:spacing w:after="0"/>
        <w:rPr>
          <w:rFonts w:ascii="Arial" w:hAnsi="Arial" w:cs="Arial"/>
          <w:lang w:val="en-AU"/>
        </w:rPr>
      </w:pPr>
    </w:p>
    <w:p w14:paraId="0B411662" w14:textId="77777777" w:rsidR="00283F16" w:rsidRDefault="00283F16" w:rsidP="00283F16">
      <w:pPr>
        <w:pStyle w:val="Body"/>
        <w:spacing w:after="0"/>
        <w:rPr>
          <w:rFonts w:ascii="Arial" w:hAnsi="Arial" w:cs="Arial"/>
        </w:rPr>
      </w:pPr>
      <w:r w:rsidRPr="00283F16">
        <w:rPr>
          <w:rFonts w:ascii="Arial" w:hAnsi="Arial" w:cs="Arial"/>
          <w:lang w:val="en-AU"/>
        </w:rPr>
        <w:t xml:space="preserve">Akers, D. (2001). </w:t>
      </w:r>
      <w:r w:rsidRPr="00283F16">
        <w:rPr>
          <w:rFonts w:ascii="Arial" w:hAnsi="Arial" w:cs="Arial"/>
          <w:i/>
          <w:iCs/>
          <w:lang w:val="en-AU"/>
        </w:rPr>
        <w:t>Preliminary report on magnetic field measurements recorded at Status Fire Lookout – July 11, 2001.</w:t>
      </w:r>
      <w:r w:rsidRPr="00283F16">
        <w:rPr>
          <w:rFonts w:ascii="Arial" w:hAnsi="Arial" w:cs="Arial"/>
          <w:lang w:val="en-AU"/>
        </w:rPr>
        <w:t xml:space="preserve"> Retrieved from </w:t>
      </w:r>
      <w:hyperlink r:id="rId39" w:history="1">
        <w:r w:rsidRPr="00283F16">
          <w:rPr>
            <w:rStyle w:val="Hyperlink"/>
            <w:rFonts w:ascii="Arial" w:hAnsi="Arial" w:cs="Arial"/>
            <w:lang w:val="en-AU"/>
          </w:rPr>
          <w:t>http://www.leeh.net/polyarts/Archive/01070001.pdf</w:t>
        </w:r>
      </w:hyperlink>
    </w:p>
    <w:p w14:paraId="420A6F84" w14:textId="77777777" w:rsidR="001B7495" w:rsidRPr="00283F16" w:rsidRDefault="001B7495" w:rsidP="00283F16">
      <w:pPr>
        <w:pStyle w:val="Body"/>
        <w:spacing w:after="0"/>
        <w:rPr>
          <w:rFonts w:ascii="Arial" w:hAnsi="Arial" w:cs="Arial"/>
          <w:lang w:val="en-AU"/>
        </w:rPr>
      </w:pPr>
    </w:p>
    <w:p w14:paraId="5B0452FD" w14:textId="77777777" w:rsidR="00283F16" w:rsidRDefault="00283F16" w:rsidP="00283F16">
      <w:pPr>
        <w:pStyle w:val="Body"/>
        <w:spacing w:after="0"/>
        <w:rPr>
          <w:rFonts w:ascii="Arial" w:hAnsi="Arial" w:cs="Arial"/>
        </w:rPr>
      </w:pPr>
      <w:proofErr w:type="spellStart"/>
      <w:r w:rsidRPr="00283F16">
        <w:rPr>
          <w:rFonts w:ascii="Arial" w:hAnsi="Arial" w:cs="Arial"/>
        </w:rPr>
        <w:t>Ailleris</w:t>
      </w:r>
      <w:proofErr w:type="spellEnd"/>
      <w:r w:rsidRPr="00283F16">
        <w:rPr>
          <w:rFonts w:ascii="Arial" w:hAnsi="Arial" w:cs="Arial"/>
        </w:rPr>
        <w:t xml:space="preserve">, P. (2024). Exploring unidentified aerospace phenomena through instrumented field studies: Historical insights, current challenges, and future directions. </w:t>
      </w:r>
      <w:r w:rsidRPr="00283F16">
        <w:rPr>
          <w:rFonts w:ascii="Arial" w:hAnsi="Arial" w:cs="Arial"/>
          <w:i/>
          <w:iCs/>
        </w:rPr>
        <w:t>Journal of UAP Studies</w:t>
      </w:r>
      <w:r w:rsidRPr="00283F16">
        <w:rPr>
          <w:rFonts w:ascii="Arial" w:hAnsi="Arial" w:cs="Arial"/>
        </w:rPr>
        <w:t xml:space="preserve">, </w:t>
      </w:r>
      <w:r w:rsidRPr="00283F16">
        <w:rPr>
          <w:rFonts w:ascii="Arial" w:hAnsi="Arial" w:cs="Arial"/>
          <w:i/>
          <w:iCs/>
        </w:rPr>
        <w:t>1</w:t>
      </w:r>
      <w:r w:rsidRPr="00283F16">
        <w:rPr>
          <w:rFonts w:ascii="Arial" w:hAnsi="Arial" w:cs="Arial"/>
        </w:rPr>
        <w:t>(1), 11–30.</w:t>
      </w:r>
    </w:p>
    <w:p w14:paraId="0981421E" w14:textId="77777777" w:rsidR="001B7495" w:rsidRPr="00283F16" w:rsidRDefault="001B7495" w:rsidP="00283F16">
      <w:pPr>
        <w:pStyle w:val="Body"/>
        <w:spacing w:after="0"/>
        <w:rPr>
          <w:rFonts w:ascii="Arial" w:hAnsi="Arial" w:cs="Arial"/>
          <w:lang w:val="en-AU"/>
        </w:rPr>
      </w:pPr>
    </w:p>
    <w:p w14:paraId="4FF0A640" w14:textId="77777777" w:rsidR="00283F16" w:rsidRDefault="00283F16" w:rsidP="00283F16">
      <w:pPr>
        <w:pStyle w:val="Body"/>
        <w:spacing w:after="0"/>
        <w:rPr>
          <w:rFonts w:ascii="Arial" w:hAnsi="Arial" w:cs="Arial"/>
        </w:rPr>
      </w:pPr>
      <w:r w:rsidRPr="00283F16">
        <w:rPr>
          <w:rFonts w:ascii="Arial" w:hAnsi="Arial" w:cs="Arial"/>
        </w:rPr>
        <w:t xml:space="preserve">Ammon, D. (2024). Development, dissemination, and revision of good scientific practice for research on UAP. </w:t>
      </w:r>
      <w:r w:rsidRPr="00283F16">
        <w:rPr>
          <w:rFonts w:ascii="Arial" w:hAnsi="Arial" w:cs="Arial"/>
          <w:i/>
          <w:iCs/>
        </w:rPr>
        <w:t>Journal of UAP Studies</w:t>
      </w:r>
      <w:r w:rsidRPr="00283F16">
        <w:rPr>
          <w:rFonts w:ascii="Arial" w:hAnsi="Arial" w:cs="Arial"/>
        </w:rPr>
        <w:t xml:space="preserve">, </w:t>
      </w:r>
      <w:r w:rsidRPr="00283F16">
        <w:rPr>
          <w:rFonts w:ascii="Arial" w:hAnsi="Arial" w:cs="Arial"/>
          <w:i/>
          <w:iCs/>
        </w:rPr>
        <w:t>1</w:t>
      </w:r>
      <w:r w:rsidRPr="00283F16">
        <w:rPr>
          <w:rFonts w:ascii="Arial" w:hAnsi="Arial" w:cs="Arial"/>
        </w:rPr>
        <w:t>(1), 31–39.</w:t>
      </w:r>
    </w:p>
    <w:p w14:paraId="257CA572" w14:textId="77777777" w:rsidR="001B7495" w:rsidRPr="00283F16" w:rsidRDefault="001B7495" w:rsidP="00283F16">
      <w:pPr>
        <w:pStyle w:val="Body"/>
        <w:spacing w:after="0"/>
        <w:rPr>
          <w:rFonts w:ascii="Arial" w:hAnsi="Arial" w:cs="Arial"/>
          <w:lang w:val="en-AU"/>
        </w:rPr>
      </w:pPr>
    </w:p>
    <w:p w14:paraId="5E26C621" w14:textId="77777777" w:rsidR="00283F16" w:rsidRDefault="00283F16" w:rsidP="00283F16">
      <w:pPr>
        <w:pStyle w:val="Body"/>
        <w:spacing w:after="0"/>
        <w:rPr>
          <w:rFonts w:ascii="Arial" w:hAnsi="Arial" w:cs="Arial"/>
        </w:rPr>
      </w:pPr>
      <w:r w:rsidRPr="00283F16">
        <w:rPr>
          <w:rFonts w:ascii="Arial" w:hAnsi="Arial" w:cs="Arial"/>
        </w:rPr>
        <w:t xml:space="preserve">Antonio, F. J., Itami, A. S., </w:t>
      </w:r>
      <w:proofErr w:type="spellStart"/>
      <w:r w:rsidRPr="00283F16">
        <w:rPr>
          <w:rFonts w:ascii="Arial" w:hAnsi="Arial" w:cs="Arial"/>
        </w:rPr>
        <w:t>Dalmedico</w:t>
      </w:r>
      <w:proofErr w:type="spellEnd"/>
      <w:r w:rsidRPr="00283F16">
        <w:rPr>
          <w:rFonts w:ascii="Arial" w:hAnsi="Arial" w:cs="Arial"/>
        </w:rPr>
        <w:t xml:space="preserve">, J. F., Mendes, R. S. (2022). On the dynamics of reporting data: A case study of UFO sightings. </w:t>
      </w:r>
      <w:r w:rsidRPr="00283F16">
        <w:rPr>
          <w:rFonts w:ascii="Arial" w:hAnsi="Arial" w:cs="Arial"/>
          <w:i/>
          <w:iCs/>
        </w:rPr>
        <w:t>Physica A</w:t>
      </w:r>
      <w:r w:rsidRPr="00283F16">
        <w:rPr>
          <w:rFonts w:ascii="Arial" w:hAnsi="Arial" w:cs="Arial"/>
        </w:rPr>
        <w:t xml:space="preserve">: </w:t>
      </w:r>
      <w:r w:rsidRPr="00283F16">
        <w:rPr>
          <w:rFonts w:ascii="Arial" w:hAnsi="Arial" w:cs="Arial"/>
          <w:i/>
          <w:iCs/>
        </w:rPr>
        <w:t>Statistical Mechanics and its Applications, 603</w:t>
      </w:r>
      <w:r w:rsidRPr="00283F16">
        <w:rPr>
          <w:rFonts w:ascii="Arial" w:hAnsi="Arial" w:cs="Arial"/>
        </w:rPr>
        <w:t xml:space="preserve">, 127807. </w:t>
      </w:r>
    </w:p>
    <w:p w14:paraId="6BC21A88" w14:textId="77777777" w:rsidR="001B7495" w:rsidRPr="00283F16" w:rsidRDefault="001B7495" w:rsidP="00283F16">
      <w:pPr>
        <w:pStyle w:val="Body"/>
        <w:spacing w:after="0"/>
        <w:rPr>
          <w:rFonts w:ascii="Arial" w:hAnsi="Arial" w:cs="Arial"/>
          <w:lang w:val="en-AU"/>
        </w:rPr>
      </w:pPr>
    </w:p>
    <w:p w14:paraId="108BDAE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Aquino, F. de. (2010). </w:t>
      </w:r>
      <w:r w:rsidRPr="00283F16">
        <w:rPr>
          <w:rFonts w:ascii="Arial" w:hAnsi="Arial" w:cs="Arial"/>
          <w:i/>
          <w:iCs/>
          <w:lang w:val="en-AU"/>
        </w:rPr>
        <w:t>Gravity control by means of electromagnetic field through gas or plasma at ultra-low pressure</w:t>
      </w:r>
      <w:r w:rsidRPr="00283F16">
        <w:rPr>
          <w:rFonts w:ascii="Arial" w:hAnsi="Arial" w:cs="Arial"/>
          <w:lang w:val="en-AU"/>
        </w:rPr>
        <w:t>. Maranhão State University, Physics Department, São Luís, Brazil.</w:t>
      </w:r>
    </w:p>
    <w:p w14:paraId="2B091D4A" w14:textId="77777777" w:rsidR="001B7495" w:rsidRPr="00283F16" w:rsidRDefault="001B7495" w:rsidP="00283F16">
      <w:pPr>
        <w:pStyle w:val="Body"/>
        <w:spacing w:after="0"/>
        <w:rPr>
          <w:rFonts w:ascii="Arial" w:hAnsi="Arial" w:cs="Arial"/>
          <w:lang w:val="en-AU"/>
        </w:rPr>
      </w:pPr>
    </w:p>
    <w:p w14:paraId="605872A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Aquino, F. de. (2012). </w:t>
      </w:r>
      <w:r w:rsidRPr="00283F16">
        <w:rPr>
          <w:rFonts w:ascii="Arial" w:hAnsi="Arial" w:cs="Arial"/>
          <w:i/>
          <w:iCs/>
          <w:lang w:val="en-AU"/>
        </w:rPr>
        <w:t>A system to convert gravitational energy directly into electrical energy</w:t>
      </w:r>
      <w:r w:rsidRPr="00283F16">
        <w:rPr>
          <w:rFonts w:ascii="Arial" w:hAnsi="Arial" w:cs="Arial"/>
          <w:lang w:val="en-AU"/>
        </w:rPr>
        <w:t>. Maranhão State University, Physics Department, São Luís, Brazil.</w:t>
      </w:r>
    </w:p>
    <w:p w14:paraId="7708F2C2" w14:textId="77777777" w:rsidR="001B7495" w:rsidRPr="00283F16" w:rsidRDefault="001B7495" w:rsidP="00283F16">
      <w:pPr>
        <w:pStyle w:val="Body"/>
        <w:spacing w:after="0"/>
        <w:rPr>
          <w:rFonts w:ascii="Arial" w:hAnsi="Arial" w:cs="Arial"/>
          <w:lang w:val="en-AU"/>
        </w:rPr>
      </w:pPr>
    </w:p>
    <w:p w14:paraId="3C33621C" w14:textId="77777777" w:rsidR="00283F16" w:rsidRDefault="00283F16" w:rsidP="00283F16">
      <w:pPr>
        <w:pStyle w:val="Body"/>
        <w:spacing w:after="0"/>
        <w:rPr>
          <w:rFonts w:ascii="Arial" w:hAnsi="Arial" w:cs="Arial"/>
        </w:rPr>
      </w:pPr>
      <w:r w:rsidRPr="00283F16">
        <w:rPr>
          <w:rFonts w:ascii="Arial" w:hAnsi="Arial" w:cs="Arial"/>
          <w:lang w:val="en-AU"/>
        </w:rPr>
        <w:t xml:space="preserve">Aquino, F. de. (2016). Quantum controller of gravity. </w:t>
      </w:r>
      <w:r w:rsidRPr="00283F16">
        <w:rPr>
          <w:rFonts w:ascii="Arial" w:hAnsi="Arial" w:cs="Arial"/>
          <w:i/>
          <w:iCs/>
          <w:lang w:val="en-AU"/>
        </w:rPr>
        <w:t>HAL Archives.</w:t>
      </w:r>
      <w:r w:rsidRPr="00283F16">
        <w:rPr>
          <w:rFonts w:ascii="Arial" w:hAnsi="Arial" w:cs="Arial"/>
          <w:lang w:val="en-AU"/>
        </w:rPr>
        <w:t xml:space="preserve"> </w:t>
      </w:r>
      <w:hyperlink r:id="rId40" w:history="1">
        <w:r w:rsidRPr="00283F16">
          <w:rPr>
            <w:rStyle w:val="Hyperlink"/>
            <w:rFonts w:ascii="Arial" w:hAnsi="Arial" w:cs="Arial"/>
            <w:lang w:val="en-AU"/>
          </w:rPr>
          <w:t>https://hal.science/hal-01320459v3</w:t>
        </w:r>
      </w:hyperlink>
    </w:p>
    <w:p w14:paraId="23974B72" w14:textId="77777777" w:rsidR="001B7495" w:rsidRPr="00283F16" w:rsidRDefault="001B7495" w:rsidP="00283F16">
      <w:pPr>
        <w:pStyle w:val="Body"/>
        <w:spacing w:after="0"/>
        <w:rPr>
          <w:rFonts w:ascii="Arial" w:hAnsi="Arial" w:cs="Arial"/>
          <w:lang w:val="en-AU"/>
        </w:rPr>
      </w:pPr>
    </w:p>
    <w:p w14:paraId="1A47A62A" w14:textId="77777777" w:rsidR="00283F16" w:rsidRDefault="00283F16" w:rsidP="00283F16">
      <w:pPr>
        <w:pStyle w:val="Body"/>
        <w:spacing w:after="0"/>
        <w:rPr>
          <w:rFonts w:ascii="Arial" w:hAnsi="Arial" w:cs="Arial"/>
        </w:rPr>
      </w:pPr>
      <w:r w:rsidRPr="00283F16">
        <w:rPr>
          <w:rFonts w:ascii="Arial" w:hAnsi="Arial" w:cs="Arial"/>
          <w:lang w:val="en-AU"/>
        </w:rPr>
        <w:t xml:space="preserve">Aquino, F. de. (2021). Decreasing of gravitational mass of the magnesium subjected to an alternating magnetic field of extremely low frequency. </w:t>
      </w:r>
      <w:r w:rsidRPr="00283F16">
        <w:rPr>
          <w:rFonts w:ascii="Arial" w:hAnsi="Arial" w:cs="Arial"/>
          <w:i/>
          <w:iCs/>
          <w:lang w:val="en-AU"/>
        </w:rPr>
        <w:t>HAL Archives.</w:t>
      </w:r>
      <w:r w:rsidRPr="00283F16">
        <w:rPr>
          <w:rFonts w:ascii="Arial" w:hAnsi="Arial" w:cs="Arial"/>
          <w:lang w:val="en-AU"/>
        </w:rPr>
        <w:t xml:space="preserve"> </w:t>
      </w:r>
      <w:hyperlink r:id="rId41" w:history="1">
        <w:r w:rsidRPr="00283F16">
          <w:rPr>
            <w:rStyle w:val="Hyperlink"/>
            <w:rFonts w:ascii="Arial" w:hAnsi="Arial" w:cs="Arial"/>
            <w:lang w:val="en-AU"/>
          </w:rPr>
          <w:t>https://hal.science/hal-03120208v2</w:t>
        </w:r>
      </w:hyperlink>
    </w:p>
    <w:p w14:paraId="4237C9B2" w14:textId="77777777" w:rsidR="001B7495" w:rsidRPr="00283F16" w:rsidRDefault="001B7495" w:rsidP="00283F16">
      <w:pPr>
        <w:pStyle w:val="Body"/>
        <w:spacing w:after="0"/>
        <w:rPr>
          <w:rFonts w:ascii="Arial" w:hAnsi="Arial" w:cs="Arial"/>
          <w:lang w:val="en-AU"/>
        </w:rPr>
      </w:pPr>
    </w:p>
    <w:p w14:paraId="49BE5281"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Bekenstein</w:t>
      </w:r>
      <w:proofErr w:type="spellEnd"/>
      <w:r w:rsidRPr="00283F16">
        <w:rPr>
          <w:rFonts w:ascii="Arial" w:hAnsi="Arial" w:cs="Arial"/>
          <w:lang w:val="en-AU"/>
        </w:rPr>
        <w:t xml:space="preserve">, J. D., Sanders, R. H. (1993). Gravitational lenses and unconventional gravity theories. </w:t>
      </w:r>
      <w:r w:rsidRPr="00283F16">
        <w:rPr>
          <w:rFonts w:ascii="Arial" w:hAnsi="Arial" w:cs="Arial"/>
          <w:i/>
          <w:iCs/>
          <w:lang w:val="en-AU"/>
        </w:rPr>
        <w:t>Astrophysical Journal, 429</w:t>
      </w:r>
      <w:r w:rsidRPr="00283F16">
        <w:rPr>
          <w:rFonts w:ascii="Arial" w:hAnsi="Arial" w:cs="Arial"/>
          <w:lang w:val="en-AU"/>
        </w:rPr>
        <w:t>, 480–490.</w:t>
      </w:r>
    </w:p>
    <w:p w14:paraId="1FCA527C" w14:textId="77777777" w:rsidR="001B7495" w:rsidRPr="00283F16" w:rsidRDefault="001B7495" w:rsidP="00283F16">
      <w:pPr>
        <w:pStyle w:val="Body"/>
        <w:spacing w:after="0"/>
        <w:rPr>
          <w:rFonts w:ascii="Arial" w:hAnsi="Arial" w:cs="Arial"/>
          <w:lang w:val="en-AU"/>
        </w:rPr>
      </w:pPr>
    </w:p>
    <w:p w14:paraId="256FF003" w14:textId="4DE2CB4B" w:rsidR="00283F16" w:rsidRDefault="00283F16" w:rsidP="00283F16">
      <w:pPr>
        <w:pStyle w:val="Body"/>
        <w:spacing w:after="0"/>
        <w:rPr>
          <w:rFonts w:ascii="Arial" w:hAnsi="Arial" w:cs="Arial"/>
        </w:rPr>
      </w:pPr>
      <w:r w:rsidRPr="00283F16">
        <w:rPr>
          <w:rFonts w:ascii="Arial" w:hAnsi="Arial" w:cs="Arial"/>
        </w:rPr>
        <w:t xml:space="preserve">Berghaus, K. V., Kable, J. A., Miranda, V. (2024). Quantifying scalar field dynamics with DESI 2024 Y1 BAO measurements. </w:t>
      </w:r>
      <w:r w:rsidRPr="00283F16">
        <w:rPr>
          <w:rFonts w:ascii="Arial" w:hAnsi="Arial" w:cs="Arial"/>
          <w:i/>
          <w:iCs/>
        </w:rPr>
        <w:t>Physical Review D, 110</w:t>
      </w:r>
      <w:r w:rsidRPr="00283F16">
        <w:rPr>
          <w:rFonts w:ascii="Arial" w:hAnsi="Arial" w:cs="Arial"/>
        </w:rPr>
        <w:t xml:space="preserve">(10), 103524. </w:t>
      </w:r>
    </w:p>
    <w:p w14:paraId="2DE8A24A" w14:textId="77777777" w:rsidR="001B7495" w:rsidRPr="00283F16" w:rsidRDefault="001B7495" w:rsidP="00283F16">
      <w:pPr>
        <w:pStyle w:val="Body"/>
        <w:spacing w:after="0"/>
        <w:rPr>
          <w:rFonts w:ascii="Arial" w:hAnsi="Arial" w:cs="Arial"/>
        </w:rPr>
      </w:pPr>
    </w:p>
    <w:p w14:paraId="5257721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Clark, J. (1998). </w:t>
      </w:r>
      <w:r w:rsidRPr="00283F16">
        <w:rPr>
          <w:rFonts w:ascii="Arial" w:hAnsi="Arial" w:cs="Arial"/>
          <w:i/>
          <w:iCs/>
          <w:lang w:val="en-AU"/>
        </w:rPr>
        <w:t>The UFO Encyclopedia: The Phenomenon from the Beginning</w:t>
      </w:r>
      <w:r w:rsidRPr="00283F16">
        <w:rPr>
          <w:rFonts w:ascii="Arial" w:hAnsi="Arial" w:cs="Arial"/>
          <w:lang w:val="en-AU"/>
        </w:rPr>
        <w:t xml:space="preserve"> (2nd ed.). Detroit, MI: </w:t>
      </w:r>
      <w:proofErr w:type="spellStart"/>
      <w:r w:rsidRPr="00283F16">
        <w:rPr>
          <w:rFonts w:ascii="Arial" w:hAnsi="Arial" w:cs="Arial"/>
          <w:lang w:val="en-AU"/>
        </w:rPr>
        <w:t>Omnigraphics</w:t>
      </w:r>
      <w:proofErr w:type="spellEnd"/>
      <w:r w:rsidRPr="00283F16">
        <w:rPr>
          <w:rFonts w:ascii="Arial" w:hAnsi="Arial" w:cs="Arial"/>
          <w:lang w:val="en-AU"/>
        </w:rPr>
        <w:t>.</w:t>
      </w:r>
    </w:p>
    <w:p w14:paraId="79B7B3F4" w14:textId="77777777" w:rsidR="001B7495" w:rsidRPr="00283F16" w:rsidRDefault="001B7495" w:rsidP="00283F16">
      <w:pPr>
        <w:pStyle w:val="Body"/>
        <w:spacing w:after="0"/>
        <w:rPr>
          <w:rFonts w:ascii="Arial" w:hAnsi="Arial" w:cs="Arial"/>
          <w:lang w:val="en-AU"/>
        </w:rPr>
      </w:pPr>
    </w:p>
    <w:p w14:paraId="7FBFBAE2"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Condon, E. U. (1969). </w:t>
      </w:r>
      <w:r w:rsidRPr="00283F16">
        <w:rPr>
          <w:rFonts w:ascii="Arial" w:hAnsi="Arial" w:cs="Arial"/>
          <w:i/>
          <w:iCs/>
          <w:lang w:val="en-AU"/>
        </w:rPr>
        <w:t>Scientific study of unidentified flying objects</w:t>
      </w:r>
      <w:r w:rsidRPr="00283F16">
        <w:rPr>
          <w:rFonts w:ascii="Arial" w:hAnsi="Arial" w:cs="Arial"/>
          <w:lang w:val="en-AU"/>
        </w:rPr>
        <w:t>. University of Colorado. New York, NY: Bantam Books.</w:t>
      </w:r>
    </w:p>
    <w:p w14:paraId="64568B6F" w14:textId="77777777" w:rsidR="001B7495" w:rsidRPr="00283F16" w:rsidRDefault="001B7495" w:rsidP="00283F16">
      <w:pPr>
        <w:pStyle w:val="Body"/>
        <w:spacing w:after="0"/>
        <w:rPr>
          <w:rFonts w:ascii="Arial" w:hAnsi="Arial" w:cs="Arial"/>
          <w:lang w:val="en-AU"/>
        </w:rPr>
      </w:pPr>
    </w:p>
    <w:p w14:paraId="79715F9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Tizfahm, A., Fakhry, S., </w:t>
      </w:r>
      <w:proofErr w:type="spellStart"/>
      <w:r w:rsidRPr="00283F16">
        <w:rPr>
          <w:rFonts w:ascii="Arial" w:hAnsi="Arial" w:cs="Arial"/>
          <w:lang w:val="en-AU"/>
        </w:rPr>
        <w:t>Firouzjaee</w:t>
      </w:r>
      <w:proofErr w:type="spellEnd"/>
      <w:r w:rsidRPr="00283F16">
        <w:rPr>
          <w:rFonts w:ascii="Arial" w:hAnsi="Arial" w:cs="Arial"/>
          <w:lang w:val="en-AU"/>
        </w:rPr>
        <w:t xml:space="preserve">, J.T., </w:t>
      </w:r>
      <w:proofErr w:type="spellStart"/>
      <w:r w:rsidRPr="00283F16">
        <w:rPr>
          <w:rFonts w:ascii="Arial" w:hAnsi="Arial" w:cs="Arial"/>
          <w:lang w:val="en-AU"/>
        </w:rPr>
        <w:t>Popolo</w:t>
      </w:r>
      <w:proofErr w:type="spellEnd"/>
      <w:r w:rsidRPr="00283F16">
        <w:rPr>
          <w:rFonts w:ascii="Arial" w:hAnsi="Arial" w:cs="Arial"/>
          <w:lang w:val="en-AU"/>
        </w:rPr>
        <w:t xml:space="preserve">, A.D. 2025. Toward gravitational lensing in modified theories of gravity. Physics of the Dark Universe. 47, 101795. </w:t>
      </w:r>
    </w:p>
    <w:p w14:paraId="0EE8C0E3" w14:textId="77777777" w:rsidR="001B7495" w:rsidRPr="00283F16" w:rsidRDefault="001B7495" w:rsidP="00283F16">
      <w:pPr>
        <w:pStyle w:val="Body"/>
        <w:spacing w:after="0"/>
        <w:rPr>
          <w:rFonts w:ascii="Arial" w:hAnsi="Arial" w:cs="Arial"/>
          <w:lang w:val="en-AU"/>
        </w:rPr>
      </w:pPr>
    </w:p>
    <w:p w14:paraId="0D6D2EDA" w14:textId="77777777" w:rsidR="00283F16" w:rsidRDefault="00283F16" w:rsidP="00283F16">
      <w:pPr>
        <w:pStyle w:val="Body"/>
        <w:spacing w:after="0"/>
        <w:rPr>
          <w:rFonts w:ascii="Arial" w:hAnsi="Arial" w:cs="Arial"/>
        </w:rPr>
      </w:pPr>
      <w:r w:rsidRPr="00283F16">
        <w:rPr>
          <w:rFonts w:ascii="Arial" w:hAnsi="Arial" w:cs="Arial"/>
        </w:rPr>
        <w:t xml:space="preserve">Dolan, R. M. (2002). </w:t>
      </w:r>
      <w:r w:rsidRPr="00283F16">
        <w:rPr>
          <w:rFonts w:ascii="Arial" w:hAnsi="Arial" w:cs="Arial"/>
          <w:i/>
          <w:iCs/>
        </w:rPr>
        <w:t>UFOs and the national security state: Chronology of a cover-up 1941–1973</w:t>
      </w:r>
      <w:r w:rsidRPr="00283F16">
        <w:rPr>
          <w:rFonts w:ascii="Arial" w:hAnsi="Arial" w:cs="Arial"/>
        </w:rPr>
        <w:t>. Hampton Roads Publishing.</w:t>
      </w:r>
    </w:p>
    <w:p w14:paraId="55C3B7E7" w14:textId="77777777" w:rsidR="001B7495" w:rsidRPr="00283F16" w:rsidRDefault="001B7495" w:rsidP="00283F16">
      <w:pPr>
        <w:pStyle w:val="Body"/>
        <w:spacing w:after="0"/>
        <w:rPr>
          <w:rFonts w:ascii="Arial" w:hAnsi="Arial" w:cs="Arial"/>
          <w:lang w:val="en-AU"/>
        </w:rPr>
      </w:pPr>
    </w:p>
    <w:p w14:paraId="30AB1293" w14:textId="77777777" w:rsidR="00283F16" w:rsidRDefault="00283F16" w:rsidP="00283F16">
      <w:pPr>
        <w:pStyle w:val="Body"/>
        <w:spacing w:after="0"/>
        <w:rPr>
          <w:rFonts w:ascii="Arial" w:hAnsi="Arial" w:cs="Arial"/>
        </w:rPr>
      </w:pPr>
      <w:r w:rsidRPr="00283F16">
        <w:rPr>
          <w:rFonts w:ascii="Arial" w:hAnsi="Arial" w:cs="Arial"/>
        </w:rPr>
        <w:t xml:space="preserve">Dolan, R. M. (2009). </w:t>
      </w:r>
      <w:r w:rsidRPr="00283F16">
        <w:rPr>
          <w:rFonts w:ascii="Arial" w:hAnsi="Arial" w:cs="Arial"/>
          <w:i/>
          <w:iCs/>
        </w:rPr>
        <w:t>UFOs and the national security state: The cover-up exposed 1973–1991</w:t>
      </w:r>
      <w:r w:rsidRPr="00283F16">
        <w:rPr>
          <w:rFonts w:ascii="Arial" w:hAnsi="Arial" w:cs="Arial"/>
        </w:rPr>
        <w:t>. Keyhole Publishing.</w:t>
      </w:r>
    </w:p>
    <w:p w14:paraId="297A773F" w14:textId="77777777" w:rsidR="001B7495" w:rsidRPr="00283F16" w:rsidRDefault="001B7495" w:rsidP="00283F16">
      <w:pPr>
        <w:pStyle w:val="Body"/>
        <w:spacing w:after="0"/>
        <w:rPr>
          <w:rFonts w:ascii="Arial" w:hAnsi="Arial" w:cs="Arial"/>
          <w:lang w:val="en-AU"/>
        </w:rPr>
      </w:pPr>
    </w:p>
    <w:p w14:paraId="2DF45FC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Editorial. (2025). Unidentified aerospace-undersea phenomena: Status and outlook. </w:t>
      </w:r>
      <w:r w:rsidRPr="00283F16">
        <w:rPr>
          <w:rFonts w:ascii="Arial" w:hAnsi="Arial" w:cs="Arial"/>
          <w:i/>
          <w:iCs/>
          <w:lang w:val="en-AU"/>
        </w:rPr>
        <w:t xml:space="preserve">Progress in Aerospace Sciences, </w:t>
      </w:r>
      <w:r w:rsidRPr="00283F16">
        <w:rPr>
          <w:rFonts w:ascii="Arial" w:hAnsi="Arial" w:cs="Arial"/>
          <w:lang w:val="en-AU"/>
        </w:rPr>
        <w:t xml:space="preserve">156. </w:t>
      </w:r>
    </w:p>
    <w:p w14:paraId="73C95475" w14:textId="77777777" w:rsidR="001B7495" w:rsidRPr="00283F16" w:rsidRDefault="001B7495" w:rsidP="00283F16">
      <w:pPr>
        <w:pStyle w:val="Body"/>
        <w:spacing w:after="0"/>
        <w:rPr>
          <w:rFonts w:ascii="Arial" w:hAnsi="Arial" w:cs="Arial"/>
          <w:lang w:val="en-AU"/>
        </w:rPr>
      </w:pPr>
    </w:p>
    <w:p w14:paraId="130B2EFC"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Fedosin</w:t>
      </w:r>
      <w:proofErr w:type="spellEnd"/>
      <w:r w:rsidRPr="00283F16">
        <w:rPr>
          <w:rFonts w:ascii="Arial" w:hAnsi="Arial" w:cs="Arial"/>
          <w:lang w:val="en-AU"/>
        </w:rPr>
        <w:t xml:space="preserve">, S. G., Kim, A. S. (2001). The physical theory of ball lightning. </w:t>
      </w:r>
      <w:r w:rsidRPr="00283F16">
        <w:rPr>
          <w:rFonts w:ascii="Arial" w:hAnsi="Arial" w:cs="Arial"/>
          <w:i/>
          <w:iCs/>
          <w:lang w:val="en-AU"/>
        </w:rPr>
        <w:t>Applied Physics (Russian Journal), 1</w:t>
      </w:r>
      <w:r w:rsidRPr="00283F16">
        <w:rPr>
          <w:rFonts w:ascii="Arial" w:hAnsi="Arial" w:cs="Arial"/>
          <w:lang w:val="en-AU"/>
        </w:rPr>
        <w:t>, 69–87.</w:t>
      </w:r>
    </w:p>
    <w:p w14:paraId="5F472A58" w14:textId="77777777" w:rsidR="001B7495" w:rsidRPr="00283F16" w:rsidRDefault="001B7495" w:rsidP="00283F16">
      <w:pPr>
        <w:pStyle w:val="Body"/>
        <w:spacing w:after="0"/>
        <w:rPr>
          <w:rFonts w:ascii="Arial" w:hAnsi="Arial" w:cs="Arial"/>
          <w:lang w:val="en-AU"/>
        </w:rPr>
      </w:pPr>
    </w:p>
    <w:p w14:paraId="2F163D49" w14:textId="77777777" w:rsidR="00283F16" w:rsidRDefault="00283F16" w:rsidP="00283F16">
      <w:pPr>
        <w:pStyle w:val="Body"/>
        <w:spacing w:after="0"/>
        <w:rPr>
          <w:rFonts w:ascii="Arial" w:hAnsi="Arial" w:cs="Arial"/>
        </w:rPr>
      </w:pPr>
      <w:r w:rsidRPr="00283F16">
        <w:rPr>
          <w:rFonts w:ascii="Arial" w:hAnsi="Arial" w:cs="Arial"/>
        </w:rPr>
        <w:t xml:space="preserve">Frittelli, S., Kling, T. P., &amp; Newman, E. T. (2000). Image </w:t>
      </w:r>
      <w:proofErr w:type="spellStart"/>
      <w:r w:rsidRPr="00283F16">
        <w:rPr>
          <w:rFonts w:ascii="Arial" w:hAnsi="Arial" w:cs="Arial"/>
        </w:rPr>
        <w:t>dmay</w:t>
      </w:r>
      <w:proofErr w:type="spellEnd"/>
      <w:r w:rsidRPr="00283F16">
        <w:rPr>
          <w:rFonts w:ascii="Arial" w:hAnsi="Arial" w:cs="Arial"/>
        </w:rPr>
        <w:t xml:space="preserve"> </w:t>
      </w:r>
      <w:proofErr w:type="spellStart"/>
      <w:r w:rsidRPr="00283F16">
        <w:rPr>
          <w:rFonts w:ascii="Arial" w:hAnsi="Arial" w:cs="Arial"/>
        </w:rPr>
        <w:t>betortion</w:t>
      </w:r>
      <w:proofErr w:type="spellEnd"/>
      <w:r w:rsidRPr="00283F16">
        <w:rPr>
          <w:rFonts w:ascii="Arial" w:hAnsi="Arial" w:cs="Arial"/>
        </w:rPr>
        <w:t xml:space="preserve"> from optical scalars in lensing. Physical Review D, 63(2), 023006, </w:t>
      </w:r>
    </w:p>
    <w:p w14:paraId="327C20BD" w14:textId="77777777" w:rsidR="001B7495" w:rsidRPr="00283F16" w:rsidRDefault="001B7495" w:rsidP="00283F16">
      <w:pPr>
        <w:pStyle w:val="Body"/>
        <w:spacing w:after="0"/>
        <w:rPr>
          <w:rFonts w:ascii="Arial" w:hAnsi="Arial" w:cs="Arial"/>
          <w:lang w:val="en-AU"/>
        </w:rPr>
      </w:pPr>
    </w:p>
    <w:p w14:paraId="0339D4CB" w14:textId="77777777" w:rsidR="00283F16" w:rsidRDefault="00283F16" w:rsidP="00283F16">
      <w:pPr>
        <w:pStyle w:val="Body"/>
        <w:spacing w:after="0"/>
        <w:rPr>
          <w:rFonts w:ascii="Arial" w:hAnsi="Arial" w:cs="Arial"/>
        </w:rPr>
      </w:pPr>
      <w:r w:rsidRPr="00283F16">
        <w:rPr>
          <w:rFonts w:ascii="Arial" w:hAnsi="Arial" w:cs="Arial"/>
          <w:lang w:val="en-AU"/>
        </w:rPr>
        <w:t>Gao, D., Zhou, L., Wang, J., Zhan, M. (2024). Constraining the spin-gravity coupling effects to the 10</w:t>
      </w:r>
      <w:r w:rsidRPr="00283F16">
        <w:rPr>
          <w:rFonts w:ascii="Arial" w:hAnsi="Arial" w:cs="Arial"/>
          <w:vertAlign w:val="superscript"/>
          <w:lang w:val="en-AU"/>
        </w:rPr>
        <w:t>−10</w:t>
      </w:r>
      <w:r w:rsidRPr="00283F16">
        <w:rPr>
          <w:rFonts w:ascii="Arial" w:hAnsi="Arial" w:cs="Arial"/>
          <w:lang w:val="en-AU"/>
        </w:rPr>
        <w:t xml:space="preserve"> level with dual-species atom interferometers. </w:t>
      </w:r>
      <w:r w:rsidRPr="00283F16">
        <w:rPr>
          <w:rFonts w:ascii="Arial" w:hAnsi="Arial" w:cs="Arial"/>
          <w:i/>
          <w:iCs/>
          <w:lang w:val="en-AU"/>
        </w:rPr>
        <w:t>Physical Review A, 110</w:t>
      </w:r>
      <w:r w:rsidRPr="00283F16">
        <w:rPr>
          <w:rFonts w:ascii="Arial" w:hAnsi="Arial" w:cs="Arial"/>
          <w:lang w:val="en-AU"/>
        </w:rPr>
        <w:t xml:space="preserve">, 043322. </w:t>
      </w:r>
      <w:hyperlink r:id="rId42" w:history="1">
        <w:r w:rsidRPr="00283F16">
          <w:rPr>
            <w:rStyle w:val="Hyperlink"/>
            <w:rFonts w:ascii="Arial" w:hAnsi="Arial" w:cs="Arial"/>
            <w:lang w:val="en-AU"/>
          </w:rPr>
          <w:t>https://doi.org/10.1103/PhysRevA.110.043322</w:t>
        </w:r>
      </w:hyperlink>
    </w:p>
    <w:p w14:paraId="6A5B7D3F" w14:textId="77777777" w:rsidR="001B7495" w:rsidRPr="00283F16" w:rsidRDefault="001B7495" w:rsidP="00283F16">
      <w:pPr>
        <w:pStyle w:val="Body"/>
        <w:spacing w:after="0"/>
        <w:rPr>
          <w:rFonts w:ascii="Arial" w:hAnsi="Arial" w:cs="Arial"/>
          <w:lang w:val="en-AU"/>
        </w:rPr>
      </w:pPr>
    </w:p>
    <w:p w14:paraId="5CA516DB"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Gobbi, J. C. (2021). Carr technology. </w:t>
      </w:r>
      <w:r w:rsidRPr="00283F16">
        <w:rPr>
          <w:rFonts w:ascii="Arial" w:hAnsi="Arial" w:cs="Arial"/>
          <w:i/>
          <w:iCs/>
          <w:lang w:val="en-AU"/>
        </w:rPr>
        <w:t>The General Science Journal, 1</w:t>
      </w:r>
      <w:r w:rsidRPr="00283F16">
        <w:rPr>
          <w:rFonts w:ascii="Arial" w:hAnsi="Arial" w:cs="Arial"/>
          <w:lang w:val="en-AU"/>
        </w:rPr>
        <w:t>, 1–30.</w:t>
      </w:r>
    </w:p>
    <w:p w14:paraId="43337121" w14:textId="77777777" w:rsidR="001B7495" w:rsidRPr="00283F16" w:rsidRDefault="001B7495" w:rsidP="00283F16">
      <w:pPr>
        <w:pStyle w:val="Body"/>
        <w:spacing w:after="0"/>
        <w:rPr>
          <w:rFonts w:ascii="Arial" w:hAnsi="Arial" w:cs="Arial"/>
          <w:lang w:val="en-AU"/>
        </w:rPr>
      </w:pPr>
    </w:p>
    <w:p w14:paraId="446AC8B8" w14:textId="77777777" w:rsidR="00283F16" w:rsidRDefault="00283F16" w:rsidP="00283F16">
      <w:pPr>
        <w:pStyle w:val="Body"/>
        <w:spacing w:after="0"/>
        <w:rPr>
          <w:rFonts w:ascii="Arial" w:hAnsi="Arial" w:cs="Arial"/>
        </w:rPr>
      </w:pPr>
      <w:r w:rsidRPr="00283F16">
        <w:rPr>
          <w:rFonts w:ascii="Arial" w:hAnsi="Arial" w:cs="Arial"/>
        </w:rPr>
        <w:t xml:space="preserve">Greenleaf, A., </w:t>
      </w:r>
      <w:proofErr w:type="spellStart"/>
      <w:r w:rsidRPr="00283F16">
        <w:rPr>
          <w:rFonts w:ascii="Arial" w:hAnsi="Arial" w:cs="Arial"/>
        </w:rPr>
        <w:t>Kurylev</w:t>
      </w:r>
      <w:proofErr w:type="spellEnd"/>
      <w:r w:rsidRPr="00283F16">
        <w:rPr>
          <w:rFonts w:ascii="Arial" w:hAnsi="Arial" w:cs="Arial"/>
        </w:rPr>
        <w:t xml:space="preserve">, Y., </w:t>
      </w:r>
      <w:proofErr w:type="spellStart"/>
      <w:r w:rsidRPr="00283F16">
        <w:rPr>
          <w:rFonts w:ascii="Arial" w:hAnsi="Arial" w:cs="Arial"/>
        </w:rPr>
        <w:t>Lassas</w:t>
      </w:r>
      <w:proofErr w:type="spellEnd"/>
      <w:r w:rsidRPr="00283F16">
        <w:rPr>
          <w:rFonts w:ascii="Arial" w:hAnsi="Arial" w:cs="Arial"/>
        </w:rPr>
        <w:t xml:space="preserve">, M., Uhlmann, G. (2007). Full-wave invisibility of active devices at all frequencies. </w:t>
      </w:r>
      <w:r w:rsidRPr="00283F16">
        <w:rPr>
          <w:rFonts w:ascii="Arial" w:hAnsi="Arial" w:cs="Arial"/>
          <w:i/>
          <w:iCs/>
        </w:rPr>
        <w:t>Communications in Mathematical Physics, 275</w:t>
      </w:r>
      <w:r w:rsidRPr="00283F16">
        <w:rPr>
          <w:rFonts w:ascii="Arial" w:hAnsi="Arial" w:cs="Arial"/>
        </w:rPr>
        <w:t xml:space="preserve">(3), 749–789. </w:t>
      </w:r>
    </w:p>
    <w:p w14:paraId="7795EED8" w14:textId="77777777" w:rsidR="001B7495" w:rsidRPr="00283F16" w:rsidRDefault="001B7495" w:rsidP="00283F16">
      <w:pPr>
        <w:pStyle w:val="Body"/>
        <w:spacing w:after="0"/>
        <w:rPr>
          <w:rFonts w:ascii="Arial" w:hAnsi="Arial" w:cs="Arial"/>
          <w:lang w:val="en-AU"/>
        </w:rPr>
      </w:pPr>
    </w:p>
    <w:p w14:paraId="4FA320AC" w14:textId="77777777" w:rsidR="00283F16" w:rsidRDefault="00283F16" w:rsidP="00283F16">
      <w:pPr>
        <w:pStyle w:val="Body"/>
        <w:spacing w:after="0"/>
        <w:rPr>
          <w:rFonts w:ascii="Arial" w:hAnsi="Arial" w:cs="Arial"/>
        </w:rPr>
      </w:pPr>
      <w:r w:rsidRPr="00283F16">
        <w:rPr>
          <w:rFonts w:ascii="Arial" w:hAnsi="Arial" w:cs="Arial"/>
        </w:rPr>
        <w:t xml:space="preserve">Gross, D. M. (2013). Unidentified aerial phenomena: A new hypothesis toward their explanation. </w:t>
      </w:r>
      <w:r w:rsidRPr="00283F16">
        <w:rPr>
          <w:rFonts w:ascii="Arial" w:hAnsi="Arial" w:cs="Arial"/>
          <w:i/>
          <w:iCs/>
        </w:rPr>
        <w:t>Journal of Scientific Exploration, 27</w:t>
      </w:r>
      <w:r w:rsidRPr="00283F16">
        <w:rPr>
          <w:rFonts w:ascii="Arial" w:hAnsi="Arial" w:cs="Arial"/>
        </w:rPr>
        <w:t xml:space="preserve">(3), 455–482, </w:t>
      </w:r>
    </w:p>
    <w:p w14:paraId="3D30A286" w14:textId="77777777" w:rsidR="001B7495" w:rsidRPr="00283F16" w:rsidRDefault="001B7495" w:rsidP="00283F16">
      <w:pPr>
        <w:pStyle w:val="Body"/>
        <w:spacing w:after="0"/>
        <w:rPr>
          <w:rFonts w:ascii="Arial" w:hAnsi="Arial" w:cs="Arial"/>
          <w:lang w:val="en-AU"/>
        </w:rPr>
      </w:pPr>
    </w:p>
    <w:p w14:paraId="40293A8E" w14:textId="77777777" w:rsidR="00283F16" w:rsidRDefault="00283F16" w:rsidP="00283F16">
      <w:pPr>
        <w:pStyle w:val="Body"/>
        <w:spacing w:after="0"/>
        <w:rPr>
          <w:rFonts w:ascii="Arial" w:hAnsi="Arial" w:cs="Arial"/>
        </w:rPr>
      </w:pPr>
      <w:r w:rsidRPr="00283F16">
        <w:rPr>
          <w:rFonts w:ascii="Arial" w:hAnsi="Arial" w:cs="Arial"/>
        </w:rPr>
        <w:t xml:space="preserve">Gupta, N., Beckwith, C. (2025). Cloaking properties of metamaterials. In </w:t>
      </w:r>
      <w:r w:rsidRPr="00283F16">
        <w:rPr>
          <w:rFonts w:ascii="Arial" w:hAnsi="Arial" w:cs="Arial"/>
          <w:i/>
          <w:iCs/>
        </w:rPr>
        <w:t xml:space="preserve">Architected Metamaterials </w:t>
      </w:r>
      <w:r w:rsidRPr="00283F16">
        <w:rPr>
          <w:rFonts w:ascii="Arial" w:hAnsi="Arial" w:cs="Arial"/>
        </w:rPr>
        <w:t xml:space="preserve">(pp. 133–156). Springer. </w:t>
      </w:r>
      <w:hyperlink r:id="rId43" w:history="1">
        <w:r w:rsidRPr="00283F16">
          <w:rPr>
            <w:rStyle w:val="Hyperlink"/>
            <w:rFonts w:ascii="Arial" w:hAnsi="Arial" w:cs="Arial"/>
          </w:rPr>
          <w:t>https://doi.org/10.1007/978-3-031-98330-6_4</w:t>
        </w:r>
      </w:hyperlink>
    </w:p>
    <w:p w14:paraId="4EEF9C10" w14:textId="77777777" w:rsidR="001B7495" w:rsidRPr="00283F16" w:rsidRDefault="001B7495" w:rsidP="00283F16">
      <w:pPr>
        <w:pStyle w:val="Body"/>
        <w:spacing w:after="0"/>
        <w:rPr>
          <w:rFonts w:ascii="Arial" w:hAnsi="Arial" w:cs="Arial"/>
        </w:rPr>
      </w:pPr>
    </w:p>
    <w:p w14:paraId="08B82BC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Hall, B., Covington, D. 2025. Unified scalar resonance model: Exploring universal constants and scaling laws. </w:t>
      </w:r>
      <w:r w:rsidRPr="00283F16">
        <w:rPr>
          <w:rFonts w:ascii="Arial" w:hAnsi="Arial" w:cs="Arial"/>
          <w:i/>
          <w:iCs/>
          <w:lang w:val="en-AU"/>
        </w:rPr>
        <w:t>Journal of Scientific Research and Reports. 31</w:t>
      </w:r>
      <w:r w:rsidRPr="00283F16">
        <w:rPr>
          <w:rFonts w:ascii="Arial" w:hAnsi="Arial" w:cs="Arial"/>
          <w:lang w:val="en-AU"/>
        </w:rPr>
        <w:t>(1), 635-649.</w:t>
      </w:r>
    </w:p>
    <w:p w14:paraId="5AA89E66" w14:textId="77777777" w:rsidR="001B7495" w:rsidRPr="00283F16" w:rsidRDefault="001B7495" w:rsidP="00283F16">
      <w:pPr>
        <w:pStyle w:val="Body"/>
        <w:spacing w:after="0"/>
        <w:rPr>
          <w:rFonts w:ascii="Arial" w:hAnsi="Arial" w:cs="Arial"/>
          <w:lang w:val="en-AU"/>
        </w:rPr>
      </w:pPr>
    </w:p>
    <w:p w14:paraId="1C747B7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Haines, R. F. (1999). </w:t>
      </w:r>
      <w:r w:rsidRPr="00283F16">
        <w:rPr>
          <w:rFonts w:ascii="Arial" w:hAnsi="Arial" w:cs="Arial"/>
          <w:i/>
          <w:iCs/>
          <w:lang w:val="en-AU"/>
        </w:rPr>
        <w:t>CE-5: Close Encounters of the Fifth Kind</w:t>
      </w:r>
      <w:r w:rsidRPr="00283F16">
        <w:rPr>
          <w:rFonts w:ascii="Arial" w:hAnsi="Arial" w:cs="Arial"/>
          <w:lang w:val="en-AU"/>
        </w:rPr>
        <w:t>. Naperville, IL: Sourcebooks.</w:t>
      </w:r>
    </w:p>
    <w:p w14:paraId="143B630A" w14:textId="77777777" w:rsidR="001B7495" w:rsidRPr="00283F16" w:rsidRDefault="001B7495" w:rsidP="00283F16">
      <w:pPr>
        <w:pStyle w:val="Body"/>
        <w:spacing w:after="0"/>
        <w:rPr>
          <w:rFonts w:ascii="Arial" w:hAnsi="Arial" w:cs="Arial"/>
          <w:lang w:val="en-AU"/>
        </w:rPr>
      </w:pPr>
    </w:p>
    <w:p w14:paraId="3BB1359C" w14:textId="77777777" w:rsidR="00283F16" w:rsidRDefault="00283F16" w:rsidP="00283F16">
      <w:pPr>
        <w:pStyle w:val="Body"/>
        <w:spacing w:after="0"/>
        <w:rPr>
          <w:rFonts w:ascii="Arial" w:hAnsi="Arial" w:cs="Arial"/>
        </w:rPr>
      </w:pPr>
      <w:r w:rsidRPr="00283F16">
        <w:rPr>
          <w:rFonts w:ascii="Arial" w:hAnsi="Arial" w:cs="Arial"/>
        </w:rPr>
        <w:t xml:space="preserve">Haisch, B., Rueda, A., Puthoff, H. E. (1994). Inertia as a zero-point field Lorentz force. </w:t>
      </w:r>
      <w:r w:rsidRPr="00283F16">
        <w:rPr>
          <w:rFonts w:ascii="Arial" w:hAnsi="Arial" w:cs="Arial"/>
          <w:i/>
          <w:iCs/>
        </w:rPr>
        <w:t>Physical Review A</w:t>
      </w:r>
      <w:r w:rsidRPr="00283F16">
        <w:rPr>
          <w:rFonts w:ascii="Arial" w:hAnsi="Arial" w:cs="Arial"/>
        </w:rPr>
        <w:t xml:space="preserve">, 49(2), 678–694. </w:t>
      </w:r>
    </w:p>
    <w:p w14:paraId="2BDE0F7D" w14:textId="77777777" w:rsidR="001B7495" w:rsidRPr="00283F16" w:rsidRDefault="001B7495" w:rsidP="00283F16">
      <w:pPr>
        <w:pStyle w:val="Body"/>
        <w:spacing w:after="0"/>
        <w:rPr>
          <w:rFonts w:ascii="Arial" w:hAnsi="Arial" w:cs="Arial"/>
          <w:lang w:val="en-AU"/>
        </w:rPr>
      </w:pPr>
    </w:p>
    <w:p w14:paraId="1862700D" w14:textId="77777777" w:rsidR="00283F16" w:rsidRDefault="00283F16" w:rsidP="00283F16">
      <w:pPr>
        <w:pStyle w:val="Body"/>
        <w:spacing w:after="0"/>
        <w:rPr>
          <w:rFonts w:ascii="Arial" w:hAnsi="Arial" w:cs="Arial"/>
        </w:rPr>
      </w:pPr>
      <w:r w:rsidRPr="00283F16">
        <w:rPr>
          <w:rFonts w:ascii="Arial" w:hAnsi="Arial" w:cs="Arial"/>
        </w:rPr>
        <w:t xml:space="preserve">Hanif, F., Das, D., Halliwell, J., Home, D., Mazumdar, A., Ulbricht, H., Bose, S. (2024). Testing whether gravity acts as a quantum entity when measured. </w:t>
      </w:r>
      <w:r w:rsidRPr="00283F16">
        <w:rPr>
          <w:rFonts w:ascii="Arial" w:hAnsi="Arial" w:cs="Arial"/>
          <w:i/>
          <w:iCs/>
        </w:rPr>
        <w:t>Physical Review Letters, 133</w:t>
      </w:r>
      <w:r w:rsidRPr="00283F16">
        <w:rPr>
          <w:rFonts w:ascii="Arial" w:hAnsi="Arial" w:cs="Arial"/>
        </w:rPr>
        <w:t xml:space="preserve">(18), 180201. </w:t>
      </w:r>
      <w:hyperlink r:id="rId44" w:tgtFrame="_new" w:history="1">
        <w:r w:rsidRPr="00283F16">
          <w:rPr>
            <w:rStyle w:val="Hyperlink"/>
            <w:rFonts w:ascii="Arial" w:hAnsi="Arial" w:cs="Arial"/>
          </w:rPr>
          <w:t>https://doi.org/10.1103/PhysRevLett.133.180201</w:t>
        </w:r>
      </w:hyperlink>
    </w:p>
    <w:p w14:paraId="5CF3D17F" w14:textId="77777777" w:rsidR="001B7495" w:rsidRPr="00283F16" w:rsidRDefault="001B7495" w:rsidP="00283F16">
      <w:pPr>
        <w:pStyle w:val="Body"/>
        <w:spacing w:after="0"/>
        <w:rPr>
          <w:rFonts w:ascii="Arial" w:hAnsi="Arial" w:cs="Arial"/>
        </w:rPr>
      </w:pPr>
    </w:p>
    <w:p w14:paraId="1371560D"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Hastings, R. (2017). </w:t>
      </w:r>
      <w:r w:rsidRPr="00283F16">
        <w:rPr>
          <w:rFonts w:ascii="Arial" w:hAnsi="Arial" w:cs="Arial"/>
          <w:i/>
          <w:iCs/>
          <w:lang w:val="en-AU"/>
        </w:rPr>
        <w:t>UFOs and nukes: Extraordinary encounters at nuclear weapons sites</w:t>
      </w:r>
      <w:r w:rsidRPr="00283F16">
        <w:rPr>
          <w:rFonts w:ascii="Arial" w:hAnsi="Arial" w:cs="Arial"/>
          <w:lang w:val="en-AU"/>
        </w:rPr>
        <w:t xml:space="preserve"> (2nd ed.). CreateSpace.</w:t>
      </w:r>
    </w:p>
    <w:p w14:paraId="0BAC87FF" w14:textId="77777777" w:rsidR="001B7495" w:rsidRPr="00283F16" w:rsidRDefault="001B7495" w:rsidP="00283F16">
      <w:pPr>
        <w:pStyle w:val="Body"/>
        <w:spacing w:after="0"/>
        <w:rPr>
          <w:rFonts w:ascii="Arial" w:hAnsi="Arial" w:cs="Arial"/>
          <w:lang w:val="en-AU"/>
        </w:rPr>
      </w:pPr>
    </w:p>
    <w:p w14:paraId="7DFEF474" w14:textId="77777777" w:rsidR="00283F16" w:rsidRDefault="00283F16" w:rsidP="00283F16">
      <w:pPr>
        <w:pStyle w:val="Body"/>
        <w:spacing w:after="0"/>
        <w:rPr>
          <w:rFonts w:ascii="Arial" w:hAnsi="Arial" w:cs="Arial"/>
        </w:rPr>
      </w:pPr>
      <w:r w:rsidRPr="00283F16">
        <w:rPr>
          <w:rFonts w:ascii="Arial" w:hAnsi="Arial" w:cs="Arial"/>
          <w:lang w:val="en-AU"/>
        </w:rPr>
        <w:t xml:space="preserve">Hehl, F. W. (2007). An assessment of Evans’ unified field theory I. </w:t>
      </w:r>
      <w:r w:rsidRPr="00283F16">
        <w:rPr>
          <w:rFonts w:ascii="Arial" w:hAnsi="Arial" w:cs="Arial"/>
          <w:i/>
          <w:iCs/>
          <w:lang w:val="en-AU"/>
        </w:rPr>
        <w:t>Foundations of Physics, 37</w:t>
      </w:r>
      <w:r w:rsidRPr="00283F16">
        <w:rPr>
          <w:rFonts w:ascii="Arial" w:hAnsi="Arial" w:cs="Arial"/>
          <w:lang w:val="en-AU"/>
        </w:rPr>
        <w:t xml:space="preserve">(12), 1767–1796. </w:t>
      </w:r>
      <w:hyperlink r:id="rId45" w:history="1">
        <w:r w:rsidRPr="00283F16">
          <w:rPr>
            <w:rStyle w:val="Hyperlink"/>
            <w:rFonts w:ascii="Arial" w:hAnsi="Arial" w:cs="Arial"/>
            <w:lang w:val="en-AU"/>
          </w:rPr>
          <w:t>https://doi.org/10.1007/s10701-007-9190-0</w:t>
        </w:r>
      </w:hyperlink>
    </w:p>
    <w:p w14:paraId="11D02C5F" w14:textId="77777777" w:rsidR="001B7495" w:rsidRPr="00283F16" w:rsidRDefault="001B7495" w:rsidP="00283F16">
      <w:pPr>
        <w:pStyle w:val="Body"/>
        <w:spacing w:after="0"/>
        <w:rPr>
          <w:rFonts w:ascii="Arial" w:hAnsi="Arial" w:cs="Arial"/>
          <w:lang w:val="en-AU"/>
        </w:rPr>
      </w:pPr>
    </w:p>
    <w:p w14:paraId="38F50E23" w14:textId="77777777" w:rsidR="00283F16" w:rsidRDefault="00283F16" w:rsidP="00283F16">
      <w:pPr>
        <w:pStyle w:val="Body"/>
        <w:spacing w:after="0"/>
        <w:rPr>
          <w:rFonts w:ascii="Arial" w:hAnsi="Arial" w:cs="Arial"/>
        </w:rPr>
      </w:pPr>
      <w:r w:rsidRPr="00283F16">
        <w:rPr>
          <w:rFonts w:ascii="Arial" w:hAnsi="Arial" w:cs="Arial"/>
        </w:rPr>
        <w:t xml:space="preserve">Hehl, F. W., Obukhov, Y. N. (2020). Conservation of energy–momentum of matter as the basis for the gauge theory of gravitation. In G. Giardino &amp; R. Ruffini (Eds.), </w:t>
      </w:r>
      <w:r w:rsidRPr="00283F16">
        <w:rPr>
          <w:rFonts w:ascii="Arial" w:hAnsi="Arial" w:cs="Arial"/>
          <w:i/>
          <w:iCs/>
        </w:rPr>
        <w:t>One Hundred Years of Gauge Theory</w:t>
      </w:r>
      <w:r w:rsidRPr="00283F16">
        <w:rPr>
          <w:rFonts w:ascii="Arial" w:hAnsi="Arial" w:cs="Arial"/>
        </w:rPr>
        <w:t xml:space="preserve"> (Fundamental Theories of Physics, Vol. 199, pp. 217–252). Springer. </w:t>
      </w:r>
      <w:hyperlink r:id="rId46" w:history="1">
        <w:r w:rsidRPr="00283F16">
          <w:rPr>
            <w:rStyle w:val="Hyperlink"/>
            <w:rFonts w:ascii="Arial" w:hAnsi="Arial" w:cs="Arial"/>
          </w:rPr>
          <w:t>https://doi.org/10.1007/978-3-030-51197-5_10</w:t>
        </w:r>
      </w:hyperlink>
    </w:p>
    <w:p w14:paraId="44B388FE" w14:textId="77777777" w:rsidR="001B7495" w:rsidRPr="00283F16" w:rsidRDefault="001B7495" w:rsidP="00283F16">
      <w:pPr>
        <w:pStyle w:val="Body"/>
        <w:spacing w:after="0"/>
        <w:rPr>
          <w:rFonts w:ascii="Arial" w:hAnsi="Arial" w:cs="Arial"/>
        </w:rPr>
      </w:pPr>
    </w:p>
    <w:p w14:paraId="2C2C2244"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Hendry, A. (1979). </w:t>
      </w:r>
      <w:r w:rsidRPr="00283F16">
        <w:rPr>
          <w:rFonts w:ascii="Arial" w:hAnsi="Arial" w:cs="Arial"/>
          <w:i/>
          <w:iCs/>
          <w:lang w:val="en-AU"/>
        </w:rPr>
        <w:t>The UFO handbook: A guide to investigating, evaluating, and reporting UFO sightings.</w:t>
      </w:r>
      <w:r w:rsidRPr="00283F16">
        <w:rPr>
          <w:rFonts w:ascii="Arial" w:hAnsi="Arial" w:cs="Arial"/>
          <w:lang w:val="en-AU"/>
        </w:rPr>
        <w:t xml:space="preserve"> Doubleday.</w:t>
      </w:r>
    </w:p>
    <w:p w14:paraId="60D7AFB4" w14:textId="77777777" w:rsidR="001B7495" w:rsidRPr="00283F16" w:rsidRDefault="001B7495" w:rsidP="00283F16">
      <w:pPr>
        <w:pStyle w:val="Body"/>
        <w:spacing w:after="0"/>
        <w:rPr>
          <w:rFonts w:ascii="Arial" w:hAnsi="Arial" w:cs="Arial"/>
          <w:lang w:val="en-AU"/>
        </w:rPr>
      </w:pPr>
    </w:p>
    <w:p w14:paraId="342B6478" w14:textId="77777777" w:rsidR="00283F16" w:rsidRDefault="00283F16" w:rsidP="00283F16">
      <w:pPr>
        <w:pStyle w:val="Body"/>
        <w:spacing w:after="0"/>
        <w:rPr>
          <w:rFonts w:ascii="Arial" w:hAnsi="Arial" w:cs="Arial"/>
        </w:rPr>
      </w:pPr>
      <w:r w:rsidRPr="00283F16">
        <w:rPr>
          <w:rFonts w:ascii="Arial" w:hAnsi="Arial" w:cs="Arial"/>
        </w:rPr>
        <w:t xml:space="preserve">Hill, P. R. (1995). </w:t>
      </w:r>
      <w:r w:rsidRPr="00283F16">
        <w:rPr>
          <w:rFonts w:ascii="Arial" w:hAnsi="Arial" w:cs="Arial"/>
          <w:i/>
          <w:iCs/>
        </w:rPr>
        <w:t>Unconventional Flying Objects: A Scientific Analysis</w:t>
      </w:r>
      <w:r w:rsidRPr="00283F16">
        <w:rPr>
          <w:rFonts w:ascii="Arial" w:hAnsi="Arial" w:cs="Arial"/>
        </w:rPr>
        <w:t>. Charlottesville, VA: Hampton Roads.</w:t>
      </w:r>
    </w:p>
    <w:p w14:paraId="2FCA0CF5" w14:textId="77777777" w:rsidR="001B7495" w:rsidRPr="00283F16" w:rsidRDefault="001B7495" w:rsidP="00283F16">
      <w:pPr>
        <w:pStyle w:val="Body"/>
        <w:spacing w:after="0"/>
        <w:rPr>
          <w:rFonts w:ascii="Arial" w:hAnsi="Arial" w:cs="Arial"/>
          <w:lang w:val="en-AU"/>
        </w:rPr>
      </w:pPr>
    </w:p>
    <w:p w14:paraId="7FBA1A4B" w14:textId="77777777" w:rsidR="00283F16" w:rsidRDefault="00283F16" w:rsidP="00283F16">
      <w:pPr>
        <w:pStyle w:val="Body"/>
        <w:spacing w:after="0"/>
        <w:rPr>
          <w:rFonts w:ascii="Arial" w:hAnsi="Arial" w:cs="Arial"/>
        </w:rPr>
      </w:pPr>
      <w:r w:rsidRPr="00283F16">
        <w:rPr>
          <w:rFonts w:ascii="Arial" w:hAnsi="Arial" w:cs="Arial"/>
          <w:lang w:val="en-AU"/>
        </w:rPr>
        <w:t xml:space="preserve">Holt, A. C. (1979). Field resonance propulsion concept. </w:t>
      </w:r>
      <w:r w:rsidRPr="00283F16">
        <w:rPr>
          <w:rFonts w:ascii="Arial" w:hAnsi="Arial" w:cs="Arial"/>
          <w:i/>
          <w:iCs/>
          <w:lang w:val="en-AU"/>
        </w:rPr>
        <w:t>NASA Technical Reports,</w:t>
      </w:r>
      <w:r w:rsidRPr="00283F16">
        <w:rPr>
          <w:rFonts w:ascii="Arial" w:hAnsi="Arial" w:cs="Arial"/>
          <w:lang w:val="en-AU"/>
        </w:rPr>
        <w:t xml:space="preserve"> </w:t>
      </w:r>
      <w:hyperlink r:id="rId47" w:history="1">
        <w:r w:rsidRPr="00283F16">
          <w:rPr>
            <w:rStyle w:val="Hyperlink"/>
            <w:rFonts w:ascii="Arial" w:hAnsi="Arial" w:cs="Arial"/>
            <w:lang w:val="en-AU"/>
          </w:rPr>
          <w:t>https://ntrs.nasa.gov/api/citations/19800010907/downloads/19800010907.pdf</w:t>
        </w:r>
      </w:hyperlink>
    </w:p>
    <w:p w14:paraId="7CA5D29F" w14:textId="77777777" w:rsidR="001B7495" w:rsidRPr="00283F16" w:rsidRDefault="001B7495" w:rsidP="00283F16">
      <w:pPr>
        <w:pStyle w:val="Body"/>
        <w:spacing w:after="0"/>
        <w:rPr>
          <w:rFonts w:ascii="Arial" w:hAnsi="Arial" w:cs="Arial"/>
          <w:lang w:val="en-AU"/>
        </w:rPr>
      </w:pPr>
    </w:p>
    <w:p w14:paraId="218FB31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Hynek, A. J. (1972). </w:t>
      </w:r>
      <w:r w:rsidRPr="00283F16">
        <w:rPr>
          <w:rFonts w:ascii="Arial" w:hAnsi="Arial" w:cs="Arial"/>
          <w:i/>
          <w:iCs/>
          <w:lang w:val="en-AU"/>
        </w:rPr>
        <w:t>The UFO experience: A scientific inquiry.</w:t>
      </w:r>
      <w:r w:rsidRPr="00283F16">
        <w:rPr>
          <w:rFonts w:ascii="Arial" w:hAnsi="Arial" w:cs="Arial"/>
          <w:lang w:val="en-AU"/>
        </w:rPr>
        <w:t xml:space="preserve"> Contemporary Books.</w:t>
      </w:r>
    </w:p>
    <w:p w14:paraId="73427B32" w14:textId="77777777" w:rsidR="001B7495" w:rsidRPr="00283F16" w:rsidRDefault="001B7495" w:rsidP="00283F16">
      <w:pPr>
        <w:pStyle w:val="Body"/>
        <w:spacing w:after="0"/>
        <w:rPr>
          <w:rFonts w:ascii="Arial" w:hAnsi="Arial" w:cs="Arial"/>
          <w:lang w:val="en-AU"/>
        </w:rPr>
      </w:pPr>
    </w:p>
    <w:p w14:paraId="20D77A1D"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Hynek, A. J. (2020). </w:t>
      </w:r>
      <w:r w:rsidRPr="00283F16">
        <w:rPr>
          <w:rFonts w:ascii="Arial" w:hAnsi="Arial" w:cs="Arial"/>
          <w:i/>
          <w:iCs/>
          <w:lang w:val="en-AU"/>
        </w:rPr>
        <w:t>The Hynek UFO report: The authoritative account of the Project Blue Book cover-up.</w:t>
      </w:r>
      <w:r w:rsidRPr="00283F16">
        <w:rPr>
          <w:rFonts w:ascii="Arial" w:hAnsi="Arial" w:cs="Arial"/>
          <w:lang w:val="en-AU"/>
        </w:rPr>
        <w:t xml:space="preserve"> MUFON.</w:t>
      </w:r>
    </w:p>
    <w:p w14:paraId="72075CB6" w14:textId="77777777" w:rsidR="001B7495" w:rsidRPr="00283F16" w:rsidRDefault="001B7495" w:rsidP="00283F16">
      <w:pPr>
        <w:pStyle w:val="Body"/>
        <w:spacing w:after="0"/>
        <w:rPr>
          <w:rFonts w:ascii="Arial" w:hAnsi="Arial" w:cs="Arial"/>
          <w:lang w:val="en-AU"/>
        </w:rPr>
      </w:pPr>
    </w:p>
    <w:p w14:paraId="057479D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Kean, L. (2010). </w:t>
      </w:r>
      <w:r w:rsidRPr="00283F16">
        <w:rPr>
          <w:rFonts w:ascii="Arial" w:hAnsi="Arial" w:cs="Arial"/>
          <w:i/>
          <w:iCs/>
          <w:lang w:val="en-AU"/>
        </w:rPr>
        <w:t>UFOs: Generals, Pilots, and Government Officials Go on the Record</w:t>
      </w:r>
      <w:r w:rsidRPr="00283F16">
        <w:rPr>
          <w:rFonts w:ascii="Arial" w:hAnsi="Arial" w:cs="Arial"/>
          <w:lang w:val="en-AU"/>
        </w:rPr>
        <w:t>. New York, NY: Crown Archetype.</w:t>
      </w:r>
    </w:p>
    <w:p w14:paraId="21F1EFD5" w14:textId="77777777" w:rsidR="001B7495" w:rsidRPr="00283F16" w:rsidRDefault="001B7495" w:rsidP="00283F16">
      <w:pPr>
        <w:pStyle w:val="Body"/>
        <w:spacing w:after="0"/>
        <w:rPr>
          <w:rFonts w:ascii="Arial" w:hAnsi="Arial" w:cs="Arial"/>
          <w:lang w:val="en-AU"/>
        </w:rPr>
      </w:pPr>
    </w:p>
    <w:p w14:paraId="6071DAC8"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Joseph, R., Impey, C., Planchon, O., del Gaudio, R., Abu Safa, M., Sumanarathna, A. R., Ansbro, E., Duvall, D., </w:t>
      </w:r>
      <w:proofErr w:type="spellStart"/>
      <w:r w:rsidRPr="00283F16">
        <w:rPr>
          <w:rFonts w:ascii="Arial" w:hAnsi="Arial" w:cs="Arial"/>
          <w:lang w:val="en-AU"/>
        </w:rPr>
        <w:t>Bianciardi</w:t>
      </w:r>
      <w:proofErr w:type="spellEnd"/>
      <w:r w:rsidRPr="00283F16">
        <w:rPr>
          <w:rFonts w:ascii="Arial" w:hAnsi="Arial" w:cs="Arial"/>
          <w:lang w:val="en-AU"/>
        </w:rPr>
        <w:t xml:space="preserve">, G., Gibson, C. H., Schild, R. (2024). Extraterrestrial life in the thermosphere: Plasmas, UAP, pre-life, fourth state of matter. </w:t>
      </w:r>
      <w:r w:rsidRPr="00283F16">
        <w:rPr>
          <w:rFonts w:ascii="Arial" w:hAnsi="Arial" w:cs="Arial"/>
          <w:i/>
          <w:iCs/>
          <w:lang w:val="en-AU"/>
        </w:rPr>
        <w:t>Journal of Modern Physics, 15</w:t>
      </w:r>
      <w:r w:rsidRPr="00283F16">
        <w:rPr>
          <w:rFonts w:ascii="Arial" w:hAnsi="Arial" w:cs="Arial"/>
          <w:lang w:val="en-AU"/>
        </w:rPr>
        <w:t xml:space="preserve">(3), 322–374. </w:t>
      </w:r>
    </w:p>
    <w:p w14:paraId="0B35CE7B" w14:textId="77777777" w:rsidR="001B7495" w:rsidRPr="00283F16" w:rsidRDefault="001B7495" w:rsidP="00283F16">
      <w:pPr>
        <w:pStyle w:val="Body"/>
        <w:spacing w:after="0"/>
        <w:rPr>
          <w:rFonts w:ascii="Arial" w:hAnsi="Arial" w:cs="Arial"/>
          <w:lang w:val="en-AU"/>
        </w:rPr>
      </w:pPr>
    </w:p>
    <w:p w14:paraId="1302D98D" w14:textId="7ECF574D" w:rsidR="001B7495" w:rsidRDefault="00283F16" w:rsidP="00283F16">
      <w:pPr>
        <w:pStyle w:val="Body"/>
        <w:spacing w:after="0"/>
        <w:rPr>
          <w:rFonts w:ascii="Arial" w:hAnsi="Arial" w:cs="Arial"/>
        </w:rPr>
      </w:pPr>
      <w:r w:rsidRPr="00283F16">
        <w:rPr>
          <w:rFonts w:ascii="Arial" w:hAnsi="Arial" w:cs="Arial"/>
        </w:rPr>
        <w:t xml:space="preserve">Kayal, H. (2022). Scientific and technology exploration of unidentified aerial phenomena (UAP). In J. Andresen &amp; O. A. Chon-Torres (Eds.), </w:t>
      </w:r>
      <w:r w:rsidRPr="00283F16">
        <w:rPr>
          <w:rFonts w:ascii="Arial" w:hAnsi="Arial" w:cs="Arial"/>
          <w:i/>
          <w:iCs/>
        </w:rPr>
        <w:t>Extraterrestrial intelligence: Academic and societal implications</w:t>
      </w:r>
      <w:r w:rsidRPr="00283F16">
        <w:rPr>
          <w:rFonts w:ascii="Arial" w:hAnsi="Arial" w:cs="Arial"/>
        </w:rPr>
        <w:t xml:space="preserve"> (pp. 87–111). </w:t>
      </w:r>
      <w:r w:rsidR="005C03ED" w:rsidRPr="005C03ED">
        <w:rPr>
          <w:rFonts w:ascii="Arial" w:hAnsi="Arial" w:cs="Arial"/>
        </w:rPr>
        <w:t>Newcastle upon Tyne, UK: Cambridge Scholars Publishing.</w:t>
      </w:r>
    </w:p>
    <w:p w14:paraId="725266F1" w14:textId="77777777" w:rsidR="005C03ED" w:rsidRPr="00283F16" w:rsidRDefault="005C03ED" w:rsidP="00283F16">
      <w:pPr>
        <w:pStyle w:val="Body"/>
        <w:spacing w:after="0"/>
        <w:rPr>
          <w:rFonts w:ascii="Arial" w:hAnsi="Arial" w:cs="Arial"/>
          <w:lang w:val="en-AU"/>
        </w:rPr>
      </w:pPr>
    </w:p>
    <w:p w14:paraId="42F6A4E3" w14:textId="77777777" w:rsidR="00283F16" w:rsidRDefault="00283F16" w:rsidP="00283F16">
      <w:pPr>
        <w:pStyle w:val="Body"/>
        <w:spacing w:after="0"/>
        <w:rPr>
          <w:rFonts w:ascii="Arial" w:hAnsi="Arial" w:cs="Arial"/>
        </w:rPr>
      </w:pPr>
      <w:r w:rsidRPr="00283F16">
        <w:rPr>
          <w:rFonts w:ascii="Arial" w:hAnsi="Arial" w:cs="Arial"/>
          <w:lang w:val="en-AU"/>
        </w:rPr>
        <w:t xml:space="preserve">Khoury, J., Weltman, A. (2004). Chameleon cosmology. </w:t>
      </w:r>
      <w:r w:rsidRPr="00283F16">
        <w:rPr>
          <w:rFonts w:ascii="Arial" w:hAnsi="Arial" w:cs="Arial"/>
          <w:i/>
          <w:iCs/>
          <w:lang w:val="en-AU"/>
        </w:rPr>
        <w:t>Physical Review D, 69</w:t>
      </w:r>
      <w:r w:rsidRPr="00283F16">
        <w:rPr>
          <w:rFonts w:ascii="Arial" w:hAnsi="Arial" w:cs="Arial"/>
          <w:lang w:val="en-AU"/>
        </w:rPr>
        <w:t xml:space="preserve">(4), 044026, </w:t>
      </w:r>
      <w:hyperlink r:id="rId48" w:history="1">
        <w:r w:rsidRPr="00283F16">
          <w:rPr>
            <w:rStyle w:val="Hyperlink"/>
            <w:rFonts w:ascii="Arial" w:hAnsi="Arial" w:cs="Arial"/>
            <w:lang w:val="en-AU"/>
          </w:rPr>
          <w:t>https://doi.org/10.1103/PhysRevD.69.044026</w:t>
        </w:r>
      </w:hyperlink>
    </w:p>
    <w:p w14:paraId="0FD25863" w14:textId="77777777" w:rsidR="001B7495" w:rsidRPr="00283F16" w:rsidRDefault="001B7495" w:rsidP="00283F16">
      <w:pPr>
        <w:pStyle w:val="Body"/>
        <w:spacing w:after="0"/>
        <w:rPr>
          <w:rFonts w:ascii="Arial" w:hAnsi="Arial" w:cs="Arial"/>
          <w:lang w:val="en-AU"/>
        </w:rPr>
      </w:pPr>
    </w:p>
    <w:p w14:paraId="0B20620C" w14:textId="77777777" w:rsidR="00283F16" w:rsidRDefault="00283F16" w:rsidP="00283F16">
      <w:pPr>
        <w:pStyle w:val="Body"/>
        <w:spacing w:after="0"/>
        <w:rPr>
          <w:rFonts w:ascii="Arial" w:hAnsi="Arial" w:cs="Arial"/>
        </w:rPr>
      </w:pPr>
      <w:r w:rsidRPr="00283F16">
        <w:rPr>
          <w:rFonts w:ascii="Arial" w:hAnsi="Arial" w:cs="Arial"/>
        </w:rPr>
        <w:t xml:space="preserve">Knuth, K. H., Powell, R. M., Reali, P. A. (2019). Estimating flight characteristics of anomalous unidentified aerial vehicles. </w:t>
      </w:r>
      <w:r w:rsidRPr="00283F16">
        <w:rPr>
          <w:rFonts w:ascii="Arial" w:hAnsi="Arial" w:cs="Arial"/>
          <w:i/>
          <w:iCs/>
        </w:rPr>
        <w:t>Entropy, 21</w:t>
      </w:r>
      <w:r w:rsidRPr="00283F16">
        <w:rPr>
          <w:rFonts w:ascii="Arial" w:hAnsi="Arial" w:cs="Arial"/>
        </w:rPr>
        <w:t xml:space="preserve">(10), 939. </w:t>
      </w:r>
    </w:p>
    <w:p w14:paraId="0E1C824B" w14:textId="77777777" w:rsidR="001B7495" w:rsidRPr="00283F16" w:rsidRDefault="001B7495" w:rsidP="00283F16">
      <w:pPr>
        <w:pStyle w:val="Body"/>
        <w:spacing w:after="0"/>
        <w:rPr>
          <w:rFonts w:ascii="Arial" w:hAnsi="Arial" w:cs="Arial"/>
          <w:lang w:val="en-AU"/>
        </w:rPr>
      </w:pPr>
    </w:p>
    <w:p w14:paraId="745E2812" w14:textId="77777777" w:rsidR="00283F16" w:rsidRDefault="00283F16" w:rsidP="00283F16">
      <w:pPr>
        <w:pStyle w:val="Body"/>
        <w:spacing w:after="0"/>
        <w:rPr>
          <w:rFonts w:ascii="Arial" w:hAnsi="Arial" w:cs="Arial"/>
        </w:rPr>
      </w:pPr>
      <w:r w:rsidRPr="00283F16">
        <w:rPr>
          <w:rFonts w:ascii="Arial" w:hAnsi="Arial" w:cs="Arial"/>
        </w:rPr>
        <w:t xml:space="preserve">Knuth, K. H., Kayal, H., </w:t>
      </w:r>
      <w:proofErr w:type="spellStart"/>
      <w:r w:rsidRPr="00283F16">
        <w:rPr>
          <w:rFonts w:ascii="Arial" w:hAnsi="Arial" w:cs="Arial"/>
        </w:rPr>
        <w:t>Aillermay</w:t>
      </w:r>
      <w:proofErr w:type="spellEnd"/>
      <w:r w:rsidRPr="00283F16">
        <w:rPr>
          <w:rFonts w:ascii="Arial" w:hAnsi="Arial" w:cs="Arial"/>
        </w:rPr>
        <w:t xml:space="preserve"> be, P., et al. (2025). The new science of unidentified aerospace-undersea phenomena (UAP). </w:t>
      </w:r>
      <w:r w:rsidRPr="00283F16">
        <w:rPr>
          <w:rFonts w:ascii="Arial" w:hAnsi="Arial" w:cs="Arial"/>
          <w:i/>
          <w:iCs/>
        </w:rPr>
        <w:t>Progress in Aerospace Sciences, 156</w:t>
      </w:r>
      <w:r w:rsidRPr="00283F16">
        <w:rPr>
          <w:rFonts w:ascii="Arial" w:hAnsi="Arial" w:cs="Arial"/>
        </w:rPr>
        <w:t xml:space="preserve">, 100986. </w:t>
      </w:r>
    </w:p>
    <w:p w14:paraId="7BAA1E5C" w14:textId="77777777" w:rsidR="001B7495" w:rsidRPr="00283F16" w:rsidRDefault="001B7495" w:rsidP="00283F16">
      <w:pPr>
        <w:pStyle w:val="Body"/>
        <w:spacing w:after="0"/>
        <w:rPr>
          <w:rFonts w:ascii="Arial" w:hAnsi="Arial" w:cs="Arial"/>
          <w:lang w:val="en-AU"/>
        </w:rPr>
      </w:pPr>
    </w:p>
    <w:p w14:paraId="5B341FD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Kocher, G. (1968). </w:t>
      </w:r>
      <w:r w:rsidRPr="00283F16">
        <w:rPr>
          <w:rFonts w:ascii="Arial" w:hAnsi="Arial" w:cs="Arial"/>
          <w:i/>
          <w:iCs/>
          <w:lang w:val="en-AU"/>
        </w:rPr>
        <w:t>UFOs: What to do.</w:t>
      </w:r>
      <w:r w:rsidRPr="00283F16">
        <w:rPr>
          <w:rFonts w:ascii="Arial" w:hAnsi="Arial" w:cs="Arial"/>
          <w:lang w:val="en-AU"/>
        </w:rPr>
        <w:t xml:space="preserve"> RAND Corporation.</w:t>
      </w:r>
    </w:p>
    <w:p w14:paraId="291B2E6F" w14:textId="77777777" w:rsidR="001B7495" w:rsidRPr="00283F16" w:rsidRDefault="001B7495" w:rsidP="00283F16">
      <w:pPr>
        <w:pStyle w:val="Body"/>
        <w:spacing w:after="0"/>
        <w:rPr>
          <w:rFonts w:ascii="Arial" w:hAnsi="Arial" w:cs="Arial"/>
          <w:lang w:val="en-AU"/>
        </w:rPr>
      </w:pPr>
    </w:p>
    <w:p w14:paraId="79B66B1F" w14:textId="77777777" w:rsidR="00283F16" w:rsidRDefault="00283F16" w:rsidP="00283F16">
      <w:pPr>
        <w:pStyle w:val="Body"/>
        <w:spacing w:after="0"/>
        <w:rPr>
          <w:rFonts w:ascii="Arial" w:hAnsi="Arial" w:cs="Arial"/>
        </w:rPr>
      </w:pPr>
      <w:proofErr w:type="spellStart"/>
      <w:r w:rsidRPr="00283F16">
        <w:rPr>
          <w:rFonts w:ascii="Arial" w:hAnsi="Arial" w:cs="Arial"/>
          <w:lang w:val="en-AU"/>
        </w:rPr>
        <w:t>Konfluence</w:t>
      </w:r>
      <w:proofErr w:type="spellEnd"/>
      <w:r w:rsidRPr="00283F16">
        <w:rPr>
          <w:rFonts w:ascii="Arial" w:hAnsi="Arial" w:cs="Arial"/>
          <w:lang w:val="en-AU"/>
        </w:rPr>
        <w:t xml:space="preserve"> Team. (2019). </w:t>
      </w:r>
      <w:r w:rsidRPr="00283F16">
        <w:rPr>
          <w:rFonts w:ascii="Arial" w:hAnsi="Arial" w:cs="Arial"/>
          <w:i/>
          <w:iCs/>
          <w:lang w:val="en-AU"/>
        </w:rPr>
        <w:t>Breakthrough propulsion physics: Scalar charge and field energy</w:t>
      </w:r>
      <w:r w:rsidRPr="00283F16">
        <w:rPr>
          <w:rFonts w:ascii="Arial" w:hAnsi="Arial" w:cs="Arial"/>
          <w:lang w:val="en-AU"/>
        </w:rPr>
        <w:t xml:space="preserve">. </w:t>
      </w:r>
      <w:proofErr w:type="spellStart"/>
      <w:r w:rsidRPr="00283F16">
        <w:rPr>
          <w:rFonts w:ascii="Arial" w:hAnsi="Arial" w:cs="Arial"/>
          <w:i/>
          <w:iCs/>
          <w:lang w:val="en-AU"/>
        </w:rPr>
        <w:t>Konfluence</w:t>
      </w:r>
      <w:proofErr w:type="spellEnd"/>
      <w:r w:rsidRPr="00283F16">
        <w:rPr>
          <w:rFonts w:ascii="Arial" w:hAnsi="Arial" w:cs="Arial"/>
          <w:i/>
          <w:iCs/>
          <w:lang w:val="en-AU"/>
        </w:rPr>
        <w:t xml:space="preserve"> Technical Report,</w:t>
      </w:r>
      <w:r w:rsidRPr="00283F16">
        <w:rPr>
          <w:rFonts w:ascii="Arial" w:hAnsi="Arial" w:cs="Arial"/>
          <w:lang w:val="en-AU"/>
        </w:rPr>
        <w:t xml:space="preserve"> </w:t>
      </w:r>
      <w:hyperlink r:id="rId49" w:tgtFrame="_new" w:history="1">
        <w:r w:rsidRPr="00283F16">
          <w:rPr>
            <w:rStyle w:val="Hyperlink"/>
            <w:rFonts w:ascii="Arial" w:hAnsi="Arial" w:cs="Arial"/>
            <w:lang w:val="en-AU"/>
          </w:rPr>
          <w:t>https://www.konfluence.org/bpp/</w:t>
        </w:r>
      </w:hyperlink>
    </w:p>
    <w:p w14:paraId="34F098E3" w14:textId="77777777" w:rsidR="001B7495" w:rsidRPr="00283F16" w:rsidRDefault="001B7495" w:rsidP="00283F16">
      <w:pPr>
        <w:pStyle w:val="Body"/>
        <w:spacing w:after="0"/>
        <w:rPr>
          <w:rFonts w:ascii="Arial" w:hAnsi="Arial" w:cs="Arial"/>
          <w:lang w:val="en-AU"/>
        </w:rPr>
      </w:pPr>
    </w:p>
    <w:p w14:paraId="6638734E"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Lacatski, J. T., Kelleher, C. A., Knapp, G. (2021). </w:t>
      </w:r>
      <w:r w:rsidRPr="00283F16">
        <w:rPr>
          <w:rFonts w:ascii="Arial" w:hAnsi="Arial" w:cs="Arial"/>
          <w:i/>
          <w:iCs/>
          <w:lang w:val="en-AU"/>
        </w:rPr>
        <w:t>Skinwalkers at the Pentagon: An insider’s account of the secret government UFO program.</w:t>
      </w:r>
      <w:r w:rsidRPr="00283F16">
        <w:rPr>
          <w:rFonts w:ascii="Arial" w:hAnsi="Arial" w:cs="Arial"/>
          <w:lang w:val="en-AU"/>
        </w:rPr>
        <w:t xml:space="preserve"> Henderson, NV: RTMA, LLC.</w:t>
      </w:r>
    </w:p>
    <w:p w14:paraId="7C8A23B5" w14:textId="77777777" w:rsidR="001B7495" w:rsidRPr="00283F16" w:rsidRDefault="001B7495" w:rsidP="00283F16">
      <w:pPr>
        <w:pStyle w:val="Body"/>
        <w:spacing w:after="0"/>
        <w:rPr>
          <w:rFonts w:ascii="Arial" w:hAnsi="Arial" w:cs="Arial"/>
          <w:lang w:val="en-AU"/>
        </w:rPr>
      </w:pPr>
    </w:p>
    <w:p w14:paraId="1EAC58AC" w14:textId="77777777" w:rsidR="00283F16" w:rsidRDefault="00283F16" w:rsidP="00283F16">
      <w:pPr>
        <w:pStyle w:val="Body"/>
        <w:spacing w:after="0"/>
        <w:rPr>
          <w:rFonts w:ascii="Arial" w:hAnsi="Arial" w:cs="Arial"/>
        </w:rPr>
      </w:pPr>
      <w:r w:rsidRPr="00283F16">
        <w:rPr>
          <w:rFonts w:ascii="Arial" w:hAnsi="Arial" w:cs="Arial"/>
          <w:lang w:val="en-AU"/>
        </w:rPr>
        <w:t xml:space="preserve">Leonhardt, U. (2006). Optical conformal mapping. </w:t>
      </w:r>
      <w:r w:rsidRPr="00283F16">
        <w:rPr>
          <w:rFonts w:ascii="Arial" w:hAnsi="Arial" w:cs="Arial"/>
          <w:i/>
          <w:iCs/>
          <w:lang w:val="en-AU"/>
        </w:rPr>
        <w:t>Science, 312</w:t>
      </w:r>
      <w:r w:rsidRPr="00283F16">
        <w:rPr>
          <w:rFonts w:ascii="Arial" w:hAnsi="Arial" w:cs="Arial"/>
          <w:lang w:val="en-AU"/>
        </w:rPr>
        <w:t xml:space="preserve">(5781), 1777–1780. </w:t>
      </w:r>
      <w:hyperlink r:id="rId50" w:history="1">
        <w:r w:rsidRPr="00283F16">
          <w:rPr>
            <w:rStyle w:val="Hyperlink"/>
            <w:rFonts w:ascii="Arial" w:hAnsi="Arial" w:cs="Arial"/>
            <w:lang w:val="en-AU"/>
          </w:rPr>
          <w:t>https://doi.org/10.1126/science.1126493</w:t>
        </w:r>
      </w:hyperlink>
    </w:p>
    <w:p w14:paraId="3D37C549" w14:textId="77777777" w:rsidR="001B7495" w:rsidRPr="00283F16" w:rsidRDefault="001B7495" w:rsidP="00283F16">
      <w:pPr>
        <w:pStyle w:val="Body"/>
        <w:spacing w:after="0"/>
        <w:rPr>
          <w:rFonts w:ascii="Arial" w:hAnsi="Arial" w:cs="Arial"/>
          <w:lang w:val="en-AU"/>
        </w:rPr>
      </w:pPr>
    </w:p>
    <w:p w14:paraId="54D27016" w14:textId="5BE7DDAB" w:rsidR="00283F16" w:rsidRDefault="00283F16" w:rsidP="00283F16">
      <w:pPr>
        <w:pStyle w:val="Body"/>
        <w:spacing w:after="0"/>
        <w:rPr>
          <w:rFonts w:ascii="Arial" w:hAnsi="Arial" w:cs="Arial"/>
        </w:rPr>
      </w:pPr>
      <w:r w:rsidRPr="00283F16">
        <w:rPr>
          <w:rFonts w:ascii="Arial" w:hAnsi="Arial" w:cs="Arial"/>
          <w:lang w:val="en-AU"/>
        </w:rPr>
        <w:t xml:space="preserve">Loeb, A., Kirkpatrick, S. M. (2023). Physical constraints on unidentified aerial phenomena. Harvard-Smithsonian Centre for Astrophysics. </w:t>
      </w:r>
    </w:p>
    <w:p w14:paraId="012FA2F5" w14:textId="77777777" w:rsidR="001B7495" w:rsidRPr="00283F16" w:rsidRDefault="001B7495" w:rsidP="00283F16">
      <w:pPr>
        <w:pStyle w:val="Body"/>
        <w:spacing w:after="0"/>
        <w:rPr>
          <w:rFonts w:ascii="Arial" w:hAnsi="Arial" w:cs="Arial"/>
          <w:lang w:val="en-AU"/>
        </w:rPr>
      </w:pPr>
    </w:p>
    <w:p w14:paraId="2822DF46" w14:textId="5CD9DB37" w:rsidR="00283F16" w:rsidRDefault="00283F16" w:rsidP="00283F16">
      <w:pPr>
        <w:pStyle w:val="Body"/>
        <w:spacing w:after="0"/>
        <w:rPr>
          <w:rFonts w:ascii="Arial" w:hAnsi="Arial" w:cs="Arial"/>
          <w:i/>
          <w:iCs/>
        </w:rPr>
      </w:pPr>
      <w:r w:rsidRPr="00283F16">
        <w:rPr>
          <w:rFonts w:ascii="Arial" w:hAnsi="Arial" w:cs="Arial"/>
        </w:rPr>
        <w:t xml:space="preserve">Lomas, T. (2024). Unidentified anomalous phenomena (UAP) disclosure as ontological shock? Exploring diversity among social media responses to a congressional UAP hearing. </w:t>
      </w:r>
      <w:r w:rsidR="005C03ED" w:rsidRPr="005C03ED">
        <w:rPr>
          <w:rFonts w:ascii="Arial" w:hAnsi="Arial" w:cs="Arial"/>
          <w:i/>
          <w:iCs/>
        </w:rPr>
        <w:t>Journal of Humanistic Psychology, 64</w:t>
      </w:r>
      <w:r w:rsidR="005C03ED" w:rsidRPr="005C03ED">
        <w:rPr>
          <w:rFonts w:ascii="Arial" w:hAnsi="Arial" w:cs="Arial"/>
        </w:rPr>
        <w:t xml:space="preserve">(3), 1–32. </w:t>
      </w:r>
    </w:p>
    <w:p w14:paraId="16309D1E" w14:textId="77777777" w:rsidR="005C03ED" w:rsidRDefault="005C03ED" w:rsidP="00283F16">
      <w:pPr>
        <w:pStyle w:val="Body"/>
        <w:spacing w:after="0"/>
        <w:rPr>
          <w:rFonts w:ascii="Arial" w:hAnsi="Arial" w:cs="Arial"/>
        </w:rPr>
      </w:pPr>
    </w:p>
    <w:p w14:paraId="5CDC4DC1" w14:textId="77777777" w:rsidR="00283F16" w:rsidRDefault="00283F16" w:rsidP="00283F16">
      <w:pPr>
        <w:pStyle w:val="Body"/>
        <w:spacing w:after="0"/>
        <w:rPr>
          <w:rFonts w:ascii="Arial" w:hAnsi="Arial" w:cs="Arial"/>
        </w:rPr>
      </w:pPr>
      <w:proofErr w:type="spellStart"/>
      <w:r w:rsidRPr="00283F16">
        <w:rPr>
          <w:rFonts w:ascii="Arial" w:hAnsi="Arial" w:cs="Arial"/>
          <w:lang w:val="en-AU"/>
        </w:rPr>
        <w:t>Marletto</w:t>
      </w:r>
      <w:proofErr w:type="spellEnd"/>
      <w:r w:rsidRPr="00283F16">
        <w:rPr>
          <w:rFonts w:ascii="Arial" w:hAnsi="Arial" w:cs="Arial"/>
          <w:lang w:val="en-AU"/>
        </w:rPr>
        <w:t xml:space="preserve">, C., Vedral, V. (2025). </w:t>
      </w:r>
      <w:r w:rsidRPr="00283F16">
        <w:rPr>
          <w:rFonts w:ascii="Arial" w:hAnsi="Arial" w:cs="Arial"/>
          <w:i/>
          <w:iCs/>
          <w:lang w:val="en-AU"/>
        </w:rPr>
        <w:t>Quantum-information methods for quantum gravity laboratory-based tests</w:t>
      </w:r>
      <w:r w:rsidRPr="00283F16">
        <w:rPr>
          <w:rFonts w:ascii="Arial" w:hAnsi="Arial" w:cs="Arial"/>
          <w:lang w:val="en-AU"/>
        </w:rPr>
        <w:t xml:space="preserve">. </w:t>
      </w:r>
      <w:r w:rsidRPr="00283F16">
        <w:rPr>
          <w:rFonts w:ascii="Arial" w:hAnsi="Arial" w:cs="Arial"/>
          <w:i/>
          <w:iCs/>
          <w:lang w:val="en-AU"/>
        </w:rPr>
        <w:t>Reviews of Modern Physics, 97</w:t>
      </w:r>
      <w:r w:rsidRPr="00283F16">
        <w:rPr>
          <w:rFonts w:ascii="Arial" w:hAnsi="Arial" w:cs="Arial"/>
          <w:lang w:val="en-AU"/>
        </w:rPr>
        <w:t xml:space="preserve">(1), 015006. </w:t>
      </w:r>
      <w:hyperlink r:id="rId51" w:history="1">
        <w:r w:rsidRPr="00283F16">
          <w:rPr>
            <w:rStyle w:val="Hyperlink"/>
            <w:rFonts w:ascii="Arial" w:hAnsi="Arial" w:cs="Arial"/>
            <w:lang w:val="en-AU"/>
          </w:rPr>
          <w:t>https://doi.org/10.1103/RevModPhys.97.015006</w:t>
        </w:r>
      </w:hyperlink>
    </w:p>
    <w:p w14:paraId="12591B3B" w14:textId="77777777" w:rsidR="001B7495" w:rsidRPr="00283F16" w:rsidRDefault="001B7495" w:rsidP="00283F16">
      <w:pPr>
        <w:pStyle w:val="Body"/>
        <w:spacing w:after="0"/>
        <w:rPr>
          <w:rFonts w:ascii="Arial" w:hAnsi="Arial" w:cs="Arial"/>
          <w:lang w:val="en-AU"/>
        </w:rPr>
      </w:pPr>
    </w:p>
    <w:p w14:paraId="0A9FD05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McDonald, J. E. (1969). Science in default: Twenty-two years of inadequate UFO investigations. </w:t>
      </w:r>
      <w:r w:rsidRPr="00283F16">
        <w:rPr>
          <w:rFonts w:ascii="Arial" w:hAnsi="Arial" w:cs="Arial"/>
          <w:i/>
          <w:iCs/>
          <w:lang w:val="en-AU"/>
        </w:rPr>
        <w:t>American Association for the Advancement of Science Symposium, 134</w:t>
      </w:r>
      <w:r w:rsidRPr="00283F16">
        <w:rPr>
          <w:rFonts w:ascii="Arial" w:hAnsi="Arial" w:cs="Arial"/>
          <w:lang w:val="en-AU"/>
        </w:rPr>
        <w:t>, 1–12.</w:t>
      </w:r>
    </w:p>
    <w:p w14:paraId="621345B4" w14:textId="77777777" w:rsidR="001B7495" w:rsidRPr="00283F16" w:rsidRDefault="001B7495" w:rsidP="00283F16">
      <w:pPr>
        <w:pStyle w:val="Body"/>
        <w:spacing w:after="0"/>
        <w:rPr>
          <w:rFonts w:ascii="Arial" w:hAnsi="Arial" w:cs="Arial"/>
          <w:lang w:val="en-AU"/>
        </w:rPr>
      </w:pPr>
    </w:p>
    <w:p w14:paraId="30084A4F" w14:textId="77777777" w:rsidR="00283F16" w:rsidRDefault="00283F16" w:rsidP="00283F16">
      <w:pPr>
        <w:pStyle w:val="Body"/>
        <w:spacing w:after="0"/>
        <w:rPr>
          <w:rFonts w:ascii="Arial" w:hAnsi="Arial" w:cs="Arial"/>
        </w:rPr>
      </w:pPr>
      <w:r w:rsidRPr="00283F16">
        <w:rPr>
          <w:rFonts w:ascii="Arial" w:hAnsi="Arial" w:cs="Arial"/>
        </w:rPr>
        <w:t>Medina, R.M., Brewer, S.C. Kirkpatrick, S.M. An environmental analysis of public UAP sightings and sky view potential. </w:t>
      </w:r>
      <w:r w:rsidRPr="00283F16">
        <w:rPr>
          <w:rFonts w:ascii="Arial" w:hAnsi="Arial" w:cs="Arial"/>
          <w:i/>
          <w:iCs/>
        </w:rPr>
        <w:t xml:space="preserve">Scientific </w:t>
      </w:r>
      <w:proofErr w:type="gramStart"/>
      <w:r w:rsidRPr="00283F16">
        <w:rPr>
          <w:rFonts w:ascii="Arial" w:hAnsi="Arial" w:cs="Arial"/>
          <w:i/>
          <w:iCs/>
        </w:rPr>
        <w:t xml:space="preserve">Reports </w:t>
      </w:r>
      <w:r w:rsidRPr="00283F16">
        <w:rPr>
          <w:rFonts w:ascii="Arial" w:hAnsi="Arial" w:cs="Arial"/>
        </w:rPr>
        <w:t> </w:t>
      </w:r>
      <w:r w:rsidRPr="00283F16">
        <w:rPr>
          <w:rFonts w:ascii="Arial" w:hAnsi="Arial" w:cs="Arial"/>
          <w:i/>
          <w:iCs/>
        </w:rPr>
        <w:t>13</w:t>
      </w:r>
      <w:proofErr w:type="gramEnd"/>
      <w:r w:rsidRPr="00283F16">
        <w:rPr>
          <w:rFonts w:ascii="Arial" w:hAnsi="Arial" w:cs="Arial"/>
        </w:rPr>
        <w:t xml:space="preserve">, 22213 (2023). </w:t>
      </w:r>
      <w:hyperlink r:id="rId52" w:history="1">
        <w:r w:rsidRPr="00283F16">
          <w:rPr>
            <w:rStyle w:val="Hyperlink"/>
            <w:rFonts w:ascii="Arial" w:hAnsi="Arial" w:cs="Arial"/>
          </w:rPr>
          <w:t>https://doi.org/10.1038/s41598-023-49527-x</w:t>
        </w:r>
      </w:hyperlink>
    </w:p>
    <w:p w14:paraId="3674AC70" w14:textId="77777777" w:rsidR="001B7495" w:rsidRPr="00283F16" w:rsidRDefault="001B7495" w:rsidP="00283F16">
      <w:pPr>
        <w:pStyle w:val="Body"/>
        <w:spacing w:after="0"/>
        <w:rPr>
          <w:rFonts w:ascii="Arial" w:hAnsi="Arial" w:cs="Arial"/>
        </w:rPr>
      </w:pPr>
    </w:p>
    <w:p w14:paraId="49179516"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Meesen, A. (2012a). Evidence of very strong low frequency magnetic fields. </w:t>
      </w:r>
      <w:r w:rsidRPr="00283F16">
        <w:rPr>
          <w:rFonts w:ascii="Arial" w:hAnsi="Arial" w:cs="Arial"/>
          <w:i/>
          <w:iCs/>
          <w:lang w:val="en-AU"/>
        </w:rPr>
        <w:t>PIERS Proceedings, Moscow</w:t>
      </w:r>
      <w:r w:rsidRPr="00283F16">
        <w:rPr>
          <w:rFonts w:ascii="Arial" w:hAnsi="Arial" w:cs="Arial"/>
          <w:lang w:val="en-AU"/>
        </w:rPr>
        <w:t>, 19–23.</w:t>
      </w:r>
    </w:p>
    <w:p w14:paraId="2C150543" w14:textId="77777777" w:rsidR="001B7495" w:rsidRPr="00283F16" w:rsidRDefault="001B7495" w:rsidP="00283F16">
      <w:pPr>
        <w:pStyle w:val="Body"/>
        <w:spacing w:after="0"/>
        <w:rPr>
          <w:rFonts w:ascii="Arial" w:hAnsi="Arial" w:cs="Arial"/>
          <w:lang w:val="en-AU"/>
        </w:rPr>
      </w:pPr>
    </w:p>
    <w:p w14:paraId="28BF456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Meesen, A. (2012b). Pulsed EM propulsion of unconventional flying objects. </w:t>
      </w:r>
      <w:r w:rsidRPr="00283F16">
        <w:rPr>
          <w:rFonts w:ascii="Arial" w:hAnsi="Arial" w:cs="Arial"/>
          <w:i/>
          <w:iCs/>
          <w:lang w:val="en-AU"/>
        </w:rPr>
        <w:t>PIERS Proceedings, Moscow</w:t>
      </w:r>
      <w:r w:rsidRPr="00283F16">
        <w:rPr>
          <w:rFonts w:ascii="Arial" w:hAnsi="Arial" w:cs="Arial"/>
          <w:lang w:val="en-AU"/>
        </w:rPr>
        <w:t>, 19–23.</w:t>
      </w:r>
    </w:p>
    <w:p w14:paraId="32C1E3AA" w14:textId="77777777" w:rsidR="001B7495" w:rsidRPr="00283F16" w:rsidRDefault="001B7495" w:rsidP="00283F16">
      <w:pPr>
        <w:pStyle w:val="Body"/>
        <w:spacing w:after="0"/>
        <w:rPr>
          <w:rFonts w:ascii="Arial" w:hAnsi="Arial" w:cs="Arial"/>
          <w:lang w:val="en-AU"/>
        </w:rPr>
      </w:pPr>
    </w:p>
    <w:p w14:paraId="4CD68D82" w14:textId="77777777" w:rsidR="00283F16" w:rsidRDefault="00283F16" w:rsidP="00283F16">
      <w:pPr>
        <w:pStyle w:val="Body"/>
        <w:spacing w:after="0"/>
        <w:rPr>
          <w:rFonts w:ascii="Arial" w:hAnsi="Arial" w:cs="Arial"/>
        </w:rPr>
      </w:pPr>
      <w:r w:rsidRPr="00283F16">
        <w:rPr>
          <w:rFonts w:ascii="Arial" w:hAnsi="Arial" w:cs="Arial"/>
        </w:rPr>
        <w:t xml:space="preserve">Minami, Y. (2022). UAP propulsion principle and resulting flight performance: Theoretical analysis of UAP flight characteristics. </w:t>
      </w:r>
      <w:r w:rsidRPr="00283F16">
        <w:rPr>
          <w:rFonts w:ascii="Arial" w:hAnsi="Arial" w:cs="Arial"/>
          <w:i/>
          <w:iCs/>
        </w:rPr>
        <w:t>American Journal of Engineering Research, 11</w:t>
      </w:r>
      <w:r w:rsidRPr="00283F16">
        <w:rPr>
          <w:rFonts w:ascii="Arial" w:hAnsi="Arial" w:cs="Arial"/>
        </w:rPr>
        <w:t>(8), 134–156.</w:t>
      </w:r>
    </w:p>
    <w:p w14:paraId="31CAB4AD" w14:textId="77777777" w:rsidR="001B7495" w:rsidRPr="00283F16" w:rsidRDefault="001B7495" w:rsidP="00283F16">
      <w:pPr>
        <w:pStyle w:val="Body"/>
        <w:spacing w:after="0"/>
        <w:rPr>
          <w:rFonts w:ascii="Arial" w:hAnsi="Arial" w:cs="Arial"/>
          <w:lang w:val="en-AU"/>
        </w:rPr>
      </w:pPr>
    </w:p>
    <w:p w14:paraId="5DFF8F30" w14:textId="77777777" w:rsidR="00283F16" w:rsidRDefault="00283F16" w:rsidP="00283F16">
      <w:pPr>
        <w:pStyle w:val="Body"/>
        <w:spacing w:after="0"/>
        <w:rPr>
          <w:rFonts w:ascii="Arial" w:hAnsi="Arial" w:cs="Arial"/>
        </w:rPr>
      </w:pPr>
      <w:r w:rsidRPr="00283F16">
        <w:rPr>
          <w:rFonts w:ascii="Arial" w:hAnsi="Arial" w:cs="Arial"/>
        </w:rPr>
        <w:t xml:space="preserve">Minami, Y. (2023). Flight characteristics of UAP from the perspective of propulsion principle: Flight performance derived from propulsion principle. </w:t>
      </w:r>
      <w:r w:rsidRPr="00283F16">
        <w:rPr>
          <w:rFonts w:ascii="Arial" w:hAnsi="Arial" w:cs="Arial"/>
          <w:i/>
          <w:iCs/>
        </w:rPr>
        <w:t>British Journal of Multidisciplinary and Advanced Studies: Sciences, 4</w:t>
      </w:r>
      <w:r w:rsidRPr="00283F16">
        <w:rPr>
          <w:rFonts w:ascii="Arial" w:hAnsi="Arial" w:cs="Arial"/>
        </w:rPr>
        <w:t xml:space="preserve">(3), 9–21. </w:t>
      </w:r>
    </w:p>
    <w:p w14:paraId="146F3938" w14:textId="77777777" w:rsidR="001B7495" w:rsidRPr="00283F16" w:rsidRDefault="001B7495" w:rsidP="00283F16">
      <w:pPr>
        <w:pStyle w:val="Body"/>
        <w:spacing w:after="0"/>
        <w:rPr>
          <w:rFonts w:ascii="Arial" w:hAnsi="Arial" w:cs="Arial"/>
          <w:lang w:val="en-AU"/>
        </w:rPr>
      </w:pPr>
    </w:p>
    <w:p w14:paraId="302511E9" w14:textId="77777777" w:rsidR="00283F16" w:rsidRDefault="00283F16" w:rsidP="00283F16">
      <w:pPr>
        <w:pStyle w:val="Body"/>
        <w:spacing w:after="0"/>
        <w:rPr>
          <w:rFonts w:ascii="Arial" w:hAnsi="Arial" w:cs="Arial"/>
        </w:rPr>
      </w:pPr>
      <w:r w:rsidRPr="00283F16">
        <w:rPr>
          <w:rFonts w:ascii="Arial" w:hAnsi="Arial" w:cs="Arial"/>
          <w:lang w:val="en-AU"/>
        </w:rPr>
        <w:t xml:space="preserve">Narayan, R., </w:t>
      </w:r>
      <w:proofErr w:type="spellStart"/>
      <w:r w:rsidRPr="00283F16">
        <w:rPr>
          <w:rFonts w:ascii="Arial" w:hAnsi="Arial" w:cs="Arial"/>
          <w:lang w:val="en-AU"/>
        </w:rPr>
        <w:t>Bartelmann</w:t>
      </w:r>
      <w:proofErr w:type="spellEnd"/>
      <w:r w:rsidRPr="00283F16">
        <w:rPr>
          <w:rFonts w:ascii="Arial" w:hAnsi="Arial" w:cs="Arial"/>
          <w:lang w:val="en-AU"/>
        </w:rPr>
        <w:t xml:space="preserve">, M. (1997). Lectures on gravitational lensing. </w:t>
      </w:r>
      <w:r w:rsidRPr="00283F16">
        <w:rPr>
          <w:rFonts w:ascii="Arial" w:hAnsi="Arial" w:cs="Arial"/>
          <w:i/>
          <w:iCs/>
          <w:lang w:val="en-AU"/>
        </w:rPr>
        <w:t>Classical and Quantum Gravity, 14</w:t>
      </w:r>
      <w:r w:rsidRPr="00283F16">
        <w:rPr>
          <w:rFonts w:ascii="Arial" w:hAnsi="Arial" w:cs="Arial"/>
          <w:lang w:val="en-AU"/>
        </w:rPr>
        <w:t xml:space="preserve">(4), 1–74, </w:t>
      </w:r>
      <w:hyperlink r:id="rId53" w:tgtFrame="_new" w:history="1">
        <w:r w:rsidRPr="00283F16">
          <w:rPr>
            <w:rStyle w:val="Hyperlink"/>
            <w:rFonts w:ascii="Arial" w:hAnsi="Arial" w:cs="Arial"/>
            <w:lang w:val="en-AU"/>
          </w:rPr>
          <w:t>https://doi.org/10.48550/arXiv.astro-ph/9606001</w:t>
        </w:r>
      </w:hyperlink>
    </w:p>
    <w:p w14:paraId="46582B44" w14:textId="77777777" w:rsidR="001B7495" w:rsidRPr="00283F16" w:rsidRDefault="001B7495" w:rsidP="00283F16">
      <w:pPr>
        <w:pStyle w:val="Body"/>
        <w:spacing w:after="0"/>
        <w:rPr>
          <w:rFonts w:ascii="Arial" w:hAnsi="Arial" w:cs="Arial"/>
          <w:lang w:val="en-AU"/>
        </w:rPr>
      </w:pPr>
    </w:p>
    <w:p w14:paraId="192CD996" w14:textId="0A8A3AE4" w:rsidR="00283F16" w:rsidRDefault="00283F16" w:rsidP="00283F16">
      <w:pPr>
        <w:pStyle w:val="Body"/>
        <w:spacing w:after="0"/>
        <w:rPr>
          <w:rFonts w:ascii="Arial" w:hAnsi="Arial" w:cs="Arial"/>
        </w:rPr>
      </w:pPr>
      <w:r w:rsidRPr="00283F16">
        <w:rPr>
          <w:rFonts w:ascii="Arial" w:hAnsi="Arial" w:cs="Arial"/>
        </w:rPr>
        <w:t xml:space="preserve">Nassar, H., Chen, Y. Y., Huang, G. L. (2020). Polar metamaterials: A new outlook on resonance for cloaking applications. </w:t>
      </w:r>
      <w:r w:rsidRPr="00283F16">
        <w:rPr>
          <w:rFonts w:ascii="Arial" w:hAnsi="Arial" w:cs="Arial"/>
          <w:i/>
          <w:iCs/>
        </w:rPr>
        <w:t>Physical Review Letters</w:t>
      </w:r>
      <w:r w:rsidRPr="00283F16">
        <w:rPr>
          <w:rFonts w:ascii="Arial" w:hAnsi="Arial" w:cs="Arial"/>
        </w:rPr>
        <w:t xml:space="preserve">, 124(8), 084301. </w:t>
      </w:r>
    </w:p>
    <w:p w14:paraId="2A89D639" w14:textId="77777777" w:rsidR="001B7495" w:rsidRPr="00283F16" w:rsidRDefault="001B7495" w:rsidP="00283F16">
      <w:pPr>
        <w:pStyle w:val="Body"/>
        <w:spacing w:after="0"/>
        <w:rPr>
          <w:rFonts w:ascii="Arial" w:hAnsi="Arial" w:cs="Arial"/>
        </w:rPr>
      </w:pPr>
    </w:p>
    <w:p w14:paraId="68A3FCF9"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Pascoli, G. (2024). The Hessdalen lights seen as aerial counterpart of an unsuspected subsoil phenomenon: Is Earth harbouring a </w:t>
      </w:r>
      <w:proofErr w:type="spellStart"/>
      <w:r w:rsidRPr="00283F16">
        <w:rPr>
          <w:rFonts w:ascii="Arial" w:hAnsi="Arial" w:cs="Arial"/>
          <w:lang w:val="en-AU"/>
        </w:rPr>
        <w:t>multimouth</w:t>
      </w:r>
      <w:proofErr w:type="spellEnd"/>
      <w:r w:rsidRPr="00283F16">
        <w:rPr>
          <w:rFonts w:ascii="Arial" w:hAnsi="Arial" w:cs="Arial"/>
          <w:lang w:val="en-AU"/>
        </w:rPr>
        <w:t xml:space="preserve"> wormhole? </w:t>
      </w:r>
      <w:r w:rsidRPr="00283F16">
        <w:rPr>
          <w:rFonts w:ascii="Arial" w:hAnsi="Arial" w:cs="Arial"/>
          <w:i/>
          <w:iCs/>
          <w:lang w:val="en-AU"/>
        </w:rPr>
        <w:t>Journal of Scientific Exploration, 38</w:t>
      </w:r>
      <w:r w:rsidRPr="00283F16">
        <w:rPr>
          <w:rFonts w:ascii="Arial" w:hAnsi="Arial" w:cs="Arial"/>
          <w:lang w:val="en-AU"/>
        </w:rPr>
        <w:t>(2), 96–110.</w:t>
      </w:r>
    </w:p>
    <w:p w14:paraId="4EB4D6BB" w14:textId="77777777" w:rsidR="001B7495" w:rsidRPr="00283F16" w:rsidRDefault="001B7495" w:rsidP="00283F16">
      <w:pPr>
        <w:pStyle w:val="Body"/>
        <w:spacing w:after="0"/>
        <w:rPr>
          <w:rFonts w:ascii="Arial" w:hAnsi="Arial" w:cs="Arial"/>
          <w:lang w:val="en-AU"/>
        </w:rPr>
      </w:pPr>
    </w:p>
    <w:p w14:paraId="762CC01C" w14:textId="77777777" w:rsidR="00283F16" w:rsidRDefault="00283F16" w:rsidP="00283F16">
      <w:pPr>
        <w:pStyle w:val="Body"/>
        <w:spacing w:after="0"/>
        <w:rPr>
          <w:rFonts w:ascii="Arial" w:hAnsi="Arial" w:cs="Arial"/>
        </w:rPr>
      </w:pPr>
      <w:r w:rsidRPr="00283F16">
        <w:rPr>
          <w:rFonts w:ascii="Arial" w:hAnsi="Arial" w:cs="Arial"/>
          <w:lang w:val="en-AU"/>
        </w:rPr>
        <w:t xml:space="preserve">Pendry, J. B., Schurig, D., &amp; Smith, D. R. (2006). Controlling electromagnetic fields. </w:t>
      </w:r>
      <w:r w:rsidRPr="00283F16">
        <w:rPr>
          <w:rFonts w:ascii="Arial" w:hAnsi="Arial" w:cs="Arial"/>
          <w:i/>
          <w:iCs/>
          <w:lang w:val="en-AU"/>
        </w:rPr>
        <w:t>Science, 312</w:t>
      </w:r>
      <w:r w:rsidRPr="00283F16">
        <w:rPr>
          <w:rFonts w:ascii="Arial" w:hAnsi="Arial" w:cs="Arial"/>
          <w:lang w:val="en-AU"/>
        </w:rPr>
        <w:t xml:space="preserve">(5781), 1780–1782. </w:t>
      </w:r>
      <w:hyperlink r:id="rId54" w:tgtFrame="_new" w:history="1">
        <w:r w:rsidRPr="00283F16">
          <w:rPr>
            <w:rStyle w:val="Hyperlink"/>
            <w:rFonts w:ascii="Arial" w:hAnsi="Arial" w:cs="Arial"/>
            <w:lang w:val="en-AU"/>
          </w:rPr>
          <w:t>https://doi.org/10.1126/science.1125907</w:t>
        </w:r>
      </w:hyperlink>
    </w:p>
    <w:p w14:paraId="082B77A3" w14:textId="77777777" w:rsidR="001B7495" w:rsidRPr="00283F16" w:rsidRDefault="001B7495" w:rsidP="00283F16">
      <w:pPr>
        <w:pStyle w:val="Body"/>
        <w:spacing w:after="0"/>
        <w:rPr>
          <w:rFonts w:ascii="Arial" w:hAnsi="Arial" w:cs="Arial"/>
          <w:lang w:val="en-AU"/>
        </w:rPr>
      </w:pPr>
    </w:p>
    <w:p w14:paraId="2DD2E257" w14:textId="1F46345B" w:rsidR="00283F16" w:rsidRDefault="00283F16" w:rsidP="00283F16">
      <w:pPr>
        <w:pStyle w:val="Body"/>
        <w:spacing w:after="0"/>
        <w:rPr>
          <w:rFonts w:ascii="Arial" w:hAnsi="Arial" w:cs="Arial"/>
        </w:rPr>
      </w:pPr>
      <w:r w:rsidRPr="00283F16">
        <w:rPr>
          <w:rFonts w:ascii="Arial" w:hAnsi="Arial" w:cs="Arial"/>
        </w:rPr>
        <w:t xml:space="preserve">Peralta, I., </w:t>
      </w:r>
      <w:proofErr w:type="spellStart"/>
      <w:r w:rsidRPr="00283F16">
        <w:rPr>
          <w:rFonts w:ascii="Arial" w:hAnsi="Arial" w:cs="Arial"/>
        </w:rPr>
        <w:t>Fachinotti</w:t>
      </w:r>
      <w:proofErr w:type="spellEnd"/>
      <w:r w:rsidRPr="00283F16">
        <w:rPr>
          <w:rFonts w:ascii="Arial" w:hAnsi="Arial" w:cs="Arial"/>
        </w:rPr>
        <w:t xml:space="preserve">, V. D., Álvarez, J. C. (2020). A brief review on thermal metamaterials for cloaking and heat flux manipulation. </w:t>
      </w:r>
      <w:r w:rsidRPr="00283F16">
        <w:rPr>
          <w:rFonts w:ascii="Arial" w:hAnsi="Arial" w:cs="Arial"/>
          <w:i/>
          <w:iCs/>
        </w:rPr>
        <w:t>Advanced Engineering Materials, 22</w:t>
      </w:r>
      <w:r w:rsidRPr="00283F16">
        <w:rPr>
          <w:rFonts w:ascii="Arial" w:hAnsi="Arial" w:cs="Arial"/>
        </w:rPr>
        <w:t xml:space="preserve">(7), 1901034. </w:t>
      </w:r>
    </w:p>
    <w:p w14:paraId="2445C5E7" w14:textId="77777777" w:rsidR="001B7495" w:rsidRPr="00283F16" w:rsidRDefault="001B7495" w:rsidP="00283F16">
      <w:pPr>
        <w:pStyle w:val="Body"/>
        <w:spacing w:after="0"/>
        <w:rPr>
          <w:rFonts w:ascii="Arial" w:hAnsi="Arial" w:cs="Arial"/>
        </w:rPr>
      </w:pPr>
    </w:p>
    <w:p w14:paraId="0E41FA4D" w14:textId="77777777"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Phillips, T. (1975). </w:t>
      </w:r>
      <w:r w:rsidRPr="00283F16">
        <w:rPr>
          <w:rFonts w:ascii="Arial" w:hAnsi="Arial" w:cs="Arial"/>
          <w:i/>
          <w:iCs/>
          <w:lang w:val="en-AU"/>
        </w:rPr>
        <w:t>Physical traces associated with UFO sightings.</w:t>
      </w:r>
      <w:r w:rsidRPr="00283F16">
        <w:rPr>
          <w:rFonts w:ascii="Arial" w:hAnsi="Arial" w:cs="Arial"/>
          <w:lang w:val="en-AU"/>
        </w:rPr>
        <w:t xml:space="preserve"> </w:t>
      </w:r>
      <w:proofErr w:type="spellStart"/>
      <w:r w:rsidRPr="00283F16">
        <w:rPr>
          <w:rFonts w:ascii="Arial" w:hAnsi="Arial" w:cs="Arial"/>
          <w:lang w:val="en-AU"/>
        </w:rPr>
        <w:t>Center</w:t>
      </w:r>
      <w:proofErr w:type="spellEnd"/>
      <w:r w:rsidRPr="00283F16">
        <w:rPr>
          <w:rFonts w:ascii="Arial" w:hAnsi="Arial" w:cs="Arial"/>
          <w:lang w:val="en-AU"/>
        </w:rPr>
        <w:t xml:space="preserve"> for UFO Studies.</w:t>
      </w:r>
    </w:p>
    <w:p w14:paraId="142C1585" w14:textId="77777777" w:rsidR="00283F16" w:rsidRDefault="00283F16" w:rsidP="00283F16">
      <w:pPr>
        <w:pStyle w:val="Body"/>
        <w:spacing w:after="0"/>
        <w:rPr>
          <w:rFonts w:ascii="Arial" w:hAnsi="Arial" w:cs="Arial"/>
        </w:rPr>
      </w:pPr>
      <w:r w:rsidRPr="00283F16">
        <w:rPr>
          <w:rFonts w:ascii="Arial" w:hAnsi="Arial" w:cs="Arial"/>
        </w:rPr>
        <w:t xml:space="preserve">Poher, C., Poher, D. (2010). Statistical Analysis of Global UFO Sightings: Temporal and Spatial Distributions. </w:t>
      </w:r>
      <w:proofErr w:type="spellStart"/>
      <w:r w:rsidRPr="00283F16">
        <w:rPr>
          <w:rFonts w:ascii="Arial" w:hAnsi="Arial" w:cs="Arial"/>
        </w:rPr>
        <w:t>Parmay</w:t>
      </w:r>
      <w:proofErr w:type="spellEnd"/>
      <w:r w:rsidRPr="00283F16">
        <w:rPr>
          <w:rFonts w:ascii="Arial" w:hAnsi="Arial" w:cs="Arial"/>
        </w:rPr>
        <w:t xml:space="preserve">, France: </w:t>
      </w:r>
      <w:proofErr w:type="spellStart"/>
      <w:r w:rsidRPr="00283F16">
        <w:rPr>
          <w:rFonts w:ascii="Arial" w:hAnsi="Arial" w:cs="Arial"/>
        </w:rPr>
        <w:t>Institut</w:t>
      </w:r>
      <w:proofErr w:type="spellEnd"/>
      <w:r w:rsidRPr="00283F16">
        <w:rPr>
          <w:rFonts w:ascii="Arial" w:hAnsi="Arial" w:cs="Arial"/>
        </w:rPr>
        <w:t xml:space="preserve"> </w:t>
      </w:r>
      <w:proofErr w:type="spellStart"/>
      <w:r w:rsidRPr="00283F16">
        <w:rPr>
          <w:rFonts w:ascii="Arial" w:hAnsi="Arial" w:cs="Arial"/>
        </w:rPr>
        <w:t>Poher</w:t>
      </w:r>
      <w:proofErr w:type="spellEnd"/>
      <w:r w:rsidRPr="00283F16">
        <w:rPr>
          <w:rFonts w:ascii="Arial" w:hAnsi="Arial" w:cs="Arial"/>
        </w:rPr>
        <w:t>.</w:t>
      </w:r>
    </w:p>
    <w:p w14:paraId="15249693" w14:textId="77777777" w:rsidR="001B7495" w:rsidRPr="00283F16" w:rsidRDefault="001B7495" w:rsidP="00283F16">
      <w:pPr>
        <w:pStyle w:val="Body"/>
        <w:spacing w:after="0"/>
        <w:rPr>
          <w:rFonts w:ascii="Arial" w:hAnsi="Arial" w:cs="Arial"/>
          <w:lang w:val="en-AU"/>
        </w:rPr>
      </w:pPr>
    </w:p>
    <w:p w14:paraId="7A4255F8" w14:textId="77777777" w:rsidR="00283F16" w:rsidRDefault="00283F16" w:rsidP="00283F16">
      <w:pPr>
        <w:pStyle w:val="Body"/>
        <w:spacing w:after="0"/>
        <w:rPr>
          <w:rFonts w:ascii="Arial" w:hAnsi="Arial" w:cs="Arial"/>
        </w:rPr>
      </w:pPr>
      <w:r w:rsidRPr="00283F16">
        <w:rPr>
          <w:rFonts w:ascii="Arial" w:hAnsi="Arial" w:cs="Arial"/>
          <w:lang w:val="en-AU"/>
        </w:rPr>
        <w:t xml:space="preserve">Puthoff, H. E. (1987). Ground state of hydrogen as a zero-point-fluctuation-determined state. </w:t>
      </w:r>
      <w:r w:rsidRPr="00283F16">
        <w:rPr>
          <w:rFonts w:ascii="Arial" w:hAnsi="Arial" w:cs="Arial"/>
          <w:i/>
          <w:iCs/>
          <w:lang w:val="en-AU"/>
        </w:rPr>
        <w:t>Physical Review D, 35</w:t>
      </w:r>
      <w:r w:rsidRPr="00283F16">
        <w:rPr>
          <w:rFonts w:ascii="Arial" w:hAnsi="Arial" w:cs="Arial"/>
          <w:lang w:val="en-AU"/>
        </w:rPr>
        <w:t xml:space="preserve">(10), 3266–3269. </w:t>
      </w:r>
      <w:hyperlink r:id="rId55" w:history="1">
        <w:r w:rsidRPr="00283F16">
          <w:rPr>
            <w:rStyle w:val="Hyperlink"/>
            <w:rFonts w:ascii="Arial" w:hAnsi="Arial" w:cs="Arial"/>
            <w:lang w:val="en-AU"/>
          </w:rPr>
          <w:t>https://doi.org/10.1103/PhysRevD.35.3266</w:t>
        </w:r>
      </w:hyperlink>
    </w:p>
    <w:p w14:paraId="2C2A5633" w14:textId="77777777" w:rsidR="001B7495" w:rsidRPr="00283F16" w:rsidRDefault="001B7495" w:rsidP="00283F16">
      <w:pPr>
        <w:pStyle w:val="Body"/>
        <w:spacing w:after="0"/>
        <w:rPr>
          <w:rFonts w:ascii="Arial" w:hAnsi="Arial" w:cs="Arial"/>
          <w:lang w:val="en-AU"/>
        </w:rPr>
      </w:pPr>
    </w:p>
    <w:p w14:paraId="5DE9164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Rutledge, H. (1981). </w:t>
      </w:r>
      <w:r w:rsidRPr="00283F16">
        <w:rPr>
          <w:rFonts w:ascii="Arial" w:hAnsi="Arial" w:cs="Arial"/>
          <w:i/>
          <w:iCs/>
          <w:lang w:val="en-AU"/>
        </w:rPr>
        <w:t>Project Identification: The First Scientific Field Study of UFO Phenomena</w:t>
      </w:r>
      <w:r w:rsidRPr="00283F16">
        <w:rPr>
          <w:rFonts w:ascii="Arial" w:hAnsi="Arial" w:cs="Arial"/>
          <w:lang w:val="en-AU"/>
        </w:rPr>
        <w:t>. Englewood Cliffs, NJ: Prentice-Hall.</w:t>
      </w:r>
    </w:p>
    <w:p w14:paraId="6B3B4D81" w14:textId="77777777" w:rsidR="001B7495" w:rsidRPr="00283F16" w:rsidRDefault="001B7495" w:rsidP="00283F16">
      <w:pPr>
        <w:pStyle w:val="Body"/>
        <w:spacing w:after="0"/>
        <w:rPr>
          <w:rFonts w:ascii="Arial" w:hAnsi="Arial" w:cs="Arial"/>
          <w:lang w:val="en-AU"/>
        </w:rPr>
      </w:pPr>
    </w:p>
    <w:p w14:paraId="5209C16B" w14:textId="77777777" w:rsidR="00283F16" w:rsidRDefault="00283F16" w:rsidP="00283F16">
      <w:pPr>
        <w:pStyle w:val="Body"/>
        <w:spacing w:after="0"/>
        <w:rPr>
          <w:rFonts w:ascii="Arial" w:hAnsi="Arial" w:cs="Arial"/>
        </w:rPr>
      </w:pPr>
      <w:r w:rsidRPr="00283F16">
        <w:rPr>
          <w:rFonts w:ascii="Arial" w:hAnsi="Arial" w:cs="Arial"/>
          <w:lang w:val="en-AU"/>
        </w:rPr>
        <w:t xml:space="preserve">Schneider, P., </w:t>
      </w:r>
      <w:proofErr w:type="spellStart"/>
      <w:r w:rsidRPr="00283F16">
        <w:rPr>
          <w:rFonts w:ascii="Arial" w:hAnsi="Arial" w:cs="Arial"/>
          <w:lang w:val="en-AU"/>
        </w:rPr>
        <w:t>Suyu</w:t>
      </w:r>
      <w:proofErr w:type="spellEnd"/>
      <w:r w:rsidRPr="00283F16">
        <w:rPr>
          <w:rFonts w:ascii="Arial" w:hAnsi="Arial" w:cs="Arial"/>
          <w:lang w:val="en-AU"/>
        </w:rPr>
        <w:t xml:space="preserve">, S. H., Collett, T. E., Treu, T. (2024). Essentials of strong gravitational lensing. </w:t>
      </w:r>
      <w:r w:rsidRPr="00283F16">
        <w:rPr>
          <w:rFonts w:ascii="Arial" w:hAnsi="Arial" w:cs="Arial"/>
          <w:i/>
          <w:iCs/>
          <w:lang w:val="en-AU"/>
        </w:rPr>
        <w:t>Space Science Reviews, 220</w:t>
      </w:r>
      <w:r w:rsidRPr="00283F16">
        <w:rPr>
          <w:rFonts w:ascii="Arial" w:hAnsi="Arial" w:cs="Arial"/>
          <w:lang w:val="en-AU"/>
        </w:rPr>
        <w:t xml:space="preserve">(2), 20. </w:t>
      </w:r>
      <w:hyperlink r:id="rId56" w:history="1">
        <w:r w:rsidRPr="00283F16">
          <w:rPr>
            <w:rStyle w:val="Hyperlink"/>
            <w:rFonts w:ascii="Arial" w:hAnsi="Arial" w:cs="Arial"/>
            <w:lang w:val="en-AU"/>
          </w:rPr>
          <w:t>https://doi.org/10.1007/s11214-024-01041-w</w:t>
        </w:r>
      </w:hyperlink>
    </w:p>
    <w:p w14:paraId="62DA9AAE" w14:textId="77777777" w:rsidR="001B7495" w:rsidRPr="00283F16" w:rsidRDefault="001B7495" w:rsidP="00283F16">
      <w:pPr>
        <w:pStyle w:val="Body"/>
        <w:spacing w:after="0"/>
        <w:rPr>
          <w:rFonts w:ascii="Arial" w:hAnsi="Arial" w:cs="Arial"/>
          <w:lang w:val="en-AU"/>
        </w:rPr>
      </w:pPr>
    </w:p>
    <w:p w14:paraId="5B4E1537"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Smirnov, B. M. (1993). </w:t>
      </w:r>
      <w:r w:rsidRPr="00283F16">
        <w:rPr>
          <w:rFonts w:ascii="Arial" w:hAnsi="Arial" w:cs="Arial"/>
          <w:i/>
          <w:iCs/>
          <w:lang w:val="en-AU"/>
        </w:rPr>
        <w:t>Physics of Ball Lightning</w:t>
      </w:r>
      <w:r w:rsidRPr="00283F16">
        <w:rPr>
          <w:rFonts w:ascii="Arial" w:hAnsi="Arial" w:cs="Arial"/>
          <w:lang w:val="en-AU"/>
        </w:rPr>
        <w:t>. New York, NY: Springer.</w:t>
      </w:r>
    </w:p>
    <w:p w14:paraId="1E6B44C4" w14:textId="77777777" w:rsidR="001B7495" w:rsidRPr="00283F16" w:rsidRDefault="001B7495" w:rsidP="00283F16">
      <w:pPr>
        <w:pStyle w:val="Body"/>
        <w:spacing w:after="0"/>
        <w:rPr>
          <w:rFonts w:ascii="Arial" w:hAnsi="Arial" w:cs="Arial"/>
          <w:lang w:val="en-AU"/>
        </w:rPr>
      </w:pPr>
    </w:p>
    <w:p w14:paraId="5D90B5AC"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Smirnov, B. M., &amp; Cherepanov, V. (1997). Theoretical models of ball lightning. </w:t>
      </w:r>
      <w:r w:rsidRPr="00283F16">
        <w:rPr>
          <w:rFonts w:ascii="Arial" w:hAnsi="Arial" w:cs="Arial"/>
          <w:i/>
          <w:iCs/>
          <w:lang w:val="en-AU"/>
        </w:rPr>
        <w:t>Physics-</w:t>
      </w:r>
      <w:proofErr w:type="spellStart"/>
      <w:r w:rsidRPr="00283F16">
        <w:rPr>
          <w:rFonts w:ascii="Arial" w:hAnsi="Arial" w:cs="Arial"/>
          <w:i/>
          <w:iCs/>
          <w:lang w:val="en-AU"/>
        </w:rPr>
        <w:t>Uspekhi</w:t>
      </w:r>
      <w:proofErr w:type="spellEnd"/>
      <w:r w:rsidRPr="00283F16">
        <w:rPr>
          <w:rFonts w:ascii="Arial" w:hAnsi="Arial" w:cs="Arial"/>
          <w:i/>
          <w:iCs/>
          <w:lang w:val="en-AU"/>
        </w:rPr>
        <w:t>, 40</w:t>
      </w:r>
      <w:r w:rsidRPr="00283F16">
        <w:rPr>
          <w:rFonts w:ascii="Arial" w:hAnsi="Arial" w:cs="Arial"/>
          <w:lang w:val="en-AU"/>
        </w:rPr>
        <w:t xml:space="preserve">(11), 1117–1136. </w:t>
      </w:r>
    </w:p>
    <w:p w14:paraId="13C4A85F" w14:textId="77777777" w:rsidR="001B7495" w:rsidRPr="00283F16" w:rsidRDefault="001B7495" w:rsidP="00283F16">
      <w:pPr>
        <w:pStyle w:val="Body"/>
        <w:spacing w:after="0"/>
        <w:rPr>
          <w:rFonts w:ascii="Arial" w:hAnsi="Arial" w:cs="Arial"/>
          <w:lang w:val="en-AU"/>
        </w:rPr>
      </w:pPr>
    </w:p>
    <w:p w14:paraId="13966765" w14:textId="77777777" w:rsidR="00283F16" w:rsidRDefault="00283F16" w:rsidP="00283F16">
      <w:pPr>
        <w:pStyle w:val="Body"/>
        <w:spacing w:after="0"/>
        <w:rPr>
          <w:rFonts w:ascii="Arial" w:hAnsi="Arial" w:cs="Arial"/>
        </w:rPr>
      </w:pPr>
      <w:r w:rsidRPr="00283F16">
        <w:rPr>
          <w:rFonts w:ascii="Arial" w:hAnsi="Arial" w:cs="Arial"/>
        </w:rPr>
        <w:t xml:space="preserve">Stahlman, G. R. (2024). Closing the information gap in unidentified anomalous phenomena (UAP) studies. In I. </w:t>
      </w:r>
      <w:proofErr w:type="spellStart"/>
      <w:r w:rsidRPr="00283F16">
        <w:rPr>
          <w:rFonts w:ascii="Arial" w:hAnsi="Arial" w:cs="Arial"/>
        </w:rPr>
        <w:t>Sserwanga</w:t>
      </w:r>
      <w:proofErr w:type="spellEnd"/>
      <w:r w:rsidRPr="00283F16">
        <w:rPr>
          <w:rFonts w:ascii="Arial" w:hAnsi="Arial" w:cs="Arial"/>
        </w:rPr>
        <w:t xml:space="preserve"> et al. (Eds.), </w:t>
      </w:r>
      <w:r w:rsidRPr="00283F16">
        <w:rPr>
          <w:rFonts w:ascii="Arial" w:hAnsi="Arial" w:cs="Arial"/>
          <w:i/>
          <w:iCs/>
        </w:rPr>
        <w:t>Wisdom, well-being, win-win</w:t>
      </w:r>
      <w:r w:rsidRPr="00283F16">
        <w:rPr>
          <w:rFonts w:ascii="Arial" w:hAnsi="Arial" w:cs="Arial"/>
        </w:rPr>
        <w:t xml:space="preserve"> (Lecture Notes in Computer Science, Vol. 14596) (pp. 305–320). Springer. </w:t>
      </w:r>
    </w:p>
    <w:p w14:paraId="7C8B0E9F" w14:textId="77777777" w:rsidR="001B7495" w:rsidRPr="00283F16" w:rsidRDefault="001B7495" w:rsidP="00283F16">
      <w:pPr>
        <w:pStyle w:val="Body"/>
        <w:spacing w:after="0"/>
        <w:rPr>
          <w:rFonts w:ascii="Arial" w:hAnsi="Arial" w:cs="Arial"/>
          <w:lang w:val="en-AU"/>
        </w:rPr>
      </w:pPr>
    </w:p>
    <w:p w14:paraId="0C09545A"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Stenhoff, M. (1999). </w:t>
      </w:r>
      <w:r w:rsidRPr="00283F16">
        <w:rPr>
          <w:rFonts w:ascii="Arial" w:hAnsi="Arial" w:cs="Arial"/>
          <w:i/>
          <w:iCs/>
          <w:lang w:val="en-AU"/>
        </w:rPr>
        <w:t>Ball lightning: An unsolved problem in atmospheric physics.</w:t>
      </w:r>
      <w:r w:rsidRPr="00283F16">
        <w:rPr>
          <w:rFonts w:ascii="Arial" w:hAnsi="Arial" w:cs="Arial"/>
          <w:lang w:val="en-AU"/>
        </w:rPr>
        <w:t xml:space="preserve"> Springer.</w:t>
      </w:r>
    </w:p>
    <w:p w14:paraId="56DC6CD5" w14:textId="77777777" w:rsidR="001B7495" w:rsidRPr="00283F16" w:rsidRDefault="001B7495" w:rsidP="00283F16">
      <w:pPr>
        <w:pStyle w:val="Body"/>
        <w:spacing w:after="0"/>
        <w:rPr>
          <w:rFonts w:ascii="Arial" w:hAnsi="Arial" w:cs="Arial"/>
          <w:lang w:val="en-AU"/>
        </w:rPr>
      </w:pPr>
    </w:p>
    <w:p w14:paraId="5CF5BF2F"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Strand, E. P. (1985). </w:t>
      </w:r>
      <w:r w:rsidRPr="00283F16">
        <w:rPr>
          <w:rFonts w:ascii="Arial" w:hAnsi="Arial" w:cs="Arial"/>
          <w:i/>
          <w:iCs/>
          <w:lang w:val="en-AU"/>
        </w:rPr>
        <w:t>Project Hessdalen 1984 – Final technical report.</w:t>
      </w:r>
      <w:r w:rsidRPr="00283F16">
        <w:rPr>
          <w:rFonts w:ascii="Arial" w:hAnsi="Arial" w:cs="Arial"/>
          <w:lang w:val="en-AU"/>
        </w:rPr>
        <w:t xml:space="preserve"> </w:t>
      </w:r>
    </w:p>
    <w:p w14:paraId="2F17EA51" w14:textId="77777777" w:rsidR="001B7495" w:rsidRPr="00283F16" w:rsidRDefault="001B7495" w:rsidP="00283F16">
      <w:pPr>
        <w:pStyle w:val="Body"/>
        <w:spacing w:after="0"/>
        <w:rPr>
          <w:rFonts w:ascii="Arial" w:hAnsi="Arial" w:cs="Arial"/>
          <w:lang w:val="en-AU"/>
        </w:rPr>
      </w:pPr>
    </w:p>
    <w:p w14:paraId="5AB45AA5"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Strand, E. P. (2000). </w:t>
      </w:r>
      <w:r w:rsidRPr="00283F16">
        <w:rPr>
          <w:rFonts w:ascii="Arial" w:hAnsi="Arial" w:cs="Arial"/>
          <w:i/>
          <w:iCs/>
          <w:lang w:val="en-AU"/>
        </w:rPr>
        <w:t xml:space="preserve">Project Hessdalen: Articles and reports. </w:t>
      </w:r>
    </w:p>
    <w:p w14:paraId="3262C2E1" w14:textId="77777777" w:rsidR="001B7495" w:rsidRPr="00283F16" w:rsidRDefault="001B7495" w:rsidP="00283F16">
      <w:pPr>
        <w:pStyle w:val="Body"/>
        <w:spacing w:after="0"/>
        <w:rPr>
          <w:rFonts w:ascii="Arial" w:hAnsi="Arial" w:cs="Arial"/>
          <w:i/>
          <w:iCs/>
          <w:lang w:val="en-AU"/>
        </w:rPr>
      </w:pPr>
    </w:p>
    <w:p w14:paraId="54064D59"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Strand, E. P. (2001). </w:t>
      </w:r>
      <w:r w:rsidRPr="00283F16">
        <w:rPr>
          <w:rFonts w:ascii="Arial" w:hAnsi="Arial" w:cs="Arial"/>
          <w:i/>
          <w:iCs/>
          <w:lang w:val="en-AU"/>
        </w:rPr>
        <w:t xml:space="preserve">Hessdalen automatic measurement station. </w:t>
      </w:r>
    </w:p>
    <w:p w14:paraId="514AE23A" w14:textId="77777777" w:rsidR="001B7495" w:rsidRPr="00283F16" w:rsidRDefault="001B7495" w:rsidP="00283F16">
      <w:pPr>
        <w:pStyle w:val="Body"/>
        <w:spacing w:after="0"/>
        <w:rPr>
          <w:rFonts w:ascii="Arial" w:hAnsi="Arial" w:cs="Arial"/>
          <w:i/>
          <w:iCs/>
          <w:lang w:val="en-AU"/>
        </w:rPr>
      </w:pPr>
    </w:p>
    <w:p w14:paraId="10D22E45" w14:textId="77777777" w:rsidR="00283F16" w:rsidRDefault="00283F16" w:rsidP="00283F16">
      <w:pPr>
        <w:pStyle w:val="Body"/>
        <w:spacing w:after="0"/>
        <w:rPr>
          <w:rFonts w:ascii="Arial" w:hAnsi="Arial" w:cs="Arial"/>
        </w:rPr>
      </w:pPr>
      <w:r w:rsidRPr="00283F16">
        <w:rPr>
          <w:rFonts w:ascii="Arial" w:hAnsi="Arial" w:cs="Arial"/>
          <w:lang w:val="en-AU"/>
        </w:rPr>
        <w:t xml:space="preserve">Surkov, V. V., Hayakawa, M. (2020). Progress in the study of transient luminous and atmospheric events: A review. </w:t>
      </w:r>
      <w:r w:rsidRPr="00283F16">
        <w:rPr>
          <w:rFonts w:ascii="Arial" w:hAnsi="Arial" w:cs="Arial"/>
          <w:i/>
          <w:iCs/>
          <w:lang w:val="en-AU"/>
        </w:rPr>
        <w:t>Surveys in Geophysics, 41</w:t>
      </w:r>
      <w:r w:rsidRPr="00283F16">
        <w:rPr>
          <w:rFonts w:ascii="Arial" w:hAnsi="Arial" w:cs="Arial"/>
          <w:lang w:val="en-AU"/>
        </w:rPr>
        <w:t xml:space="preserve">(6), 1247–1284. </w:t>
      </w:r>
      <w:hyperlink r:id="rId57" w:history="1">
        <w:r w:rsidRPr="00283F16">
          <w:rPr>
            <w:rStyle w:val="Hyperlink"/>
            <w:rFonts w:ascii="Arial" w:hAnsi="Arial" w:cs="Arial"/>
            <w:lang w:val="en-AU"/>
          </w:rPr>
          <w:t>https://doi.org/10.1007/s10712-020-09597-2</w:t>
        </w:r>
      </w:hyperlink>
    </w:p>
    <w:p w14:paraId="6ADE5DCF" w14:textId="77777777" w:rsidR="001B7495" w:rsidRPr="00283F16" w:rsidRDefault="001B7495" w:rsidP="00283F16">
      <w:pPr>
        <w:pStyle w:val="Body"/>
        <w:spacing w:after="0"/>
        <w:rPr>
          <w:rFonts w:ascii="Arial" w:hAnsi="Arial" w:cs="Arial"/>
          <w:lang w:val="en-AU"/>
        </w:rPr>
      </w:pPr>
    </w:p>
    <w:p w14:paraId="6A45C5DC" w14:textId="77777777" w:rsidR="00283F16" w:rsidRDefault="00283F16" w:rsidP="00283F16">
      <w:pPr>
        <w:pStyle w:val="Body"/>
        <w:spacing w:after="0"/>
        <w:rPr>
          <w:rFonts w:ascii="Arial" w:hAnsi="Arial" w:cs="Arial"/>
        </w:rPr>
      </w:pPr>
      <w:r w:rsidRPr="00283F16">
        <w:rPr>
          <w:rFonts w:ascii="Arial" w:hAnsi="Arial" w:cs="Arial"/>
        </w:rPr>
        <w:t xml:space="preserve">Szydagis, M., Knuth, K. H., Kugielsky, B. W., Levy, C., McGowan, J. D., Phelan, M. D., </w:t>
      </w:r>
      <w:proofErr w:type="spellStart"/>
      <w:r w:rsidRPr="00283F16">
        <w:rPr>
          <w:rFonts w:ascii="Arial" w:hAnsi="Arial" w:cs="Arial"/>
        </w:rPr>
        <w:t>Voorhmay</w:t>
      </w:r>
      <w:proofErr w:type="spellEnd"/>
      <w:r w:rsidRPr="00283F16">
        <w:rPr>
          <w:rFonts w:ascii="Arial" w:hAnsi="Arial" w:cs="Arial"/>
        </w:rPr>
        <w:t xml:space="preserve"> be, G. P. (2025). Initial results from the first field expedition of </w:t>
      </w:r>
      <w:proofErr w:type="spellStart"/>
      <w:r w:rsidRPr="00283F16">
        <w:rPr>
          <w:rFonts w:ascii="Arial" w:hAnsi="Arial" w:cs="Arial"/>
        </w:rPr>
        <w:t>UAPx</w:t>
      </w:r>
      <w:proofErr w:type="spellEnd"/>
      <w:r w:rsidRPr="00283F16">
        <w:rPr>
          <w:rFonts w:ascii="Arial" w:hAnsi="Arial" w:cs="Arial"/>
        </w:rPr>
        <w:t xml:space="preserve"> to study unidentified anomalous phenomena. </w:t>
      </w:r>
      <w:r w:rsidRPr="00283F16">
        <w:rPr>
          <w:rFonts w:ascii="Arial" w:hAnsi="Arial" w:cs="Arial"/>
          <w:i/>
          <w:iCs/>
        </w:rPr>
        <w:t>Progress in Aerospace Sciences, 156</w:t>
      </w:r>
      <w:r w:rsidRPr="00283F16">
        <w:rPr>
          <w:rFonts w:ascii="Arial" w:hAnsi="Arial" w:cs="Arial"/>
        </w:rPr>
        <w:t>(1), 101099.</w:t>
      </w:r>
    </w:p>
    <w:p w14:paraId="2376750B" w14:textId="77777777" w:rsidR="001B7495" w:rsidRPr="00283F16" w:rsidRDefault="001B7495" w:rsidP="00283F16">
      <w:pPr>
        <w:pStyle w:val="Body"/>
        <w:spacing w:after="0"/>
        <w:rPr>
          <w:rFonts w:ascii="Arial" w:hAnsi="Arial" w:cs="Arial"/>
          <w:lang w:val="en-AU"/>
        </w:rPr>
      </w:pPr>
    </w:p>
    <w:p w14:paraId="11C47CFD" w14:textId="77777777" w:rsidR="00283F16" w:rsidRDefault="00283F16" w:rsidP="00283F16">
      <w:pPr>
        <w:pStyle w:val="Body"/>
        <w:spacing w:after="0"/>
        <w:rPr>
          <w:rFonts w:ascii="Arial" w:hAnsi="Arial" w:cs="Arial"/>
        </w:rPr>
      </w:pPr>
      <w:proofErr w:type="spellStart"/>
      <w:r w:rsidRPr="00283F16">
        <w:rPr>
          <w:rFonts w:ascii="Arial" w:hAnsi="Arial" w:cs="Arial"/>
        </w:rPr>
        <w:t>Tajmar</w:t>
      </w:r>
      <w:proofErr w:type="spellEnd"/>
      <w:r w:rsidRPr="00283F16">
        <w:rPr>
          <w:rFonts w:ascii="Arial" w:hAnsi="Arial" w:cs="Arial"/>
        </w:rPr>
        <w:t xml:space="preserve">, M., </w:t>
      </w:r>
      <w:proofErr w:type="spellStart"/>
      <w:r w:rsidRPr="00283F16">
        <w:rPr>
          <w:rFonts w:ascii="Arial" w:hAnsi="Arial" w:cs="Arial"/>
        </w:rPr>
        <w:t>Kößling</w:t>
      </w:r>
      <w:proofErr w:type="spellEnd"/>
      <w:r w:rsidRPr="00283F16">
        <w:rPr>
          <w:rFonts w:ascii="Arial" w:hAnsi="Arial" w:cs="Arial"/>
        </w:rPr>
        <w:t xml:space="preserve">, M. &amp; </w:t>
      </w:r>
      <w:proofErr w:type="spellStart"/>
      <w:r w:rsidRPr="00283F16">
        <w:rPr>
          <w:rFonts w:ascii="Arial" w:hAnsi="Arial" w:cs="Arial"/>
        </w:rPr>
        <w:t>Neunzig</w:t>
      </w:r>
      <w:proofErr w:type="spellEnd"/>
      <w:r w:rsidRPr="00283F16">
        <w:rPr>
          <w:rFonts w:ascii="Arial" w:hAnsi="Arial" w:cs="Arial"/>
        </w:rPr>
        <w:t>, O. (2024). In-depth experimental search for a coupling between gravity and electromagnetism with steady fields. </w:t>
      </w:r>
      <w:r w:rsidRPr="00283F16">
        <w:rPr>
          <w:rFonts w:ascii="Arial" w:hAnsi="Arial" w:cs="Arial"/>
          <w:i/>
          <w:iCs/>
        </w:rPr>
        <w:t>Scientific Reports,</w:t>
      </w:r>
      <w:r w:rsidRPr="00283F16">
        <w:rPr>
          <w:rFonts w:ascii="Arial" w:hAnsi="Arial" w:cs="Arial"/>
        </w:rPr>
        <w:t> </w:t>
      </w:r>
      <w:r w:rsidRPr="00283F16">
        <w:rPr>
          <w:rFonts w:ascii="Arial" w:hAnsi="Arial" w:cs="Arial"/>
          <w:b/>
          <w:bCs/>
        </w:rPr>
        <w:t>14</w:t>
      </w:r>
      <w:r w:rsidRPr="00283F16">
        <w:rPr>
          <w:rFonts w:ascii="Arial" w:hAnsi="Arial" w:cs="Arial"/>
        </w:rPr>
        <w:t xml:space="preserve">, 19427. </w:t>
      </w:r>
      <w:hyperlink r:id="rId58" w:history="1">
        <w:r w:rsidRPr="00283F16">
          <w:rPr>
            <w:rStyle w:val="Hyperlink"/>
            <w:rFonts w:ascii="Arial" w:hAnsi="Arial" w:cs="Arial"/>
          </w:rPr>
          <w:t>https://doi.org/10.1038/s41598-024-70286-w</w:t>
        </w:r>
      </w:hyperlink>
    </w:p>
    <w:p w14:paraId="0EB2BF7E" w14:textId="77777777" w:rsidR="001B7495" w:rsidRPr="00283F16" w:rsidRDefault="001B7495" w:rsidP="00283F16">
      <w:pPr>
        <w:pStyle w:val="Body"/>
        <w:spacing w:after="0"/>
        <w:rPr>
          <w:rFonts w:ascii="Arial" w:hAnsi="Arial" w:cs="Arial"/>
        </w:rPr>
      </w:pPr>
    </w:p>
    <w:p w14:paraId="39FBB740"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Tedesco, J. J., Tedesco, G. T. (2024). Eye on the sky: A UAP research and field study off New York’s Long Island coast. </w:t>
      </w:r>
      <w:r w:rsidRPr="00283F16">
        <w:rPr>
          <w:rFonts w:ascii="Arial" w:hAnsi="Arial" w:cs="Arial"/>
          <w:i/>
          <w:iCs/>
          <w:lang w:val="en-AU"/>
        </w:rPr>
        <w:t>Open Journal of Applied Sciences, 14</w:t>
      </w:r>
      <w:r w:rsidRPr="00283F16">
        <w:rPr>
          <w:rFonts w:ascii="Arial" w:hAnsi="Arial" w:cs="Arial"/>
          <w:lang w:val="en-AU"/>
        </w:rPr>
        <w:t xml:space="preserve">(5), 2267–2295. </w:t>
      </w:r>
    </w:p>
    <w:p w14:paraId="19E51055" w14:textId="77777777" w:rsidR="001B7495" w:rsidRPr="00283F16" w:rsidRDefault="001B7495" w:rsidP="00283F16">
      <w:pPr>
        <w:pStyle w:val="Body"/>
        <w:spacing w:after="0"/>
        <w:rPr>
          <w:rFonts w:ascii="Arial" w:hAnsi="Arial" w:cs="Arial"/>
          <w:lang w:val="en-AU"/>
        </w:rPr>
      </w:pPr>
    </w:p>
    <w:p w14:paraId="08B1D4B7" w14:textId="77777777" w:rsidR="00283F16" w:rsidRDefault="00283F16" w:rsidP="00283F16">
      <w:pPr>
        <w:pStyle w:val="Body"/>
        <w:spacing w:after="0"/>
        <w:rPr>
          <w:rFonts w:ascii="Arial" w:hAnsi="Arial" w:cs="Arial"/>
        </w:rPr>
      </w:pPr>
      <w:proofErr w:type="spellStart"/>
      <w:r w:rsidRPr="00283F16">
        <w:rPr>
          <w:rFonts w:ascii="Arial" w:hAnsi="Arial" w:cs="Arial"/>
        </w:rPr>
        <w:t>Teodorani</w:t>
      </w:r>
      <w:proofErr w:type="spellEnd"/>
      <w:r w:rsidRPr="00283F16">
        <w:rPr>
          <w:rFonts w:ascii="Arial" w:hAnsi="Arial" w:cs="Arial"/>
        </w:rPr>
        <w:t xml:space="preserve">, M. (2000). Physical data acquisition and analysis of possible flying extraterrestrial probes by using opto-electronic devices. </w:t>
      </w:r>
      <w:r w:rsidRPr="00283F16">
        <w:rPr>
          <w:rFonts w:ascii="Arial" w:hAnsi="Arial" w:cs="Arial"/>
          <w:i/>
          <w:iCs/>
        </w:rPr>
        <w:t>Extraterrestrial Physics Review, 1</w:t>
      </w:r>
      <w:r w:rsidRPr="00283F16">
        <w:rPr>
          <w:rFonts w:ascii="Arial" w:hAnsi="Arial" w:cs="Arial"/>
        </w:rPr>
        <w:t>(3), 32–37.</w:t>
      </w:r>
    </w:p>
    <w:p w14:paraId="5C5B2104" w14:textId="77777777" w:rsidR="001B7495" w:rsidRPr="00283F16" w:rsidRDefault="001B7495" w:rsidP="00283F16">
      <w:pPr>
        <w:pStyle w:val="Body"/>
        <w:spacing w:after="0"/>
        <w:rPr>
          <w:rFonts w:ascii="Arial" w:hAnsi="Arial" w:cs="Arial"/>
          <w:lang w:val="en-AU"/>
        </w:rPr>
      </w:pPr>
    </w:p>
    <w:p w14:paraId="293A2861" w14:textId="40345ED6" w:rsidR="00283F16" w:rsidRDefault="00283F16" w:rsidP="00283F16">
      <w:pPr>
        <w:pStyle w:val="Body"/>
        <w:spacing w:after="0"/>
        <w:rPr>
          <w:rFonts w:ascii="Arial" w:hAnsi="Arial" w:cs="Arial"/>
        </w:rPr>
      </w:pPr>
      <w:proofErr w:type="spellStart"/>
      <w:r w:rsidRPr="00283F16">
        <w:rPr>
          <w:rFonts w:ascii="Arial" w:hAnsi="Arial" w:cs="Arial"/>
        </w:rPr>
        <w:t>Teodorani</w:t>
      </w:r>
      <w:proofErr w:type="spellEnd"/>
      <w:r w:rsidRPr="00283F16">
        <w:rPr>
          <w:rFonts w:ascii="Arial" w:hAnsi="Arial" w:cs="Arial"/>
        </w:rPr>
        <w:t>, M., Strand, E. P. (2001). Data analys</w:t>
      </w:r>
      <w:r w:rsidR="005C03ED" w:rsidRPr="005C03ED">
        <w:rPr>
          <w:rFonts w:ascii="Arial" w:hAnsi="Arial" w:cs="Arial"/>
        </w:rPr>
        <w:t>is</w:t>
      </w:r>
      <w:r w:rsidRPr="00283F16">
        <w:rPr>
          <w:rFonts w:ascii="Arial" w:hAnsi="Arial" w:cs="Arial"/>
        </w:rPr>
        <w:t xml:space="preserve"> of anomalous luminous phenomena in Hessdalen. </w:t>
      </w:r>
      <w:r w:rsidRPr="00283F16">
        <w:rPr>
          <w:rFonts w:ascii="Arial" w:hAnsi="Arial" w:cs="Arial"/>
          <w:i/>
          <w:iCs/>
        </w:rPr>
        <w:t>Italian Committee for Project Hessdalen.</w:t>
      </w:r>
      <w:r w:rsidRPr="00283F16">
        <w:rPr>
          <w:rFonts w:ascii="Arial" w:hAnsi="Arial" w:cs="Arial"/>
        </w:rPr>
        <w:t xml:space="preserve"> </w:t>
      </w:r>
    </w:p>
    <w:p w14:paraId="4F579040" w14:textId="77777777" w:rsidR="001B7495" w:rsidRPr="00283F16" w:rsidRDefault="001B7495" w:rsidP="00283F16">
      <w:pPr>
        <w:pStyle w:val="Body"/>
        <w:spacing w:after="0"/>
        <w:rPr>
          <w:rFonts w:ascii="Arial" w:hAnsi="Arial" w:cs="Arial"/>
          <w:lang w:val="en-AU"/>
        </w:rPr>
      </w:pPr>
    </w:p>
    <w:p w14:paraId="372BD80C"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lastRenderedPageBreak/>
        <w:t>Teodorani</w:t>
      </w:r>
      <w:proofErr w:type="spellEnd"/>
      <w:r w:rsidRPr="00283F16">
        <w:rPr>
          <w:rFonts w:ascii="Arial" w:hAnsi="Arial" w:cs="Arial"/>
          <w:lang w:val="en-AU"/>
        </w:rPr>
        <w:t xml:space="preserve">, M., Nobili, G. (2002). EMBLA 2002: Optical and ground survey in Hessdalen. </w:t>
      </w:r>
      <w:r w:rsidRPr="00283F16">
        <w:rPr>
          <w:rFonts w:ascii="Arial" w:hAnsi="Arial" w:cs="Arial"/>
          <w:i/>
          <w:iCs/>
          <w:lang w:val="en-AU"/>
        </w:rPr>
        <w:t>Project Hessdalen Reports.</w:t>
      </w:r>
      <w:r w:rsidRPr="00283F16">
        <w:rPr>
          <w:rFonts w:ascii="Arial" w:hAnsi="Arial" w:cs="Arial"/>
          <w:lang w:val="en-AU"/>
        </w:rPr>
        <w:t xml:space="preserve"> </w:t>
      </w:r>
    </w:p>
    <w:p w14:paraId="1F799EEA" w14:textId="77777777" w:rsidR="001B7495" w:rsidRPr="00283F16" w:rsidRDefault="001B7495" w:rsidP="00283F16">
      <w:pPr>
        <w:pStyle w:val="Body"/>
        <w:spacing w:after="0"/>
        <w:rPr>
          <w:rFonts w:ascii="Arial" w:hAnsi="Arial" w:cs="Arial"/>
          <w:lang w:val="en-AU"/>
        </w:rPr>
      </w:pPr>
    </w:p>
    <w:p w14:paraId="280C10CA"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(2004). A long-term scientific survey of the Hessdalen phenomenon. </w:t>
      </w:r>
      <w:r w:rsidRPr="00283F16">
        <w:rPr>
          <w:rFonts w:ascii="Arial" w:hAnsi="Arial" w:cs="Arial"/>
          <w:i/>
          <w:iCs/>
          <w:lang w:val="en-AU"/>
        </w:rPr>
        <w:t>Journal of Scientific Exploration, 18</w:t>
      </w:r>
      <w:r w:rsidRPr="00283F16">
        <w:rPr>
          <w:rFonts w:ascii="Arial" w:hAnsi="Arial" w:cs="Arial"/>
          <w:lang w:val="en-AU"/>
        </w:rPr>
        <w:t xml:space="preserve">(2), 217–251. </w:t>
      </w:r>
    </w:p>
    <w:p w14:paraId="2ABF592C" w14:textId="77777777" w:rsidR="001B7495" w:rsidRPr="00283F16" w:rsidRDefault="001B7495" w:rsidP="00283F16">
      <w:pPr>
        <w:pStyle w:val="Body"/>
        <w:spacing w:after="0"/>
        <w:rPr>
          <w:rFonts w:ascii="Arial" w:hAnsi="Arial" w:cs="Arial"/>
          <w:lang w:val="en-AU"/>
        </w:rPr>
      </w:pPr>
    </w:p>
    <w:p w14:paraId="71ECD359"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(2006). An alternative method for the scientific search for extraterrestrial intelligent life: The Local SETI. INAF– </w:t>
      </w:r>
      <w:proofErr w:type="spellStart"/>
      <w:r w:rsidRPr="00283F16">
        <w:rPr>
          <w:rFonts w:ascii="Arial" w:hAnsi="Arial" w:cs="Arial"/>
          <w:i/>
          <w:iCs/>
          <w:lang w:val="en-AU"/>
        </w:rPr>
        <w:t>Istituto</w:t>
      </w:r>
      <w:proofErr w:type="spellEnd"/>
      <w:r w:rsidRPr="00283F16">
        <w:rPr>
          <w:rFonts w:ascii="Arial" w:hAnsi="Arial" w:cs="Arial"/>
          <w:i/>
          <w:iCs/>
          <w:lang w:val="en-AU"/>
        </w:rPr>
        <w:t xml:space="preserve"> di </w:t>
      </w:r>
      <w:proofErr w:type="spellStart"/>
      <w:r w:rsidRPr="00283F16">
        <w:rPr>
          <w:rFonts w:ascii="Arial" w:hAnsi="Arial" w:cs="Arial"/>
          <w:i/>
          <w:iCs/>
          <w:lang w:val="en-AU"/>
        </w:rPr>
        <w:t>Radioastronomia</w:t>
      </w:r>
      <w:proofErr w:type="spellEnd"/>
      <w:r w:rsidRPr="00283F16">
        <w:rPr>
          <w:rFonts w:ascii="Arial" w:hAnsi="Arial" w:cs="Arial"/>
          <w:lang w:val="en-AU"/>
        </w:rPr>
        <w:t>.</w:t>
      </w:r>
    </w:p>
    <w:p w14:paraId="246981F8" w14:textId="77777777" w:rsidR="001B7495" w:rsidRPr="00283F16" w:rsidRDefault="001B7495" w:rsidP="00283F16">
      <w:pPr>
        <w:pStyle w:val="Body"/>
        <w:spacing w:after="0"/>
        <w:rPr>
          <w:rFonts w:ascii="Arial" w:hAnsi="Arial" w:cs="Arial"/>
          <w:lang w:val="en-AU"/>
        </w:rPr>
      </w:pPr>
    </w:p>
    <w:p w14:paraId="2574DF7D"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(2009a). Spherical unidentified anomalous phenomena: Scientific observations and physical hypotheses. </w:t>
      </w:r>
      <w:r w:rsidRPr="00283F16">
        <w:rPr>
          <w:rFonts w:ascii="Arial" w:hAnsi="Arial" w:cs="Arial"/>
          <w:i/>
          <w:iCs/>
          <w:lang w:val="en-AU"/>
        </w:rPr>
        <w:t>NARCAP Monograph: Project Sphere.</w:t>
      </w:r>
    </w:p>
    <w:p w14:paraId="6DB29C2E" w14:textId="77777777" w:rsidR="001B7495" w:rsidRPr="00283F16" w:rsidRDefault="001B7495" w:rsidP="00283F16">
      <w:pPr>
        <w:pStyle w:val="Body"/>
        <w:spacing w:after="0"/>
        <w:rPr>
          <w:rFonts w:ascii="Arial" w:hAnsi="Arial" w:cs="Arial"/>
          <w:lang w:val="en-AU"/>
        </w:rPr>
      </w:pPr>
    </w:p>
    <w:p w14:paraId="0FAE9674"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(2009b). Scientific inquiry on anomalous atmospheric light phenomena: Past research gaps and new methodological goals. </w:t>
      </w:r>
      <w:r w:rsidRPr="00283F16">
        <w:rPr>
          <w:rFonts w:ascii="Arial" w:hAnsi="Arial" w:cs="Arial"/>
          <w:i/>
          <w:iCs/>
          <w:lang w:val="en-AU"/>
        </w:rPr>
        <w:t>Italian Committee for Project Hessdalen.</w:t>
      </w:r>
    </w:p>
    <w:p w14:paraId="1D7159F1" w14:textId="77777777" w:rsidR="001B7495" w:rsidRPr="00283F16" w:rsidRDefault="001B7495" w:rsidP="00283F16">
      <w:pPr>
        <w:pStyle w:val="Body"/>
        <w:spacing w:after="0"/>
        <w:rPr>
          <w:rFonts w:ascii="Arial" w:hAnsi="Arial" w:cs="Arial"/>
          <w:lang w:val="en-AU"/>
        </w:rPr>
      </w:pPr>
    </w:p>
    <w:p w14:paraId="37CEA407" w14:textId="77777777" w:rsidR="00283F16" w:rsidRDefault="00283F16" w:rsidP="00283F16">
      <w:pPr>
        <w:pStyle w:val="Body"/>
        <w:spacing w:after="0"/>
        <w:rPr>
          <w:rFonts w:ascii="Arial" w:hAnsi="Arial" w:cs="Arial"/>
          <w:i/>
          <w:iCs/>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(2010). Spherical unidentified anomalous phenomena: Scientific observations and physical hypotheses, danger evaluation for aviation and future observational plans. </w:t>
      </w:r>
      <w:r w:rsidRPr="00283F16">
        <w:rPr>
          <w:rFonts w:ascii="Arial" w:hAnsi="Arial" w:cs="Arial"/>
          <w:i/>
          <w:iCs/>
          <w:lang w:val="en-AU"/>
        </w:rPr>
        <w:t>NARCAP Report.</w:t>
      </w:r>
    </w:p>
    <w:p w14:paraId="646E4994" w14:textId="77777777" w:rsidR="001B7495" w:rsidRPr="00283F16" w:rsidRDefault="001B7495" w:rsidP="00283F16">
      <w:pPr>
        <w:pStyle w:val="Body"/>
        <w:spacing w:after="0"/>
        <w:rPr>
          <w:rFonts w:ascii="Arial" w:hAnsi="Arial" w:cs="Arial"/>
          <w:lang w:val="en-AU"/>
        </w:rPr>
      </w:pPr>
    </w:p>
    <w:p w14:paraId="0D7769C0"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(2013). Project for a network of automatic stations for UFO monitoring. </w:t>
      </w:r>
      <w:r w:rsidRPr="00283F16">
        <w:rPr>
          <w:rFonts w:ascii="Arial" w:hAnsi="Arial" w:cs="Arial"/>
          <w:i/>
          <w:iCs/>
          <w:lang w:val="en-AU"/>
        </w:rPr>
        <w:t>First UFOAC Workshop</w:t>
      </w:r>
      <w:r w:rsidRPr="00283F16">
        <w:rPr>
          <w:rFonts w:ascii="Arial" w:hAnsi="Arial" w:cs="Arial"/>
          <w:lang w:val="en-AU"/>
        </w:rPr>
        <w:t>, Ohio State University, Columbus, OH.</w:t>
      </w:r>
    </w:p>
    <w:p w14:paraId="0CE507CC" w14:textId="77777777" w:rsidR="001B7495" w:rsidRPr="00283F16" w:rsidRDefault="001B7495" w:rsidP="00283F16">
      <w:pPr>
        <w:pStyle w:val="Body"/>
        <w:spacing w:after="0"/>
        <w:rPr>
          <w:rFonts w:ascii="Arial" w:hAnsi="Arial" w:cs="Arial"/>
          <w:lang w:val="en-AU"/>
        </w:rPr>
      </w:pPr>
    </w:p>
    <w:p w14:paraId="43998B3A" w14:textId="5229793D" w:rsidR="001B7495" w:rsidRDefault="002D0C0F" w:rsidP="00283F16">
      <w:pPr>
        <w:pStyle w:val="Body"/>
        <w:spacing w:after="0"/>
        <w:rPr>
          <w:rFonts w:ascii="Arial" w:hAnsi="Arial" w:cs="Arial"/>
        </w:rPr>
      </w:pPr>
      <w:proofErr w:type="spellStart"/>
      <w:r w:rsidRPr="002D0C0F">
        <w:rPr>
          <w:rFonts w:ascii="Arial" w:hAnsi="Arial" w:cs="Arial"/>
        </w:rPr>
        <w:t>Teodorani</w:t>
      </w:r>
      <w:proofErr w:type="spellEnd"/>
      <w:r w:rsidRPr="002D0C0F">
        <w:rPr>
          <w:rFonts w:ascii="Arial" w:hAnsi="Arial" w:cs="Arial"/>
        </w:rPr>
        <w:t xml:space="preserve">, M. (2014). Instrumented monitoring of aerial anomalies: A scientific approach to the investigation of anomalous atmospheric light phenomena. In </w:t>
      </w:r>
      <w:r w:rsidRPr="002D0C0F">
        <w:rPr>
          <w:rFonts w:ascii="Arial" w:hAnsi="Arial" w:cs="Arial"/>
          <w:i/>
          <w:iCs/>
        </w:rPr>
        <w:t>CAIPAN Workshop Proceedings</w:t>
      </w:r>
      <w:r w:rsidRPr="002D0C0F">
        <w:rPr>
          <w:rFonts w:ascii="Arial" w:hAnsi="Arial" w:cs="Arial"/>
        </w:rPr>
        <w:t xml:space="preserve"> (pp. 1–12). Paris: CNES/GEIPAN.</w:t>
      </w:r>
    </w:p>
    <w:p w14:paraId="6A146E4D" w14:textId="77777777" w:rsidR="002D0C0F" w:rsidRPr="00283F16" w:rsidRDefault="002D0C0F" w:rsidP="00283F16">
      <w:pPr>
        <w:pStyle w:val="Body"/>
        <w:spacing w:after="0"/>
        <w:rPr>
          <w:rFonts w:ascii="Arial" w:hAnsi="Arial" w:cs="Arial"/>
          <w:lang w:val="en-AU"/>
        </w:rPr>
      </w:pPr>
    </w:p>
    <w:p w14:paraId="2319253A" w14:textId="0227E66C" w:rsidR="001B7495" w:rsidRDefault="002D0C0F" w:rsidP="00283F16">
      <w:pPr>
        <w:pStyle w:val="Body"/>
        <w:spacing w:after="0"/>
        <w:rPr>
          <w:rFonts w:ascii="Arial" w:hAnsi="Arial" w:cs="Arial"/>
        </w:rPr>
      </w:pPr>
      <w:proofErr w:type="spellStart"/>
      <w:r w:rsidRPr="00EE721C">
        <w:rPr>
          <w:rFonts w:ascii="Arial" w:hAnsi="Arial" w:cs="Arial"/>
        </w:rPr>
        <w:t>Teodorani</w:t>
      </w:r>
      <w:proofErr w:type="spellEnd"/>
      <w:r w:rsidRPr="00EE721C">
        <w:rPr>
          <w:rFonts w:ascii="Arial" w:hAnsi="Arial" w:cs="Arial"/>
        </w:rPr>
        <w:t>, M. (2022).</w:t>
      </w:r>
      <w:r w:rsidRPr="002D0C0F">
        <w:rPr>
          <w:rFonts w:ascii="Arial" w:hAnsi="Arial" w:cs="Arial"/>
        </w:rPr>
        <w:t xml:space="preserve"> The impact of physical sciences in the study of unidentified aerial phenomena (UAP). In J. Andresen &amp; O. A. Chon-Torres (Eds.), </w:t>
      </w:r>
      <w:r w:rsidRPr="002D0C0F">
        <w:rPr>
          <w:rFonts w:ascii="Arial" w:hAnsi="Arial" w:cs="Arial"/>
          <w:i/>
          <w:iCs/>
        </w:rPr>
        <w:t>Extraterrestrial intelligence: Academic and societal implications</w:t>
      </w:r>
      <w:r w:rsidRPr="002D0C0F">
        <w:rPr>
          <w:rFonts w:ascii="Arial" w:hAnsi="Arial" w:cs="Arial"/>
        </w:rPr>
        <w:t xml:space="preserve"> (pp. 124–141). Newcastle upon Tyne, UK: Cambridge Scholars Publishing.</w:t>
      </w:r>
    </w:p>
    <w:p w14:paraId="5CB459F6" w14:textId="77777777" w:rsidR="002D0C0F" w:rsidRPr="00283F16" w:rsidRDefault="002D0C0F" w:rsidP="00283F16">
      <w:pPr>
        <w:pStyle w:val="Body"/>
        <w:spacing w:after="0"/>
        <w:rPr>
          <w:rFonts w:ascii="Arial" w:hAnsi="Arial" w:cs="Arial"/>
          <w:lang w:val="en-AU"/>
        </w:rPr>
      </w:pPr>
    </w:p>
    <w:p w14:paraId="0BB7A281"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Teodorani</w:t>
      </w:r>
      <w:proofErr w:type="spellEnd"/>
      <w:r w:rsidRPr="00283F16">
        <w:rPr>
          <w:rFonts w:ascii="Arial" w:hAnsi="Arial" w:cs="Arial"/>
          <w:lang w:val="en-AU"/>
        </w:rPr>
        <w:t xml:space="preserve">, M. (2024). Investigating UAP events using astronomical techniques. </w:t>
      </w:r>
      <w:r w:rsidRPr="00283F16">
        <w:rPr>
          <w:rFonts w:ascii="Arial" w:hAnsi="Arial" w:cs="Arial"/>
          <w:i/>
          <w:iCs/>
          <w:lang w:val="en-AU"/>
        </w:rPr>
        <w:t>Journal of UAP Studies, 1</w:t>
      </w:r>
      <w:r w:rsidRPr="00283F16">
        <w:rPr>
          <w:rFonts w:ascii="Arial" w:hAnsi="Arial" w:cs="Arial"/>
          <w:lang w:val="en-AU"/>
        </w:rPr>
        <w:t>(1), 40–54.</w:t>
      </w:r>
    </w:p>
    <w:p w14:paraId="0E0127E9" w14:textId="77777777" w:rsidR="001B7495" w:rsidRPr="00283F16" w:rsidRDefault="001B7495" w:rsidP="00283F16">
      <w:pPr>
        <w:pStyle w:val="Body"/>
        <w:spacing w:after="0"/>
        <w:rPr>
          <w:rFonts w:ascii="Arial" w:hAnsi="Arial" w:cs="Arial"/>
          <w:lang w:val="en-AU"/>
        </w:rPr>
      </w:pPr>
    </w:p>
    <w:p w14:paraId="59B7E68D" w14:textId="77777777" w:rsidR="00EE721C" w:rsidRPr="00EE721C" w:rsidRDefault="00EE721C" w:rsidP="00EE721C">
      <w:pPr>
        <w:pStyle w:val="Body"/>
        <w:rPr>
          <w:rFonts w:ascii="Arial" w:hAnsi="Arial" w:cs="Arial"/>
        </w:rPr>
      </w:pPr>
      <w:r w:rsidRPr="00EE721C">
        <w:rPr>
          <w:rFonts w:ascii="Arial" w:hAnsi="Arial" w:cs="Arial"/>
          <w:lang w:val="en-AU"/>
        </w:rPr>
        <w:t xml:space="preserve">Tizfahm, T., Fakhry, S., </w:t>
      </w:r>
      <w:proofErr w:type="spellStart"/>
      <w:r w:rsidRPr="00EE721C">
        <w:rPr>
          <w:rFonts w:ascii="Arial" w:hAnsi="Arial" w:cs="Arial"/>
          <w:lang w:val="en-AU"/>
        </w:rPr>
        <w:t>Firouzjaee</w:t>
      </w:r>
      <w:proofErr w:type="spellEnd"/>
      <w:r w:rsidRPr="00EE721C">
        <w:rPr>
          <w:rFonts w:ascii="Arial" w:hAnsi="Arial" w:cs="Arial"/>
          <w:lang w:val="en-AU"/>
        </w:rPr>
        <w:t xml:space="preserve">, J. T., &amp; Del Popolo, A. (2025). Gravitational lensing in modified gravity: Constraints from scalar–tensor theories. </w:t>
      </w:r>
      <w:r w:rsidRPr="00EE721C">
        <w:rPr>
          <w:rFonts w:ascii="Arial" w:hAnsi="Arial" w:cs="Arial"/>
          <w:i/>
          <w:iCs/>
          <w:lang w:val="en-AU"/>
        </w:rPr>
        <w:t>Monthly Notices of the Royal Astronomical Society, 527</w:t>
      </w:r>
      <w:r w:rsidRPr="00EE721C">
        <w:rPr>
          <w:rFonts w:ascii="Arial" w:hAnsi="Arial" w:cs="Arial"/>
          <w:lang w:val="en-AU"/>
        </w:rPr>
        <w:t xml:space="preserve">(1), 104–116. </w:t>
      </w:r>
    </w:p>
    <w:p w14:paraId="1EE1E2CA" w14:textId="0D3EA649" w:rsidR="00283F16" w:rsidRDefault="00283F16" w:rsidP="00283F16">
      <w:pPr>
        <w:pStyle w:val="Body"/>
        <w:spacing w:after="0"/>
        <w:rPr>
          <w:rFonts w:ascii="Arial" w:hAnsi="Arial" w:cs="Arial"/>
          <w:lang w:val="en-AU"/>
        </w:rPr>
      </w:pPr>
      <w:r w:rsidRPr="00283F16">
        <w:rPr>
          <w:rFonts w:ascii="Arial" w:hAnsi="Arial" w:cs="Arial"/>
          <w:lang w:val="en-AU"/>
        </w:rPr>
        <w:t xml:space="preserve">Turner, D. J. (1997). The interaction of ball lightning with glass window panes. </w:t>
      </w:r>
      <w:r w:rsidRPr="00283F16">
        <w:rPr>
          <w:rFonts w:ascii="Arial" w:hAnsi="Arial" w:cs="Arial"/>
          <w:i/>
          <w:iCs/>
          <w:lang w:val="en-AU"/>
        </w:rPr>
        <w:t>Journal of Meteorology UK, 22</w:t>
      </w:r>
      <w:r w:rsidRPr="00283F16">
        <w:rPr>
          <w:rFonts w:ascii="Arial" w:hAnsi="Arial" w:cs="Arial"/>
          <w:lang w:val="en-AU"/>
        </w:rPr>
        <w:t>, 52–64.</w:t>
      </w:r>
    </w:p>
    <w:p w14:paraId="18CA6685" w14:textId="77777777" w:rsidR="001B7495" w:rsidRPr="00283F16" w:rsidRDefault="001B7495" w:rsidP="00283F16">
      <w:pPr>
        <w:pStyle w:val="Body"/>
        <w:spacing w:after="0"/>
        <w:rPr>
          <w:rFonts w:ascii="Arial" w:hAnsi="Arial" w:cs="Arial"/>
          <w:lang w:val="en-AU"/>
        </w:rPr>
      </w:pPr>
    </w:p>
    <w:p w14:paraId="5AC63480" w14:textId="77777777" w:rsidR="00283F16" w:rsidRDefault="00283F16" w:rsidP="00283F16">
      <w:pPr>
        <w:pStyle w:val="Body"/>
        <w:spacing w:after="0"/>
        <w:rPr>
          <w:rFonts w:ascii="Arial" w:hAnsi="Arial" w:cs="Arial"/>
        </w:rPr>
      </w:pPr>
      <w:r w:rsidRPr="00283F16">
        <w:rPr>
          <w:rFonts w:ascii="Arial" w:hAnsi="Arial" w:cs="Arial"/>
        </w:rPr>
        <w:t xml:space="preserve">Turner, D. J. (2003). The missing science of ball lightning. </w:t>
      </w:r>
      <w:r w:rsidRPr="00283F16">
        <w:rPr>
          <w:rFonts w:ascii="Arial" w:hAnsi="Arial" w:cs="Arial"/>
          <w:i/>
          <w:iCs/>
        </w:rPr>
        <w:t>Journal of Scientific Exploration, 17</w:t>
      </w:r>
      <w:r w:rsidRPr="00283F16">
        <w:rPr>
          <w:rFonts w:ascii="Arial" w:hAnsi="Arial" w:cs="Arial"/>
        </w:rPr>
        <w:t>(3), 435–496.</w:t>
      </w:r>
    </w:p>
    <w:p w14:paraId="0F420A4C" w14:textId="77777777" w:rsidR="001B7495" w:rsidRPr="00283F16" w:rsidRDefault="001B7495" w:rsidP="00283F16">
      <w:pPr>
        <w:pStyle w:val="Body"/>
        <w:spacing w:after="0"/>
        <w:rPr>
          <w:rFonts w:ascii="Arial" w:hAnsi="Arial" w:cs="Arial"/>
          <w:lang w:val="en-AU"/>
        </w:rPr>
      </w:pPr>
    </w:p>
    <w:p w14:paraId="00D8F988"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Vallée, J. (1998). </w:t>
      </w:r>
      <w:r w:rsidRPr="00283F16">
        <w:rPr>
          <w:rFonts w:ascii="Arial" w:hAnsi="Arial" w:cs="Arial"/>
          <w:i/>
          <w:iCs/>
          <w:lang w:val="en-AU"/>
        </w:rPr>
        <w:t>Forbidden Science: Journals, 1957–1969</w:t>
      </w:r>
      <w:r w:rsidRPr="00283F16">
        <w:rPr>
          <w:rFonts w:ascii="Arial" w:hAnsi="Arial" w:cs="Arial"/>
          <w:lang w:val="en-AU"/>
        </w:rPr>
        <w:t>. Berkeley, CA: North Atlantic Books.</w:t>
      </w:r>
    </w:p>
    <w:p w14:paraId="32AFBCD4" w14:textId="77777777" w:rsidR="001B7495" w:rsidRPr="00283F16" w:rsidRDefault="001B7495" w:rsidP="00283F16">
      <w:pPr>
        <w:pStyle w:val="Body"/>
        <w:spacing w:after="0"/>
        <w:rPr>
          <w:rFonts w:ascii="Arial" w:hAnsi="Arial" w:cs="Arial"/>
          <w:lang w:val="en-AU"/>
        </w:rPr>
      </w:pPr>
    </w:p>
    <w:p w14:paraId="3E5946CC" w14:textId="59BC5F5C" w:rsidR="001B7495" w:rsidRDefault="002D0C0F" w:rsidP="00283F16">
      <w:pPr>
        <w:pStyle w:val="Body"/>
        <w:spacing w:after="0"/>
        <w:rPr>
          <w:rFonts w:ascii="Arial" w:hAnsi="Arial" w:cs="Arial"/>
        </w:rPr>
      </w:pPr>
      <w:r w:rsidRPr="00EE721C">
        <w:rPr>
          <w:rFonts w:ascii="Arial" w:hAnsi="Arial" w:cs="Arial"/>
        </w:rPr>
        <w:t>Vallée, J. (2014).</w:t>
      </w:r>
      <w:r w:rsidRPr="002D0C0F">
        <w:rPr>
          <w:rFonts w:ascii="Arial" w:hAnsi="Arial" w:cs="Arial"/>
        </w:rPr>
        <w:t xml:space="preserve"> </w:t>
      </w:r>
      <w:r w:rsidRPr="002D0C0F">
        <w:rPr>
          <w:rFonts w:ascii="Arial" w:hAnsi="Arial" w:cs="Arial"/>
          <w:i/>
          <w:iCs/>
        </w:rPr>
        <w:t>Anatomy of a phenomenon: The detailed examination of unidentified aerial phenomena.</w:t>
      </w:r>
      <w:r w:rsidRPr="002D0C0F">
        <w:rPr>
          <w:rFonts w:ascii="Arial" w:hAnsi="Arial" w:cs="Arial"/>
        </w:rPr>
        <w:t xml:space="preserve"> San Antonio, TX: Anomalist Books.</w:t>
      </w:r>
    </w:p>
    <w:p w14:paraId="3FCB2396" w14:textId="77777777" w:rsidR="002D0C0F" w:rsidRPr="00283F16" w:rsidRDefault="002D0C0F" w:rsidP="00283F16">
      <w:pPr>
        <w:pStyle w:val="Body"/>
        <w:spacing w:after="0"/>
        <w:rPr>
          <w:rFonts w:ascii="Arial" w:hAnsi="Arial" w:cs="Arial"/>
          <w:lang w:val="en-AU"/>
        </w:rPr>
      </w:pPr>
    </w:p>
    <w:p w14:paraId="7EF424F0" w14:textId="77777777" w:rsidR="00283F16" w:rsidRDefault="00283F16" w:rsidP="00283F16">
      <w:pPr>
        <w:pStyle w:val="Body"/>
        <w:spacing w:after="0"/>
        <w:rPr>
          <w:rFonts w:ascii="Arial" w:hAnsi="Arial" w:cs="Arial"/>
        </w:rPr>
      </w:pPr>
      <w:r w:rsidRPr="00283F16">
        <w:rPr>
          <w:rFonts w:ascii="Arial" w:hAnsi="Arial" w:cs="Arial"/>
        </w:rPr>
        <w:t xml:space="preserve">Vallée, Jacques F., &amp; Harris, Paola Leopizzi. (2021). </w:t>
      </w:r>
      <w:r w:rsidRPr="00283F16">
        <w:rPr>
          <w:rFonts w:ascii="Arial" w:hAnsi="Arial" w:cs="Arial"/>
          <w:i/>
          <w:iCs/>
        </w:rPr>
        <w:t>TRINITY: The Best-Kept Secret</w:t>
      </w:r>
      <w:r w:rsidRPr="00283F16">
        <w:rPr>
          <w:rFonts w:ascii="Arial" w:hAnsi="Arial" w:cs="Arial"/>
        </w:rPr>
        <w:t>. Independently published. ISBN: 979-8-7459-0256-7</w:t>
      </w:r>
    </w:p>
    <w:p w14:paraId="398AB8DE" w14:textId="77777777" w:rsidR="001B7495" w:rsidRPr="00283F16" w:rsidRDefault="001B7495" w:rsidP="00283F16">
      <w:pPr>
        <w:pStyle w:val="Body"/>
        <w:spacing w:after="0"/>
        <w:rPr>
          <w:rFonts w:ascii="Arial" w:hAnsi="Arial" w:cs="Arial"/>
        </w:rPr>
      </w:pPr>
    </w:p>
    <w:p w14:paraId="773A007C" w14:textId="77777777" w:rsidR="00283F16" w:rsidRDefault="00283F16" w:rsidP="00283F16">
      <w:pPr>
        <w:pStyle w:val="Body"/>
        <w:spacing w:after="0"/>
        <w:rPr>
          <w:rFonts w:ascii="Arial" w:hAnsi="Arial" w:cs="Arial"/>
          <w:lang w:val="en-AU"/>
        </w:rPr>
      </w:pPr>
      <w:r w:rsidRPr="00283F16">
        <w:rPr>
          <w:rFonts w:ascii="Arial" w:hAnsi="Arial" w:cs="Arial"/>
          <w:lang w:val="en-AU"/>
        </w:rPr>
        <w:lastRenderedPageBreak/>
        <w:t xml:space="preserve">Vallée, J., </w:t>
      </w:r>
      <w:proofErr w:type="spellStart"/>
      <w:r w:rsidRPr="00283F16">
        <w:rPr>
          <w:rFonts w:ascii="Arial" w:hAnsi="Arial" w:cs="Arial"/>
          <w:lang w:val="en-AU"/>
        </w:rPr>
        <w:t>Aubeck</w:t>
      </w:r>
      <w:proofErr w:type="spellEnd"/>
      <w:r w:rsidRPr="00283F16">
        <w:rPr>
          <w:rFonts w:ascii="Arial" w:hAnsi="Arial" w:cs="Arial"/>
          <w:lang w:val="en-AU"/>
        </w:rPr>
        <w:t xml:space="preserve">, C. (2010). </w:t>
      </w:r>
      <w:r w:rsidRPr="00283F16">
        <w:rPr>
          <w:rFonts w:ascii="Arial" w:hAnsi="Arial" w:cs="Arial"/>
          <w:i/>
          <w:iCs/>
          <w:lang w:val="en-AU"/>
        </w:rPr>
        <w:t>Wonders in the Sky: Unexplained Aerial Objects from Antiquity to Modern Times</w:t>
      </w:r>
      <w:r w:rsidRPr="00283F16">
        <w:rPr>
          <w:rFonts w:ascii="Arial" w:hAnsi="Arial" w:cs="Arial"/>
          <w:lang w:val="en-AU"/>
        </w:rPr>
        <w:t xml:space="preserve">. New York, NY: </w:t>
      </w:r>
      <w:proofErr w:type="spellStart"/>
      <w:r w:rsidRPr="00283F16">
        <w:rPr>
          <w:rFonts w:ascii="Arial" w:hAnsi="Arial" w:cs="Arial"/>
          <w:lang w:val="en-AU"/>
        </w:rPr>
        <w:t>Tarcher</w:t>
      </w:r>
      <w:proofErr w:type="spellEnd"/>
      <w:r w:rsidRPr="00283F16">
        <w:rPr>
          <w:rFonts w:ascii="Arial" w:hAnsi="Arial" w:cs="Arial"/>
          <w:lang w:val="en-AU"/>
        </w:rPr>
        <w:t>.</w:t>
      </w:r>
    </w:p>
    <w:p w14:paraId="363D0A75" w14:textId="77777777" w:rsidR="001B7495" w:rsidRPr="00283F16" w:rsidRDefault="001B7495" w:rsidP="00283F16">
      <w:pPr>
        <w:pStyle w:val="Body"/>
        <w:spacing w:after="0"/>
        <w:rPr>
          <w:rFonts w:ascii="Arial" w:hAnsi="Arial" w:cs="Arial"/>
          <w:lang w:val="en-AU"/>
        </w:rPr>
      </w:pPr>
    </w:p>
    <w:p w14:paraId="07318FDC"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Valone, T. F. (2012). </w:t>
      </w:r>
      <w:proofErr w:type="spellStart"/>
      <w:r w:rsidRPr="00283F16">
        <w:rPr>
          <w:rFonts w:ascii="Arial" w:hAnsi="Arial" w:cs="Arial"/>
          <w:lang w:val="en-AU"/>
        </w:rPr>
        <w:t>Electrokinetics</w:t>
      </w:r>
      <w:proofErr w:type="spellEnd"/>
      <w:r w:rsidRPr="00283F16">
        <w:rPr>
          <w:rFonts w:ascii="Arial" w:hAnsi="Arial" w:cs="Arial"/>
          <w:lang w:val="en-AU"/>
        </w:rPr>
        <w:t xml:space="preserve"> as a </w:t>
      </w:r>
      <w:proofErr w:type="spellStart"/>
      <w:r w:rsidRPr="00283F16">
        <w:rPr>
          <w:rFonts w:ascii="Arial" w:hAnsi="Arial" w:cs="Arial"/>
          <w:lang w:val="en-AU"/>
        </w:rPr>
        <w:t>propellantless</w:t>
      </w:r>
      <w:proofErr w:type="spellEnd"/>
      <w:r w:rsidRPr="00283F16">
        <w:rPr>
          <w:rFonts w:ascii="Arial" w:hAnsi="Arial" w:cs="Arial"/>
          <w:lang w:val="en-AU"/>
        </w:rPr>
        <w:t xml:space="preserve"> propulsion source. </w:t>
      </w:r>
      <w:r w:rsidRPr="00283F16">
        <w:rPr>
          <w:rFonts w:ascii="Arial" w:hAnsi="Arial" w:cs="Arial"/>
          <w:i/>
          <w:iCs/>
          <w:lang w:val="en-AU"/>
        </w:rPr>
        <w:t>Physics Procedia, 38</w:t>
      </w:r>
      <w:r w:rsidRPr="00283F16">
        <w:rPr>
          <w:rFonts w:ascii="Arial" w:hAnsi="Arial" w:cs="Arial"/>
          <w:lang w:val="en-AU"/>
        </w:rPr>
        <w:t xml:space="preserve">, 87–98. </w:t>
      </w:r>
    </w:p>
    <w:p w14:paraId="3C896CA1" w14:textId="77777777" w:rsidR="001B7495" w:rsidRPr="00283F16" w:rsidRDefault="001B7495" w:rsidP="00283F16">
      <w:pPr>
        <w:pStyle w:val="Body"/>
        <w:spacing w:after="0"/>
        <w:rPr>
          <w:rFonts w:ascii="Arial" w:hAnsi="Arial" w:cs="Arial"/>
          <w:lang w:val="en-AU"/>
        </w:rPr>
      </w:pPr>
    </w:p>
    <w:p w14:paraId="13689350" w14:textId="77777777" w:rsidR="00283F16" w:rsidRDefault="00283F16" w:rsidP="00283F16">
      <w:pPr>
        <w:pStyle w:val="Body"/>
        <w:spacing w:after="0"/>
        <w:rPr>
          <w:rFonts w:ascii="Arial" w:hAnsi="Arial" w:cs="Arial"/>
          <w:lang w:val="en-AU"/>
        </w:rPr>
      </w:pPr>
      <w:proofErr w:type="spellStart"/>
      <w:r w:rsidRPr="00283F16">
        <w:rPr>
          <w:rFonts w:ascii="Arial" w:hAnsi="Arial" w:cs="Arial"/>
          <w:lang w:val="en-AU"/>
        </w:rPr>
        <w:t>Vegetti</w:t>
      </w:r>
      <w:proofErr w:type="spellEnd"/>
      <w:r w:rsidRPr="00283F16">
        <w:rPr>
          <w:rFonts w:ascii="Arial" w:hAnsi="Arial" w:cs="Arial"/>
          <w:lang w:val="en-AU"/>
        </w:rPr>
        <w:t xml:space="preserve">, S., Birrer, S., </w:t>
      </w:r>
      <w:proofErr w:type="spellStart"/>
      <w:r w:rsidRPr="00283F16">
        <w:rPr>
          <w:rFonts w:ascii="Arial" w:hAnsi="Arial" w:cs="Arial"/>
          <w:lang w:val="en-AU"/>
        </w:rPr>
        <w:t>Despali</w:t>
      </w:r>
      <w:proofErr w:type="spellEnd"/>
      <w:r w:rsidRPr="00283F16">
        <w:rPr>
          <w:rFonts w:ascii="Arial" w:hAnsi="Arial" w:cs="Arial"/>
          <w:lang w:val="en-AU"/>
        </w:rPr>
        <w:t xml:space="preserve">, G., Fassnacht, C. D., Gilman, D., </w:t>
      </w:r>
      <w:proofErr w:type="spellStart"/>
      <w:r w:rsidRPr="00283F16">
        <w:rPr>
          <w:rFonts w:ascii="Arial" w:hAnsi="Arial" w:cs="Arial"/>
          <w:lang w:val="en-AU"/>
        </w:rPr>
        <w:t>Hezaveh</w:t>
      </w:r>
      <w:proofErr w:type="spellEnd"/>
      <w:r w:rsidRPr="00283F16">
        <w:rPr>
          <w:rFonts w:ascii="Arial" w:hAnsi="Arial" w:cs="Arial"/>
          <w:lang w:val="en-AU"/>
        </w:rPr>
        <w:t xml:space="preserve">, Y. D., Koopmans, L. V. E., Nightingale, J., Shajib, A. J., Sonnenfeld, A., Treu, T., Wagner, J. (2024). Strong gravitational lensing as a probe of dark matter. </w:t>
      </w:r>
      <w:r w:rsidRPr="00283F16">
        <w:rPr>
          <w:rFonts w:ascii="Arial" w:hAnsi="Arial" w:cs="Arial"/>
          <w:i/>
          <w:iCs/>
          <w:lang w:val="en-AU"/>
        </w:rPr>
        <w:t>Space Science Reviews, 220</w:t>
      </w:r>
      <w:r w:rsidRPr="00283F16">
        <w:rPr>
          <w:rFonts w:ascii="Arial" w:hAnsi="Arial" w:cs="Arial"/>
          <w:lang w:val="en-AU"/>
        </w:rPr>
        <w:t xml:space="preserve">(2), 21. </w:t>
      </w:r>
    </w:p>
    <w:p w14:paraId="23764D49" w14:textId="77777777" w:rsidR="001B7495" w:rsidRPr="00283F16" w:rsidRDefault="001B7495" w:rsidP="00283F16">
      <w:pPr>
        <w:pStyle w:val="Body"/>
        <w:spacing w:after="0"/>
        <w:rPr>
          <w:rFonts w:ascii="Arial" w:hAnsi="Arial" w:cs="Arial"/>
          <w:lang w:val="en-AU"/>
        </w:rPr>
      </w:pPr>
    </w:p>
    <w:p w14:paraId="49667A3B" w14:textId="77777777" w:rsidR="00EE721C" w:rsidRPr="00EE721C" w:rsidRDefault="00EE721C" w:rsidP="00EE721C">
      <w:pPr>
        <w:pStyle w:val="Body"/>
        <w:rPr>
          <w:rFonts w:ascii="Arial" w:hAnsi="Arial" w:cs="Arial"/>
        </w:rPr>
      </w:pPr>
      <w:proofErr w:type="spellStart"/>
      <w:r w:rsidRPr="00EE721C">
        <w:rPr>
          <w:rFonts w:ascii="Arial" w:hAnsi="Arial" w:cs="Arial"/>
          <w:lang w:val="en-AU"/>
        </w:rPr>
        <w:t>Vegetti</w:t>
      </w:r>
      <w:proofErr w:type="spellEnd"/>
      <w:r w:rsidRPr="00EE721C">
        <w:rPr>
          <w:rFonts w:ascii="Arial" w:hAnsi="Arial" w:cs="Arial"/>
          <w:lang w:val="en-AU"/>
        </w:rPr>
        <w:t xml:space="preserve">, S., </w:t>
      </w:r>
      <w:proofErr w:type="spellStart"/>
      <w:r w:rsidRPr="00EE721C">
        <w:rPr>
          <w:rFonts w:ascii="Arial" w:hAnsi="Arial" w:cs="Arial"/>
          <w:lang w:val="en-AU"/>
        </w:rPr>
        <w:t>Despali</w:t>
      </w:r>
      <w:proofErr w:type="spellEnd"/>
      <w:r w:rsidRPr="00EE721C">
        <w:rPr>
          <w:rFonts w:ascii="Arial" w:hAnsi="Arial" w:cs="Arial"/>
          <w:lang w:val="en-AU"/>
        </w:rPr>
        <w:t xml:space="preserve">, G., Lovell, M., Cyr-Racine, F.-Y., &amp; Gilman, D. (2024). Strong lensing as a probe of dark matter microphysics. </w:t>
      </w:r>
      <w:r w:rsidRPr="00EE721C">
        <w:rPr>
          <w:rFonts w:ascii="Arial" w:hAnsi="Arial" w:cs="Arial"/>
          <w:i/>
          <w:iCs/>
          <w:lang w:val="en-AU"/>
        </w:rPr>
        <w:t>Space Science Reviews, 220</w:t>
      </w:r>
      <w:r w:rsidRPr="00EE721C">
        <w:rPr>
          <w:rFonts w:ascii="Arial" w:hAnsi="Arial" w:cs="Arial"/>
          <w:lang w:val="en-AU"/>
        </w:rPr>
        <w:t xml:space="preserve">(2), 23. </w:t>
      </w:r>
    </w:p>
    <w:p w14:paraId="2DE813DE" w14:textId="47AC28A8" w:rsidR="00283F16" w:rsidRDefault="00283F16" w:rsidP="00283F16">
      <w:pPr>
        <w:pStyle w:val="Body"/>
        <w:spacing w:after="0"/>
        <w:rPr>
          <w:rFonts w:ascii="Arial" w:hAnsi="Arial" w:cs="Arial"/>
        </w:rPr>
      </w:pPr>
      <w:r w:rsidRPr="00283F16">
        <w:rPr>
          <w:rFonts w:ascii="Arial" w:hAnsi="Arial" w:cs="Arial"/>
        </w:rPr>
        <w:t xml:space="preserve">Virbhadra, K. S., Ellis, G. F. R. (2002). Gravitational lensing by naked singularities. </w:t>
      </w:r>
      <w:r w:rsidRPr="00283F16">
        <w:rPr>
          <w:rFonts w:ascii="Arial" w:hAnsi="Arial" w:cs="Arial"/>
          <w:i/>
          <w:iCs/>
        </w:rPr>
        <w:t>Physical Review D, 65</w:t>
      </w:r>
      <w:r w:rsidRPr="00283F16">
        <w:rPr>
          <w:rFonts w:ascii="Arial" w:hAnsi="Arial" w:cs="Arial"/>
        </w:rPr>
        <w:t xml:space="preserve">(10), 103004. </w:t>
      </w:r>
      <w:hyperlink r:id="rId59" w:tgtFrame="_new" w:history="1">
        <w:r w:rsidRPr="00283F16">
          <w:rPr>
            <w:rStyle w:val="Hyperlink"/>
            <w:rFonts w:ascii="Arial" w:hAnsi="Arial" w:cs="Arial"/>
          </w:rPr>
          <w:t>https://doi.org/10.1103/PhysRevD.65.103004</w:t>
        </w:r>
      </w:hyperlink>
    </w:p>
    <w:p w14:paraId="61CE396A" w14:textId="77777777" w:rsidR="001B7495" w:rsidRPr="00283F16" w:rsidRDefault="001B7495" w:rsidP="00283F16">
      <w:pPr>
        <w:pStyle w:val="Body"/>
        <w:spacing w:after="0"/>
        <w:rPr>
          <w:rFonts w:ascii="Arial" w:hAnsi="Arial" w:cs="Arial"/>
        </w:rPr>
      </w:pPr>
    </w:p>
    <w:p w14:paraId="3B4F0124" w14:textId="77777777" w:rsidR="00283F16" w:rsidRDefault="00283F16" w:rsidP="00283F16">
      <w:pPr>
        <w:pStyle w:val="Body"/>
        <w:spacing w:after="0"/>
        <w:rPr>
          <w:rFonts w:ascii="Arial" w:hAnsi="Arial" w:cs="Arial"/>
          <w:lang w:val="en-AU"/>
        </w:rPr>
      </w:pPr>
      <w:r w:rsidRPr="00283F16">
        <w:rPr>
          <w:rFonts w:ascii="Arial" w:hAnsi="Arial" w:cs="Arial"/>
          <w:lang w:val="en-AU"/>
        </w:rPr>
        <w:t xml:space="preserve">Watters, W. A., et al. (2023). The scientific investigation of unidentified aerial phenomena (UAP) using multimodal ground-based observatories. </w:t>
      </w:r>
      <w:r w:rsidRPr="00283F16">
        <w:rPr>
          <w:rFonts w:ascii="Arial" w:hAnsi="Arial" w:cs="Arial"/>
          <w:i/>
          <w:iCs/>
          <w:lang w:val="en-AU"/>
        </w:rPr>
        <w:t>Journal of Astronomical Instrumentation, 12</w:t>
      </w:r>
      <w:r w:rsidRPr="00283F16">
        <w:rPr>
          <w:rFonts w:ascii="Arial" w:hAnsi="Arial" w:cs="Arial"/>
          <w:lang w:val="en-AU"/>
        </w:rPr>
        <w:t xml:space="preserve">(1), 1–43. </w:t>
      </w:r>
    </w:p>
    <w:p w14:paraId="487C37A4" w14:textId="77777777" w:rsidR="001B7495" w:rsidRPr="00283F16" w:rsidRDefault="001B7495" w:rsidP="00283F16">
      <w:pPr>
        <w:pStyle w:val="Body"/>
        <w:spacing w:after="0"/>
        <w:rPr>
          <w:rFonts w:ascii="Arial" w:hAnsi="Arial" w:cs="Arial"/>
          <w:lang w:val="en-AU"/>
        </w:rPr>
      </w:pPr>
    </w:p>
    <w:p w14:paraId="60EBA595" w14:textId="77777777" w:rsidR="00283F16" w:rsidRDefault="00283F16" w:rsidP="00283F16">
      <w:pPr>
        <w:pStyle w:val="Body"/>
        <w:spacing w:after="0"/>
        <w:rPr>
          <w:rFonts w:ascii="Arial" w:hAnsi="Arial" w:cs="Arial"/>
          <w:i/>
          <w:iCs/>
          <w:lang w:val="en-AU"/>
        </w:rPr>
      </w:pPr>
      <w:r w:rsidRPr="00283F16">
        <w:rPr>
          <w:rFonts w:ascii="Arial" w:hAnsi="Arial" w:cs="Arial"/>
          <w:lang w:val="en-AU"/>
        </w:rPr>
        <w:t xml:space="preserve">Weinstein, D. R. (2012). Aviation safety and unidentified aerial phenomena: A preliminary study of 600 cases reported by military and civilian pilots. </w:t>
      </w:r>
      <w:r w:rsidRPr="00283F16">
        <w:rPr>
          <w:rFonts w:ascii="Arial" w:hAnsi="Arial" w:cs="Arial"/>
          <w:i/>
          <w:iCs/>
          <w:lang w:val="en-AU"/>
        </w:rPr>
        <w:t>NARCAP International Air Safety Report, IR-4.</w:t>
      </w:r>
    </w:p>
    <w:p w14:paraId="5F38C418" w14:textId="77777777" w:rsidR="001B7495" w:rsidRPr="00283F16" w:rsidRDefault="001B7495" w:rsidP="00283F16">
      <w:pPr>
        <w:pStyle w:val="Body"/>
        <w:spacing w:after="0"/>
        <w:rPr>
          <w:rFonts w:ascii="Arial" w:hAnsi="Arial" w:cs="Arial"/>
          <w:lang w:val="en-AU"/>
        </w:rPr>
      </w:pPr>
    </w:p>
    <w:p w14:paraId="4B3C275C" w14:textId="77777777" w:rsidR="00283F16" w:rsidRPr="00283F16" w:rsidRDefault="00283F16" w:rsidP="00283F16">
      <w:pPr>
        <w:pStyle w:val="Body"/>
        <w:spacing w:after="0"/>
        <w:rPr>
          <w:rFonts w:ascii="Arial" w:hAnsi="Arial" w:cs="Arial"/>
          <w:lang w:val="en-AU"/>
        </w:rPr>
      </w:pPr>
      <w:r w:rsidRPr="00283F16">
        <w:rPr>
          <w:rFonts w:ascii="Arial" w:hAnsi="Arial" w:cs="Arial"/>
          <w:lang w:val="en-AU"/>
        </w:rPr>
        <w:t xml:space="preserve">Wendt, A., Duvall, R. (2015). Sovereignty and the UFO. </w:t>
      </w:r>
      <w:r w:rsidRPr="00283F16">
        <w:rPr>
          <w:rFonts w:ascii="Arial" w:hAnsi="Arial" w:cs="Arial"/>
          <w:i/>
          <w:iCs/>
          <w:lang w:val="en-AU"/>
        </w:rPr>
        <w:t>Political Theory, 43</w:t>
      </w:r>
      <w:r w:rsidRPr="00283F16">
        <w:rPr>
          <w:rFonts w:ascii="Arial" w:hAnsi="Arial" w:cs="Arial"/>
          <w:lang w:val="en-AU"/>
        </w:rPr>
        <w:t xml:space="preserve">(2), 153–181. </w:t>
      </w:r>
    </w:p>
    <w:p w14:paraId="5DBED348" w14:textId="77777777" w:rsidR="00283F16" w:rsidRDefault="00283F16" w:rsidP="00283F16">
      <w:pPr>
        <w:pStyle w:val="Body"/>
        <w:spacing w:after="0"/>
        <w:rPr>
          <w:rFonts w:ascii="Arial" w:hAnsi="Arial" w:cs="Arial"/>
        </w:rPr>
      </w:pPr>
      <w:r w:rsidRPr="00283F16">
        <w:rPr>
          <w:rFonts w:ascii="Arial" w:hAnsi="Arial" w:cs="Arial"/>
        </w:rPr>
        <w:t xml:space="preserve">Wu, Y. H., Li, H. P., Shi, X. X., Wan, J., Liu, Y. F., &amp; Yu, D. G. (2016). Effective </w:t>
      </w:r>
      <w:proofErr w:type="spellStart"/>
      <w:r w:rsidRPr="00283F16">
        <w:rPr>
          <w:rFonts w:ascii="Arial" w:hAnsi="Arial" w:cs="Arial"/>
        </w:rPr>
        <w:t>utililisation</w:t>
      </w:r>
      <w:proofErr w:type="spellEnd"/>
      <w:r w:rsidRPr="00283F16">
        <w:rPr>
          <w:rFonts w:ascii="Arial" w:hAnsi="Arial" w:cs="Arial"/>
        </w:rPr>
        <w:t xml:space="preserve"> of the electrostatic repulsion for improved alignment of </w:t>
      </w:r>
      <w:proofErr w:type="spellStart"/>
      <w:r w:rsidRPr="00283F16">
        <w:rPr>
          <w:rFonts w:ascii="Arial" w:hAnsi="Arial" w:cs="Arial"/>
        </w:rPr>
        <w:t>electrospun</w:t>
      </w:r>
      <w:proofErr w:type="spellEnd"/>
      <w:r w:rsidRPr="00283F16">
        <w:rPr>
          <w:rFonts w:ascii="Arial" w:hAnsi="Arial" w:cs="Arial"/>
        </w:rPr>
        <w:t xml:space="preserve"> </w:t>
      </w:r>
      <w:proofErr w:type="spellStart"/>
      <w:r w:rsidRPr="00283F16">
        <w:rPr>
          <w:rFonts w:ascii="Arial" w:hAnsi="Arial" w:cs="Arial"/>
        </w:rPr>
        <w:t>nanofibres</w:t>
      </w:r>
      <w:proofErr w:type="spellEnd"/>
      <w:r w:rsidRPr="00283F16">
        <w:rPr>
          <w:rFonts w:ascii="Arial" w:hAnsi="Arial" w:cs="Arial"/>
        </w:rPr>
        <w:t xml:space="preserve">. </w:t>
      </w:r>
      <w:r w:rsidRPr="00283F16">
        <w:rPr>
          <w:rFonts w:ascii="Arial" w:hAnsi="Arial" w:cs="Arial"/>
          <w:i/>
          <w:iCs/>
        </w:rPr>
        <w:t>Journal of Nanomaterials, 2016</w:t>
      </w:r>
      <w:r w:rsidRPr="00283F16">
        <w:rPr>
          <w:rFonts w:ascii="Arial" w:hAnsi="Arial" w:cs="Arial"/>
        </w:rPr>
        <w:t xml:space="preserve">, Article ID 2067383. </w:t>
      </w:r>
    </w:p>
    <w:p w14:paraId="011F763C" w14:textId="77777777" w:rsidR="001B7495" w:rsidRPr="00283F16" w:rsidRDefault="001B7495" w:rsidP="00283F16">
      <w:pPr>
        <w:pStyle w:val="Body"/>
        <w:spacing w:after="0"/>
        <w:rPr>
          <w:rFonts w:ascii="Arial" w:hAnsi="Arial" w:cs="Arial"/>
          <w:lang w:val="en-AU"/>
        </w:rPr>
      </w:pPr>
    </w:p>
    <w:p w14:paraId="7CBC4958" w14:textId="77777777" w:rsidR="00283F16" w:rsidRDefault="00283F16" w:rsidP="00283F16">
      <w:pPr>
        <w:pStyle w:val="Body"/>
        <w:spacing w:after="0"/>
        <w:rPr>
          <w:rFonts w:ascii="Arial" w:hAnsi="Arial" w:cs="Arial"/>
        </w:rPr>
      </w:pPr>
      <w:r w:rsidRPr="00283F16">
        <w:rPr>
          <w:rFonts w:ascii="Arial" w:hAnsi="Arial" w:cs="Arial"/>
          <w:lang w:val="en-AU"/>
        </w:rPr>
        <w:t xml:space="preserve">Wyman, M. (2011). Galilean-invariant scalar fields can strengthen gravitational lensing. </w:t>
      </w:r>
      <w:r w:rsidRPr="00283F16">
        <w:rPr>
          <w:rFonts w:ascii="Arial" w:hAnsi="Arial" w:cs="Arial"/>
          <w:i/>
          <w:iCs/>
          <w:lang w:val="en-AU"/>
        </w:rPr>
        <w:t>Physical Review Letters</w:t>
      </w:r>
      <w:r w:rsidRPr="00283F16">
        <w:rPr>
          <w:rFonts w:ascii="Arial" w:hAnsi="Arial" w:cs="Arial"/>
          <w:lang w:val="en-AU"/>
        </w:rPr>
        <w:t xml:space="preserve">. 106, 201102. DOI: </w:t>
      </w:r>
      <w:hyperlink r:id="rId60" w:history="1">
        <w:r w:rsidRPr="00283F16">
          <w:rPr>
            <w:rStyle w:val="Hyperlink"/>
            <w:rFonts w:ascii="Arial" w:hAnsi="Arial" w:cs="Arial"/>
            <w:lang w:val="en-AU"/>
          </w:rPr>
          <w:t>https://doi.org/10.1103/PhysRevLett.106.201102</w:t>
        </w:r>
      </w:hyperlink>
    </w:p>
    <w:p w14:paraId="164C705F" w14:textId="77777777" w:rsidR="001B7495" w:rsidRPr="00283F16" w:rsidRDefault="001B7495" w:rsidP="00283F16">
      <w:pPr>
        <w:pStyle w:val="Body"/>
        <w:spacing w:after="0"/>
        <w:rPr>
          <w:rFonts w:ascii="Arial" w:hAnsi="Arial" w:cs="Arial"/>
          <w:lang w:val="en-AU"/>
        </w:rPr>
      </w:pPr>
    </w:p>
    <w:p w14:paraId="5E56AD27" w14:textId="77777777" w:rsidR="00283F16" w:rsidRDefault="00283F16" w:rsidP="00283F16">
      <w:pPr>
        <w:pStyle w:val="Body"/>
        <w:spacing w:after="0"/>
        <w:rPr>
          <w:rFonts w:ascii="Arial" w:hAnsi="Arial" w:cs="Arial"/>
          <w:lang w:val="en-AU"/>
        </w:rPr>
      </w:pPr>
      <w:bookmarkStart w:id="3" w:name="_Hlk209292665"/>
      <w:r w:rsidRPr="00283F16">
        <w:rPr>
          <w:rFonts w:ascii="Arial" w:hAnsi="Arial" w:cs="Arial"/>
          <w:lang w:val="en-AU"/>
        </w:rPr>
        <w:t xml:space="preserve">Zou, Y. (1995). </w:t>
      </w:r>
      <w:r w:rsidRPr="00283F16">
        <w:rPr>
          <w:rFonts w:ascii="Arial" w:hAnsi="Arial" w:cs="Arial"/>
          <w:i/>
          <w:iCs/>
          <w:lang w:val="en-AU"/>
        </w:rPr>
        <w:t>The physics of ball lightning.</w:t>
      </w:r>
      <w:r w:rsidRPr="00283F16">
        <w:rPr>
          <w:rFonts w:ascii="Arial" w:hAnsi="Arial" w:cs="Arial"/>
          <w:lang w:val="en-AU"/>
        </w:rPr>
        <w:t xml:space="preserve"> Beijing: Science Press.</w:t>
      </w:r>
    </w:p>
    <w:p w14:paraId="30E89D1C" w14:textId="77777777" w:rsidR="001B7495" w:rsidRPr="00283F16" w:rsidRDefault="001B7495" w:rsidP="00283F16">
      <w:pPr>
        <w:pStyle w:val="Body"/>
        <w:spacing w:after="0"/>
        <w:rPr>
          <w:rFonts w:ascii="Arial" w:hAnsi="Arial" w:cs="Arial"/>
          <w:lang w:val="en-AU"/>
        </w:rPr>
      </w:pPr>
    </w:p>
    <w:bookmarkEnd w:id="3"/>
    <w:p w14:paraId="3E3D987F" w14:textId="77777777" w:rsidR="00283F16" w:rsidRDefault="00283F16" w:rsidP="00283F16">
      <w:pPr>
        <w:pStyle w:val="Body"/>
        <w:spacing w:after="0"/>
        <w:rPr>
          <w:rFonts w:ascii="Arial" w:hAnsi="Arial" w:cs="Arial"/>
        </w:rPr>
      </w:pPr>
      <w:r w:rsidRPr="00283F16">
        <w:rPr>
          <w:rFonts w:ascii="Arial" w:hAnsi="Arial" w:cs="Arial"/>
          <w:lang w:val="en-AU"/>
        </w:rPr>
        <w:t xml:space="preserve">Zhilyaev, B. E., Petukhov, V. N., </w:t>
      </w:r>
      <w:proofErr w:type="spellStart"/>
      <w:r w:rsidRPr="00283F16">
        <w:rPr>
          <w:rFonts w:ascii="Arial" w:hAnsi="Arial" w:cs="Arial"/>
          <w:lang w:val="en-AU"/>
        </w:rPr>
        <w:t>Reshetnyk</w:t>
      </w:r>
      <w:proofErr w:type="spellEnd"/>
      <w:r w:rsidRPr="00283F16">
        <w:rPr>
          <w:rFonts w:ascii="Arial" w:hAnsi="Arial" w:cs="Arial"/>
          <w:lang w:val="en-AU"/>
        </w:rPr>
        <w:t xml:space="preserve">, V. M. (2022a). Unidentified aerial phenomena I: Observations of events. </w:t>
      </w:r>
      <w:proofErr w:type="spellStart"/>
      <w:r w:rsidRPr="00283F16">
        <w:rPr>
          <w:rFonts w:ascii="Arial" w:hAnsi="Arial" w:cs="Arial"/>
          <w:i/>
          <w:iCs/>
          <w:lang w:val="en-AU"/>
        </w:rPr>
        <w:t>arXiv</w:t>
      </w:r>
      <w:proofErr w:type="spellEnd"/>
      <w:r w:rsidRPr="00283F16">
        <w:rPr>
          <w:rFonts w:ascii="Arial" w:hAnsi="Arial" w:cs="Arial"/>
          <w:i/>
          <w:iCs/>
          <w:lang w:val="en-AU"/>
        </w:rPr>
        <w:t xml:space="preserve"> preprint</w:t>
      </w:r>
      <w:r w:rsidRPr="00283F16">
        <w:rPr>
          <w:rFonts w:ascii="Arial" w:hAnsi="Arial" w:cs="Arial"/>
          <w:lang w:val="en-AU"/>
        </w:rPr>
        <w:t xml:space="preserve">. </w:t>
      </w:r>
      <w:hyperlink r:id="rId61" w:history="1">
        <w:r w:rsidRPr="00283F16">
          <w:rPr>
            <w:rStyle w:val="Hyperlink"/>
            <w:rFonts w:ascii="Arial" w:hAnsi="Arial" w:cs="Arial"/>
            <w:lang w:val="en-AU"/>
          </w:rPr>
          <w:t>https://arxiv.org/abs/2208.11215</w:t>
        </w:r>
      </w:hyperlink>
    </w:p>
    <w:p w14:paraId="47C04036" w14:textId="77777777" w:rsidR="001B7495" w:rsidRPr="00283F16" w:rsidRDefault="001B7495" w:rsidP="00283F16">
      <w:pPr>
        <w:pStyle w:val="Body"/>
        <w:spacing w:after="0"/>
        <w:rPr>
          <w:rFonts w:ascii="Arial" w:hAnsi="Arial" w:cs="Arial"/>
          <w:lang w:val="en-AU"/>
        </w:rPr>
      </w:pPr>
    </w:p>
    <w:p w14:paraId="5C10061E" w14:textId="77777777" w:rsidR="00283F16" w:rsidRDefault="00283F16" w:rsidP="00283F16">
      <w:pPr>
        <w:pStyle w:val="Body"/>
        <w:spacing w:after="0"/>
        <w:rPr>
          <w:rFonts w:ascii="Arial" w:hAnsi="Arial" w:cs="Arial"/>
          <w:lang w:val="en-GB"/>
        </w:rPr>
      </w:pPr>
      <w:r w:rsidRPr="00283F16">
        <w:rPr>
          <w:rFonts w:ascii="Arial" w:hAnsi="Arial" w:cs="Arial"/>
          <w:lang w:val="en-AU"/>
        </w:rPr>
        <w:t xml:space="preserve">Zhilyaev, B. E., Petukhov, V. N., </w:t>
      </w:r>
      <w:proofErr w:type="spellStart"/>
      <w:r w:rsidRPr="00283F16">
        <w:rPr>
          <w:rFonts w:ascii="Arial" w:hAnsi="Arial" w:cs="Arial"/>
          <w:lang w:val="en-AU"/>
        </w:rPr>
        <w:t>Reshetnyk</w:t>
      </w:r>
      <w:proofErr w:type="spellEnd"/>
      <w:r w:rsidRPr="00283F16">
        <w:rPr>
          <w:rFonts w:ascii="Arial" w:hAnsi="Arial" w:cs="Arial"/>
          <w:lang w:val="en-AU"/>
        </w:rPr>
        <w:t xml:space="preserve">, V. M. (2022b). Unidentified aerial phenomena II: Evaluation of UAP properties. </w:t>
      </w:r>
      <w:proofErr w:type="spellStart"/>
      <w:r w:rsidRPr="00283F16">
        <w:rPr>
          <w:rFonts w:ascii="Arial" w:hAnsi="Arial" w:cs="Arial"/>
          <w:i/>
          <w:iCs/>
          <w:lang w:val="en-AU"/>
        </w:rPr>
        <w:t>arXiv</w:t>
      </w:r>
      <w:proofErr w:type="spellEnd"/>
      <w:r w:rsidRPr="00283F16">
        <w:rPr>
          <w:rFonts w:ascii="Arial" w:hAnsi="Arial" w:cs="Arial"/>
          <w:i/>
          <w:iCs/>
          <w:lang w:val="en-AU"/>
        </w:rPr>
        <w:t xml:space="preserve"> preprint</w:t>
      </w:r>
      <w:r w:rsidRPr="00283F16">
        <w:rPr>
          <w:rFonts w:ascii="Arial" w:hAnsi="Arial" w:cs="Arial"/>
          <w:lang w:val="en-AU"/>
        </w:rPr>
        <w:t xml:space="preserve">. </w:t>
      </w:r>
      <w:hyperlink r:id="rId62" w:tgtFrame="_new" w:history="1">
        <w:r w:rsidRPr="00283F16">
          <w:rPr>
            <w:rStyle w:val="Hyperlink"/>
            <w:rFonts w:ascii="Arial" w:hAnsi="Arial" w:cs="Arial"/>
            <w:lang w:val="en-AU"/>
          </w:rPr>
          <w:t>https://arxiv.org/abs/2211.17085</w:t>
        </w:r>
      </w:hyperlink>
      <w:r w:rsidRPr="00283F16">
        <w:rPr>
          <w:rFonts w:ascii="Arial" w:hAnsi="Arial" w:cs="Arial"/>
          <w:lang w:val="en-GB"/>
        </w:rPr>
        <w:t>.</w:t>
      </w:r>
    </w:p>
    <w:p w14:paraId="11518D23" w14:textId="77777777" w:rsidR="001B7495" w:rsidRPr="00283F16" w:rsidRDefault="001B7495" w:rsidP="00283F16">
      <w:pPr>
        <w:pStyle w:val="Body"/>
        <w:spacing w:after="0"/>
        <w:rPr>
          <w:rFonts w:ascii="Arial" w:hAnsi="Arial" w:cs="Arial"/>
          <w:lang w:val="en-GB"/>
        </w:rPr>
      </w:pPr>
    </w:p>
    <w:p w14:paraId="6DC79FC3" w14:textId="77777777" w:rsidR="00283F16" w:rsidRPr="00283F16" w:rsidRDefault="00283F16" w:rsidP="00283F16">
      <w:pPr>
        <w:pStyle w:val="Body"/>
        <w:spacing w:after="0"/>
        <w:rPr>
          <w:rFonts w:ascii="Arial" w:hAnsi="Arial" w:cs="Arial"/>
          <w:lang w:val="en-AU"/>
        </w:rPr>
      </w:pPr>
    </w:p>
    <w:p w14:paraId="1E48E724" w14:textId="77777777" w:rsidR="00283F16" w:rsidRPr="00283F16" w:rsidRDefault="00283F16" w:rsidP="00283F16">
      <w:pPr>
        <w:pStyle w:val="Body"/>
        <w:spacing w:after="0"/>
        <w:rPr>
          <w:rFonts w:ascii="Arial" w:hAnsi="Arial" w:cs="Arial"/>
          <w:lang w:val="en-AU"/>
        </w:rPr>
      </w:pPr>
    </w:p>
    <w:p w14:paraId="6DD807BF" w14:textId="77777777" w:rsidR="00283F16" w:rsidRPr="00283F16" w:rsidRDefault="00283F16" w:rsidP="00283F16">
      <w:pPr>
        <w:pStyle w:val="Body"/>
        <w:spacing w:after="0"/>
        <w:rPr>
          <w:rFonts w:ascii="Arial" w:hAnsi="Arial" w:cs="Arial"/>
          <w:lang w:val="en-AU"/>
        </w:rPr>
      </w:pPr>
    </w:p>
    <w:p w14:paraId="13AE2905" w14:textId="77777777" w:rsidR="00283F16" w:rsidRPr="00283F16" w:rsidRDefault="00283F16" w:rsidP="00283F16">
      <w:pPr>
        <w:pStyle w:val="Body"/>
        <w:spacing w:after="0"/>
        <w:rPr>
          <w:rFonts w:ascii="Arial" w:hAnsi="Arial" w:cs="Arial"/>
          <w:lang w:val="en-AU"/>
        </w:rPr>
      </w:pPr>
    </w:p>
    <w:p w14:paraId="1B685765" w14:textId="77777777" w:rsidR="00283F16" w:rsidRPr="00283F16" w:rsidRDefault="00283F16" w:rsidP="00283F16">
      <w:pPr>
        <w:pStyle w:val="Body"/>
        <w:spacing w:after="0"/>
        <w:rPr>
          <w:rFonts w:ascii="Arial" w:hAnsi="Arial" w:cs="Arial"/>
          <w:lang w:val="en-AU"/>
        </w:rPr>
      </w:pPr>
    </w:p>
    <w:p w14:paraId="775A31CE" w14:textId="77777777" w:rsidR="00283F16" w:rsidRDefault="00283F16" w:rsidP="00B422E6">
      <w:pPr>
        <w:pStyle w:val="Body"/>
        <w:spacing w:after="0"/>
        <w:rPr>
          <w:rFonts w:ascii="Arial" w:hAnsi="Arial" w:cs="Arial"/>
        </w:rPr>
      </w:pPr>
    </w:p>
    <w:p w14:paraId="0F54A7A9" w14:textId="77777777" w:rsidR="00283F16" w:rsidRPr="00B422E6" w:rsidRDefault="00283F16" w:rsidP="00B422E6">
      <w:pPr>
        <w:pStyle w:val="Body"/>
        <w:spacing w:after="0"/>
        <w:rPr>
          <w:rFonts w:ascii="Arial" w:hAnsi="Arial" w:cs="Arial"/>
          <w:lang w:val="en-AU"/>
        </w:rPr>
      </w:pPr>
    </w:p>
    <w:p w14:paraId="07564B05" w14:textId="77777777" w:rsidR="00B422E6" w:rsidRDefault="00B422E6" w:rsidP="00441B6F">
      <w:pPr>
        <w:pStyle w:val="Body"/>
        <w:spacing w:after="0"/>
        <w:rPr>
          <w:rFonts w:ascii="Arial" w:hAnsi="Arial" w:cs="Arial"/>
        </w:rPr>
      </w:pPr>
    </w:p>
    <w:p w14:paraId="2D667AF6" w14:textId="77777777" w:rsidR="00B422E6" w:rsidRDefault="00B422E6" w:rsidP="00441B6F">
      <w:pPr>
        <w:pStyle w:val="Body"/>
        <w:spacing w:after="0"/>
        <w:rPr>
          <w:rFonts w:ascii="Arial" w:hAnsi="Arial" w:cs="Arial"/>
        </w:rPr>
      </w:pPr>
    </w:p>
    <w:p w14:paraId="0C9EDCDE" w14:textId="77777777" w:rsidR="00ED5EA4" w:rsidRDefault="00ED5EA4" w:rsidP="00441B6F">
      <w:pPr>
        <w:pStyle w:val="Body"/>
        <w:spacing w:after="0"/>
        <w:rPr>
          <w:rFonts w:ascii="Arial" w:hAnsi="Arial" w:cs="Arial"/>
        </w:rPr>
      </w:pPr>
    </w:p>
    <w:sectPr w:rsidR="00ED5EA4" w:rsidSect="00F1627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4AA2D" w14:textId="77777777" w:rsidR="008C1644" w:rsidRDefault="008C1644" w:rsidP="00C37E61">
      <w:r>
        <w:separator/>
      </w:r>
    </w:p>
  </w:endnote>
  <w:endnote w:type="continuationSeparator" w:id="0">
    <w:p w14:paraId="18FBF982" w14:textId="77777777" w:rsidR="008C1644" w:rsidRDefault="008C16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3190" w14:textId="77777777" w:rsidR="005F2A9E" w:rsidRDefault="005F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71E0" w14:textId="77777777" w:rsidR="005F2A9E" w:rsidRDefault="005F2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8642" w14:textId="77777777" w:rsidR="009E048A" w:rsidRDefault="009E048A">
    <w:pPr>
      <w:pStyle w:val="Footer"/>
      <w:rPr>
        <w:rFonts w:ascii="Arial" w:hAnsi="Arial" w:cs="Arial"/>
        <w:sz w:val="16"/>
      </w:rPr>
    </w:pPr>
  </w:p>
  <w:p w14:paraId="507A5B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05FF71" w14:textId="77777777" w:rsidR="009E048A" w:rsidRDefault="009E048A">
    <w:pPr>
      <w:pStyle w:val="Footer"/>
      <w:rPr>
        <w:rFonts w:ascii="Arial" w:hAnsi="Arial" w:cs="Arial"/>
        <w:sz w:val="16"/>
      </w:rPr>
    </w:pPr>
  </w:p>
  <w:p w14:paraId="5E25435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DB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7BDF" w14:textId="77777777" w:rsidR="008C1644" w:rsidRDefault="008C1644" w:rsidP="00C37E61">
      <w:r>
        <w:separator/>
      </w:r>
    </w:p>
  </w:footnote>
  <w:footnote w:type="continuationSeparator" w:id="0">
    <w:p w14:paraId="6110B247" w14:textId="77777777" w:rsidR="008C1644" w:rsidRDefault="008C16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B0B5" w14:textId="3153CEA0" w:rsidR="005F2A9E" w:rsidRDefault="005F2A9E">
    <w:pPr>
      <w:pStyle w:val="Header"/>
    </w:pPr>
    <w:r>
      <w:rPr>
        <w:noProof/>
      </w:rPr>
      <w:pict w14:anchorId="2DBC7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0D19" w14:textId="31BE5507" w:rsidR="005F2A9E" w:rsidRDefault="005F2A9E">
    <w:pPr>
      <w:pStyle w:val="Header"/>
    </w:pPr>
    <w:r>
      <w:rPr>
        <w:noProof/>
      </w:rPr>
      <w:pict w14:anchorId="7CE3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9520" w14:textId="018E2111" w:rsidR="00296529" w:rsidRPr="00296529" w:rsidRDefault="005F2A9E" w:rsidP="00296529">
    <w:pPr>
      <w:ind w:left="2160"/>
      <w:jc w:val="center"/>
      <w:rPr>
        <w:rFonts w:ascii="Times New Roman" w:eastAsia="Calibri" w:hAnsi="Times New Roman"/>
        <w:i/>
        <w:sz w:val="18"/>
        <w:szCs w:val="22"/>
      </w:rPr>
    </w:pPr>
    <w:r>
      <w:rPr>
        <w:noProof/>
      </w:rPr>
      <w:pict w14:anchorId="49920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72C5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03B7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433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BC0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93E9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74A3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0420" w14:textId="5232179F" w:rsidR="005F2A9E" w:rsidRDefault="005F2A9E">
    <w:pPr>
      <w:pStyle w:val="Header"/>
    </w:pPr>
    <w:r>
      <w:rPr>
        <w:noProof/>
      </w:rPr>
      <w:pict w14:anchorId="07A14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5781" w14:textId="0AB6DD73" w:rsidR="005F2A9E" w:rsidRDefault="005F2A9E">
    <w:pPr>
      <w:pStyle w:val="Header"/>
    </w:pPr>
    <w:r>
      <w:rPr>
        <w:noProof/>
      </w:rPr>
      <w:pict w14:anchorId="44910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F8C2" w14:textId="120135FD" w:rsidR="005F2A9E" w:rsidRDefault="005F2A9E">
    <w:pPr>
      <w:pStyle w:val="Header"/>
    </w:pPr>
    <w:r>
      <w:rPr>
        <w:noProof/>
      </w:rPr>
      <w:pict w14:anchorId="575FD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71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C2F67"/>
    <w:multiLevelType w:val="multilevel"/>
    <w:tmpl w:val="9BBA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46ADF"/>
    <w:multiLevelType w:val="multilevel"/>
    <w:tmpl w:val="B87E281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CA546D"/>
    <w:multiLevelType w:val="multilevel"/>
    <w:tmpl w:val="B87E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67438"/>
    <w:multiLevelType w:val="multilevel"/>
    <w:tmpl w:val="B87E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A92C03"/>
    <w:multiLevelType w:val="multilevel"/>
    <w:tmpl w:val="53F0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4"/>
  </w:num>
  <w:num w:numId="13">
    <w:abstractNumId w:val="22"/>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1"/>
  </w:num>
  <w:num w:numId="31">
    <w:abstractNumId w:val="3"/>
  </w:num>
  <w:num w:numId="32">
    <w:abstractNumId w:val="18"/>
  </w:num>
  <w:num w:numId="33">
    <w:abstractNumId w:val="19"/>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2C3"/>
    <w:rsid w:val="000A47FA"/>
    <w:rsid w:val="000A65D3"/>
    <w:rsid w:val="000B14E6"/>
    <w:rsid w:val="000B1E33"/>
    <w:rsid w:val="000C2E19"/>
    <w:rsid w:val="000D689F"/>
    <w:rsid w:val="000E7B7B"/>
    <w:rsid w:val="000E7D62"/>
    <w:rsid w:val="00103357"/>
    <w:rsid w:val="00122A93"/>
    <w:rsid w:val="00123C9F"/>
    <w:rsid w:val="00126190"/>
    <w:rsid w:val="00130F17"/>
    <w:rsid w:val="001320BF"/>
    <w:rsid w:val="00163BC4"/>
    <w:rsid w:val="00191062"/>
    <w:rsid w:val="00192B72"/>
    <w:rsid w:val="001A29D8"/>
    <w:rsid w:val="001A5CAA"/>
    <w:rsid w:val="001B0427"/>
    <w:rsid w:val="001B60E6"/>
    <w:rsid w:val="001B7495"/>
    <w:rsid w:val="001D3A51"/>
    <w:rsid w:val="001E10D2"/>
    <w:rsid w:val="001E25B4"/>
    <w:rsid w:val="001E3366"/>
    <w:rsid w:val="001E44FE"/>
    <w:rsid w:val="00200595"/>
    <w:rsid w:val="00204835"/>
    <w:rsid w:val="00231920"/>
    <w:rsid w:val="0023195C"/>
    <w:rsid w:val="00232C63"/>
    <w:rsid w:val="0024282C"/>
    <w:rsid w:val="002460DC"/>
    <w:rsid w:val="00250985"/>
    <w:rsid w:val="002556F6"/>
    <w:rsid w:val="00283105"/>
    <w:rsid w:val="00283F16"/>
    <w:rsid w:val="00284C4C"/>
    <w:rsid w:val="00287E68"/>
    <w:rsid w:val="00296529"/>
    <w:rsid w:val="002B27FB"/>
    <w:rsid w:val="002B685A"/>
    <w:rsid w:val="002C54B9"/>
    <w:rsid w:val="002C57D2"/>
    <w:rsid w:val="002D0C0F"/>
    <w:rsid w:val="002D430B"/>
    <w:rsid w:val="002E0D56"/>
    <w:rsid w:val="002E2075"/>
    <w:rsid w:val="00315186"/>
    <w:rsid w:val="0033343E"/>
    <w:rsid w:val="003418DC"/>
    <w:rsid w:val="003512C2"/>
    <w:rsid w:val="00371FB6"/>
    <w:rsid w:val="003763C1"/>
    <w:rsid w:val="00376BBE"/>
    <w:rsid w:val="0039224F"/>
    <w:rsid w:val="003A43A4"/>
    <w:rsid w:val="003A7E18"/>
    <w:rsid w:val="003C4C86"/>
    <w:rsid w:val="003C6258"/>
    <w:rsid w:val="003E2904"/>
    <w:rsid w:val="00401927"/>
    <w:rsid w:val="0041027F"/>
    <w:rsid w:val="00412475"/>
    <w:rsid w:val="0042272A"/>
    <w:rsid w:val="00423789"/>
    <w:rsid w:val="00440F43"/>
    <w:rsid w:val="00441B6F"/>
    <w:rsid w:val="00446221"/>
    <w:rsid w:val="00450E62"/>
    <w:rsid w:val="004539DB"/>
    <w:rsid w:val="00471A80"/>
    <w:rsid w:val="00497E85"/>
    <w:rsid w:val="004C1497"/>
    <w:rsid w:val="004D2526"/>
    <w:rsid w:val="004D305E"/>
    <w:rsid w:val="004D4277"/>
    <w:rsid w:val="00502516"/>
    <w:rsid w:val="00505F06"/>
    <w:rsid w:val="00506828"/>
    <w:rsid w:val="00524E58"/>
    <w:rsid w:val="0053056E"/>
    <w:rsid w:val="00554FDA"/>
    <w:rsid w:val="00572B7F"/>
    <w:rsid w:val="00577B71"/>
    <w:rsid w:val="005800E6"/>
    <w:rsid w:val="005916BE"/>
    <w:rsid w:val="005C03ED"/>
    <w:rsid w:val="005C784C"/>
    <w:rsid w:val="005D1428"/>
    <w:rsid w:val="005D17F6"/>
    <w:rsid w:val="005E5539"/>
    <w:rsid w:val="005F2A9E"/>
    <w:rsid w:val="00602BF5"/>
    <w:rsid w:val="0060739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C2E"/>
    <w:rsid w:val="006F11EC"/>
    <w:rsid w:val="0070082C"/>
    <w:rsid w:val="007369E6"/>
    <w:rsid w:val="00746E59"/>
    <w:rsid w:val="00754C9A"/>
    <w:rsid w:val="0075599A"/>
    <w:rsid w:val="00761D52"/>
    <w:rsid w:val="00763F7A"/>
    <w:rsid w:val="00775E16"/>
    <w:rsid w:val="0077749E"/>
    <w:rsid w:val="00790ADA"/>
    <w:rsid w:val="007D2288"/>
    <w:rsid w:val="007E088F"/>
    <w:rsid w:val="007E3302"/>
    <w:rsid w:val="007F7B32"/>
    <w:rsid w:val="00804BC2"/>
    <w:rsid w:val="0081431A"/>
    <w:rsid w:val="0083216F"/>
    <w:rsid w:val="00837049"/>
    <w:rsid w:val="00860000"/>
    <w:rsid w:val="0086391F"/>
    <w:rsid w:val="00863BD3"/>
    <w:rsid w:val="008641ED"/>
    <w:rsid w:val="00866D66"/>
    <w:rsid w:val="008671C6"/>
    <w:rsid w:val="008711E9"/>
    <w:rsid w:val="00875803"/>
    <w:rsid w:val="008B459E"/>
    <w:rsid w:val="008C164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51D"/>
    <w:rsid w:val="009F0EDA"/>
    <w:rsid w:val="00A03B96"/>
    <w:rsid w:val="00A05B19"/>
    <w:rsid w:val="00A1134E"/>
    <w:rsid w:val="00A24E7E"/>
    <w:rsid w:val="00A258C3"/>
    <w:rsid w:val="00A347C0"/>
    <w:rsid w:val="00A45B8E"/>
    <w:rsid w:val="00A51431"/>
    <w:rsid w:val="00A539AD"/>
    <w:rsid w:val="00A94063"/>
    <w:rsid w:val="00AA6219"/>
    <w:rsid w:val="00AA74E0"/>
    <w:rsid w:val="00AB703F"/>
    <w:rsid w:val="00AC6BB8"/>
    <w:rsid w:val="00AE008F"/>
    <w:rsid w:val="00B01FCD"/>
    <w:rsid w:val="00B1776C"/>
    <w:rsid w:val="00B422E6"/>
    <w:rsid w:val="00B4783E"/>
    <w:rsid w:val="00B52583"/>
    <w:rsid w:val="00B52896"/>
    <w:rsid w:val="00B55755"/>
    <w:rsid w:val="00B95236"/>
    <w:rsid w:val="00B96BD9"/>
    <w:rsid w:val="00BA1B01"/>
    <w:rsid w:val="00BA2641"/>
    <w:rsid w:val="00BB37AA"/>
    <w:rsid w:val="00BC53A0"/>
    <w:rsid w:val="00BE62AD"/>
    <w:rsid w:val="00BF121F"/>
    <w:rsid w:val="00BF1F80"/>
    <w:rsid w:val="00C12544"/>
    <w:rsid w:val="00C166EF"/>
    <w:rsid w:val="00C17EB0"/>
    <w:rsid w:val="00C25398"/>
    <w:rsid w:val="00C27F5F"/>
    <w:rsid w:val="00C30A0F"/>
    <w:rsid w:val="00C37E61"/>
    <w:rsid w:val="00C70F1B"/>
    <w:rsid w:val="00C71A47"/>
    <w:rsid w:val="00C7464C"/>
    <w:rsid w:val="00C85588"/>
    <w:rsid w:val="00CD6755"/>
    <w:rsid w:val="00CD6856"/>
    <w:rsid w:val="00CE0089"/>
    <w:rsid w:val="00CE793C"/>
    <w:rsid w:val="00CF193C"/>
    <w:rsid w:val="00D16E50"/>
    <w:rsid w:val="00D173F1"/>
    <w:rsid w:val="00D74CB0"/>
    <w:rsid w:val="00D8295D"/>
    <w:rsid w:val="00D85B53"/>
    <w:rsid w:val="00DA63E0"/>
    <w:rsid w:val="00DB0EB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5EA4"/>
    <w:rsid w:val="00EE4E3B"/>
    <w:rsid w:val="00EE52CB"/>
    <w:rsid w:val="00EE721C"/>
    <w:rsid w:val="00EF581D"/>
    <w:rsid w:val="00EF7FD8"/>
    <w:rsid w:val="00F06F59"/>
    <w:rsid w:val="00F1627F"/>
    <w:rsid w:val="00F17988"/>
    <w:rsid w:val="00F44F92"/>
    <w:rsid w:val="00F469F0"/>
    <w:rsid w:val="00F53273"/>
    <w:rsid w:val="00F71954"/>
    <w:rsid w:val="00F755E4"/>
    <w:rsid w:val="00F77D02"/>
    <w:rsid w:val="00FA422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DE75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hal.science/hal-03120208v2" TargetMode="External"/><Relationship Id="rId39" Type="http://schemas.openxmlformats.org/officeDocument/2006/relationships/hyperlink" Target="http://www.leeh.net/polyarts/Archive/01070001.pdf" TargetMode="External"/><Relationship Id="rId21" Type="http://schemas.openxmlformats.org/officeDocument/2006/relationships/image" Target="media/image4.png"/><Relationship Id="rId34" Type="http://schemas.openxmlformats.org/officeDocument/2006/relationships/hyperlink" Target="https://doi.org/10.1016/j.paerosci.2025.101099" TargetMode="External"/><Relationship Id="rId42" Type="http://schemas.openxmlformats.org/officeDocument/2006/relationships/hyperlink" Target="https://doi.org/10.1103/PhysRevA.110.043322" TargetMode="External"/><Relationship Id="rId47" Type="http://schemas.openxmlformats.org/officeDocument/2006/relationships/hyperlink" Target="https://ntrs.nasa.gov/api/citations/19800010907/downloads/19800010907.pdf" TargetMode="External"/><Relationship Id="rId50" Type="http://schemas.openxmlformats.org/officeDocument/2006/relationships/hyperlink" Target="https://doi.org/10.1126/science.1126493" TargetMode="External"/><Relationship Id="rId55" Type="http://schemas.openxmlformats.org/officeDocument/2006/relationships/hyperlink" Target="https://doi.org/10.1103/PhysRevD.35.326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26/science.1126493" TargetMode="External"/><Relationship Id="rId11" Type="http://schemas.openxmlformats.org/officeDocument/2006/relationships/footer" Target="footer2.xml"/><Relationship Id="rId24" Type="http://schemas.openxmlformats.org/officeDocument/2006/relationships/hyperlink" Target="https://doi.org/10.1016/j.physa.2022.127807" TargetMode="External"/><Relationship Id="rId32" Type="http://schemas.openxmlformats.org/officeDocument/2006/relationships/hyperlink" Target="https://doi.org/10.1007/s11214-024-01041-w" TargetMode="External"/><Relationship Id="rId37" Type="http://schemas.openxmlformats.org/officeDocument/2006/relationships/hyperlink" Target="https://arxiv.org/abs/2208.11215" TargetMode="External"/><Relationship Id="rId40" Type="http://schemas.openxmlformats.org/officeDocument/2006/relationships/hyperlink" Target="https://hal.science/hal-01320459v3" TargetMode="External"/><Relationship Id="rId45" Type="http://schemas.openxmlformats.org/officeDocument/2006/relationships/hyperlink" Target="https://doi.org/10.1007/s10701-007-9190-0" TargetMode="External"/><Relationship Id="rId53" Type="http://schemas.openxmlformats.org/officeDocument/2006/relationships/hyperlink" Target="https://doi.org/10.48550/arXiv.astro-ph/9606001" TargetMode="External"/><Relationship Id="rId58" Type="http://schemas.openxmlformats.org/officeDocument/2006/relationships/hyperlink" Target="https://doi.org/10.1038/s41598-024-70286-w" TargetMode="External"/><Relationship Id="rId5" Type="http://schemas.openxmlformats.org/officeDocument/2006/relationships/webSettings" Target="webSettings.xml"/><Relationship Id="rId61" Type="http://schemas.openxmlformats.org/officeDocument/2006/relationships/hyperlink" Target="https://arxiv.org/abs/2208.11215" TargetMode="External"/><Relationship Id="rId1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s://doi.org/10.1038/35000525" TargetMode="External"/><Relationship Id="rId27" Type="http://schemas.openxmlformats.org/officeDocument/2006/relationships/hyperlink" Target="https://doi.org/10.1103/PhysRevA.49.678" TargetMode="External"/><Relationship Id="rId30" Type="http://schemas.openxmlformats.org/officeDocument/2006/relationships/hyperlink" Target="https://doi.org/10.1126/science.1125907" TargetMode="External"/><Relationship Id="rId35" Type="http://schemas.openxmlformats.org/officeDocument/2006/relationships/hyperlink" Target="https://doi.org/10.1038/s41598-024-70286-w" TargetMode="External"/><Relationship Id="rId43" Type="http://schemas.openxmlformats.org/officeDocument/2006/relationships/hyperlink" Target="https://doi.org/10.1007/978-3-031-98330-6_4" TargetMode="External"/><Relationship Id="rId48" Type="http://schemas.openxmlformats.org/officeDocument/2006/relationships/hyperlink" Target="https://doi.org/10.1103/PhysRevD.69.044026" TargetMode="External"/><Relationship Id="rId56" Type="http://schemas.openxmlformats.org/officeDocument/2006/relationships/hyperlink" Target="https://doi.org/10.1007/s11214-024-01041-w"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03/RevModPhys.97.01500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hal.science/hal-01320459v3" TargetMode="External"/><Relationship Id="rId33" Type="http://schemas.openxmlformats.org/officeDocument/2006/relationships/hyperlink" Target="https://doi.org/10.1007/s10712-020-09597-2" TargetMode="External"/><Relationship Id="rId38" Type="http://schemas.openxmlformats.org/officeDocument/2006/relationships/hyperlink" Target="https://arxiv.org/abs/2211.17085" TargetMode="External"/><Relationship Id="rId46" Type="http://schemas.openxmlformats.org/officeDocument/2006/relationships/hyperlink" Target="https://doi.org/10.1007/978-3-030-51197-5_10" TargetMode="External"/><Relationship Id="rId59" Type="http://schemas.openxmlformats.org/officeDocument/2006/relationships/hyperlink" Target="https://doi.org/10.1103/PhysRevD.65.103004" TargetMode="External"/><Relationship Id="rId20" Type="http://schemas.openxmlformats.org/officeDocument/2006/relationships/image" Target="media/image3.png"/><Relationship Id="rId41" Type="http://schemas.openxmlformats.org/officeDocument/2006/relationships/hyperlink" Target="https://hal.science/hal-03120208v2" TargetMode="External"/><Relationship Id="rId54" Type="http://schemas.openxmlformats.org/officeDocument/2006/relationships/hyperlink" Target="https://doi.org/10.1126/science.1125907" TargetMode="External"/><Relationship Id="rId62" Type="http://schemas.openxmlformats.org/officeDocument/2006/relationships/hyperlink" Target="https://arxiv.org/abs/2211.17085?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leeh.net/polyarts/Archive/01070001.pdf" TargetMode="External"/><Relationship Id="rId28" Type="http://schemas.openxmlformats.org/officeDocument/2006/relationships/hyperlink" Target="https://doi.org/10.3390/e21100939" TargetMode="External"/><Relationship Id="rId36" Type="http://schemas.openxmlformats.org/officeDocument/2006/relationships/hyperlink" Target="https://doi.org/10.1103/PhysRevLett.106.201102" TargetMode="External"/><Relationship Id="rId49" Type="http://schemas.openxmlformats.org/officeDocument/2006/relationships/hyperlink" Target="https://www.konfluence.org/bpp/" TargetMode="External"/><Relationship Id="rId57" Type="http://schemas.openxmlformats.org/officeDocument/2006/relationships/hyperlink" Target="https://doi.org/10.1007/s10712-020-09597-2" TargetMode="External"/><Relationship Id="rId10" Type="http://schemas.openxmlformats.org/officeDocument/2006/relationships/footer" Target="footer1.xml"/><Relationship Id="rId31" Type="http://schemas.openxmlformats.org/officeDocument/2006/relationships/hyperlink" Target="https://doi.org/10.1103/PhysRevD.35.3266" TargetMode="External"/><Relationship Id="rId44" Type="http://schemas.openxmlformats.org/officeDocument/2006/relationships/hyperlink" Target="https://doi.org/10.1103/PhysRevLett.133.180201" TargetMode="External"/><Relationship Id="rId52" Type="http://schemas.openxmlformats.org/officeDocument/2006/relationships/hyperlink" Target="https://doi.org/10.1038/s41598-023-49527-x" TargetMode="External"/><Relationship Id="rId60" Type="http://schemas.openxmlformats.org/officeDocument/2006/relationships/hyperlink" Target="https://doi.org/10.1103/PhysRevLett.106.201102"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3861-31A6-4E4F-96F6-66E47687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25</Pages>
  <Words>9884</Words>
  <Characters>56340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2025-10-01T04:53:00Z</dcterms:created>
  <dcterms:modified xsi:type="dcterms:W3CDTF">2025-10-03T07:36:00Z</dcterms:modified>
</cp:coreProperties>
</file>