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BED1A" w14:textId="4E9E26F6" w:rsidR="00CB677E" w:rsidRPr="00416C2D" w:rsidRDefault="00416C2D" w:rsidP="00301CBB">
      <w:pPr>
        <w:pStyle w:val="Author"/>
        <w:jc w:val="left"/>
        <w:rPr>
          <w:rFonts w:ascii="Arial" w:hAnsi="Arial" w:cs="Arial"/>
          <w:bCs/>
          <w:iCs/>
          <w:kern w:val="28"/>
          <w:sz w:val="28"/>
          <w:szCs w:val="16"/>
          <w:u w:val="single"/>
        </w:rPr>
      </w:pPr>
      <w:r w:rsidRPr="00416C2D">
        <w:rPr>
          <w:rFonts w:ascii="Arial" w:hAnsi="Arial" w:cs="Arial"/>
          <w:bCs/>
          <w:iCs/>
          <w:kern w:val="28"/>
          <w:sz w:val="28"/>
          <w:szCs w:val="16"/>
          <w:u w:val="single"/>
        </w:rPr>
        <w:t>Review Article</w:t>
      </w:r>
    </w:p>
    <w:p w14:paraId="3F711E3E" w14:textId="77777777" w:rsidR="00416C2D" w:rsidRPr="00416C2D" w:rsidRDefault="00416C2D" w:rsidP="00301CBB">
      <w:pPr>
        <w:pStyle w:val="Author"/>
        <w:jc w:val="left"/>
        <w:rPr>
          <w:rFonts w:ascii="Arial" w:hAnsi="Arial" w:cs="Arial"/>
          <w:bCs/>
          <w:iCs/>
          <w:kern w:val="28"/>
          <w:sz w:val="36"/>
        </w:rPr>
      </w:pPr>
    </w:p>
    <w:p w14:paraId="75701B1E" w14:textId="3785B715" w:rsidR="00163BC4" w:rsidRPr="00356AD9" w:rsidRDefault="00CB677E" w:rsidP="00274A36">
      <w:pPr>
        <w:pStyle w:val="Author"/>
        <w:rPr>
          <w:rFonts w:ascii="Arial" w:hAnsi="Arial" w:cs="Arial"/>
          <w:bCs/>
          <w:iCs/>
          <w:kern w:val="28"/>
          <w:sz w:val="32"/>
          <w:szCs w:val="18"/>
        </w:rPr>
      </w:pPr>
      <w:r w:rsidRPr="00356AD9">
        <w:rPr>
          <w:rFonts w:ascii="Arial" w:hAnsi="Arial" w:cs="Arial"/>
          <w:bCs/>
          <w:iCs/>
          <w:kern w:val="28"/>
          <w:sz w:val="32"/>
          <w:szCs w:val="18"/>
        </w:rPr>
        <w:t>Hexane (HEX) and Ethyl Acetate (EtoAc): Risk</w:t>
      </w:r>
      <w:r w:rsidR="00301CBB" w:rsidRPr="00356AD9">
        <w:rPr>
          <w:rFonts w:ascii="Arial" w:hAnsi="Arial" w:cs="Arial"/>
          <w:bCs/>
          <w:iCs/>
          <w:kern w:val="28"/>
          <w:sz w:val="32"/>
          <w:szCs w:val="18"/>
        </w:rPr>
        <w:t xml:space="preserve"> </w:t>
      </w:r>
      <w:r w:rsidRPr="00356AD9">
        <w:rPr>
          <w:rFonts w:ascii="Arial" w:hAnsi="Arial" w:cs="Arial"/>
          <w:bCs/>
          <w:iCs/>
          <w:kern w:val="28"/>
          <w:sz w:val="32"/>
          <w:szCs w:val="18"/>
        </w:rPr>
        <w:t>assessment, environmental, and health hazard: a short review</w:t>
      </w:r>
    </w:p>
    <w:p w14:paraId="68CD4E40" w14:textId="77777777" w:rsidR="00A258C3" w:rsidRPr="00790ADA" w:rsidRDefault="00A258C3" w:rsidP="00441B6F">
      <w:pPr>
        <w:pStyle w:val="Author"/>
        <w:spacing w:line="240" w:lineRule="auto"/>
        <w:jc w:val="both"/>
        <w:rPr>
          <w:rFonts w:ascii="Arial" w:hAnsi="Arial" w:cs="Arial"/>
          <w:sz w:val="36"/>
        </w:rPr>
      </w:pPr>
    </w:p>
    <w:p w14:paraId="59E24B4B" w14:textId="27E08B3F" w:rsidR="00B01FCD" w:rsidRPr="00FB3A86" w:rsidRDefault="004D08E1" w:rsidP="00441B6F">
      <w:pPr>
        <w:pStyle w:val="Copyright"/>
        <w:spacing w:after="0" w:line="240" w:lineRule="auto"/>
        <w:jc w:val="both"/>
        <w:rPr>
          <w:rFonts w:ascii="Arial" w:hAnsi="Arial" w:cs="Arial"/>
        </w:rPr>
        <w:sectPr w:rsidR="00B01FCD" w:rsidRPr="00FB3A86" w:rsidSect="00777FFB">
          <w:headerReference w:type="even" r:id="rId8"/>
          <w:headerReference w:type="default" r:id="rId9"/>
          <w:footerReference w:type="even" r:id="rId10"/>
          <w:footerReference w:type="default" r:id="rId11"/>
          <w:headerReference w:type="first" r:id="rId12"/>
          <w:footerReference w:type="first" r:id="rId13"/>
          <w:pgSz w:w="12240" w:h="15840" w:code="1"/>
          <w:pgMar w:top="1258" w:right="2016" w:bottom="2016" w:left="2016" w:header="720" w:footer="1296" w:gutter="0"/>
          <w:cols w:space="720"/>
          <w:docGrid w:linePitch="272"/>
        </w:sectPr>
      </w:pPr>
      <w:r>
        <w:rPr>
          <w:rFonts w:ascii="Arial" w:hAnsi="Arial" w:cs="Arial"/>
        </w:rPr>
      </w:r>
      <w:r>
        <w:rPr>
          <w:rFonts w:ascii="Arial" w:hAnsi="Arial" w:cs="Arial"/>
        </w:rPr>
        <w:pict w14:anchorId="6CB6AC92">
          <v:shapetype id="_x0000_t32" coordsize="21600,21600" o:spt="32" o:oned="t" path="m,l21600,21600e" filled="f">
            <v:path arrowok="t" fillok="f" o:connecttype="none"/>
            <o:lock v:ext="edit" shapetype="t"/>
          </v:shapetype>
          <v:shape id="_x0000_s103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p>
    <w:p w14:paraId="2FEED8C7" w14:textId="77777777" w:rsidR="004A176B" w:rsidRDefault="004A176B" w:rsidP="00441B6F">
      <w:pPr>
        <w:pStyle w:val="AbstHead"/>
        <w:spacing w:after="0"/>
        <w:jc w:val="both"/>
        <w:rPr>
          <w:rFonts w:ascii="Arial" w:hAnsi="Arial" w:cs="Arial"/>
        </w:rPr>
      </w:pPr>
    </w:p>
    <w:p w14:paraId="596F661E" w14:textId="6F411C7D" w:rsidR="00B01FCD" w:rsidRDefault="00B01FCD" w:rsidP="00441B6F">
      <w:pPr>
        <w:pStyle w:val="AbstHead"/>
        <w:spacing w:after="0"/>
        <w:jc w:val="both"/>
        <w:rPr>
          <w:rFonts w:ascii="Arial" w:hAnsi="Arial" w:cs="Arial"/>
        </w:rPr>
      </w:pPr>
      <w:r w:rsidRPr="00FB3A86">
        <w:rPr>
          <w:rFonts w:ascii="Arial" w:hAnsi="Arial" w:cs="Arial"/>
        </w:rPr>
        <w:t>ABSTRACT</w:t>
      </w:r>
    </w:p>
    <w:p w14:paraId="21AD7FF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6FB8BDF" w14:textId="77777777" w:rsidTr="001E44FE">
        <w:tc>
          <w:tcPr>
            <w:tcW w:w="9576" w:type="dxa"/>
            <w:shd w:val="clear" w:color="auto" w:fill="F2F2F2"/>
          </w:tcPr>
          <w:p w14:paraId="1A71B363" w14:textId="408624E1" w:rsidR="00505F06" w:rsidRPr="00BA1B01" w:rsidRDefault="00274A36" w:rsidP="00441B6F">
            <w:pPr>
              <w:pStyle w:val="Body"/>
              <w:spacing w:after="0"/>
              <w:rPr>
                <w:rFonts w:ascii="Arial" w:eastAsia="Calibri" w:hAnsi="Arial" w:cs="Arial"/>
                <w:szCs w:val="22"/>
              </w:rPr>
            </w:pPr>
            <w:r>
              <w:rPr>
                <w:b/>
                <w:bCs/>
              </w:rPr>
              <w:t xml:space="preserve">Backgroung: </w:t>
            </w:r>
            <w:r>
              <w:t xml:space="preserve">Manufactured chemicals are the second important classes as the natural chemicals mentioned above and </w:t>
            </w:r>
            <w:r w:rsidRPr="00F01E50">
              <w:t>the American Chemistry Council (ACC) projects global chemical production to rise by 3.4</w:t>
            </w:r>
            <w:r>
              <w:t xml:space="preserve"> </w:t>
            </w:r>
            <w:r w:rsidRPr="00F01E50">
              <w:t>% in 2024 and 3.5</w:t>
            </w:r>
            <w:r>
              <w:t xml:space="preserve"> </w:t>
            </w:r>
            <w:r w:rsidRPr="00F01E50">
              <w:t>% in 2025, after increasing just 0.3</w:t>
            </w:r>
            <w:r>
              <w:t xml:space="preserve"> </w:t>
            </w:r>
            <w:r w:rsidRPr="00F01E50">
              <w:t>% in 2023</w:t>
            </w:r>
            <w:r>
              <w:t xml:space="preserve">. Exist a variety of process in the industries that use a wide range of different chemicals accordingly their classes considering structure, polarity solubility for specific targeting. </w:t>
            </w:r>
            <w:r w:rsidRPr="008B4860">
              <w:t>The common organic solvents</w:t>
            </w:r>
            <w:r>
              <w:t xml:space="preserve"> </w:t>
            </w:r>
            <w:r w:rsidRPr="008B4860">
              <w:t>are generally classified as an aliphatic</w:t>
            </w:r>
            <w:r>
              <w:t xml:space="preserve"> </w:t>
            </w:r>
            <w:r w:rsidRPr="008B4860">
              <w:t>hydrocarbon, aromatic hydrocarbon, cyclic</w:t>
            </w:r>
            <w:r>
              <w:t xml:space="preserve"> </w:t>
            </w:r>
            <w:r w:rsidRPr="008B4860">
              <w:t>hydrocarbon, halogenated hydrocarbon, amines,</w:t>
            </w:r>
            <w:r>
              <w:t xml:space="preserve"> </w:t>
            </w:r>
            <w:r w:rsidRPr="008B4860">
              <w:t>ketones, esters, ether, aldehyde, alcohols</w:t>
            </w:r>
            <w:r>
              <w:t xml:space="preserve"> among others</w:t>
            </w:r>
            <w:r>
              <w:rPr>
                <w:b/>
                <w:bCs/>
              </w:rPr>
              <w:t xml:space="preserve">. Objective: </w:t>
            </w:r>
            <w:r>
              <w:t>This short-critical review will discuss throughout the literature background r</w:t>
            </w:r>
            <w:r w:rsidRPr="00D0425F">
              <w:t>isk assessment, environmental</w:t>
            </w:r>
            <w:r>
              <w:t xml:space="preserve"> </w:t>
            </w:r>
            <w:r w:rsidRPr="00D0425F">
              <w:t xml:space="preserve">and health hazard </w:t>
            </w:r>
            <w:r>
              <w:t xml:space="preserve">of two organic solvents as known </w:t>
            </w:r>
            <w:r w:rsidRPr="00D0425F">
              <w:t>Hexane (HEX) and Ethyl Acetate (</w:t>
            </w:r>
            <w:proofErr w:type="spellStart"/>
            <w:r w:rsidRPr="00D0425F">
              <w:t>EtoAc</w:t>
            </w:r>
            <w:proofErr w:type="spellEnd"/>
            <w:r w:rsidRPr="00D0425F">
              <w:t>)</w:t>
            </w:r>
            <w:r>
              <w:t>.</w:t>
            </w:r>
            <w:r>
              <w:rPr>
                <w:b/>
                <w:bCs/>
              </w:rPr>
              <w:t xml:space="preserve"> Methods: </w:t>
            </w:r>
            <w:r w:rsidRPr="006A2A1B">
              <w:t>The most</w:t>
            </w:r>
            <w:r>
              <w:rPr>
                <w:b/>
                <w:bCs/>
              </w:rPr>
              <w:t xml:space="preserve"> </w:t>
            </w:r>
            <w:r w:rsidRPr="006A2A1B">
              <w:t>significative</w:t>
            </w:r>
            <w:r>
              <w:t xml:space="preserve"> databases regarding r</w:t>
            </w:r>
            <w:r w:rsidRPr="006A2A1B">
              <w:t>isk assessment, environmental, and health hazard</w:t>
            </w:r>
            <w:r>
              <w:t xml:space="preserve"> was consulted and evaluated as </w:t>
            </w:r>
            <w:r w:rsidRPr="00F01E50">
              <w:t>American Chemistry Council (ACC)</w:t>
            </w:r>
            <w:r>
              <w:t xml:space="preserve">; </w:t>
            </w:r>
            <w:r w:rsidRPr="00E62029">
              <w:t>National Center for Biotechnology Information advances science and health by providing access to biomedical and genomic information</w:t>
            </w:r>
            <w:r>
              <w:t xml:space="preserve"> in the NIH (National Library of Medicine); </w:t>
            </w:r>
            <w:r w:rsidRPr="00AD1040">
              <w:rPr>
                <w:rFonts w:ascii="Helvetica Neue" w:hAnsi="Helvetica Neue"/>
                <w:color w:val="222222"/>
                <w:shd w:val="clear" w:color="auto" w:fill="FFFFFF"/>
              </w:rPr>
              <w:t>U.S. Environmental Protection Agency</w:t>
            </w:r>
            <w:r>
              <w:t xml:space="preserve"> (EPA); </w:t>
            </w:r>
            <w:r w:rsidRPr="00465317">
              <w:rPr>
                <w:rFonts w:ascii="Helvetica Neue" w:hAnsi="Helvetica Neue"/>
                <w:color w:val="001D35"/>
              </w:rPr>
              <w:t xml:space="preserve">U.S. Food and Drug Administration </w:t>
            </w:r>
            <w:r>
              <w:rPr>
                <w:rFonts w:ascii="Helvetica Neue" w:hAnsi="Helvetica Neue"/>
                <w:color w:val="001D35"/>
              </w:rPr>
              <w:t>(</w:t>
            </w:r>
            <w:r>
              <w:t xml:space="preserve">FDA); </w:t>
            </w:r>
            <w:r w:rsidRPr="00BE5F44">
              <w:t>European Chemicals Agency</w:t>
            </w:r>
            <w:r>
              <w:t xml:space="preserve"> (ECHA-OECD); </w:t>
            </w:r>
            <w:r w:rsidRPr="00240B23">
              <w:t>World Health Organization</w:t>
            </w:r>
            <w:r>
              <w:t xml:space="preserve"> (WHO) and </w:t>
            </w:r>
            <w:r w:rsidRPr="007169D1">
              <w:t>Department of Climate Change, Energy, the Environment and Water</w:t>
            </w:r>
            <w:r>
              <w:t xml:space="preserve"> (AU). </w:t>
            </w:r>
            <w:r>
              <w:rPr>
                <w:b/>
                <w:bCs/>
              </w:rPr>
              <w:t xml:space="preserve">Conclusions and Future Outlook: </w:t>
            </w:r>
            <w:r w:rsidRPr="00A375B7">
              <w:t>In recent decades, various efforts have been made to replace toxic VOCs in chemical</w:t>
            </w:r>
            <w:r>
              <w:t xml:space="preserve"> </w:t>
            </w:r>
            <w:r w:rsidRPr="00A375B7">
              <w:t>processes, according to the principles of Green Chemistry and Green Extraction</w:t>
            </w:r>
            <w:r>
              <w:t xml:space="preserve"> One of the. However even for EtoAc still exist and susbtantial lack of background do be evaluated and properly described. </w:t>
            </w:r>
            <w:proofErr w:type="gramStart"/>
            <w:r>
              <w:t>Additionally</w:t>
            </w:r>
            <w:proofErr w:type="gramEnd"/>
            <w:r>
              <w:t xml:space="preserve"> the lack of accurated data, the number of unclear regulations and non-standarized protocols to proof r</w:t>
            </w:r>
            <w:r w:rsidRPr="00A375B7">
              <w:t>isk assessment, environmental</w:t>
            </w:r>
            <w:r>
              <w:t xml:space="preserve"> </w:t>
            </w:r>
            <w:r w:rsidRPr="00A375B7">
              <w:t>and health hazard</w:t>
            </w:r>
            <w:r>
              <w:t xml:space="preserve"> of VOCs as HEX and EtoAc and many other chemicals are still a great challenge to be harmonized.</w:t>
            </w:r>
          </w:p>
        </w:tc>
      </w:tr>
    </w:tbl>
    <w:p w14:paraId="4B31B89C" w14:textId="77777777" w:rsidR="00636EB2" w:rsidRDefault="00636EB2" w:rsidP="00441B6F">
      <w:pPr>
        <w:pStyle w:val="Body"/>
        <w:spacing w:after="0"/>
        <w:rPr>
          <w:rFonts w:ascii="Arial" w:hAnsi="Arial" w:cs="Arial"/>
          <w:i/>
        </w:rPr>
      </w:pPr>
    </w:p>
    <w:p w14:paraId="4D842744" w14:textId="3E671C41" w:rsidR="00A24E7E" w:rsidRDefault="00A24E7E" w:rsidP="00441B6F">
      <w:pPr>
        <w:pStyle w:val="Body"/>
        <w:spacing w:after="0"/>
        <w:rPr>
          <w:rFonts w:ascii="Arial" w:hAnsi="Arial" w:cs="Arial"/>
          <w:i/>
        </w:rPr>
      </w:pPr>
      <w:r>
        <w:rPr>
          <w:rFonts w:ascii="Arial" w:hAnsi="Arial" w:cs="Arial"/>
          <w:i/>
        </w:rPr>
        <w:t xml:space="preserve">Keywords: </w:t>
      </w:r>
      <w:r w:rsidR="00274A36" w:rsidRPr="00274A36">
        <w:rPr>
          <w:rFonts w:ascii="Arial" w:hAnsi="Arial" w:cs="Arial"/>
          <w:i/>
        </w:rPr>
        <w:t>Hexane, HEX, Ethyl Acetate, EtoAc, Toxicity.</w:t>
      </w:r>
    </w:p>
    <w:p w14:paraId="4CE9B15E" w14:textId="77777777" w:rsidR="0024282C" w:rsidRDefault="0024282C" w:rsidP="00441B6F">
      <w:pPr>
        <w:pStyle w:val="Body"/>
        <w:spacing w:after="0"/>
        <w:rPr>
          <w:rFonts w:ascii="Arial" w:hAnsi="Arial" w:cs="Arial"/>
          <w:i/>
          <w:sz w:val="18"/>
        </w:rPr>
      </w:pPr>
    </w:p>
    <w:p w14:paraId="3C4631D3" w14:textId="77777777" w:rsidR="00505F06" w:rsidRPr="00A24E7E" w:rsidRDefault="00505F06" w:rsidP="00441B6F">
      <w:pPr>
        <w:pStyle w:val="Body"/>
        <w:spacing w:after="0"/>
        <w:rPr>
          <w:rFonts w:ascii="Arial" w:hAnsi="Arial" w:cs="Arial"/>
          <w:i/>
        </w:rPr>
      </w:pPr>
    </w:p>
    <w:p w14:paraId="6BF23AD9" w14:textId="069EA2C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6C896CF" w14:textId="77777777" w:rsidR="00790ADA" w:rsidRPr="00FB3A86" w:rsidRDefault="00790ADA" w:rsidP="00441B6F">
      <w:pPr>
        <w:pStyle w:val="AbstHead"/>
        <w:spacing w:after="0"/>
        <w:jc w:val="both"/>
        <w:rPr>
          <w:rFonts w:ascii="Arial" w:hAnsi="Arial" w:cs="Arial"/>
        </w:rPr>
      </w:pPr>
    </w:p>
    <w:p w14:paraId="2561E46D" w14:textId="77777777" w:rsidR="00E71788" w:rsidRDefault="00E71788" w:rsidP="00E71788">
      <w:pPr>
        <w:jc w:val="both"/>
      </w:pPr>
      <w:r>
        <w:t>Prior to the safety status is essential the knowledge acquired from the chemical substances regarding their composition, origen, states and physical changes when in contact with any living organism in each of existent trophical levels that could generate any type of risk or hazard. Substances called chemicals, are eveywhere in our environmental. All matter on our planet consist of chemicals. We are made up of a few thousand different types of chemicals, some of wich are considered toxic. The vast majority of the chemicals are natural; infact, the most potent chemicals on the planet are those occuring naturally in plants and animals</w:t>
      </w:r>
      <w:r w:rsidRPr="00FC7BD7">
        <w:rPr>
          <w:vertAlign w:val="superscript"/>
        </w:rPr>
        <w:t>1</w:t>
      </w:r>
      <w:r>
        <w:t xml:space="preserve">. </w:t>
      </w:r>
    </w:p>
    <w:p w14:paraId="3913CD3A" w14:textId="77777777" w:rsidR="00E71788" w:rsidRDefault="00E71788" w:rsidP="00E71788">
      <w:pPr>
        <w:jc w:val="both"/>
      </w:pPr>
    </w:p>
    <w:p w14:paraId="3784F354" w14:textId="77777777" w:rsidR="00E71788" w:rsidRDefault="00E71788" w:rsidP="00E71788">
      <w:pPr>
        <w:jc w:val="both"/>
      </w:pPr>
      <w:r>
        <w:t xml:space="preserve">Manufactured chemicals are the second important classes as the natural chemicals mentioned above and </w:t>
      </w:r>
      <w:r w:rsidRPr="00F01E50">
        <w:t>the American Chemistry Council (ACC) projects global chemical production to rise by 3.4</w:t>
      </w:r>
      <w:r>
        <w:t xml:space="preserve"> </w:t>
      </w:r>
      <w:r w:rsidRPr="00F01E50">
        <w:t>% in 2024 and 3.5</w:t>
      </w:r>
      <w:r>
        <w:t xml:space="preserve"> </w:t>
      </w:r>
      <w:r w:rsidRPr="00F01E50">
        <w:t>% in 2025, after increasing just 0.3</w:t>
      </w:r>
      <w:r>
        <w:t xml:space="preserve"> </w:t>
      </w:r>
      <w:r w:rsidRPr="00F01E50">
        <w:t xml:space="preserve">% in 2023. However, even with chemical production improving and margins reverting to average levels, </w:t>
      </w:r>
      <w:r w:rsidRPr="00F01E50">
        <w:lastRenderedPageBreak/>
        <w:t>the industry still faces challenges and uncertainty. In the next year, chemical companies will navigate many of the same challenges as other industries: evolving macroeconomic conditions, shifts in policy and regulations across regions, changing customer preferences, and advances in technology</w:t>
      </w:r>
      <w:r w:rsidRPr="00F01E50">
        <w:rPr>
          <w:vertAlign w:val="superscript"/>
        </w:rPr>
        <w:t>2</w:t>
      </w:r>
      <w:r w:rsidRPr="00F01E50">
        <w:t>.</w:t>
      </w:r>
    </w:p>
    <w:p w14:paraId="652C0B42" w14:textId="77777777" w:rsidR="00E71788" w:rsidRDefault="00E71788" w:rsidP="00E71788">
      <w:pPr>
        <w:jc w:val="both"/>
      </w:pPr>
    </w:p>
    <w:p w14:paraId="0277AD2B" w14:textId="77777777" w:rsidR="00E71788" w:rsidRDefault="00E71788" w:rsidP="00E71788">
      <w:pPr>
        <w:jc w:val="both"/>
      </w:pPr>
      <w:r>
        <w:t xml:space="preserve">Exist a variety of process in the industries that use a wide range of different chemicals accordingly their classes considering structure, polarity solubility for specific targeting. </w:t>
      </w:r>
      <w:r w:rsidRPr="008B4860">
        <w:t>The common organic solvents</w:t>
      </w:r>
      <w:r>
        <w:t xml:space="preserve"> </w:t>
      </w:r>
      <w:r w:rsidRPr="008B4860">
        <w:t>are generally classified as an aliphatic</w:t>
      </w:r>
      <w:r>
        <w:t xml:space="preserve"> </w:t>
      </w:r>
      <w:r w:rsidRPr="008B4860">
        <w:t>hydrocarbon, aromatic hydrocarbon, cyclic</w:t>
      </w:r>
      <w:r>
        <w:t xml:space="preserve"> </w:t>
      </w:r>
      <w:r w:rsidRPr="008B4860">
        <w:t>hydrocarbon, halogenated hydrocarbon, amines,</w:t>
      </w:r>
      <w:r>
        <w:t xml:space="preserve"> </w:t>
      </w:r>
      <w:r w:rsidRPr="008B4860">
        <w:t>ketones, esters, ether, aldehyde, alcohols</w:t>
      </w:r>
      <w:r>
        <w:t xml:space="preserve"> among others</w:t>
      </w:r>
      <w:r w:rsidRPr="008B4860">
        <w:rPr>
          <w:vertAlign w:val="superscript"/>
        </w:rPr>
        <w:t>6</w:t>
      </w:r>
      <w:r>
        <w:t xml:space="preserve">. Each of these compounds present </w:t>
      </w:r>
      <w:proofErr w:type="gramStart"/>
      <w:r>
        <w:t>an</w:t>
      </w:r>
      <w:proofErr w:type="gramEnd"/>
      <w:r>
        <w:t xml:space="preserve"> response when exposed to the wilde life their living and non-living organisms. </w:t>
      </w:r>
    </w:p>
    <w:p w14:paraId="443B0152" w14:textId="77777777" w:rsidR="00E71788" w:rsidRDefault="00E71788" w:rsidP="00E71788">
      <w:pPr>
        <w:ind w:firstLine="720"/>
        <w:jc w:val="both"/>
      </w:pPr>
      <w:r w:rsidRPr="00C94F05">
        <w:t>The hydrophobic nature of the organic solvents</w:t>
      </w:r>
      <w:r>
        <w:t xml:space="preserve"> </w:t>
      </w:r>
      <w:r w:rsidRPr="00C94F05">
        <w:t>and the polar water has a great role in organic</w:t>
      </w:r>
      <w:r>
        <w:t xml:space="preserve"> </w:t>
      </w:r>
      <w:r w:rsidRPr="00C94F05">
        <w:t>synthesis; from the quenching practice to the</w:t>
      </w:r>
      <w:r>
        <w:t xml:space="preserve"> </w:t>
      </w:r>
      <w:r w:rsidRPr="00C94F05">
        <w:t>extraction of organic compounds and excretion of</w:t>
      </w:r>
      <w:r>
        <w:t xml:space="preserve"> </w:t>
      </w:r>
      <w:r w:rsidRPr="00C94F05">
        <w:t>undesired side products to the water layer</w:t>
      </w:r>
      <w:r w:rsidRPr="00C94F05">
        <w:rPr>
          <w:vertAlign w:val="superscript"/>
        </w:rPr>
        <w:t>6</w:t>
      </w:r>
      <w:r w:rsidRPr="00C94F05">
        <w:t>. The</w:t>
      </w:r>
      <w:r>
        <w:t xml:space="preserve"> </w:t>
      </w:r>
      <w:r w:rsidRPr="00C94F05">
        <w:t>separation action plays a crucial role in chemical</w:t>
      </w:r>
      <w:r>
        <w:t>,</w:t>
      </w:r>
      <w:r w:rsidRPr="00C94F05">
        <w:t xml:space="preserve"> pharmaceutical industries, drug development</w:t>
      </w:r>
      <w:r>
        <w:t>, biosensors, nanomaterials development, new ingredients and new molecules traping, identification, quantification and application.</w:t>
      </w:r>
    </w:p>
    <w:p w14:paraId="7D7CA05C" w14:textId="77777777" w:rsidR="00E71788" w:rsidRDefault="00E71788" w:rsidP="00E71788">
      <w:pPr>
        <w:ind w:firstLine="720"/>
        <w:jc w:val="both"/>
      </w:pPr>
    </w:p>
    <w:p w14:paraId="26AE7132" w14:textId="77777777" w:rsidR="00E71788" w:rsidRDefault="00E71788" w:rsidP="00E71788">
      <w:pPr>
        <w:jc w:val="both"/>
        <w:rPr>
          <w:b/>
          <w:bCs/>
        </w:rPr>
      </w:pPr>
      <w:r>
        <w:t>This short review will discuss throughout the literature background r</w:t>
      </w:r>
      <w:r w:rsidRPr="00D0425F">
        <w:t>isk assessment, environmental</w:t>
      </w:r>
      <w:r>
        <w:t xml:space="preserve"> </w:t>
      </w:r>
      <w:r w:rsidRPr="00D0425F">
        <w:t xml:space="preserve">and health hazard </w:t>
      </w:r>
      <w:r>
        <w:t xml:space="preserve">of two organic solvents as known </w:t>
      </w:r>
      <w:r w:rsidRPr="00D0425F">
        <w:t>Hexane (HEX) and Ethyl Acetate (</w:t>
      </w:r>
      <w:proofErr w:type="spellStart"/>
      <w:r w:rsidRPr="00D0425F">
        <w:t>EtoAc</w:t>
      </w:r>
      <w:proofErr w:type="spellEnd"/>
      <w:r w:rsidRPr="00D0425F">
        <w:t>)</w:t>
      </w:r>
      <w:r>
        <w:t>.</w:t>
      </w:r>
    </w:p>
    <w:p w14:paraId="4899B5F0" w14:textId="77777777" w:rsidR="00790ADA" w:rsidRPr="00FB3A86" w:rsidRDefault="00790ADA" w:rsidP="00441B6F">
      <w:pPr>
        <w:pStyle w:val="Body"/>
        <w:spacing w:after="0"/>
        <w:rPr>
          <w:rFonts w:ascii="Arial" w:hAnsi="Arial" w:cs="Arial"/>
        </w:rPr>
      </w:pPr>
    </w:p>
    <w:p w14:paraId="4BE59B9E" w14:textId="36164CE3" w:rsidR="007F7B32" w:rsidRDefault="00902823" w:rsidP="00441B6F">
      <w:pPr>
        <w:pStyle w:val="AbstHead"/>
        <w:spacing w:after="0"/>
        <w:jc w:val="both"/>
        <w:rPr>
          <w:rFonts w:ascii="Arial" w:hAnsi="Arial" w:cs="Arial"/>
        </w:rPr>
      </w:pPr>
      <w:r>
        <w:rPr>
          <w:rFonts w:ascii="Arial" w:hAnsi="Arial" w:cs="Arial"/>
        </w:rPr>
        <w:t xml:space="preserve">2. </w:t>
      </w:r>
      <w:r w:rsidR="00E71788">
        <w:rPr>
          <w:rFonts w:ascii="Arial" w:hAnsi="Arial" w:cs="Arial"/>
        </w:rPr>
        <w:t>substance category</w:t>
      </w:r>
    </w:p>
    <w:p w14:paraId="428FD7A9" w14:textId="77777777" w:rsidR="00790ADA" w:rsidRPr="00FB3A86" w:rsidRDefault="00790ADA" w:rsidP="00441B6F">
      <w:pPr>
        <w:pStyle w:val="AbstHead"/>
        <w:spacing w:after="0"/>
        <w:jc w:val="both"/>
        <w:rPr>
          <w:rFonts w:ascii="Arial" w:hAnsi="Arial" w:cs="Arial"/>
        </w:rPr>
      </w:pPr>
    </w:p>
    <w:p w14:paraId="4C1A5806" w14:textId="34FCE1A8" w:rsidR="00E71788" w:rsidRDefault="00E71788" w:rsidP="00E71788">
      <w:pPr>
        <w:pStyle w:val="Body"/>
        <w:spacing w:after="0"/>
        <w:rPr>
          <w:rFonts w:ascii="Arial" w:hAnsi="Arial" w:cs="Arial"/>
        </w:rPr>
      </w:pPr>
      <w:r w:rsidRPr="00E71788">
        <w:rPr>
          <w:rFonts w:ascii="Arial" w:hAnsi="Arial" w:cs="Arial"/>
        </w:rPr>
        <w:t>Table 1 shows the substance harmonical characterization accordinly the name and possible synonyms, their classe, formula, origen and key physico-chemical parameters for solvent miscibility considering water</w:t>
      </w:r>
      <w:r w:rsidRPr="00E71788">
        <w:rPr>
          <w:rFonts w:ascii="Arial" w:hAnsi="Arial" w:cs="Arial"/>
          <w:vertAlign w:val="superscript"/>
        </w:rPr>
        <w:t>1,6,11-14</w:t>
      </w:r>
      <w:r w:rsidRPr="00E71788">
        <w:rPr>
          <w:rFonts w:ascii="Arial" w:hAnsi="Arial" w:cs="Arial"/>
        </w:rPr>
        <w:t>.</w:t>
      </w:r>
    </w:p>
    <w:p w14:paraId="7831C6ED" w14:textId="77777777" w:rsidR="00E71788" w:rsidRPr="00E71788" w:rsidRDefault="00E71788" w:rsidP="00E71788">
      <w:pPr>
        <w:pStyle w:val="Body"/>
        <w:spacing w:after="0"/>
        <w:rPr>
          <w:rFonts w:ascii="Arial" w:hAnsi="Arial" w:cs="Arial"/>
        </w:rPr>
      </w:pPr>
    </w:p>
    <w:p w14:paraId="29AFBE77" w14:textId="3CDEA7F2" w:rsidR="00E71788" w:rsidRDefault="00E71788" w:rsidP="00E71788">
      <w:pPr>
        <w:pStyle w:val="Body"/>
        <w:spacing w:after="0"/>
        <w:rPr>
          <w:rFonts w:ascii="Arial" w:hAnsi="Arial" w:cs="Arial"/>
          <w:b/>
          <w:bCs/>
        </w:rPr>
      </w:pPr>
      <w:r w:rsidRPr="00E71788">
        <w:rPr>
          <w:rFonts w:ascii="Arial" w:hAnsi="Arial" w:cs="Arial"/>
          <w:b/>
          <w:bCs/>
        </w:rPr>
        <w:t>Table 1. Hexane (HEX) and Ethyl Acetate (</w:t>
      </w:r>
      <w:proofErr w:type="spellStart"/>
      <w:r w:rsidRPr="00E71788">
        <w:rPr>
          <w:rFonts w:ascii="Arial" w:hAnsi="Arial" w:cs="Arial"/>
          <w:b/>
          <w:bCs/>
        </w:rPr>
        <w:t>EtoAc</w:t>
      </w:r>
      <w:proofErr w:type="spellEnd"/>
      <w:r w:rsidRPr="00E71788">
        <w:rPr>
          <w:rFonts w:ascii="Arial" w:hAnsi="Arial" w:cs="Arial"/>
          <w:b/>
          <w:bCs/>
        </w:rPr>
        <w:t xml:space="preserve">) substance </w:t>
      </w:r>
      <w:proofErr w:type="spellStart"/>
      <w:r w:rsidRPr="00E71788">
        <w:rPr>
          <w:rFonts w:ascii="Arial" w:hAnsi="Arial" w:cs="Arial"/>
          <w:b/>
          <w:bCs/>
        </w:rPr>
        <w:t>harmonical</w:t>
      </w:r>
      <w:proofErr w:type="spellEnd"/>
      <w:r w:rsidRPr="00E71788">
        <w:rPr>
          <w:rFonts w:ascii="Arial" w:hAnsi="Arial" w:cs="Arial"/>
          <w:b/>
          <w:bCs/>
        </w:rPr>
        <w:t xml:space="preserve"> </w:t>
      </w:r>
      <w:proofErr w:type="spellStart"/>
      <w:r w:rsidRPr="00E71788">
        <w:rPr>
          <w:rFonts w:ascii="Arial" w:hAnsi="Arial" w:cs="Arial"/>
          <w:b/>
          <w:bCs/>
        </w:rPr>
        <w:t>physico</w:t>
      </w:r>
      <w:proofErr w:type="spellEnd"/>
      <w:r w:rsidRPr="00E71788">
        <w:rPr>
          <w:rFonts w:ascii="Arial" w:hAnsi="Arial" w:cs="Arial"/>
          <w:b/>
          <w:bCs/>
        </w:rPr>
        <w:t>-chemical classification</w:t>
      </w:r>
    </w:p>
    <w:p w14:paraId="05671756" w14:textId="77777777" w:rsidR="00E71788" w:rsidRPr="00E71788" w:rsidRDefault="00E71788" w:rsidP="00E71788">
      <w:pPr>
        <w:pStyle w:val="Body"/>
        <w:spacing w:after="0"/>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16"/>
        <w:gridCol w:w="610"/>
        <w:gridCol w:w="709"/>
        <w:gridCol w:w="708"/>
        <w:gridCol w:w="851"/>
        <w:gridCol w:w="709"/>
        <w:gridCol w:w="1134"/>
        <w:gridCol w:w="850"/>
        <w:gridCol w:w="709"/>
        <w:gridCol w:w="567"/>
        <w:gridCol w:w="661"/>
      </w:tblGrid>
      <w:tr w:rsidR="00E71788" w:rsidRPr="00E71788" w14:paraId="71080A63" w14:textId="77777777" w:rsidTr="00E71788">
        <w:trPr>
          <w:trHeight w:val="880"/>
        </w:trPr>
        <w:tc>
          <w:tcPr>
            <w:tcW w:w="808" w:type="dxa"/>
            <w:gridSpan w:val="2"/>
            <w:shd w:val="clear" w:color="000000" w:fill="D0D0D0"/>
            <w:noWrap/>
            <w:vAlign w:val="center"/>
            <w:hideMark/>
          </w:tcPr>
          <w:p w14:paraId="562A9E5D"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Name</w:t>
            </w:r>
          </w:p>
        </w:tc>
        <w:tc>
          <w:tcPr>
            <w:tcW w:w="610" w:type="dxa"/>
            <w:shd w:val="clear" w:color="000000" w:fill="D0D0D0"/>
            <w:noWrap/>
            <w:vAlign w:val="center"/>
            <w:hideMark/>
          </w:tcPr>
          <w:p w14:paraId="3C0A4C66"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Synonyms</w:t>
            </w:r>
          </w:p>
        </w:tc>
        <w:tc>
          <w:tcPr>
            <w:tcW w:w="709" w:type="dxa"/>
            <w:shd w:val="clear" w:color="000000" w:fill="D0D0D0"/>
            <w:vAlign w:val="center"/>
            <w:hideMark/>
          </w:tcPr>
          <w:p w14:paraId="7221AD22"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Abreviation (Smiles)</w:t>
            </w:r>
          </w:p>
        </w:tc>
        <w:tc>
          <w:tcPr>
            <w:tcW w:w="708" w:type="dxa"/>
            <w:shd w:val="clear" w:color="000000" w:fill="D0D0D0"/>
            <w:noWrap/>
            <w:vAlign w:val="center"/>
            <w:hideMark/>
          </w:tcPr>
          <w:p w14:paraId="10FBE784"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Classe</w:t>
            </w:r>
          </w:p>
        </w:tc>
        <w:tc>
          <w:tcPr>
            <w:tcW w:w="851" w:type="dxa"/>
            <w:shd w:val="clear" w:color="000000" w:fill="D0D0D0"/>
            <w:noWrap/>
            <w:vAlign w:val="center"/>
            <w:hideMark/>
          </w:tcPr>
          <w:p w14:paraId="2AED77AA"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Formula</w:t>
            </w:r>
          </w:p>
        </w:tc>
        <w:tc>
          <w:tcPr>
            <w:tcW w:w="709" w:type="dxa"/>
            <w:shd w:val="clear" w:color="000000" w:fill="D0D0D0"/>
            <w:noWrap/>
            <w:vAlign w:val="center"/>
            <w:hideMark/>
          </w:tcPr>
          <w:p w14:paraId="73147DE3"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Origen</w:t>
            </w:r>
          </w:p>
        </w:tc>
        <w:tc>
          <w:tcPr>
            <w:tcW w:w="1134" w:type="dxa"/>
            <w:shd w:val="clear" w:color="000000" w:fill="D0D0D0"/>
            <w:noWrap/>
            <w:vAlign w:val="center"/>
            <w:hideMark/>
          </w:tcPr>
          <w:p w14:paraId="742E5217"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Structure</w:t>
            </w:r>
          </w:p>
        </w:tc>
        <w:tc>
          <w:tcPr>
            <w:tcW w:w="850" w:type="dxa"/>
            <w:shd w:val="clear" w:color="000000" w:fill="D0D0D0"/>
            <w:vAlign w:val="center"/>
            <w:hideMark/>
          </w:tcPr>
          <w:p w14:paraId="30103A76"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Solubility Parameter (MPa</w:t>
            </w:r>
            <w:r w:rsidRPr="00E71788">
              <w:rPr>
                <w:rFonts w:ascii="Arial" w:hAnsi="Arial" w:cs="Arial"/>
                <w:b/>
                <w:bCs/>
                <w:sz w:val="16"/>
                <w:szCs w:val="16"/>
                <w:vertAlign w:val="superscript"/>
              </w:rPr>
              <w:t>1/2</w:t>
            </w:r>
            <w:r w:rsidRPr="00E71788">
              <w:rPr>
                <w:rFonts w:ascii="Arial" w:hAnsi="Arial" w:cs="Arial"/>
                <w:b/>
                <w:bCs/>
                <w:sz w:val="16"/>
                <w:szCs w:val="16"/>
              </w:rPr>
              <w:t>)</w:t>
            </w:r>
          </w:p>
        </w:tc>
        <w:tc>
          <w:tcPr>
            <w:tcW w:w="709" w:type="dxa"/>
            <w:shd w:val="clear" w:color="000000" w:fill="D0D0D0"/>
            <w:noWrap/>
            <w:vAlign w:val="center"/>
            <w:hideMark/>
          </w:tcPr>
          <w:p w14:paraId="799F8F50"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MW (g/mol)</w:t>
            </w:r>
          </w:p>
        </w:tc>
        <w:tc>
          <w:tcPr>
            <w:tcW w:w="567" w:type="dxa"/>
            <w:shd w:val="clear" w:color="000000" w:fill="D0D0D0"/>
            <w:vAlign w:val="center"/>
            <w:hideMark/>
          </w:tcPr>
          <w:p w14:paraId="7949F715"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Solubility in water (g/100g)</w:t>
            </w:r>
          </w:p>
        </w:tc>
        <w:tc>
          <w:tcPr>
            <w:tcW w:w="661" w:type="dxa"/>
            <w:shd w:val="clear" w:color="000000" w:fill="D0D0D0"/>
            <w:noWrap/>
            <w:vAlign w:val="center"/>
            <w:hideMark/>
          </w:tcPr>
          <w:p w14:paraId="2598C69C"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Reference</w:t>
            </w:r>
          </w:p>
        </w:tc>
      </w:tr>
      <w:tr w:rsidR="00E71788" w:rsidRPr="00E71788" w14:paraId="20EFBCFE" w14:textId="77777777" w:rsidTr="00E71788">
        <w:trPr>
          <w:trHeight w:val="2160"/>
        </w:trPr>
        <w:tc>
          <w:tcPr>
            <w:tcW w:w="592" w:type="dxa"/>
            <w:noWrap/>
            <w:vAlign w:val="center"/>
            <w:hideMark/>
          </w:tcPr>
          <w:p w14:paraId="5C836F40"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Hexane</w:t>
            </w:r>
          </w:p>
        </w:tc>
        <w:tc>
          <w:tcPr>
            <w:tcW w:w="826" w:type="dxa"/>
            <w:gridSpan w:val="2"/>
            <w:vAlign w:val="center"/>
            <w:hideMark/>
          </w:tcPr>
          <w:p w14:paraId="394FCAAF"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n-Hexane; Esani;</w:t>
            </w:r>
            <w:r w:rsidRPr="00E71788">
              <w:rPr>
                <w:rFonts w:ascii="Arial" w:hAnsi="Arial" w:cs="Arial"/>
                <w:sz w:val="16"/>
                <w:szCs w:val="16"/>
              </w:rPr>
              <w:br/>
              <w:t>Gettysolve-B; among other names</w:t>
            </w:r>
          </w:p>
        </w:tc>
        <w:tc>
          <w:tcPr>
            <w:tcW w:w="709" w:type="dxa"/>
            <w:vAlign w:val="center"/>
            <w:hideMark/>
          </w:tcPr>
          <w:p w14:paraId="451F6CA6"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HEX (</w:t>
            </w:r>
            <w:proofErr w:type="gramStart"/>
            <w:r w:rsidRPr="00E71788">
              <w:rPr>
                <w:rFonts w:ascii="Arial" w:hAnsi="Arial" w:cs="Arial"/>
                <w:sz w:val="16"/>
                <w:szCs w:val="16"/>
              </w:rPr>
              <w:t>CCCCCC )</w:t>
            </w:r>
            <w:proofErr w:type="gramEnd"/>
          </w:p>
        </w:tc>
        <w:tc>
          <w:tcPr>
            <w:tcW w:w="708" w:type="dxa"/>
            <w:noWrap/>
            <w:vAlign w:val="center"/>
            <w:hideMark/>
          </w:tcPr>
          <w:p w14:paraId="6197E44F"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Hydrocarbon</w:t>
            </w:r>
          </w:p>
        </w:tc>
        <w:tc>
          <w:tcPr>
            <w:tcW w:w="851" w:type="dxa"/>
            <w:noWrap/>
            <w:vAlign w:val="center"/>
            <w:hideMark/>
          </w:tcPr>
          <w:p w14:paraId="1B1E99E5"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C</w:t>
            </w:r>
            <w:r w:rsidRPr="00E71788">
              <w:rPr>
                <w:rFonts w:ascii="Arial" w:hAnsi="Arial" w:cs="Arial"/>
                <w:sz w:val="16"/>
                <w:szCs w:val="16"/>
                <w:vertAlign w:val="subscript"/>
              </w:rPr>
              <w:t>6</w:t>
            </w:r>
            <w:r w:rsidRPr="00E71788">
              <w:rPr>
                <w:rFonts w:ascii="Arial" w:hAnsi="Arial" w:cs="Arial"/>
                <w:sz w:val="16"/>
                <w:szCs w:val="16"/>
              </w:rPr>
              <w:t>H</w:t>
            </w:r>
            <w:r w:rsidRPr="00E71788">
              <w:rPr>
                <w:rFonts w:ascii="Arial" w:hAnsi="Arial" w:cs="Arial"/>
                <w:sz w:val="16"/>
                <w:szCs w:val="16"/>
                <w:vertAlign w:val="subscript"/>
              </w:rPr>
              <w:t>14</w:t>
            </w:r>
          </w:p>
        </w:tc>
        <w:tc>
          <w:tcPr>
            <w:tcW w:w="709" w:type="dxa"/>
            <w:noWrap/>
            <w:vAlign w:val="center"/>
            <w:hideMark/>
          </w:tcPr>
          <w:p w14:paraId="0002AEF3" w14:textId="77777777" w:rsidR="00E71788" w:rsidRPr="00E71788" w:rsidRDefault="00E71788" w:rsidP="00E71788">
            <w:pPr>
              <w:pStyle w:val="Body"/>
              <w:rPr>
                <w:rFonts w:ascii="Arial" w:hAnsi="Arial" w:cs="Arial"/>
                <w:sz w:val="16"/>
                <w:szCs w:val="16"/>
              </w:rPr>
            </w:pPr>
          </w:p>
          <w:p w14:paraId="01FE6212" w14:textId="77777777" w:rsidR="00E71788" w:rsidRPr="00E71788" w:rsidRDefault="00E71788" w:rsidP="00E71788">
            <w:pPr>
              <w:pStyle w:val="Body"/>
              <w:rPr>
                <w:rFonts w:ascii="Arial" w:hAnsi="Arial" w:cs="Arial"/>
                <w:sz w:val="16"/>
                <w:szCs w:val="16"/>
              </w:rPr>
            </w:pPr>
          </w:p>
          <w:p w14:paraId="1704EC17"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Petroleum based</w:t>
            </w:r>
          </w:p>
          <w:p w14:paraId="32E1DB5D" w14:textId="77777777" w:rsidR="00E71788" w:rsidRPr="00E71788" w:rsidRDefault="00E71788" w:rsidP="00E71788">
            <w:pPr>
              <w:pStyle w:val="Body"/>
              <w:rPr>
                <w:rFonts w:ascii="Arial" w:hAnsi="Arial" w:cs="Arial"/>
                <w:sz w:val="16"/>
                <w:szCs w:val="16"/>
              </w:rPr>
            </w:pPr>
          </w:p>
        </w:tc>
        <w:tc>
          <w:tcPr>
            <w:tcW w:w="1134" w:type="dxa"/>
            <w:noWrap/>
            <w:vAlign w:val="center"/>
            <w:hideMark/>
          </w:tcPr>
          <w:p w14:paraId="1DA94838" w14:textId="77777777" w:rsidR="00E71788" w:rsidRPr="00E71788" w:rsidRDefault="00E71788" w:rsidP="00E71788">
            <w:pPr>
              <w:pStyle w:val="Body"/>
              <w:rPr>
                <w:rFonts w:ascii="Arial" w:hAnsi="Arial" w:cs="Arial"/>
                <w:sz w:val="16"/>
                <w:szCs w:val="16"/>
              </w:rPr>
            </w:pPr>
            <w:r w:rsidRPr="00E71788">
              <w:rPr>
                <w:rFonts w:ascii="Arial" w:hAnsi="Arial" w:cs="Arial"/>
                <w:noProof/>
                <w:sz w:val="16"/>
                <w:szCs w:val="16"/>
              </w:rPr>
              <w:drawing>
                <wp:anchor distT="0" distB="0" distL="114300" distR="114300" simplePos="0" relativeHeight="251659264" behindDoc="0" locked="0" layoutInCell="1" allowOverlap="1" wp14:anchorId="4DDE7741" wp14:editId="3BE25C9F">
                  <wp:simplePos x="0" y="0"/>
                  <wp:positionH relativeFrom="column">
                    <wp:posOffset>-41275</wp:posOffset>
                  </wp:positionH>
                  <wp:positionV relativeFrom="paragraph">
                    <wp:posOffset>37465</wp:posOffset>
                  </wp:positionV>
                  <wp:extent cx="588010" cy="354330"/>
                  <wp:effectExtent l="0" t="0" r="0" b="1270"/>
                  <wp:wrapNone/>
                  <wp:docPr id="3" name="Picture 1" descr="A white and grey molecule structure&#10;&#10;AI-generated content may be incorrect.">
                    <a:extLst xmlns:a="http://schemas.openxmlformats.org/drawingml/2006/main">
                      <a:ext uri="{FF2B5EF4-FFF2-40B4-BE49-F238E27FC236}">
                        <a16:creationId xmlns:a16="http://schemas.microsoft.com/office/drawing/2014/main" id="{07441401-03E8-B4C5-6FD1-56D485D616EE}"/>
                      </a:ext>
                    </a:extLst>
                  </wp:docPr>
                  <wp:cNvGraphicFramePr/>
                  <a:graphic xmlns:a="http://schemas.openxmlformats.org/drawingml/2006/main">
                    <a:graphicData uri="http://schemas.openxmlformats.org/drawingml/2006/picture">
                      <pic:pic xmlns:pic="http://schemas.openxmlformats.org/drawingml/2006/picture">
                        <pic:nvPicPr>
                          <pic:cNvPr id="3" name="Picture 1" descr="A white and grey molecule structure&#10;&#10;AI-generated content may be incorrect.">
                            <a:extLst>
                              <a:ext uri="{FF2B5EF4-FFF2-40B4-BE49-F238E27FC236}">
                                <a16:creationId xmlns:a16="http://schemas.microsoft.com/office/drawing/2014/main" id="{07441401-03E8-B4C5-6FD1-56D485D616EE}"/>
                              </a:ext>
                            </a:extLst>
                          </pic:cNvPr>
                          <pic:cNvPicPr>
                            <a:picLocks noChangeAspect="1"/>
                          </pic:cNvPicPr>
                        </pic:nvPicPr>
                        <pic:blipFill>
                          <a:blip r:embed="rId14"/>
                          <a:stretch>
                            <a:fillRect/>
                          </a:stretch>
                        </pic:blipFill>
                        <pic:spPr>
                          <a:xfrm>
                            <a:off x="0" y="0"/>
                            <a:ext cx="588010" cy="354330"/>
                          </a:xfrm>
                          <a:prstGeom prst="rect">
                            <a:avLst/>
                          </a:prstGeom>
                        </pic:spPr>
                      </pic:pic>
                    </a:graphicData>
                  </a:graphic>
                  <wp14:sizeRelH relativeFrom="page">
                    <wp14:pctWidth>0</wp14:pctWidth>
                  </wp14:sizeRelH>
                  <wp14:sizeRelV relativeFrom="page">
                    <wp14:pctHeight>0</wp14:pctHeight>
                  </wp14:sizeRelV>
                </wp:anchor>
              </w:drawing>
            </w:r>
          </w:p>
        </w:tc>
        <w:tc>
          <w:tcPr>
            <w:tcW w:w="850" w:type="dxa"/>
            <w:noWrap/>
            <w:vAlign w:val="center"/>
            <w:hideMark/>
          </w:tcPr>
          <w:p w14:paraId="02444020"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δ 14.9</w:t>
            </w:r>
          </w:p>
        </w:tc>
        <w:tc>
          <w:tcPr>
            <w:tcW w:w="709" w:type="dxa"/>
            <w:noWrap/>
            <w:vAlign w:val="center"/>
            <w:hideMark/>
          </w:tcPr>
          <w:p w14:paraId="0F5CAC72"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86.18</w:t>
            </w:r>
          </w:p>
        </w:tc>
        <w:tc>
          <w:tcPr>
            <w:tcW w:w="567" w:type="dxa"/>
            <w:noWrap/>
            <w:vAlign w:val="center"/>
            <w:hideMark/>
          </w:tcPr>
          <w:p w14:paraId="71505A52"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0.0014</w:t>
            </w:r>
          </w:p>
        </w:tc>
        <w:tc>
          <w:tcPr>
            <w:tcW w:w="661" w:type="dxa"/>
            <w:noWrap/>
            <w:vAlign w:val="center"/>
            <w:hideMark/>
          </w:tcPr>
          <w:p w14:paraId="32A5E284"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[1,6,12, 13]</w:t>
            </w:r>
          </w:p>
        </w:tc>
      </w:tr>
      <w:tr w:rsidR="00E71788" w:rsidRPr="00E71788" w14:paraId="1FA9BDAE" w14:textId="77777777" w:rsidTr="00E71788">
        <w:trPr>
          <w:trHeight w:val="2160"/>
        </w:trPr>
        <w:tc>
          <w:tcPr>
            <w:tcW w:w="592" w:type="dxa"/>
            <w:noWrap/>
            <w:vAlign w:val="center"/>
            <w:hideMark/>
          </w:tcPr>
          <w:p w14:paraId="28322A5A"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lastRenderedPageBreak/>
              <w:t>Ethyl acetate</w:t>
            </w:r>
          </w:p>
        </w:tc>
        <w:tc>
          <w:tcPr>
            <w:tcW w:w="826" w:type="dxa"/>
            <w:gridSpan w:val="2"/>
            <w:vAlign w:val="center"/>
            <w:hideMark/>
          </w:tcPr>
          <w:p w14:paraId="278F7C83"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Ethyl ethanoate;</w:t>
            </w:r>
            <w:r w:rsidRPr="00E71788">
              <w:rPr>
                <w:rFonts w:ascii="Arial" w:hAnsi="Arial" w:cs="Arial"/>
                <w:sz w:val="16"/>
                <w:szCs w:val="16"/>
              </w:rPr>
              <w:br/>
              <w:t>Acetic acid ethyl ester; Acetoxyethane; among other names</w:t>
            </w:r>
          </w:p>
        </w:tc>
        <w:tc>
          <w:tcPr>
            <w:tcW w:w="709" w:type="dxa"/>
            <w:vAlign w:val="center"/>
            <w:hideMark/>
          </w:tcPr>
          <w:p w14:paraId="46A881CF"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EtoAc (CCOC(=</w:t>
            </w:r>
            <w:proofErr w:type="gramStart"/>
            <w:r w:rsidRPr="00E71788">
              <w:rPr>
                <w:rFonts w:ascii="Arial" w:hAnsi="Arial" w:cs="Arial"/>
                <w:sz w:val="16"/>
                <w:szCs w:val="16"/>
              </w:rPr>
              <w:t>O)C</w:t>
            </w:r>
            <w:proofErr w:type="gramEnd"/>
            <w:r w:rsidRPr="00E71788">
              <w:rPr>
                <w:rFonts w:ascii="Arial" w:hAnsi="Arial" w:cs="Arial"/>
                <w:sz w:val="16"/>
                <w:szCs w:val="16"/>
              </w:rPr>
              <w:t>)</w:t>
            </w:r>
          </w:p>
        </w:tc>
        <w:tc>
          <w:tcPr>
            <w:tcW w:w="708" w:type="dxa"/>
            <w:noWrap/>
            <w:vAlign w:val="center"/>
            <w:hideMark/>
          </w:tcPr>
          <w:p w14:paraId="4988C255"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Ether</w:t>
            </w:r>
          </w:p>
        </w:tc>
        <w:tc>
          <w:tcPr>
            <w:tcW w:w="851" w:type="dxa"/>
            <w:noWrap/>
            <w:vAlign w:val="center"/>
            <w:hideMark/>
          </w:tcPr>
          <w:p w14:paraId="1E941272"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C</w:t>
            </w:r>
            <w:r w:rsidRPr="00E71788">
              <w:rPr>
                <w:rFonts w:ascii="Arial" w:hAnsi="Arial" w:cs="Arial"/>
                <w:sz w:val="16"/>
                <w:szCs w:val="16"/>
                <w:vertAlign w:val="subscript"/>
              </w:rPr>
              <w:t>4</w:t>
            </w:r>
            <w:r w:rsidRPr="00E71788">
              <w:rPr>
                <w:rFonts w:ascii="Arial" w:hAnsi="Arial" w:cs="Arial"/>
                <w:sz w:val="16"/>
                <w:szCs w:val="16"/>
              </w:rPr>
              <w:t>H</w:t>
            </w:r>
            <w:r w:rsidRPr="00E71788">
              <w:rPr>
                <w:rFonts w:ascii="Arial" w:hAnsi="Arial" w:cs="Arial"/>
                <w:sz w:val="16"/>
                <w:szCs w:val="16"/>
                <w:vertAlign w:val="subscript"/>
              </w:rPr>
              <w:t>8</w:t>
            </w:r>
            <w:r w:rsidRPr="00E71788">
              <w:rPr>
                <w:rFonts w:ascii="Arial" w:hAnsi="Arial" w:cs="Arial"/>
                <w:sz w:val="16"/>
                <w:szCs w:val="16"/>
              </w:rPr>
              <w:t>O</w:t>
            </w:r>
            <w:r w:rsidRPr="00E71788">
              <w:rPr>
                <w:rFonts w:ascii="Arial" w:hAnsi="Arial" w:cs="Arial"/>
                <w:sz w:val="16"/>
                <w:szCs w:val="16"/>
                <w:vertAlign w:val="subscript"/>
              </w:rPr>
              <w:t>2</w:t>
            </w:r>
          </w:p>
        </w:tc>
        <w:tc>
          <w:tcPr>
            <w:tcW w:w="709" w:type="dxa"/>
            <w:vAlign w:val="center"/>
            <w:hideMark/>
          </w:tcPr>
          <w:p w14:paraId="3194518B"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Bio and Petroleum based</w:t>
            </w:r>
          </w:p>
        </w:tc>
        <w:tc>
          <w:tcPr>
            <w:tcW w:w="1134" w:type="dxa"/>
            <w:noWrap/>
            <w:vAlign w:val="center"/>
            <w:hideMark/>
          </w:tcPr>
          <w:p w14:paraId="220908D4" w14:textId="77777777" w:rsidR="00E71788" w:rsidRPr="00E71788" w:rsidRDefault="00E71788" w:rsidP="00E71788">
            <w:pPr>
              <w:pStyle w:val="Body"/>
              <w:rPr>
                <w:rFonts w:ascii="Arial" w:hAnsi="Arial" w:cs="Arial"/>
                <w:sz w:val="16"/>
                <w:szCs w:val="16"/>
              </w:rPr>
            </w:pPr>
            <w:r w:rsidRPr="00E71788">
              <w:rPr>
                <w:rFonts w:ascii="Arial" w:hAnsi="Arial" w:cs="Arial"/>
                <w:noProof/>
                <w:sz w:val="16"/>
                <w:szCs w:val="16"/>
              </w:rPr>
              <w:drawing>
                <wp:anchor distT="0" distB="0" distL="114300" distR="114300" simplePos="0" relativeHeight="251660288" behindDoc="0" locked="0" layoutInCell="1" allowOverlap="1" wp14:anchorId="7806F504" wp14:editId="3DF28E84">
                  <wp:simplePos x="0" y="0"/>
                  <wp:positionH relativeFrom="column">
                    <wp:posOffset>-40640</wp:posOffset>
                  </wp:positionH>
                  <wp:positionV relativeFrom="paragraph">
                    <wp:posOffset>34925</wp:posOffset>
                  </wp:positionV>
                  <wp:extent cx="587375" cy="542925"/>
                  <wp:effectExtent l="0" t="0" r="0" b="0"/>
                  <wp:wrapNone/>
                  <wp:docPr id="4" name="Picture 2" descr="A molecule model of a molecule&#10;&#10;AI-generated content may be incorrect.">
                    <a:extLst xmlns:a="http://schemas.openxmlformats.org/drawingml/2006/main">
                      <a:ext uri="{FF2B5EF4-FFF2-40B4-BE49-F238E27FC236}">
                        <a16:creationId xmlns:a16="http://schemas.microsoft.com/office/drawing/2014/main" id="{7CAE98A3-6D10-6F93-93CC-65CE01F72B07}"/>
                      </a:ext>
                    </a:extLst>
                  </wp:docPr>
                  <wp:cNvGraphicFramePr/>
                  <a:graphic xmlns:a="http://schemas.openxmlformats.org/drawingml/2006/main">
                    <a:graphicData uri="http://schemas.openxmlformats.org/drawingml/2006/picture">
                      <pic:pic xmlns:pic="http://schemas.openxmlformats.org/drawingml/2006/picture">
                        <pic:nvPicPr>
                          <pic:cNvPr id="4" name="Picture 2" descr="A molecule model of a molecule&#10;&#10;AI-generated content may be incorrect.">
                            <a:extLst>
                              <a:ext uri="{FF2B5EF4-FFF2-40B4-BE49-F238E27FC236}">
                                <a16:creationId xmlns:a16="http://schemas.microsoft.com/office/drawing/2014/main" id="{7CAE98A3-6D10-6F93-93CC-65CE01F72B07}"/>
                              </a:ext>
                            </a:extLst>
                          </pic:cNvPr>
                          <pic:cNvPicPr>
                            <a:picLocks noChangeAspect="1"/>
                          </pic:cNvPicPr>
                        </pic:nvPicPr>
                        <pic:blipFill rotWithShape="1">
                          <a:blip r:embed="rId15">
                            <a:extLst>
                              <a:ext uri="{BEBA8EAE-BF5A-486C-A8C5-ECC9F3942E4B}">
                                <a14:imgProps xmlns:a14="http://schemas.microsoft.com/office/drawing/2010/main">
                                  <a14:imgLayer r:embed="rId16">
                                    <a14:imgEffect>
                                      <a14:saturation sat="0"/>
                                    </a14:imgEffect>
                                  </a14:imgLayer>
                                </a14:imgProps>
                              </a:ext>
                            </a:extLst>
                          </a:blip>
                          <a:srcRect l="18047" t="18962" r="28714" b="21180"/>
                          <a:stretch/>
                        </pic:blipFill>
                        <pic:spPr bwMode="auto">
                          <a:xfrm>
                            <a:off x="0" y="0"/>
                            <a:ext cx="58737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50" w:type="dxa"/>
            <w:noWrap/>
            <w:vAlign w:val="center"/>
            <w:hideMark/>
          </w:tcPr>
          <w:p w14:paraId="4FA483DB"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δ 18.6</w:t>
            </w:r>
          </w:p>
        </w:tc>
        <w:tc>
          <w:tcPr>
            <w:tcW w:w="709" w:type="dxa"/>
            <w:noWrap/>
            <w:vAlign w:val="center"/>
            <w:hideMark/>
          </w:tcPr>
          <w:p w14:paraId="75635667"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88.11</w:t>
            </w:r>
          </w:p>
        </w:tc>
        <w:tc>
          <w:tcPr>
            <w:tcW w:w="567" w:type="dxa"/>
            <w:noWrap/>
            <w:vAlign w:val="center"/>
            <w:hideMark/>
          </w:tcPr>
          <w:p w14:paraId="7EF69231"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8.7</w:t>
            </w:r>
          </w:p>
        </w:tc>
        <w:tc>
          <w:tcPr>
            <w:tcW w:w="661" w:type="dxa"/>
            <w:noWrap/>
            <w:vAlign w:val="center"/>
            <w:hideMark/>
          </w:tcPr>
          <w:p w14:paraId="54536DD7"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[6,11, 13, 14]</w:t>
            </w:r>
          </w:p>
        </w:tc>
      </w:tr>
    </w:tbl>
    <w:p w14:paraId="01ABA7B2" w14:textId="77777777" w:rsidR="00790ADA" w:rsidRDefault="00790ADA" w:rsidP="00441B6F">
      <w:pPr>
        <w:pStyle w:val="Body"/>
        <w:spacing w:after="0"/>
        <w:rPr>
          <w:rFonts w:ascii="Arial" w:hAnsi="Arial" w:cs="Arial"/>
        </w:rPr>
      </w:pPr>
    </w:p>
    <w:p w14:paraId="4FD2E70D" w14:textId="03465D78" w:rsidR="00E71788" w:rsidRDefault="00B6151A" w:rsidP="00E71788">
      <w:pPr>
        <w:pStyle w:val="AbstHead"/>
        <w:spacing w:after="0"/>
        <w:jc w:val="both"/>
        <w:rPr>
          <w:rFonts w:ascii="Arial" w:hAnsi="Arial" w:cs="Arial"/>
        </w:rPr>
      </w:pPr>
      <w:r>
        <w:rPr>
          <w:rFonts w:ascii="Arial" w:hAnsi="Arial" w:cs="Arial"/>
        </w:rPr>
        <w:t>3</w:t>
      </w:r>
      <w:r w:rsidR="00E71788">
        <w:rPr>
          <w:rFonts w:ascii="Arial" w:hAnsi="Arial" w:cs="Arial"/>
        </w:rPr>
        <w:t>. production route</w:t>
      </w:r>
    </w:p>
    <w:p w14:paraId="7C8307A4" w14:textId="77777777" w:rsidR="00790ADA" w:rsidRDefault="00790ADA" w:rsidP="00441B6F">
      <w:pPr>
        <w:pStyle w:val="Body"/>
        <w:spacing w:after="0"/>
        <w:rPr>
          <w:rFonts w:ascii="Arial" w:hAnsi="Arial" w:cs="Arial"/>
        </w:rPr>
      </w:pPr>
    </w:p>
    <w:p w14:paraId="059947C3" w14:textId="2C36F420" w:rsidR="00E71788" w:rsidRDefault="00E71788" w:rsidP="00441B6F">
      <w:pPr>
        <w:pStyle w:val="Body"/>
        <w:spacing w:after="0"/>
        <w:rPr>
          <w:rFonts w:ascii="Arial" w:hAnsi="Arial" w:cs="Arial"/>
        </w:rPr>
      </w:pPr>
      <w:r w:rsidRPr="00E71788">
        <w:rPr>
          <w:rFonts w:ascii="Arial" w:hAnsi="Arial" w:cs="Arial"/>
        </w:rPr>
        <w:t>Figure 1 shows hexane is generally produced from naphtha, one of the lightest fractions obtained directly from petroleum refining. This fraction accounts for about 20% of the weight of crude oil and consists of a mixture of C5 to C10 hydrocarbons with a boiling point in the range of 30–200</w:t>
      </w:r>
      <w:r w:rsidRPr="00E71788">
        <w:rPr>
          <w:rFonts w:ascii="Arial" w:hAnsi="Arial" w:cs="Arial"/>
        </w:rPr>
        <w:sym w:font="Symbol" w:char="F0B0"/>
      </w:r>
      <w:r w:rsidRPr="00E71788">
        <w:rPr>
          <w:rFonts w:ascii="Arial" w:hAnsi="Arial" w:cs="Arial"/>
        </w:rPr>
        <w:t xml:space="preserve">C.  Figure 2 shows </w:t>
      </w:r>
      <w:proofErr w:type="gramStart"/>
      <w:r w:rsidRPr="00E71788">
        <w:rPr>
          <w:rFonts w:ascii="Arial" w:hAnsi="Arial" w:cs="Arial"/>
        </w:rPr>
        <w:t>The</w:t>
      </w:r>
      <w:proofErr w:type="gramEnd"/>
      <w:r w:rsidRPr="00E71788">
        <w:rPr>
          <w:rFonts w:ascii="Arial" w:hAnsi="Arial" w:cs="Arial"/>
        </w:rPr>
        <w:t xml:space="preserve"> primary production method for ethyl acetate occurs through Fischer esterification (FE) of ethanol (EtOH) with acetic acid (AA). The AA is produced from EtOH through a two-step process: either chemical or biological or via a one-step method derived from 1 G and 2 G sugars. In the chemical process, the initial step involves the alcoholic fermentation of sugars (anaerobicfermentation), followed by catalytic chemical upgrading to AA. In the biological route, the first stage is similar to the chemical route, followed by the oxidation of EtOH into AA using acetic acid bacteria (AAB)</w:t>
      </w:r>
      <w:r w:rsidRPr="00E71788">
        <w:rPr>
          <w:rFonts w:ascii="Arial" w:hAnsi="Arial" w:cs="Arial"/>
          <w:vertAlign w:val="superscript"/>
        </w:rPr>
        <w:t>5,14</w:t>
      </w:r>
      <w:r w:rsidRPr="00E71788">
        <w:rPr>
          <w:rFonts w:ascii="Arial" w:hAnsi="Arial" w:cs="Arial"/>
        </w:rPr>
        <w:t>.</w:t>
      </w:r>
    </w:p>
    <w:p w14:paraId="37F2F1EC" w14:textId="77777777" w:rsidR="00B6151A" w:rsidRDefault="00B6151A" w:rsidP="00441B6F">
      <w:pPr>
        <w:pStyle w:val="Body"/>
        <w:spacing w:after="0"/>
        <w:rPr>
          <w:rFonts w:ascii="Arial" w:hAnsi="Arial" w:cs="Arial"/>
        </w:rPr>
      </w:pPr>
    </w:p>
    <w:p w14:paraId="3385F609" w14:textId="77777777" w:rsidR="00B6151A" w:rsidRPr="00B6151A" w:rsidRDefault="00B6151A" w:rsidP="00B6151A">
      <w:pPr>
        <w:pStyle w:val="Body"/>
        <w:rPr>
          <w:rFonts w:ascii="Arial" w:hAnsi="Arial" w:cs="Arial"/>
          <w:b/>
          <w:bCs/>
        </w:rPr>
      </w:pPr>
      <w:r w:rsidRPr="00B6151A">
        <w:rPr>
          <w:rFonts w:ascii="Arial" w:hAnsi="Arial" w:cs="Arial"/>
          <w:b/>
          <w:bCs/>
          <w:noProof/>
        </w:rPr>
        <w:drawing>
          <wp:inline distT="0" distB="0" distL="0" distR="0" wp14:anchorId="1D44C5C2" wp14:editId="1700053C">
            <wp:extent cx="5422900" cy="2526030"/>
            <wp:effectExtent l="0" t="0" r="0" b="0"/>
            <wp:docPr id="1757050806" name="Picture 1" descr="A diagram of a chemical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50806" name="Picture 1" descr="A diagram of a chemical process&#10;&#10;AI-generated content may be incorrect."/>
                    <pic:cNvPicPr/>
                  </pic:nvPicPr>
                  <pic:blipFill>
                    <a:blip r:embed="rId17"/>
                    <a:stretch>
                      <a:fillRect/>
                    </a:stretch>
                  </pic:blipFill>
                  <pic:spPr>
                    <a:xfrm>
                      <a:off x="0" y="0"/>
                      <a:ext cx="5422900" cy="2526030"/>
                    </a:xfrm>
                    <a:prstGeom prst="rect">
                      <a:avLst/>
                    </a:prstGeom>
                  </pic:spPr>
                </pic:pic>
              </a:graphicData>
            </a:graphic>
          </wp:inline>
        </w:drawing>
      </w:r>
    </w:p>
    <w:p w14:paraId="353C966E" w14:textId="40C00741" w:rsidR="00B6151A" w:rsidRPr="00B6151A" w:rsidRDefault="00B6151A" w:rsidP="00B6151A">
      <w:pPr>
        <w:pStyle w:val="Body"/>
        <w:jc w:val="center"/>
        <w:rPr>
          <w:rFonts w:ascii="Arial" w:hAnsi="Arial" w:cs="Arial"/>
          <w:b/>
          <w:bCs/>
        </w:rPr>
      </w:pPr>
      <w:r w:rsidRPr="00B6151A">
        <w:rPr>
          <w:rFonts w:ascii="Arial" w:hAnsi="Arial" w:cs="Arial"/>
          <w:b/>
          <w:bCs/>
        </w:rPr>
        <w:t>Figure 1</w:t>
      </w:r>
      <w:r>
        <w:rPr>
          <w:rFonts w:ascii="Arial" w:hAnsi="Arial" w:cs="Arial"/>
          <w:b/>
          <w:bCs/>
        </w:rPr>
        <w:t xml:space="preserve">. </w:t>
      </w:r>
      <w:r w:rsidRPr="00B6151A">
        <w:rPr>
          <w:rFonts w:ascii="Arial" w:hAnsi="Arial" w:cs="Arial"/>
          <w:b/>
          <w:bCs/>
        </w:rPr>
        <w:t>HEX production and composition</w:t>
      </w:r>
      <w:r w:rsidRPr="00B6151A">
        <w:rPr>
          <w:rFonts w:ascii="Arial" w:hAnsi="Arial" w:cs="Arial"/>
          <w:b/>
          <w:bCs/>
          <w:vertAlign w:val="superscript"/>
        </w:rPr>
        <w:t>5</w:t>
      </w:r>
      <w:r w:rsidRPr="00B6151A">
        <w:rPr>
          <w:rFonts w:ascii="Arial" w:hAnsi="Arial" w:cs="Arial"/>
          <w:b/>
          <w:bCs/>
        </w:rPr>
        <w:t>.</w:t>
      </w:r>
    </w:p>
    <w:p w14:paraId="7063C7A9" w14:textId="77777777" w:rsidR="00B6151A" w:rsidRPr="00B6151A" w:rsidRDefault="00B6151A" w:rsidP="00B6151A">
      <w:pPr>
        <w:pStyle w:val="Body"/>
        <w:jc w:val="center"/>
        <w:rPr>
          <w:rFonts w:ascii="Arial" w:hAnsi="Arial" w:cs="Arial"/>
        </w:rPr>
      </w:pPr>
    </w:p>
    <w:p w14:paraId="3EEF8618" w14:textId="77777777" w:rsidR="00B6151A" w:rsidRPr="00B6151A" w:rsidRDefault="00B6151A" w:rsidP="00B6151A">
      <w:pPr>
        <w:pStyle w:val="Body"/>
        <w:jc w:val="center"/>
        <w:rPr>
          <w:rFonts w:ascii="Arial" w:hAnsi="Arial" w:cs="Arial"/>
        </w:rPr>
      </w:pPr>
      <w:r w:rsidRPr="00B6151A">
        <w:rPr>
          <w:rFonts w:ascii="Arial" w:hAnsi="Arial" w:cs="Arial"/>
          <w:noProof/>
        </w:rPr>
        <w:lastRenderedPageBreak/>
        <w:drawing>
          <wp:inline distT="0" distB="0" distL="0" distR="0" wp14:anchorId="6AF13EF2" wp14:editId="39877977">
            <wp:extent cx="4953000" cy="2028825"/>
            <wp:effectExtent l="0" t="0" r="0" b="0"/>
            <wp:docPr id="1940146334" name="Picture 1" descr="A diagram of a fuel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46334" name="Picture 1" descr="A diagram of a fuel system&#10;&#10;AI-generated content may be incorrect."/>
                    <pic:cNvPicPr/>
                  </pic:nvPicPr>
                  <pic:blipFill>
                    <a:blip r:embed="rId18"/>
                    <a:stretch>
                      <a:fillRect/>
                    </a:stretch>
                  </pic:blipFill>
                  <pic:spPr>
                    <a:xfrm>
                      <a:off x="0" y="0"/>
                      <a:ext cx="4997044" cy="2046866"/>
                    </a:xfrm>
                    <a:prstGeom prst="rect">
                      <a:avLst/>
                    </a:prstGeom>
                  </pic:spPr>
                </pic:pic>
              </a:graphicData>
            </a:graphic>
          </wp:inline>
        </w:drawing>
      </w:r>
    </w:p>
    <w:p w14:paraId="05F82F8C" w14:textId="67A9F832" w:rsidR="00B6151A" w:rsidRPr="00B6151A" w:rsidRDefault="00B6151A" w:rsidP="00B6151A">
      <w:pPr>
        <w:pStyle w:val="Body"/>
        <w:jc w:val="center"/>
        <w:rPr>
          <w:rFonts w:ascii="Arial" w:hAnsi="Arial" w:cs="Arial"/>
          <w:b/>
          <w:bCs/>
        </w:rPr>
      </w:pPr>
      <w:r w:rsidRPr="00B6151A">
        <w:rPr>
          <w:rFonts w:ascii="Arial" w:hAnsi="Arial" w:cs="Arial"/>
          <w:b/>
          <w:bCs/>
        </w:rPr>
        <w:t>Figure 2. EtoAc production and composition</w:t>
      </w:r>
      <w:r w:rsidRPr="00B6151A">
        <w:rPr>
          <w:rFonts w:ascii="Arial" w:hAnsi="Arial" w:cs="Arial"/>
          <w:b/>
          <w:bCs/>
          <w:vertAlign w:val="superscript"/>
        </w:rPr>
        <w:t>20</w:t>
      </w:r>
      <w:r w:rsidRPr="00B6151A">
        <w:rPr>
          <w:rFonts w:ascii="Arial" w:hAnsi="Arial" w:cs="Arial"/>
          <w:b/>
          <w:bCs/>
        </w:rPr>
        <w:t>.</w:t>
      </w:r>
    </w:p>
    <w:p w14:paraId="115C373A" w14:textId="77777777" w:rsidR="00B6151A" w:rsidRPr="00B6151A" w:rsidRDefault="00B6151A" w:rsidP="00B6151A">
      <w:pPr>
        <w:pStyle w:val="Body"/>
        <w:rPr>
          <w:rFonts w:ascii="Arial" w:hAnsi="Arial" w:cs="Arial"/>
        </w:rPr>
      </w:pPr>
      <w:r w:rsidRPr="00B6151A">
        <w:rPr>
          <w:rFonts w:ascii="Arial" w:hAnsi="Arial" w:cs="Arial"/>
        </w:rPr>
        <w:t>The common organic solvents are generally classified as an aliphatic hydrocarbon, aromatic hydrocarbon, cyclic hydrocarbon, halogenated hydrocarbon, amines, ketones, esters, ether, aldehyde, alcohols, among others as HEX and EtoAc in Figure 1 and 2. It’s hard to talk about organic synthesis without organic solvents. In common, the organic solvents are chemicals that are used to dissolve other chemicals but in detail, we need to understand the reactivity of respective solvents on specific reactions conditions. So, the selection of appropriate solvents for a reaction is to be noted always. The choice of solvents is usually done by previous experience with particular solvents or the following similar pattern literature review and practice it in a laboratory setting. However, the scenario does not remain same nowadays because of some strict rules and regulation we need to consider like solvent power, volatility that leads to toxicity to the researcher and to our society and overall environment. This leads to search new and new best option and because of which, nowadays the solvent-free organic synthesis is rapidly growing</w:t>
      </w:r>
      <w:r w:rsidRPr="00B6151A">
        <w:rPr>
          <w:rFonts w:ascii="Arial" w:hAnsi="Arial" w:cs="Arial"/>
          <w:vertAlign w:val="superscript"/>
        </w:rPr>
        <w:t>6</w:t>
      </w:r>
      <w:r w:rsidRPr="00B6151A">
        <w:rPr>
          <w:rFonts w:ascii="Arial" w:hAnsi="Arial" w:cs="Arial"/>
        </w:rPr>
        <w:t>.</w:t>
      </w:r>
    </w:p>
    <w:p w14:paraId="0760057A" w14:textId="77777777" w:rsidR="00B6151A" w:rsidRPr="00B6151A" w:rsidRDefault="00B6151A" w:rsidP="00B6151A">
      <w:pPr>
        <w:pStyle w:val="AbstHead"/>
        <w:jc w:val="both"/>
        <w:rPr>
          <w:rFonts w:ascii="Arial" w:hAnsi="Arial" w:cs="Arial"/>
        </w:rPr>
      </w:pPr>
      <w:r>
        <w:rPr>
          <w:rFonts w:ascii="Arial" w:hAnsi="Arial" w:cs="Arial"/>
        </w:rPr>
        <w:t xml:space="preserve">4. </w:t>
      </w:r>
      <w:r w:rsidRPr="00B6151A">
        <w:rPr>
          <w:rFonts w:ascii="Arial" w:hAnsi="Arial" w:cs="Arial"/>
          <w:bCs/>
        </w:rPr>
        <w:t>Intended Use and Application</w:t>
      </w:r>
    </w:p>
    <w:p w14:paraId="7A7A6EC5" w14:textId="77777777" w:rsidR="00B6151A" w:rsidRPr="00B6151A" w:rsidRDefault="00B6151A" w:rsidP="00B6151A">
      <w:pPr>
        <w:jc w:val="both"/>
        <w:rPr>
          <w:rFonts w:ascii="Arial" w:hAnsi="Arial" w:cs="Arial"/>
        </w:rPr>
      </w:pPr>
      <w:r w:rsidRPr="00B6151A">
        <w:rPr>
          <w:rFonts w:ascii="Arial" w:hAnsi="Arial" w:cs="Arial"/>
        </w:rPr>
        <w:t>Table 2 shows the substance category for HEX and EtoAc reported accordingly the National Center for Biotechnology Information advances science and health by providing access to biomedical and genomic information in the NIH (National Library of Medicine)</w:t>
      </w:r>
      <w:r w:rsidRPr="00B6151A">
        <w:rPr>
          <w:rFonts w:ascii="Arial" w:hAnsi="Arial" w:cs="Arial"/>
          <w:vertAlign w:val="superscript"/>
        </w:rPr>
        <w:t>11,12</w:t>
      </w:r>
      <w:r w:rsidRPr="00B6151A">
        <w:rPr>
          <w:rFonts w:ascii="Arial" w:hAnsi="Arial" w:cs="Arial"/>
        </w:rPr>
        <w:t xml:space="preserve">. Our summary considering all uses of these both substances was divided in 19 categories considering all listed intent of applications existing and mentioned in the NIH. It is important to mention the summarization was adopted as strategies to reduce the redundance of intent uses cited and grouping both HEX and </w:t>
      </w:r>
      <w:proofErr w:type="spellStart"/>
      <w:r w:rsidRPr="00B6151A">
        <w:rPr>
          <w:rFonts w:ascii="Arial" w:hAnsi="Arial" w:cs="Arial"/>
        </w:rPr>
        <w:t>EtoAc</w:t>
      </w:r>
      <w:proofErr w:type="spellEnd"/>
      <w:r w:rsidRPr="00B6151A">
        <w:rPr>
          <w:rFonts w:ascii="Arial" w:hAnsi="Arial" w:cs="Arial"/>
        </w:rPr>
        <w:t xml:space="preserve"> in similar classes of use that better fit for each molecule in their respectively physical state.</w:t>
      </w:r>
    </w:p>
    <w:p w14:paraId="45F87AB8" w14:textId="77777777" w:rsidR="00B6151A" w:rsidRPr="00B6151A" w:rsidRDefault="00B6151A" w:rsidP="00B6151A">
      <w:pPr>
        <w:ind w:firstLine="720"/>
        <w:rPr>
          <w:rFonts w:ascii="Arial" w:hAnsi="Arial" w:cs="Arial"/>
        </w:rPr>
      </w:pPr>
    </w:p>
    <w:p w14:paraId="6888C81F" w14:textId="349F259A" w:rsidR="00B6151A" w:rsidRPr="00B6151A" w:rsidRDefault="00B6151A" w:rsidP="00B6151A">
      <w:pPr>
        <w:rPr>
          <w:rFonts w:ascii="Arial" w:hAnsi="Arial" w:cs="Arial"/>
          <w:b/>
          <w:bCs/>
        </w:rPr>
      </w:pPr>
      <w:r w:rsidRPr="00B6151A">
        <w:rPr>
          <w:rFonts w:ascii="Arial" w:hAnsi="Arial" w:cs="Arial"/>
          <w:b/>
          <w:bCs/>
        </w:rPr>
        <w:t>Table 2. Hexane (HEX) and Ethyl Acetate (</w:t>
      </w:r>
      <w:proofErr w:type="spellStart"/>
      <w:r w:rsidRPr="00B6151A">
        <w:rPr>
          <w:rFonts w:ascii="Arial" w:hAnsi="Arial" w:cs="Arial"/>
          <w:b/>
          <w:bCs/>
        </w:rPr>
        <w:t>EtoAc</w:t>
      </w:r>
      <w:proofErr w:type="spellEnd"/>
      <w:r w:rsidRPr="00B6151A">
        <w:rPr>
          <w:rFonts w:ascii="Arial" w:hAnsi="Arial" w:cs="Arial"/>
          <w:b/>
          <w:bCs/>
        </w:rPr>
        <w:t>) applications divided accordingly broad category of use reported</w:t>
      </w:r>
    </w:p>
    <w:p w14:paraId="51C4626A" w14:textId="09BEBDBD" w:rsidR="00B6151A" w:rsidRPr="00B6151A" w:rsidRDefault="00B6151A" w:rsidP="00B6151A">
      <w:pPr>
        <w:pStyle w:val="AbstHead"/>
        <w:spacing w:after="0"/>
        <w:jc w:val="both"/>
        <w:rPr>
          <w:rFonts w:ascii="Arial" w:hAnsi="Arial" w:cs="Arial"/>
        </w:rPr>
      </w:pPr>
    </w:p>
    <w:tbl>
      <w:tblPr>
        <w:tblW w:w="0" w:type="auto"/>
        <w:tblLayout w:type="fixed"/>
        <w:tblLook w:val="04A0" w:firstRow="1" w:lastRow="0" w:firstColumn="1" w:lastColumn="0" w:noHBand="0" w:noVBand="1"/>
      </w:tblPr>
      <w:tblGrid>
        <w:gridCol w:w="3299"/>
        <w:gridCol w:w="1374"/>
        <w:gridCol w:w="1418"/>
        <w:gridCol w:w="2097"/>
      </w:tblGrid>
      <w:tr w:rsidR="00B6151A" w:rsidRPr="00B6151A" w14:paraId="3797E54E" w14:textId="77777777" w:rsidTr="00301CBB">
        <w:trPr>
          <w:trHeight w:val="397"/>
        </w:trPr>
        <w:tc>
          <w:tcPr>
            <w:tcW w:w="3299" w:type="dxa"/>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6F636877" w14:textId="77777777" w:rsidR="00B6151A" w:rsidRPr="00B6151A" w:rsidRDefault="00B6151A" w:rsidP="00B6151A">
            <w:pPr>
              <w:pStyle w:val="Body"/>
              <w:jc w:val="center"/>
              <w:rPr>
                <w:rFonts w:ascii="Arial" w:hAnsi="Arial" w:cs="Arial"/>
                <w:b/>
                <w:bCs/>
              </w:rPr>
            </w:pPr>
            <w:r w:rsidRPr="00B6151A">
              <w:rPr>
                <w:rFonts w:ascii="Arial" w:hAnsi="Arial" w:cs="Arial"/>
                <w:b/>
                <w:bCs/>
              </w:rPr>
              <w:t>Category uses reported</w:t>
            </w:r>
          </w:p>
        </w:tc>
        <w:tc>
          <w:tcPr>
            <w:tcW w:w="1374" w:type="dxa"/>
            <w:tcBorders>
              <w:top w:val="single" w:sz="4" w:space="0" w:color="auto"/>
              <w:left w:val="nil"/>
              <w:bottom w:val="single" w:sz="4" w:space="0" w:color="auto"/>
              <w:right w:val="single" w:sz="4" w:space="0" w:color="auto"/>
            </w:tcBorders>
            <w:shd w:val="clear" w:color="000000" w:fill="D0D0D0"/>
            <w:noWrap/>
            <w:vAlign w:val="center"/>
            <w:hideMark/>
          </w:tcPr>
          <w:p w14:paraId="53AB993C" w14:textId="77777777" w:rsidR="00B6151A" w:rsidRPr="00B6151A" w:rsidRDefault="00B6151A" w:rsidP="00B6151A">
            <w:pPr>
              <w:pStyle w:val="Body"/>
              <w:jc w:val="center"/>
              <w:rPr>
                <w:rFonts w:ascii="Arial" w:hAnsi="Arial" w:cs="Arial"/>
                <w:b/>
                <w:bCs/>
              </w:rPr>
            </w:pPr>
            <w:r w:rsidRPr="00B6151A">
              <w:rPr>
                <w:rFonts w:ascii="Arial" w:hAnsi="Arial" w:cs="Arial"/>
                <w:b/>
                <w:bCs/>
              </w:rPr>
              <w:t>HEX</w:t>
            </w:r>
          </w:p>
        </w:tc>
        <w:tc>
          <w:tcPr>
            <w:tcW w:w="1418" w:type="dxa"/>
            <w:tcBorders>
              <w:top w:val="single" w:sz="4" w:space="0" w:color="auto"/>
              <w:left w:val="nil"/>
              <w:bottom w:val="single" w:sz="4" w:space="0" w:color="auto"/>
              <w:right w:val="single" w:sz="4" w:space="0" w:color="auto"/>
            </w:tcBorders>
            <w:shd w:val="clear" w:color="000000" w:fill="D0D0D0"/>
            <w:noWrap/>
            <w:vAlign w:val="center"/>
            <w:hideMark/>
          </w:tcPr>
          <w:p w14:paraId="7922844F" w14:textId="77777777" w:rsidR="00B6151A" w:rsidRPr="00B6151A" w:rsidRDefault="00B6151A" w:rsidP="00B6151A">
            <w:pPr>
              <w:pStyle w:val="Body"/>
              <w:jc w:val="center"/>
              <w:rPr>
                <w:rFonts w:ascii="Arial" w:hAnsi="Arial" w:cs="Arial"/>
                <w:b/>
                <w:bCs/>
              </w:rPr>
            </w:pPr>
            <w:r w:rsidRPr="00B6151A">
              <w:rPr>
                <w:rFonts w:ascii="Arial" w:hAnsi="Arial" w:cs="Arial"/>
                <w:b/>
                <w:bCs/>
              </w:rPr>
              <w:t>EtoAc</w:t>
            </w:r>
          </w:p>
        </w:tc>
        <w:tc>
          <w:tcPr>
            <w:tcW w:w="2097" w:type="dxa"/>
            <w:tcBorders>
              <w:top w:val="single" w:sz="4" w:space="0" w:color="auto"/>
              <w:left w:val="nil"/>
              <w:bottom w:val="single" w:sz="4" w:space="0" w:color="auto"/>
              <w:right w:val="single" w:sz="4" w:space="0" w:color="auto"/>
            </w:tcBorders>
            <w:shd w:val="clear" w:color="000000" w:fill="D0D0D0"/>
            <w:noWrap/>
            <w:vAlign w:val="center"/>
            <w:hideMark/>
          </w:tcPr>
          <w:p w14:paraId="3C3AD205" w14:textId="77777777" w:rsidR="00B6151A" w:rsidRPr="00B6151A" w:rsidRDefault="00B6151A" w:rsidP="00B6151A">
            <w:pPr>
              <w:pStyle w:val="Body"/>
              <w:jc w:val="center"/>
              <w:rPr>
                <w:rFonts w:ascii="Arial" w:hAnsi="Arial" w:cs="Arial"/>
                <w:b/>
                <w:bCs/>
              </w:rPr>
            </w:pPr>
            <w:r w:rsidRPr="00B6151A">
              <w:rPr>
                <w:rFonts w:ascii="Arial" w:hAnsi="Arial" w:cs="Arial"/>
                <w:b/>
                <w:bCs/>
              </w:rPr>
              <w:t>Reference</w:t>
            </w:r>
          </w:p>
        </w:tc>
      </w:tr>
      <w:tr w:rsidR="00B6151A" w:rsidRPr="00B6151A" w14:paraId="7D22D779"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5944B2DB" w14:textId="77777777" w:rsidR="00B6151A" w:rsidRPr="00B6151A" w:rsidRDefault="00B6151A" w:rsidP="00B6151A">
            <w:pPr>
              <w:pStyle w:val="Body"/>
              <w:jc w:val="center"/>
              <w:rPr>
                <w:rFonts w:ascii="Arial" w:hAnsi="Arial" w:cs="Arial"/>
              </w:rPr>
            </w:pPr>
            <w:r w:rsidRPr="00B6151A">
              <w:rPr>
                <w:rFonts w:ascii="Arial" w:hAnsi="Arial" w:cs="Arial"/>
              </w:rPr>
              <w:t>Additive</w:t>
            </w:r>
          </w:p>
        </w:tc>
        <w:tc>
          <w:tcPr>
            <w:tcW w:w="1374" w:type="dxa"/>
            <w:tcBorders>
              <w:top w:val="nil"/>
              <w:left w:val="nil"/>
              <w:bottom w:val="single" w:sz="4" w:space="0" w:color="auto"/>
              <w:right w:val="single" w:sz="4" w:space="0" w:color="auto"/>
            </w:tcBorders>
            <w:noWrap/>
            <w:vAlign w:val="center"/>
            <w:hideMark/>
          </w:tcPr>
          <w:p w14:paraId="3B8E6D60"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6206D257"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3AC044F9"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7C7E1914"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3CB1470D" w14:textId="77777777" w:rsidR="00B6151A" w:rsidRPr="00B6151A" w:rsidRDefault="00B6151A" w:rsidP="00B6151A">
            <w:pPr>
              <w:pStyle w:val="Body"/>
              <w:jc w:val="center"/>
              <w:rPr>
                <w:rFonts w:ascii="Arial" w:hAnsi="Arial" w:cs="Arial"/>
              </w:rPr>
            </w:pPr>
            <w:r w:rsidRPr="00B6151A">
              <w:rPr>
                <w:rFonts w:ascii="Arial" w:hAnsi="Arial" w:cs="Arial"/>
              </w:rPr>
              <w:t>Arts/Crafts/Office supplies</w:t>
            </w:r>
          </w:p>
        </w:tc>
        <w:tc>
          <w:tcPr>
            <w:tcW w:w="1374" w:type="dxa"/>
            <w:tcBorders>
              <w:top w:val="nil"/>
              <w:left w:val="nil"/>
              <w:bottom w:val="single" w:sz="4" w:space="0" w:color="auto"/>
              <w:right w:val="single" w:sz="4" w:space="0" w:color="auto"/>
            </w:tcBorders>
            <w:noWrap/>
            <w:vAlign w:val="center"/>
            <w:hideMark/>
          </w:tcPr>
          <w:p w14:paraId="77FF8E91"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220D5081"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73D63A0E"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467B2E73"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0C9506FC" w14:textId="77777777" w:rsidR="00B6151A" w:rsidRPr="00B6151A" w:rsidRDefault="00B6151A" w:rsidP="00B6151A">
            <w:pPr>
              <w:pStyle w:val="Body"/>
              <w:jc w:val="center"/>
              <w:rPr>
                <w:rFonts w:ascii="Arial" w:hAnsi="Arial" w:cs="Arial"/>
              </w:rPr>
            </w:pPr>
            <w:r w:rsidRPr="00B6151A">
              <w:rPr>
                <w:rFonts w:ascii="Arial" w:hAnsi="Arial" w:cs="Arial"/>
              </w:rPr>
              <w:t>Cleaner/Cleaning products</w:t>
            </w:r>
          </w:p>
        </w:tc>
        <w:tc>
          <w:tcPr>
            <w:tcW w:w="1374" w:type="dxa"/>
            <w:tcBorders>
              <w:top w:val="nil"/>
              <w:left w:val="nil"/>
              <w:bottom w:val="single" w:sz="4" w:space="0" w:color="auto"/>
              <w:right w:val="single" w:sz="4" w:space="0" w:color="auto"/>
            </w:tcBorders>
            <w:noWrap/>
            <w:vAlign w:val="center"/>
            <w:hideMark/>
          </w:tcPr>
          <w:p w14:paraId="4C39A89E"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5B06A2A4"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289A6757"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2C09B37F"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7EB1D44E" w14:textId="77777777" w:rsidR="00B6151A" w:rsidRPr="00B6151A" w:rsidRDefault="00B6151A" w:rsidP="00B6151A">
            <w:pPr>
              <w:pStyle w:val="Body"/>
              <w:jc w:val="center"/>
              <w:rPr>
                <w:rFonts w:ascii="Arial" w:hAnsi="Arial" w:cs="Arial"/>
              </w:rPr>
            </w:pPr>
            <w:r w:rsidRPr="00B6151A">
              <w:rPr>
                <w:rFonts w:ascii="Arial" w:hAnsi="Arial" w:cs="Arial"/>
              </w:rPr>
              <w:lastRenderedPageBreak/>
              <w:t>Construction/Bulding materials</w:t>
            </w:r>
          </w:p>
        </w:tc>
        <w:tc>
          <w:tcPr>
            <w:tcW w:w="1374" w:type="dxa"/>
            <w:tcBorders>
              <w:top w:val="nil"/>
              <w:left w:val="nil"/>
              <w:bottom w:val="single" w:sz="4" w:space="0" w:color="auto"/>
              <w:right w:val="single" w:sz="4" w:space="0" w:color="auto"/>
            </w:tcBorders>
            <w:noWrap/>
            <w:vAlign w:val="center"/>
            <w:hideMark/>
          </w:tcPr>
          <w:p w14:paraId="072AAF13"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0B8B0D40"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7087FD34"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065AEF37"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0B37CF81" w14:textId="77777777" w:rsidR="00B6151A" w:rsidRPr="00B6151A" w:rsidRDefault="00B6151A" w:rsidP="00B6151A">
            <w:pPr>
              <w:pStyle w:val="Body"/>
              <w:jc w:val="center"/>
              <w:rPr>
                <w:rFonts w:ascii="Arial" w:hAnsi="Arial" w:cs="Arial"/>
              </w:rPr>
            </w:pPr>
            <w:r w:rsidRPr="00B6151A">
              <w:rPr>
                <w:rFonts w:ascii="Arial" w:hAnsi="Arial" w:cs="Arial"/>
              </w:rPr>
              <w:t>Fragrance</w:t>
            </w:r>
          </w:p>
        </w:tc>
        <w:tc>
          <w:tcPr>
            <w:tcW w:w="1374" w:type="dxa"/>
            <w:tcBorders>
              <w:top w:val="nil"/>
              <w:left w:val="nil"/>
              <w:bottom w:val="single" w:sz="4" w:space="0" w:color="auto"/>
              <w:right w:val="single" w:sz="4" w:space="0" w:color="auto"/>
            </w:tcBorders>
            <w:noWrap/>
            <w:vAlign w:val="center"/>
            <w:hideMark/>
          </w:tcPr>
          <w:p w14:paraId="77203C76"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2ABC6857"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18FB939F"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1E299522"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6997CA26" w14:textId="77777777" w:rsidR="00B6151A" w:rsidRPr="00B6151A" w:rsidRDefault="00B6151A" w:rsidP="00B6151A">
            <w:pPr>
              <w:pStyle w:val="Body"/>
              <w:jc w:val="center"/>
              <w:rPr>
                <w:rFonts w:ascii="Arial" w:hAnsi="Arial" w:cs="Arial"/>
              </w:rPr>
            </w:pPr>
            <w:r w:rsidRPr="00B6151A">
              <w:rPr>
                <w:rFonts w:ascii="Arial" w:hAnsi="Arial" w:cs="Arial"/>
              </w:rPr>
              <w:t>General purpose</w:t>
            </w:r>
          </w:p>
        </w:tc>
        <w:tc>
          <w:tcPr>
            <w:tcW w:w="1374" w:type="dxa"/>
            <w:tcBorders>
              <w:top w:val="nil"/>
              <w:left w:val="nil"/>
              <w:bottom w:val="single" w:sz="4" w:space="0" w:color="auto"/>
              <w:right w:val="single" w:sz="4" w:space="0" w:color="auto"/>
            </w:tcBorders>
            <w:noWrap/>
            <w:vAlign w:val="center"/>
            <w:hideMark/>
          </w:tcPr>
          <w:p w14:paraId="7F330458"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633A9D6D"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5AB6495F"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4FFB2E17"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3C4B081A" w14:textId="77777777" w:rsidR="00B6151A" w:rsidRPr="00B6151A" w:rsidRDefault="00B6151A" w:rsidP="00B6151A">
            <w:pPr>
              <w:pStyle w:val="Body"/>
              <w:jc w:val="center"/>
              <w:rPr>
                <w:rFonts w:ascii="Arial" w:hAnsi="Arial" w:cs="Arial"/>
              </w:rPr>
            </w:pPr>
            <w:r w:rsidRPr="00B6151A">
              <w:rPr>
                <w:rFonts w:ascii="Arial" w:hAnsi="Arial" w:cs="Arial"/>
              </w:rPr>
              <w:t>Landscape/yard</w:t>
            </w:r>
          </w:p>
        </w:tc>
        <w:tc>
          <w:tcPr>
            <w:tcW w:w="1374" w:type="dxa"/>
            <w:tcBorders>
              <w:top w:val="nil"/>
              <w:left w:val="nil"/>
              <w:bottom w:val="single" w:sz="4" w:space="0" w:color="auto"/>
              <w:right w:val="single" w:sz="4" w:space="0" w:color="auto"/>
            </w:tcBorders>
            <w:noWrap/>
            <w:vAlign w:val="center"/>
            <w:hideMark/>
          </w:tcPr>
          <w:p w14:paraId="2582A39D"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1FCB9388"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5FE7858C"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063DDF02"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72240736" w14:textId="77777777" w:rsidR="00B6151A" w:rsidRPr="00B6151A" w:rsidRDefault="00B6151A" w:rsidP="00B6151A">
            <w:pPr>
              <w:pStyle w:val="Body"/>
              <w:jc w:val="center"/>
              <w:rPr>
                <w:rFonts w:ascii="Arial" w:hAnsi="Arial" w:cs="Arial"/>
              </w:rPr>
            </w:pPr>
            <w:r w:rsidRPr="00B6151A">
              <w:rPr>
                <w:rFonts w:ascii="Arial" w:hAnsi="Arial" w:cs="Arial"/>
              </w:rPr>
              <w:t>Manufactured formulations</w:t>
            </w:r>
          </w:p>
        </w:tc>
        <w:tc>
          <w:tcPr>
            <w:tcW w:w="1374" w:type="dxa"/>
            <w:tcBorders>
              <w:top w:val="nil"/>
              <w:left w:val="nil"/>
              <w:bottom w:val="single" w:sz="4" w:space="0" w:color="auto"/>
              <w:right w:val="single" w:sz="4" w:space="0" w:color="auto"/>
            </w:tcBorders>
            <w:noWrap/>
            <w:vAlign w:val="center"/>
            <w:hideMark/>
          </w:tcPr>
          <w:p w14:paraId="6B35A12B"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0374E6E3"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36CA341C"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53520805"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0EA0F21F" w14:textId="77777777" w:rsidR="00B6151A" w:rsidRPr="00B6151A" w:rsidRDefault="00B6151A" w:rsidP="00B6151A">
            <w:pPr>
              <w:pStyle w:val="Body"/>
              <w:jc w:val="center"/>
              <w:rPr>
                <w:rFonts w:ascii="Arial" w:hAnsi="Arial" w:cs="Arial"/>
              </w:rPr>
            </w:pPr>
            <w:r w:rsidRPr="00B6151A">
              <w:rPr>
                <w:rFonts w:ascii="Arial" w:hAnsi="Arial" w:cs="Arial"/>
              </w:rPr>
              <w:t>Pure chemical</w:t>
            </w:r>
          </w:p>
        </w:tc>
        <w:tc>
          <w:tcPr>
            <w:tcW w:w="1374" w:type="dxa"/>
            <w:tcBorders>
              <w:top w:val="nil"/>
              <w:left w:val="nil"/>
              <w:bottom w:val="single" w:sz="4" w:space="0" w:color="auto"/>
              <w:right w:val="single" w:sz="4" w:space="0" w:color="auto"/>
            </w:tcBorders>
            <w:noWrap/>
            <w:vAlign w:val="center"/>
            <w:hideMark/>
          </w:tcPr>
          <w:p w14:paraId="4F75510C"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62B325A1"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0DB77D63"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1B1DA8AD"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0D0A857B" w14:textId="77777777" w:rsidR="00B6151A" w:rsidRPr="00B6151A" w:rsidRDefault="00B6151A" w:rsidP="00B6151A">
            <w:pPr>
              <w:pStyle w:val="Body"/>
              <w:jc w:val="center"/>
              <w:rPr>
                <w:rFonts w:ascii="Arial" w:hAnsi="Arial" w:cs="Arial"/>
              </w:rPr>
            </w:pPr>
            <w:r w:rsidRPr="00B6151A">
              <w:rPr>
                <w:rFonts w:ascii="Arial" w:hAnsi="Arial" w:cs="Arial"/>
              </w:rPr>
              <w:t>Personal care</w:t>
            </w:r>
          </w:p>
        </w:tc>
        <w:tc>
          <w:tcPr>
            <w:tcW w:w="1374" w:type="dxa"/>
            <w:tcBorders>
              <w:top w:val="nil"/>
              <w:left w:val="nil"/>
              <w:bottom w:val="single" w:sz="4" w:space="0" w:color="auto"/>
              <w:right w:val="single" w:sz="4" w:space="0" w:color="auto"/>
            </w:tcBorders>
            <w:noWrap/>
            <w:vAlign w:val="center"/>
            <w:hideMark/>
          </w:tcPr>
          <w:p w14:paraId="67AF751B"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512C7A34"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3258FE39"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263D1FF4"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5BDCB1C3" w14:textId="77777777" w:rsidR="00B6151A" w:rsidRPr="00B6151A" w:rsidRDefault="00B6151A" w:rsidP="00B6151A">
            <w:pPr>
              <w:pStyle w:val="Body"/>
              <w:jc w:val="center"/>
              <w:rPr>
                <w:rFonts w:ascii="Arial" w:hAnsi="Arial" w:cs="Arial"/>
              </w:rPr>
            </w:pPr>
            <w:r w:rsidRPr="00B6151A">
              <w:rPr>
                <w:rFonts w:ascii="Arial" w:hAnsi="Arial" w:cs="Arial"/>
              </w:rPr>
              <w:t>Solvent or vehicle</w:t>
            </w:r>
          </w:p>
        </w:tc>
        <w:tc>
          <w:tcPr>
            <w:tcW w:w="1374" w:type="dxa"/>
            <w:tcBorders>
              <w:top w:val="nil"/>
              <w:left w:val="nil"/>
              <w:bottom w:val="single" w:sz="4" w:space="0" w:color="auto"/>
              <w:right w:val="single" w:sz="4" w:space="0" w:color="auto"/>
            </w:tcBorders>
            <w:noWrap/>
            <w:vAlign w:val="center"/>
            <w:hideMark/>
          </w:tcPr>
          <w:p w14:paraId="3C9C7988"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59EF1B44"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44F5D6C5"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27CD711B"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11FFAC0F" w14:textId="77777777" w:rsidR="00B6151A" w:rsidRPr="00B6151A" w:rsidRDefault="00B6151A" w:rsidP="00B6151A">
            <w:pPr>
              <w:pStyle w:val="Body"/>
              <w:jc w:val="center"/>
              <w:rPr>
                <w:rFonts w:ascii="Arial" w:hAnsi="Arial" w:cs="Arial"/>
              </w:rPr>
            </w:pPr>
            <w:r w:rsidRPr="00B6151A">
              <w:rPr>
                <w:rFonts w:ascii="Arial" w:hAnsi="Arial" w:cs="Arial"/>
              </w:rPr>
              <w:t>Viscosity controlling</w:t>
            </w:r>
          </w:p>
        </w:tc>
        <w:tc>
          <w:tcPr>
            <w:tcW w:w="1374" w:type="dxa"/>
            <w:tcBorders>
              <w:top w:val="nil"/>
              <w:left w:val="nil"/>
              <w:bottom w:val="single" w:sz="4" w:space="0" w:color="auto"/>
              <w:right w:val="single" w:sz="4" w:space="0" w:color="auto"/>
            </w:tcBorders>
            <w:noWrap/>
            <w:vAlign w:val="center"/>
            <w:hideMark/>
          </w:tcPr>
          <w:p w14:paraId="18787BD1"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6132B586" w14:textId="09174F7E" w:rsidR="00B6151A" w:rsidRPr="00B6151A" w:rsidRDefault="00B6151A" w:rsidP="00B6151A">
            <w:pPr>
              <w:pStyle w:val="Body"/>
              <w:jc w:val="center"/>
              <w:rPr>
                <w:rFonts w:ascii="Arial" w:hAnsi="Arial" w:cs="Arial"/>
              </w:rPr>
            </w:pPr>
          </w:p>
        </w:tc>
        <w:tc>
          <w:tcPr>
            <w:tcW w:w="2097" w:type="dxa"/>
            <w:tcBorders>
              <w:top w:val="nil"/>
              <w:left w:val="nil"/>
              <w:bottom w:val="single" w:sz="4" w:space="0" w:color="auto"/>
              <w:right w:val="single" w:sz="4" w:space="0" w:color="auto"/>
            </w:tcBorders>
            <w:noWrap/>
            <w:vAlign w:val="center"/>
            <w:hideMark/>
          </w:tcPr>
          <w:p w14:paraId="716AC326"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112FE4B4"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0F78ECA8" w14:textId="77777777" w:rsidR="00B6151A" w:rsidRPr="00B6151A" w:rsidRDefault="00B6151A" w:rsidP="00B6151A">
            <w:pPr>
              <w:pStyle w:val="Body"/>
              <w:jc w:val="center"/>
              <w:rPr>
                <w:rFonts w:ascii="Arial" w:hAnsi="Arial" w:cs="Arial"/>
              </w:rPr>
            </w:pPr>
            <w:r w:rsidRPr="00B6151A">
              <w:rPr>
                <w:rFonts w:ascii="Arial" w:hAnsi="Arial" w:cs="Arial"/>
              </w:rPr>
              <w:t>Flavor enhancer</w:t>
            </w:r>
          </w:p>
        </w:tc>
        <w:tc>
          <w:tcPr>
            <w:tcW w:w="1374" w:type="dxa"/>
            <w:tcBorders>
              <w:top w:val="nil"/>
              <w:left w:val="nil"/>
              <w:bottom w:val="single" w:sz="4" w:space="0" w:color="auto"/>
              <w:right w:val="single" w:sz="4" w:space="0" w:color="auto"/>
            </w:tcBorders>
            <w:noWrap/>
            <w:vAlign w:val="center"/>
            <w:hideMark/>
          </w:tcPr>
          <w:p w14:paraId="2D1BA653" w14:textId="5E51434D" w:rsidR="00B6151A" w:rsidRPr="00B6151A" w:rsidRDefault="00B6151A" w:rsidP="00B6151A">
            <w:pPr>
              <w:pStyle w:val="Body"/>
              <w:jc w:val="center"/>
              <w:rPr>
                <w:rFonts w:ascii="Arial" w:hAnsi="Arial" w:cs="Arial"/>
              </w:rPr>
            </w:pPr>
          </w:p>
        </w:tc>
        <w:tc>
          <w:tcPr>
            <w:tcW w:w="1418" w:type="dxa"/>
            <w:tcBorders>
              <w:top w:val="nil"/>
              <w:left w:val="nil"/>
              <w:bottom w:val="single" w:sz="4" w:space="0" w:color="auto"/>
              <w:right w:val="single" w:sz="4" w:space="0" w:color="auto"/>
            </w:tcBorders>
            <w:noWrap/>
            <w:vAlign w:val="center"/>
            <w:hideMark/>
          </w:tcPr>
          <w:p w14:paraId="18C887F6"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6014989F"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2577E397"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7565982B" w14:textId="77777777" w:rsidR="00B6151A" w:rsidRPr="00B6151A" w:rsidRDefault="00B6151A" w:rsidP="00B6151A">
            <w:pPr>
              <w:pStyle w:val="Body"/>
              <w:jc w:val="center"/>
              <w:rPr>
                <w:rFonts w:ascii="Arial" w:hAnsi="Arial" w:cs="Arial"/>
              </w:rPr>
            </w:pPr>
            <w:r w:rsidRPr="00B6151A">
              <w:rPr>
                <w:rFonts w:ascii="Arial" w:hAnsi="Arial" w:cs="Arial"/>
              </w:rPr>
              <w:t>Foam</w:t>
            </w:r>
          </w:p>
        </w:tc>
        <w:tc>
          <w:tcPr>
            <w:tcW w:w="1374" w:type="dxa"/>
            <w:tcBorders>
              <w:top w:val="nil"/>
              <w:left w:val="nil"/>
              <w:bottom w:val="single" w:sz="4" w:space="0" w:color="auto"/>
              <w:right w:val="single" w:sz="4" w:space="0" w:color="auto"/>
            </w:tcBorders>
            <w:noWrap/>
            <w:vAlign w:val="center"/>
            <w:hideMark/>
          </w:tcPr>
          <w:p w14:paraId="558B8E19" w14:textId="6E8FD974" w:rsidR="00B6151A" w:rsidRPr="00B6151A" w:rsidRDefault="00B6151A" w:rsidP="00B6151A">
            <w:pPr>
              <w:pStyle w:val="Body"/>
              <w:jc w:val="center"/>
              <w:rPr>
                <w:rFonts w:ascii="Arial" w:hAnsi="Arial" w:cs="Arial"/>
              </w:rPr>
            </w:pPr>
          </w:p>
        </w:tc>
        <w:tc>
          <w:tcPr>
            <w:tcW w:w="1418" w:type="dxa"/>
            <w:tcBorders>
              <w:top w:val="nil"/>
              <w:left w:val="nil"/>
              <w:bottom w:val="single" w:sz="4" w:space="0" w:color="auto"/>
              <w:right w:val="single" w:sz="4" w:space="0" w:color="auto"/>
            </w:tcBorders>
            <w:noWrap/>
            <w:vAlign w:val="center"/>
            <w:hideMark/>
          </w:tcPr>
          <w:p w14:paraId="65D7453F"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0E887EDF"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3E5125DA"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0362E2A3" w14:textId="77777777" w:rsidR="00B6151A" w:rsidRPr="00B6151A" w:rsidRDefault="00B6151A" w:rsidP="00B6151A">
            <w:pPr>
              <w:pStyle w:val="Body"/>
              <w:jc w:val="center"/>
              <w:rPr>
                <w:rFonts w:ascii="Arial" w:hAnsi="Arial" w:cs="Arial"/>
              </w:rPr>
            </w:pPr>
            <w:r w:rsidRPr="00B6151A">
              <w:rPr>
                <w:rFonts w:ascii="Arial" w:hAnsi="Arial" w:cs="Arial"/>
              </w:rPr>
              <w:t>Maintenance</w:t>
            </w:r>
          </w:p>
        </w:tc>
        <w:tc>
          <w:tcPr>
            <w:tcW w:w="1374" w:type="dxa"/>
            <w:tcBorders>
              <w:top w:val="nil"/>
              <w:left w:val="nil"/>
              <w:bottom w:val="single" w:sz="4" w:space="0" w:color="auto"/>
              <w:right w:val="single" w:sz="4" w:space="0" w:color="auto"/>
            </w:tcBorders>
            <w:noWrap/>
            <w:vAlign w:val="center"/>
            <w:hideMark/>
          </w:tcPr>
          <w:p w14:paraId="039D4556"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4379979C"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2ABA0B53"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37827D09"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4A25E699" w14:textId="77777777" w:rsidR="00B6151A" w:rsidRPr="00B6151A" w:rsidRDefault="00B6151A" w:rsidP="00B6151A">
            <w:pPr>
              <w:pStyle w:val="Body"/>
              <w:jc w:val="center"/>
              <w:rPr>
                <w:rFonts w:ascii="Arial" w:hAnsi="Arial" w:cs="Arial"/>
              </w:rPr>
            </w:pPr>
            <w:r w:rsidRPr="00B6151A">
              <w:rPr>
                <w:rFonts w:ascii="Arial" w:hAnsi="Arial" w:cs="Arial"/>
              </w:rPr>
              <w:t>Health care</w:t>
            </w:r>
          </w:p>
        </w:tc>
        <w:tc>
          <w:tcPr>
            <w:tcW w:w="1374" w:type="dxa"/>
            <w:tcBorders>
              <w:top w:val="nil"/>
              <w:left w:val="nil"/>
              <w:bottom w:val="single" w:sz="4" w:space="0" w:color="auto"/>
              <w:right w:val="single" w:sz="4" w:space="0" w:color="auto"/>
            </w:tcBorders>
            <w:noWrap/>
            <w:vAlign w:val="center"/>
            <w:hideMark/>
          </w:tcPr>
          <w:p w14:paraId="2B0C6396"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15552977"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7F248801"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32A21C82"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240380B0" w14:textId="77777777" w:rsidR="00B6151A" w:rsidRPr="00B6151A" w:rsidRDefault="00B6151A" w:rsidP="00B6151A">
            <w:pPr>
              <w:pStyle w:val="Body"/>
              <w:jc w:val="center"/>
              <w:rPr>
                <w:rFonts w:ascii="Arial" w:hAnsi="Arial" w:cs="Arial"/>
              </w:rPr>
            </w:pPr>
            <w:r w:rsidRPr="00B6151A">
              <w:rPr>
                <w:rFonts w:ascii="Arial" w:hAnsi="Arial" w:cs="Arial"/>
              </w:rPr>
              <w:t>Pet care</w:t>
            </w:r>
          </w:p>
        </w:tc>
        <w:tc>
          <w:tcPr>
            <w:tcW w:w="1374" w:type="dxa"/>
            <w:tcBorders>
              <w:top w:val="nil"/>
              <w:left w:val="nil"/>
              <w:bottom w:val="single" w:sz="4" w:space="0" w:color="auto"/>
              <w:right w:val="single" w:sz="4" w:space="0" w:color="auto"/>
            </w:tcBorders>
            <w:noWrap/>
            <w:vAlign w:val="center"/>
            <w:hideMark/>
          </w:tcPr>
          <w:p w14:paraId="356C9F2E" w14:textId="1F963A58" w:rsidR="00B6151A" w:rsidRPr="00B6151A" w:rsidRDefault="00B6151A" w:rsidP="00B6151A">
            <w:pPr>
              <w:pStyle w:val="Body"/>
              <w:jc w:val="center"/>
              <w:rPr>
                <w:rFonts w:ascii="Arial" w:hAnsi="Arial" w:cs="Arial"/>
              </w:rPr>
            </w:pPr>
          </w:p>
        </w:tc>
        <w:tc>
          <w:tcPr>
            <w:tcW w:w="1418" w:type="dxa"/>
            <w:tcBorders>
              <w:top w:val="nil"/>
              <w:left w:val="nil"/>
              <w:bottom w:val="single" w:sz="4" w:space="0" w:color="auto"/>
              <w:right w:val="single" w:sz="4" w:space="0" w:color="auto"/>
            </w:tcBorders>
            <w:noWrap/>
            <w:vAlign w:val="center"/>
            <w:hideMark/>
          </w:tcPr>
          <w:p w14:paraId="232366E1"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202E7DF0"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2A87D859"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102C632C" w14:textId="77777777" w:rsidR="00B6151A" w:rsidRPr="00B6151A" w:rsidRDefault="00B6151A" w:rsidP="00B6151A">
            <w:pPr>
              <w:pStyle w:val="Body"/>
              <w:jc w:val="center"/>
              <w:rPr>
                <w:rFonts w:ascii="Arial" w:hAnsi="Arial" w:cs="Arial"/>
              </w:rPr>
            </w:pPr>
            <w:r w:rsidRPr="00B6151A">
              <w:rPr>
                <w:rFonts w:ascii="Arial" w:hAnsi="Arial" w:cs="Arial"/>
              </w:rPr>
              <w:t>Specialty occupational products</w:t>
            </w:r>
          </w:p>
        </w:tc>
        <w:tc>
          <w:tcPr>
            <w:tcW w:w="1374" w:type="dxa"/>
            <w:tcBorders>
              <w:top w:val="nil"/>
              <w:left w:val="nil"/>
              <w:bottom w:val="single" w:sz="4" w:space="0" w:color="auto"/>
              <w:right w:val="single" w:sz="4" w:space="0" w:color="auto"/>
            </w:tcBorders>
            <w:noWrap/>
            <w:vAlign w:val="center"/>
            <w:hideMark/>
          </w:tcPr>
          <w:p w14:paraId="11E54E74" w14:textId="6148F78A" w:rsidR="00B6151A" w:rsidRPr="00B6151A" w:rsidRDefault="00B6151A" w:rsidP="00B6151A">
            <w:pPr>
              <w:pStyle w:val="Body"/>
              <w:jc w:val="center"/>
              <w:rPr>
                <w:rFonts w:ascii="Arial" w:hAnsi="Arial" w:cs="Arial"/>
              </w:rPr>
            </w:pPr>
          </w:p>
        </w:tc>
        <w:tc>
          <w:tcPr>
            <w:tcW w:w="1418" w:type="dxa"/>
            <w:tcBorders>
              <w:top w:val="nil"/>
              <w:left w:val="nil"/>
              <w:bottom w:val="single" w:sz="4" w:space="0" w:color="auto"/>
              <w:right w:val="single" w:sz="4" w:space="0" w:color="auto"/>
            </w:tcBorders>
            <w:noWrap/>
            <w:vAlign w:val="center"/>
            <w:hideMark/>
          </w:tcPr>
          <w:p w14:paraId="24FF65D9"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74F30807"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3E62C04A"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3883A613" w14:textId="77777777" w:rsidR="00B6151A" w:rsidRPr="00B6151A" w:rsidRDefault="00B6151A" w:rsidP="00B6151A">
            <w:pPr>
              <w:pStyle w:val="Body"/>
              <w:jc w:val="center"/>
              <w:rPr>
                <w:rFonts w:ascii="Arial" w:hAnsi="Arial" w:cs="Arial"/>
              </w:rPr>
            </w:pPr>
            <w:r w:rsidRPr="00B6151A">
              <w:rPr>
                <w:rFonts w:ascii="Arial" w:hAnsi="Arial" w:cs="Arial"/>
              </w:rPr>
              <w:t>Unknow</w:t>
            </w:r>
          </w:p>
        </w:tc>
        <w:tc>
          <w:tcPr>
            <w:tcW w:w="1374" w:type="dxa"/>
            <w:tcBorders>
              <w:top w:val="nil"/>
              <w:left w:val="nil"/>
              <w:bottom w:val="single" w:sz="4" w:space="0" w:color="auto"/>
              <w:right w:val="single" w:sz="4" w:space="0" w:color="auto"/>
            </w:tcBorders>
            <w:noWrap/>
            <w:vAlign w:val="center"/>
            <w:hideMark/>
          </w:tcPr>
          <w:p w14:paraId="2D86F547"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2D7C7E7C" w14:textId="474D6477" w:rsidR="00B6151A" w:rsidRPr="00B6151A" w:rsidRDefault="00B6151A" w:rsidP="00B6151A">
            <w:pPr>
              <w:pStyle w:val="Body"/>
              <w:jc w:val="center"/>
              <w:rPr>
                <w:rFonts w:ascii="Arial" w:hAnsi="Arial" w:cs="Arial"/>
              </w:rPr>
            </w:pPr>
          </w:p>
        </w:tc>
        <w:tc>
          <w:tcPr>
            <w:tcW w:w="2097" w:type="dxa"/>
            <w:tcBorders>
              <w:top w:val="nil"/>
              <w:left w:val="nil"/>
              <w:bottom w:val="single" w:sz="4" w:space="0" w:color="auto"/>
              <w:right w:val="single" w:sz="4" w:space="0" w:color="auto"/>
            </w:tcBorders>
            <w:noWrap/>
            <w:vAlign w:val="center"/>
            <w:hideMark/>
          </w:tcPr>
          <w:p w14:paraId="1C0D1EC9" w14:textId="77777777" w:rsidR="00B6151A" w:rsidRPr="00B6151A" w:rsidRDefault="00B6151A" w:rsidP="00B6151A">
            <w:pPr>
              <w:pStyle w:val="Body"/>
              <w:jc w:val="center"/>
              <w:rPr>
                <w:rFonts w:ascii="Arial" w:hAnsi="Arial" w:cs="Arial"/>
              </w:rPr>
            </w:pPr>
            <w:r w:rsidRPr="00B6151A">
              <w:rPr>
                <w:rFonts w:ascii="Arial" w:hAnsi="Arial" w:cs="Arial"/>
              </w:rPr>
              <w:t>[11,12]</w:t>
            </w:r>
          </w:p>
        </w:tc>
      </w:tr>
    </w:tbl>
    <w:p w14:paraId="468AD74B" w14:textId="77777777" w:rsidR="00B6151A" w:rsidRDefault="00B6151A" w:rsidP="00441B6F">
      <w:pPr>
        <w:pStyle w:val="Body"/>
        <w:spacing w:after="0"/>
        <w:rPr>
          <w:rFonts w:ascii="Arial" w:hAnsi="Arial" w:cs="Arial"/>
        </w:rPr>
      </w:pPr>
    </w:p>
    <w:p w14:paraId="68A76226" w14:textId="1DBFAB85" w:rsidR="00035742" w:rsidRDefault="00035742" w:rsidP="00035742">
      <w:pPr>
        <w:pStyle w:val="AbstHead"/>
        <w:jc w:val="both"/>
        <w:rPr>
          <w:rFonts w:ascii="Arial" w:hAnsi="Arial" w:cs="Arial"/>
          <w:bCs/>
        </w:rPr>
      </w:pPr>
      <w:r>
        <w:rPr>
          <w:rFonts w:ascii="Arial" w:hAnsi="Arial" w:cs="Arial"/>
        </w:rPr>
        <w:t xml:space="preserve">5. </w:t>
      </w:r>
      <w:r w:rsidRPr="00B6151A">
        <w:rPr>
          <w:rFonts w:ascii="Arial" w:hAnsi="Arial" w:cs="Arial"/>
          <w:bCs/>
        </w:rPr>
        <w:t>Intended Use and Application</w:t>
      </w:r>
    </w:p>
    <w:p w14:paraId="0E739365" w14:textId="77777777" w:rsidR="00035742" w:rsidRDefault="00035742" w:rsidP="00035742">
      <w:pPr>
        <w:jc w:val="both"/>
        <w:rPr>
          <w:rFonts w:ascii="Arial" w:hAnsi="Arial" w:cs="Arial"/>
        </w:rPr>
      </w:pPr>
      <w:r w:rsidRPr="00035742">
        <w:rPr>
          <w:rFonts w:ascii="Arial" w:hAnsi="Arial" w:cs="Arial"/>
        </w:rPr>
        <w:t xml:space="preserve">Chemicals introduced to the environment as a result of anthropogenic activity include </w:t>
      </w:r>
      <w:proofErr w:type="gramStart"/>
      <w:r w:rsidRPr="00035742">
        <w:rPr>
          <w:rFonts w:ascii="Arial" w:hAnsi="Arial" w:cs="Arial"/>
        </w:rPr>
        <w:t>an</w:t>
      </w:r>
      <w:proofErr w:type="gramEnd"/>
      <w:r w:rsidRPr="00035742">
        <w:rPr>
          <w:rFonts w:ascii="Arial" w:hAnsi="Arial" w:cs="Arial"/>
        </w:rPr>
        <w:t xml:space="preserve"> wide number of toxic substances. Toxic substances generally exert their effects on organisms through direct toxicity and the extent of the effect is dependent on the chemical form of the substance, the concentration, and the period of exposure</w:t>
      </w:r>
      <w:r w:rsidRPr="00035742">
        <w:rPr>
          <w:rFonts w:ascii="Arial" w:hAnsi="Arial" w:cs="Arial"/>
          <w:vertAlign w:val="superscript"/>
        </w:rPr>
        <w:t>1,17</w:t>
      </w:r>
      <w:r w:rsidRPr="00035742">
        <w:rPr>
          <w:rFonts w:ascii="Arial" w:hAnsi="Arial" w:cs="Arial"/>
        </w:rPr>
        <w:t>.</w:t>
      </w:r>
    </w:p>
    <w:p w14:paraId="1A7D01D8" w14:textId="77777777" w:rsidR="00035742" w:rsidRPr="00035742" w:rsidRDefault="00035742" w:rsidP="00035742">
      <w:pPr>
        <w:jc w:val="both"/>
        <w:rPr>
          <w:rFonts w:ascii="Arial" w:hAnsi="Arial" w:cs="Arial"/>
        </w:rPr>
      </w:pPr>
    </w:p>
    <w:p w14:paraId="02EA3E38" w14:textId="7A15AF53" w:rsidR="00035742" w:rsidRDefault="00035742" w:rsidP="00035742">
      <w:pPr>
        <w:jc w:val="both"/>
        <w:rPr>
          <w:rFonts w:ascii="Arial" w:hAnsi="Arial" w:cs="Arial"/>
        </w:rPr>
      </w:pPr>
      <w:r>
        <w:rPr>
          <w:rFonts w:ascii="Arial" w:hAnsi="Arial" w:cs="Arial"/>
        </w:rPr>
        <w:t>I</w:t>
      </w:r>
      <w:r w:rsidRPr="00035742">
        <w:rPr>
          <w:rFonts w:ascii="Arial" w:hAnsi="Arial" w:cs="Arial"/>
        </w:rPr>
        <w:t>n order to assess the occurrence and the extent of exposure of a chemical in the environment and possibly its effect on the environment and living organisms, it is necessary to evaluate the chemical's fate and its behavior in specific environmental compartments. While the amount and frequency of a chemical's release into the environment, as well as the environmental compartment air, water, or soil into which it is released are important factors, the environmental fate is determined by what happens </w:t>
      </w:r>
      <w:r w:rsidRPr="00035742">
        <w:rPr>
          <w:rFonts w:ascii="Arial" w:hAnsi="Arial" w:cs="Arial"/>
          <w:i/>
          <w:iCs/>
        </w:rPr>
        <w:t>after</w:t>
      </w:r>
      <w:r w:rsidRPr="00035742">
        <w:rPr>
          <w:rFonts w:ascii="Arial" w:hAnsi="Arial" w:cs="Arial"/>
        </w:rPr>
        <w:t> the chemical has been released. Fate and behavior of a chemical is governed by its physicochemical properties (such as vapor pressure, water solubility, water octanol partition coefficient (</w:t>
      </w:r>
      <w:r w:rsidRPr="00035742">
        <w:rPr>
          <w:rFonts w:ascii="Arial" w:hAnsi="Arial" w:cs="Arial"/>
          <w:i/>
          <w:iCs/>
        </w:rPr>
        <w:t>K</w:t>
      </w:r>
      <w:r w:rsidRPr="00035742">
        <w:rPr>
          <w:rFonts w:ascii="Arial" w:hAnsi="Arial" w:cs="Arial"/>
          <w:vertAlign w:val="subscript"/>
        </w:rPr>
        <w:t>ow</w:t>
      </w:r>
      <w:r w:rsidRPr="00035742">
        <w:rPr>
          <w:rFonts w:ascii="Arial" w:hAnsi="Arial" w:cs="Arial"/>
        </w:rPr>
        <w:t>), soil organic carbon–water partitioning coefficient (</w:t>
      </w:r>
      <w:r w:rsidRPr="00035742">
        <w:rPr>
          <w:rFonts w:ascii="Arial" w:hAnsi="Arial" w:cs="Arial"/>
          <w:i/>
          <w:iCs/>
        </w:rPr>
        <w:t>K</w:t>
      </w:r>
      <w:r w:rsidRPr="00035742">
        <w:rPr>
          <w:rFonts w:ascii="Arial" w:hAnsi="Arial" w:cs="Arial"/>
          <w:vertAlign w:val="subscript"/>
        </w:rPr>
        <w:t>oc</w:t>
      </w:r>
      <w:r w:rsidRPr="00035742">
        <w:rPr>
          <w:rFonts w:ascii="Arial" w:hAnsi="Arial" w:cs="Arial"/>
        </w:rPr>
        <w:t>), etc.). However, the concentration and time of exposure to the chemical and its biological and chemical transformations are affected by several important processes in the receiving environment</w:t>
      </w:r>
      <w:r w:rsidRPr="00035742">
        <w:rPr>
          <w:rFonts w:ascii="Arial" w:hAnsi="Arial" w:cs="Arial"/>
          <w:vertAlign w:val="superscript"/>
        </w:rPr>
        <w:t>17</w:t>
      </w:r>
      <w:r w:rsidRPr="00035742">
        <w:rPr>
          <w:rFonts w:ascii="Arial" w:hAnsi="Arial" w:cs="Arial"/>
        </w:rPr>
        <w:t>.</w:t>
      </w:r>
    </w:p>
    <w:p w14:paraId="70E7677F" w14:textId="77777777" w:rsidR="00035742" w:rsidRPr="00035742" w:rsidRDefault="00035742" w:rsidP="00035742">
      <w:pPr>
        <w:jc w:val="both"/>
        <w:rPr>
          <w:rFonts w:ascii="Arial" w:hAnsi="Arial" w:cs="Arial"/>
        </w:rPr>
      </w:pPr>
    </w:p>
    <w:p w14:paraId="6F61AA7B" w14:textId="77777777" w:rsidR="00035742" w:rsidRDefault="00035742" w:rsidP="00035742">
      <w:pPr>
        <w:jc w:val="both"/>
        <w:rPr>
          <w:rFonts w:ascii="Arial" w:hAnsi="Arial" w:cs="Arial"/>
        </w:rPr>
      </w:pPr>
      <w:r w:rsidRPr="00035742">
        <w:rPr>
          <w:rFonts w:ascii="Arial" w:hAnsi="Arial" w:cs="Arial"/>
        </w:rPr>
        <w:lastRenderedPageBreak/>
        <w:t>Considering the possible pathways to degrade this both VOCs, three major environmental as air, water, and soil and plants are considered in Figure 3. Throughout the air pathway, HEX, volatilizes easily and undergoes atmospheric photodegradation when exposed to sunlight and when in water it enters aquatic systems, it can be broken down through </w:t>
      </w:r>
      <w:r w:rsidRPr="00035742">
        <w:rPr>
          <w:rFonts w:ascii="Arial" w:hAnsi="Arial" w:cs="Arial"/>
          <w:i/>
          <w:iCs/>
        </w:rPr>
        <w:t>biodegradation</w:t>
      </w:r>
      <w:r w:rsidRPr="00035742">
        <w:rPr>
          <w:rFonts w:ascii="Arial" w:hAnsi="Arial" w:cs="Arial"/>
        </w:rPr>
        <w:t>. Otherwise, EtoAc, tends to </w:t>
      </w:r>
      <w:r w:rsidRPr="00035742">
        <w:rPr>
          <w:rFonts w:ascii="Arial" w:hAnsi="Arial" w:cs="Arial"/>
          <w:i/>
          <w:iCs/>
        </w:rPr>
        <w:t>bioconcentrate</w:t>
      </w:r>
      <w:r w:rsidRPr="00035742">
        <w:rPr>
          <w:rFonts w:ascii="Arial" w:hAnsi="Arial" w:cs="Arial"/>
        </w:rPr>
        <w:t> in organisms and can also volatilize from soil into the air when acting as soil and plants xenobiotic substance. In general HEX and EtoAc could biodegrade due to microorganisms in the soil and water break it down into less harmful substances however more accessibles also. These pathways are crucial for understanding how volatile organic compounds (VOCs) like these affect ecosystems and human health</w:t>
      </w:r>
      <w:r w:rsidRPr="00035742">
        <w:rPr>
          <w:rFonts w:ascii="Arial" w:hAnsi="Arial" w:cs="Arial"/>
          <w:vertAlign w:val="superscript"/>
        </w:rPr>
        <w:t>16</w:t>
      </w:r>
      <w:r w:rsidRPr="00035742">
        <w:rPr>
          <w:rFonts w:ascii="Arial" w:hAnsi="Arial" w:cs="Arial"/>
        </w:rPr>
        <w:t>.</w:t>
      </w:r>
    </w:p>
    <w:p w14:paraId="47FD7516" w14:textId="77777777" w:rsidR="00035742" w:rsidRPr="00035742" w:rsidRDefault="00035742" w:rsidP="00035742">
      <w:pPr>
        <w:jc w:val="both"/>
        <w:rPr>
          <w:rFonts w:ascii="Arial" w:hAnsi="Arial" w:cs="Arial"/>
        </w:rPr>
      </w:pPr>
    </w:p>
    <w:p w14:paraId="10D61D1C" w14:textId="77777777" w:rsidR="00035742" w:rsidRPr="00035742" w:rsidRDefault="00035742" w:rsidP="00035742">
      <w:pPr>
        <w:jc w:val="both"/>
        <w:rPr>
          <w:rFonts w:ascii="Arial" w:hAnsi="Arial" w:cs="Arial"/>
        </w:rPr>
      </w:pPr>
      <w:r w:rsidRPr="00035742">
        <w:rPr>
          <w:rFonts w:ascii="Arial" w:hAnsi="Arial" w:cs="Arial"/>
        </w:rPr>
        <w:t>Linking environmental fate and the chemicals classification, Table 3 shows Hexane (HEX) and Ethyl Acetate (</w:t>
      </w:r>
      <w:proofErr w:type="spellStart"/>
      <w:r w:rsidRPr="00035742">
        <w:rPr>
          <w:rFonts w:ascii="Arial" w:hAnsi="Arial" w:cs="Arial"/>
        </w:rPr>
        <w:t>EtoAc</w:t>
      </w:r>
      <w:proofErr w:type="spellEnd"/>
      <w:r w:rsidRPr="00035742">
        <w:rPr>
          <w:rFonts w:ascii="Arial" w:hAnsi="Arial" w:cs="Arial"/>
        </w:rPr>
        <w:t xml:space="preserve">) chemical classification and labeling accordingly Globally Harmonized System </w:t>
      </w:r>
      <w:proofErr w:type="gramStart"/>
      <w:r w:rsidRPr="00035742">
        <w:rPr>
          <w:rFonts w:ascii="Arial" w:hAnsi="Arial" w:cs="Arial"/>
        </w:rPr>
        <w:t>Of</w:t>
      </w:r>
      <w:proofErr w:type="gramEnd"/>
      <w:r w:rsidRPr="00035742">
        <w:rPr>
          <w:rFonts w:ascii="Arial" w:hAnsi="Arial" w:cs="Arial"/>
        </w:rPr>
        <w:t xml:space="preserve"> Classification And Labelling Of Chemicals (GHS). The use of chemicals to enhance and improve life is a widespread practice worldwide. But alongside the benefits of these products, there is also the potential for adverse effects to people or the</w:t>
      </w:r>
    </w:p>
    <w:p w14:paraId="6325B55D" w14:textId="4A924C54" w:rsidR="00035742" w:rsidRDefault="00035742" w:rsidP="00035742">
      <w:pPr>
        <w:jc w:val="both"/>
        <w:rPr>
          <w:rFonts w:ascii="Arial" w:hAnsi="Arial" w:cs="Arial"/>
        </w:rPr>
      </w:pPr>
      <w:r w:rsidRPr="00035742">
        <w:rPr>
          <w:rFonts w:ascii="Arial" w:hAnsi="Arial" w:cs="Arial"/>
        </w:rPr>
        <w:t>Environment as discussed above. Because of that, several countries or organizations have developed laws or regulations over the years that require information to be prepared and transmitted to those using chemicals, through labels and codes. The provision of information gives those using chemicals the identities and hazards of these chemicals and allows the appropriate protective measures to be implemented in the local use settings</w:t>
      </w:r>
      <w:r w:rsidRPr="00035742">
        <w:rPr>
          <w:rFonts w:ascii="Arial" w:hAnsi="Arial" w:cs="Arial"/>
          <w:vertAlign w:val="superscript"/>
        </w:rPr>
        <w:t>19</w:t>
      </w:r>
      <w:r w:rsidRPr="00035742">
        <w:rPr>
          <w:rFonts w:ascii="Arial" w:hAnsi="Arial" w:cs="Arial"/>
        </w:rPr>
        <w:t>.</w:t>
      </w:r>
    </w:p>
    <w:p w14:paraId="7376A1E6" w14:textId="77777777" w:rsidR="00035742" w:rsidRDefault="00035742" w:rsidP="00035742">
      <w:pPr>
        <w:jc w:val="both"/>
        <w:rPr>
          <w:rFonts w:ascii="Arial" w:hAnsi="Arial" w:cs="Arial"/>
        </w:rPr>
      </w:pPr>
    </w:p>
    <w:p w14:paraId="2D7E7645" w14:textId="77777777" w:rsidR="00035742" w:rsidRDefault="00035742" w:rsidP="00035742">
      <w:pPr>
        <w:jc w:val="center"/>
      </w:pPr>
      <w:r>
        <w:fldChar w:fldCharType="begin"/>
      </w:r>
      <w:r>
        <w:instrText xml:space="preserve"> INCLUDEPICTURE "https://copilot.microsoft.com/th/id/BCO.f5ddf6b2-620b-4630-b057-994d1d896937.png?h=384" \* MERGEFORMATINET </w:instrText>
      </w:r>
      <w:r>
        <w:fldChar w:fldCharType="separate"/>
      </w:r>
      <w:r>
        <w:rPr>
          <w:noProof/>
        </w:rPr>
        <w:drawing>
          <wp:inline distT="0" distB="0" distL="0" distR="0" wp14:anchorId="7F2DF99A" wp14:editId="67695A43">
            <wp:extent cx="5178282" cy="3454400"/>
            <wp:effectExtent l="0" t="0" r="0" b="0"/>
            <wp:docPr id="303194834" name="Picture 1" descr="An environmental illustration showing the fate of hexane and ethyl acetate. Hexane is depicted evaporating into the atmosphere from industrial runoff, contributing to air pollution and smog formation. Ethyl acetate is shown biodegrading in soil and water, with microbial activity breaking it down into harmless components. The scene includes a factory near a river, with labeled arrows indicating evaporation, biodegradation, and dispersion pathways. The background features a cloudy sky and green landscape to contrast the chemic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nvironmental illustration showing the fate of hexane and ethyl acetate. Hexane is depicted evaporating into the atmosphere from industrial runoff, contributing to air pollution and smog formation. Ethyl acetate is shown biodegrading in soil and water, with microbial activity breaking it down into harmless components. The scene includes a factory near a river, with labeled arrows indicating evaporation, biodegradation, and dispersion pathways. The background features a cloudy sky and green landscape to contrast the chemical impac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8396" cy="3487831"/>
                    </a:xfrm>
                    <a:prstGeom prst="rect">
                      <a:avLst/>
                    </a:prstGeom>
                    <a:noFill/>
                    <a:ln>
                      <a:noFill/>
                    </a:ln>
                  </pic:spPr>
                </pic:pic>
              </a:graphicData>
            </a:graphic>
          </wp:inline>
        </w:drawing>
      </w:r>
      <w:r>
        <w:fldChar w:fldCharType="end"/>
      </w:r>
    </w:p>
    <w:p w14:paraId="2BB6E0A6" w14:textId="77777777" w:rsidR="00035742" w:rsidRPr="00C43F64" w:rsidRDefault="00035742" w:rsidP="00035742">
      <w:pPr>
        <w:jc w:val="center"/>
      </w:pPr>
    </w:p>
    <w:p w14:paraId="7D1BAC2A" w14:textId="7D11E634" w:rsidR="00035742" w:rsidRDefault="00035742" w:rsidP="00A22A1F">
      <w:pPr>
        <w:jc w:val="both"/>
        <w:rPr>
          <w:rFonts w:ascii="Arial" w:hAnsi="Arial" w:cs="Arial"/>
          <w:b/>
          <w:bCs/>
        </w:rPr>
      </w:pPr>
      <w:r w:rsidRPr="00035742">
        <w:rPr>
          <w:rFonts w:ascii="Arial" w:hAnsi="Arial" w:cs="Arial"/>
          <w:b/>
          <w:bCs/>
        </w:rPr>
        <w:t xml:space="preserve">Figure 3. HEX and </w:t>
      </w:r>
      <w:proofErr w:type="spellStart"/>
      <w:r w:rsidRPr="00035742">
        <w:rPr>
          <w:rFonts w:ascii="Arial" w:hAnsi="Arial" w:cs="Arial"/>
          <w:b/>
          <w:bCs/>
        </w:rPr>
        <w:t>EtoAc</w:t>
      </w:r>
      <w:proofErr w:type="spellEnd"/>
      <w:r w:rsidRPr="00035742">
        <w:rPr>
          <w:rFonts w:ascii="Arial" w:hAnsi="Arial" w:cs="Arial"/>
          <w:b/>
          <w:bCs/>
        </w:rPr>
        <w:t xml:space="preserve"> pathways for understanding how volatile organic compounds (VOCs) like these affect ecosystems and human health</w:t>
      </w:r>
      <w:r w:rsidRPr="00035742">
        <w:rPr>
          <w:rFonts w:ascii="Arial" w:hAnsi="Arial" w:cs="Arial"/>
          <w:b/>
          <w:bCs/>
          <w:vertAlign w:val="superscript"/>
        </w:rPr>
        <w:t>15</w:t>
      </w:r>
      <w:r w:rsidRPr="00035742">
        <w:rPr>
          <w:rFonts w:ascii="Arial" w:hAnsi="Arial" w:cs="Arial"/>
          <w:b/>
          <w:bCs/>
        </w:rPr>
        <w:t>.</w:t>
      </w:r>
    </w:p>
    <w:p w14:paraId="202CB263" w14:textId="77777777" w:rsidR="00A22A1F" w:rsidRPr="00A22A1F" w:rsidRDefault="00A22A1F" w:rsidP="00A22A1F">
      <w:pPr>
        <w:jc w:val="both"/>
        <w:rPr>
          <w:rFonts w:ascii="Arial" w:hAnsi="Arial" w:cs="Arial"/>
          <w:b/>
          <w:bCs/>
        </w:rPr>
      </w:pPr>
    </w:p>
    <w:p w14:paraId="4EB72D76" w14:textId="77777777" w:rsidR="00A22A1F" w:rsidRPr="00A22A1F" w:rsidRDefault="00A22A1F" w:rsidP="00A22A1F">
      <w:pPr>
        <w:jc w:val="both"/>
        <w:rPr>
          <w:rFonts w:ascii="Arial" w:hAnsi="Arial" w:cs="Arial"/>
        </w:rPr>
      </w:pPr>
      <w:r w:rsidRPr="00A22A1F">
        <w:rPr>
          <w:rFonts w:ascii="Arial" w:hAnsi="Arial" w:cs="Arial"/>
        </w:rPr>
        <w:t>HEX is a crude oil derived chemical as exemplified in Figure 1 route. It is anonpolar molecule and is a highly volatile and ammable toxic chemical. The liquid form of pure n Hexane is colorless and smells like gasoline. It is a signicant component of natural gas. It dissolves very weakly in water and evaporates extremely easily into the atmosphere</w:t>
      </w:r>
      <w:r w:rsidRPr="00A22A1F">
        <w:rPr>
          <w:rFonts w:ascii="Arial" w:hAnsi="Arial" w:cs="Arial"/>
          <w:vertAlign w:val="superscript"/>
        </w:rPr>
        <w:t>3</w:t>
      </w:r>
      <w:r w:rsidRPr="00A22A1F">
        <w:rPr>
          <w:rFonts w:ascii="Arial" w:hAnsi="Arial" w:cs="Arial"/>
        </w:rPr>
        <w:t xml:space="preserve">. Into the air exane volatilizes rapidly when released into water, according to Henry’s law constant; </w:t>
      </w:r>
      <w:r w:rsidRPr="00A22A1F">
        <w:rPr>
          <w:rFonts w:ascii="Arial" w:hAnsi="Arial" w:cs="Arial"/>
        </w:rPr>
        <w:lastRenderedPageBreak/>
        <w:t>the amount of volatilization is contingent upon several conditions, including temperature, turbulence, and the depth of the receiving water. The main sources of n Hexane emissions are motor fuels, heating systems, and the extraction of edible oil. The primary way that people are exposed to n-Hexane is through their inhaling, although it can also occur through skin contact with things that contain the compound. The vast majority of an individual’s exposure to n-Hexane occurs at work. According to the reporting data, n-Hexane is a prevalent air contaminant</w:t>
      </w:r>
      <w:r w:rsidRPr="00A22A1F">
        <w:rPr>
          <w:rFonts w:ascii="Arial" w:hAnsi="Arial" w:cs="Arial"/>
          <w:vertAlign w:val="superscript"/>
        </w:rPr>
        <w:t>3</w:t>
      </w:r>
      <w:r w:rsidRPr="00A22A1F">
        <w:rPr>
          <w:rFonts w:ascii="Arial" w:hAnsi="Arial" w:cs="Arial"/>
        </w:rPr>
        <w:t>. In soil, n-Hexane has a comparatively low absorptivity. The most likely sources of its release into soil or sediments are sledge spills and land lls, along with other industrial and municipal sewage treatment-related pollutants. The substance evaporates or seeps into the groundwater if it is spilled on the ground. Volatilization is expected to be the predominant environmental process involving n-Hexane, despite its biodegradability in soil and water as exemplified in Figure 3. The origin of n-Hexane spilled into the water from industrial emissions, nonpoint-source runoff from highways, and municipal waste treatment, among other sources. The nonpolar solvent n-Hexane is used for the extraction of oils from vegetables, oil from sh, and meal from sh. It is possible to consume vegetable and sh oils that contain n-Hexane residues from solvent extraction, usually at concentrations of around 1 ppm. The daily consumption of n-Hexane from meals often contained in re ned vegetable oils is 0.8 ppm, according to a 2009 research by Environment Canada</w:t>
      </w:r>
      <w:r w:rsidRPr="00A22A1F">
        <w:rPr>
          <w:rFonts w:ascii="Arial" w:hAnsi="Arial" w:cs="Arial"/>
          <w:vertAlign w:val="superscript"/>
        </w:rPr>
        <w:t>3</w:t>
      </w:r>
      <w:r w:rsidRPr="00A22A1F">
        <w:rPr>
          <w:rFonts w:ascii="Arial" w:hAnsi="Arial" w:cs="Arial"/>
        </w:rPr>
        <w:t>.</w:t>
      </w:r>
    </w:p>
    <w:p w14:paraId="7516184D" w14:textId="77777777" w:rsidR="00E71788" w:rsidRDefault="00E71788" w:rsidP="00441B6F">
      <w:pPr>
        <w:pStyle w:val="Body"/>
        <w:spacing w:after="0"/>
        <w:rPr>
          <w:rFonts w:ascii="Arial" w:hAnsi="Arial" w:cs="Arial"/>
        </w:rPr>
      </w:pPr>
    </w:p>
    <w:p w14:paraId="3C2D0B94" w14:textId="6DE6C87A" w:rsidR="00426D64" w:rsidRPr="00426D64" w:rsidRDefault="00426D64" w:rsidP="00426D64">
      <w:pPr>
        <w:rPr>
          <w:rFonts w:ascii="Arial" w:hAnsi="Arial" w:cs="Arial"/>
          <w:b/>
          <w:bCs/>
        </w:rPr>
      </w:pPr>
      <w:r w:rsidRPr="00426D64">
        <w:rPr>
          <w:rFonts w:ascii="Arial" w:hAnsi="Arial" w:cs="Arial"/>
          <w:b/>
          <w:bCs/>
        </w:rPr>
        <w:t>Table 3. Hexane (HEX) and Ethyl Acetate (</w:t>
      </w:r>
      <w:proofErr w:type="spellStart"/>
      <w:r w:rsidRPr="00426D64">
        <w:rPr>
          <w:rFonts w:ascii="Arial" w:hAnsi="Arial" w:cs="Arial"/>
          <w:b/>
          <w:bCs/>
        </w:rPr>
        <w:t>EtoAc</w:t>
      </w:r>
      <w:proofErr w:type="spellEnd"/>
      <w:r w:rsidRPr="00426D64">
        <w:rPr>
          <w:rFonts w:ascii="Arial" w:hAnsi="Arial" w:cs="Arial"/>
          <w:b/>
          <w:bCs/>
        </w:rPr>
        <w:t xml:space="preserve">) classification considering possible environmental fate contamination and the chemical classes </w:t>
      </w:r>
    </w:p>
    <w:p w14:paraId="1789F8FA" w14:textId="77777777" w:rsidR="00426D64" w:rsidRPr="00426D64" w:rsidRDefault="00426D64" w:rsidP="00426D64">
      <w:pPr>
        <w:rPr>
          <w:rFonts w:ascii="Arial" w:hAnsi="Arial" w:cs="Arial"/>
        </w:rPr>
      </w:pPr>
    </w:p>
    <w:tbl>
      <w:tblPr>
        <w:tblW w:w="0" w:type="auto"/>
        <w:tblLook w:val="04A0" w:firstRow="1" w:lastRow="0" w:firstColumn="1" w:lastColumn="0" w:noHBand="0" w:noVBand="1"/>
      </w:tblPr>
      <w:tblGrid>
        <w:gridCol w:w="601"/>
        <w:gridCol w:w="1047"/>
        <w:gridCol w:w="3625"/>
        <w:gridCol w:w="1395"/>
        <w:gridCol w:w="858"/>
        <w:gridCol w:w="898"/>
      </w:tblGrid>
      <w:tr w:rsidR="00426D64" w:rsidRPr="00426D64" w14:paraId="3243EC44" w14:textId="77777777" w:rsidTr="005C5892">
        <w:trPr>
          <w:trHeight w:val="940"/>
        </w:trPr>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2721EEC7" w14:textId="77777777" w:rsidR="00426D64" w:rsidRPr="00426D64" w:rsidRDefault="00426D64" w:rsidP="005C5892">
            <w:pPr>
              <w:jc w:val="center"/>
              <w:rPr>
                <w:rFonts w:ascii="Arial" w:hAnsi="Arial" w:cs="Arial"/>
                <w:b/>
                <w:bCs/>
                <w:color w:val="000000"/>
                <w:sz w:val="16"/>
                <w:szCs w:val="16"/>
              </w:rPr>
            </w:pPr>
            <w:r w:rsidRPr="00426D64">
              <w:rPr>
                <w:rFonts w:ascii="Arial" w:hAnsi="Arial" w:cs="Arial"/>
                <w:b/>
                <w:bCs/>
                <w:color w:val="000000"/>
                <w:sz w:val="16"/>
                <w:szCs w:val="16"/>
              </w:rPr>
              <w:t>Name</w:t>
            </w:r>
          </w:p>
        </w:tc>
        <w:tc>
          <w:tcPr>
            <w:tcW w:w="0" w:type="auto"/>
            <w:tcBorders>
              <w:top w:val="single" w:sz="4" w:space="0" w:color="auto"/>
              <w:left w:val="nil"/>
              <w:bottom w:val="single" w:sz="4" w:space="0" w:color="auto"/>
              <w:right w:val="single" w:sz="4" w:space="0" w:color="auto"/>
            </w:tcBorders>
            <w:shd w:val="clear" w:color="000000" w:fill="D0D0D0"/>
            <w:noWrap/>
            <w:vAlign w:val="center"/>
            <w:hideMark/>
          </w:tcPr>
          <w:p w14:paraId="5BD2231B" w14:textId="77777777" w:rsidR="00426D64" w:rsidRPr="00426D64" w:rsidRDefault="00426D64" w:rsidP="005C5892">
            <w:pPr>
              <w:jc w:val="center"/>
              <w:rPr>
                <w:rFonts w:ascii="Arial" w:hAnsi="Arial" w:cs="Arial"/>
                <w:b/>
                <w:bCs/>
                <w:color w:val="000000"/>
                <w:sz w:val="16"/>
                <w:szCs w:val="16"/>
              </w:rPr>
            </w:pPr>
            <w:r w:rsidRPr="00426D64">
              <w:rPr>
                <w:rFonts w:ascii="Arial" w:hAnsi="Arial" w:cs="Arial"/>
                <w:b/>
                <w:bCs/>
                <w:color w:val="000000"/>
                <w:sz w:val="16"/>
                <w:szCs w:val="16"/>
              </w:rPr>
              <w:t>Number</w:t>
            </w:r>
          </w:p>
        </w:tc>
        <w:tc>
          <w:tcPr>
            <w:tcW w:w="0" w:type="auto"/>
            <w:tcBorders>
              <w:top w:val="single" w:sz="4" w:space="0" w:color="auto"/>
              <w:left w:val="nil"/>
              <w:bottom w:val="single" w:sz="4" w:space="0" w:color="auto"/>
              <w:right w:val="single" w:sz="4" w:space="0" w:color="auto"/>
            </w:tcBorders>
            <w:shd w:val="clear" w:color="000000" w:fill="D0D0D0"/>
            <w:noWrap/>
            <w:vAlign w:val="center"/>
            <w:hideMark/>
          </w:tcPr>
          <w:p w14:paraId="2799A258" w14:textId="77777777" w:rsidR="00426D64" w:rsidRPr="00426D64" w:rsidRDefault="00426D64" w:rsidP="005C5892">
            <w:pPr>
              <w:jc w:val="center"/>
              <w:rPr>
                <w:rFonts w:ascii="Arial" w:hAnsi="Arial" w:cs="Arial"/>
                <w:b/>
                <w:bCs/>
                <w:color w:val="000000"/>
                <w:sz w:val="16"/>
                <w:szCs w:val="16"/>
              </w:rPr>
            </w:pPr>
            <w:r w:rsidRPr="00426D64">
              <w:rPr>
                <w:rFonts w:ascii="Arial" w:hAnsi="Arial" w:cs="Arial"/>
                <w:b/>
                <w:bCs/>
                <w:color w:val="000000"/>
                <w:sz w:val="16"/>
                <w:szCs w:val="16"/>
              </w:rPr>
              <w:t>Classification</w:t>
            </w:r>
          </w:p>
        </w:tc>
        <w:tc>
          <w:tcPr>
            <w:tcW w:w="1554" w:type="dxa"/>
            <w:tcBorders>
              <w:top w:val="single" w:sz="4" w:space="0" w:color="auto"/>
              <w:left w:val="nil"/>
              <w:bottom w:val="single" w:sz="4" w:space="0" w:color="auto"/>
              <w:right w:val="single" w:sz="4" w:space="0" w:color="auto"/>
            </w:tcBorders>
            <w:shd w:val="clear" w:color="000000" w:fill="D0D0D0"/>
            <w:noWrap/>
            <w:vAlign w:val="center"/>
            <w:hideMark/>
          </w:tcPr>
          <w:p w14:paraId="4BF5D426" w14:textId="77777777" w:rsidR="00426D64" w:rsidRPr="00426D64" w:rsidRDefault="00426D64" w:rsidP="005C5892">
            <w:pPr>
              <w:jc w:val="center"/>
              <w:rPr>
                <w:rFonts w:ascii="Arial" w:hAnsi="Arial" w:cs="Arial"/>
                <w:b/>
                <w:bCs/>
                <w:color w:val="000000"/>
                <w:sz w:val="16"/>
                <w:szCs w:val="16"/>
              </w:rPr>
            </w:pPr>
            <w:r w:rsidRPr="00426D64">
              <w:rPr>
                <w:rFonts w:ascii="Arial" w:hAnsi="Arial" w:cs="Arial"/>
                <w:b/>
                <w:bCs/>
                <w:color w:val="000000"/>
                <w:sz w:val="16"/>
                <w:szCs w:val="16"/>
              </w:rPr>
              <w:t>Pictograms</w:t>
            </w:r>
          </w:p>
        </w:tc>
        <w:tc>
          <w:tcPr>
            <w:tcW w:w="945" w:type="dxa"/>
            <w:tcBorders>
              <w:top w:val="single" w:sz="4" w:space="0" w:color="auto"/>
              <w:left w:val="nil"/>
              <w:bottom w:val="single" w:sz="4" w:space="0" w:color="auto"/>
              <w:right w:val="single" w:sz="4" w:space="0" w:color="auto"/>
            </w:tcBorders>
            <w:shd w:val="clear" w:color="000000" w:fill="D0D0D0"/>
            <w:vAlign w:val="center"/>
            <w:hideMark/>
          </w:tcPr>
          <w:p w14:paraId="30D888E7" w14:textId="77777777" w:rsidR="00426D64" w:rsidRPr="00426D64" w:rsidRDefault="00426D64" w:rsidP="005C5892">
            <w:pPr>
              <w:jc w:val="center"/>
              <w:rPr>
                <w:rFonts w:ascii="Arial" w:hAnsi="Arial" w:cs="Arial"/>
                <w:b/>
                <w:bCs/>
                <w:color w:val="000000"/>
                <w:sz w:val="16"/>
                <w:szCs w:val="16"/>
              </w:rPr>
            </w:pPr>
            <w:r w:rsidRPr="00426D64">
              <w:rPr>
                <w:rFonts w:ascii="Arial" w:hAnsi="Arial" w:cs="Arial"/>
                <w:b/>
                <w:bCs/>
                <w:color w:val="000000"/>
                <w:sz w:val="16"/>
                <w:szCs w:val="16"/>
              </w:rPr>
              <w:t>Agency source</w:t>
            </w:r>
          </w:p>
        </w:tc>
        <w:tc>
          <w:tcPr>
            <w:tcW w:w="0" w:type="auto"/>
            <w:tcBorders>
              <w:top w:val="single" w:sz="4" w:space="0" w:color="auto"/>
              <w:left w:val="nil"/>
              <w:bottom w:val="single" w:sz="4" w:space="0" w:color="auto"/>
              <w:right w:val="single" w:sz="4" w:space="0" w:color="auto"/>
            </w:tcBorders>
            <w:shd w:val="clear" w:color="000000" w:fill="D0D0D0"/>
            <w:noWrap/>
            <w:vAlign w:val="center"/>
            <w:hideMark/>
          </w:tcPr>
          <w:p w14:paraId="7E08CA40" w14:textId="77777777" w:rsidR="00426D64" w:rsidRPr="00426D64" w:rsidRDefault="00426D64" w:rsidP="005C5892">
            <w:pPr>
              <w:jc w:val="center"/>
              <w:rPr>
                <w:rFonts w:ascii="Arial" w:hAnsi="Arial" w:cs="Arial"/>
                <w:b/>
                <w:bCs/>
                <w:color w:val="000000"/>
                <w:sz w:val="16"/>
                <w:szCs w:val="16"/>
              </w:rPr>
            </w:pPr>
            <w:r w:rsidRPr="00426D64">
              <w:rPr>
                <w:rFonts w:ascii="Arial" w:hAnsi="Arial" w:cs="Arial"/>
                <w:b/>
                <w:bCs/>
                <w:color w:val="000000"/>
                <w:sz w:val="16"/>
                <w:szCs w:val="16"/>
              </w:rPr>
              <w:t>Reference</w:t>
            </w:r>
          </w:p>
        </w:tc>
      </w:tr>
      <w:tr w:rsidR="00426D64" w:rsidRPr="00426D64" w14:paraId="4732AAB7" w14:textId="77777777" w:rsidTr="005C5892">
        <w:trPr>
          <w:trHeight w:val="740"/>
        </w:trPr>
        <w:tc>
          <w:tcPr>
            <w:tcW w:w="0" w:type="auto"/>
            <w:vMerge w:val="restart"/>
            <w:tcBorders>
              <w:top w:val="nil"/>
              <w:left w:val="single" w:sz="4" w:space="0" w:color="auto"/>
              <w:bottom w:val="single" w:sz="4" w:space="0" w:color="auto"/>
              <w:right w:val="single" w:sz="4" w:space="0" w:color="auto"/>
            </w:tcBorders>
            <w:noWrap/>
            <w:vAlign w:val="center"/>
            <w:hideMark/>
          </w:tcPr>
          <w:p w14:paraId="72CBBFA5"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HEX</w:t>
            </w:r>
          </w:p>
        </w:tc>
        <w:tc>
          <w:tcPr>
            <w:tcW w:w="0" w:type="auto"/>
            <w:vMerge w:val="restart"/>
            <w:tcBorders>
              <w:top w:val="nil"/>
              <w:left w:val="single" w:sz="4" w:space="0" w:color="auto"/>
              <w:bottom w:val="single" w:sz="4" w:space="0" w:color="auto"/>
              <w:right w:val="single" w:sz="4" w:space="0" w:color="auto"/>
            </w:tcBorders>
            <w:vAlign w:val="center"/>
            <w:hideMark/>
          </w:tcPr>
          <w:p w14:paraId="0D842012"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110-54-3 (CAS Number) / 601-037-00-0 (EU Harmonised CLP Classification no.)</w:t>
            </w:r>
          </w:p>
        </w:tc>
        <w:tc>
          <w:tcPr>
            <w:tcW w:w="0" w:type="auto"/>
            <w:tcBorders>
              <w:top w:val="nil"/>
              <w:left w:val="nil"/>
              <w:bottom w:val="single" w:sz="4" w:space="0" w:color="auto"/>
              <w:right w:val="single" w:sz="4" w:space="0" w:color="auto"/>
            </w:tcBorders>
            <w:noWrap/>
            <w:vAlign w:val="center"/>
            <w:hideMark/>
          </w:tcPr>
          <w:p w14:paraId="20CF0112"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Flammable liquid 2</w:t>
            </w:r>
          </w:p>
        </w:tc>
        <w:tc>
          <w:tcPr>
            <w:tcW w:w="1554" w:type="dxa"/>
            <w:vMerge w:val="restart"/>
            <w:tcBorders>
              <w:top w:val="nil"/>
              <w:left w:val="nil"/>
              <w:bottom w:val="nil"/>
              <w:right w:val="nil"/>
            </w:tcBorders>
            <w:noWrap/>
            <w:vAlign w:val="bottom"/>
            <w:hideMark/>
          </w:tcPr>
          <w:p w14:paraId="4068E1A9" w14:textId="7FECCDE4" w:rsidR="00426D64" w:rsidRPr="00426D64" w:rsidRDefault="00426D64" w:rsidP="005C5892">
            <w:pPr>
              <w:rPr>
                <w:rFonts w:ascii="Arial" w:hAnsi="Arial" w:cs="Arial"/>
                <w:color w:val="000000"/>
                <w:sz w:val="16"/>
                <w:szCs w:val="16"/>
              </w:rPr>
            </w:pPr>
            <w:r w:rsidRPr="00426D64">
              <w:rPr>
                <w:rFonts w:ascii="Arial" w:hAnsi="Arial" w:cs="Arial"/>
                <w:noProof/>
                <w:color w:val="000000"/>
                <w:sz w:val="16"/>
                <w:szCs w:val="16"/>
              </w:rPr>
              <w:drawing>
                <wp:anchor distT="0" distB="0" distL="114300" distR="114300" simplePos="0" relativeHeight="251672576" behindDoc="0" locked="0" layoutInCell="1" allowOverlap="1" wp14:anchorId="391DBEEE" wp14:editId="453272C6">
                  <wp:simplePos x="0" y="0"/>
                  <wp:positionH relativeFrom="column">
                    <wp:posOffset>177165</wp:posOffset>
                  </wp:positionH>
                  <wp:positionV relativeFrom="paragraph">
                    <wp:posOffset>-1549400</wp:posOffset>
                  </wp:positionV>
                  <wp:extent cx="584200" cy="596900"/>
                  <wp:effectExtent l="0" t="0" r="0" b="0"/>
                  <wp:wrapNone/>
                  <wp:docPr id="1365581109" name="Picture 27" descr="A sign with a person with a star in the center&#10;&#10;AI-generated content may be incorrect.">
                    <a:extLst xmlns:a="http://schemas.openxmlformats.org/drawingml/2006/main">
                      <a:ext uri="{FF2B5EF4-FFF2-40B4-BE49-F238E27FC236}">
                        <a16:creationId xmlns:a16="http://schemas.microsoft.com/office/drawing/2014/main" id="{E7A2B62F-A8BA-A99E-BD0F-749A23C438F1}"/>
                      </a:ext>
                    </a:extLst>
                  </wp:docPr>
                  <wp:cNvGraphicFramePr/>
                  <a:graphic xmlns:a="http://schemas.openxmlformats.org/drawingml/2006/main">
                    <a:graphicData uri="http://schemas.openxmlformats.org/drawingml/2006/picture">
                      <pic:pic xmlns:pic="http://schemas.openxmlformats.org/drawingml/2006/picture">
                        <pic:nvPicPr>
                          <pic:cNvPr id="1365581109" name="Picture 27" descr="A sign with a person with a star in the center&#10;&#10;AI-generated content may be incorrect.">
                            <a:extLst>
                              <a:ext uri="{FF2B5EF4-FFF2-40B4-BE49-F238E27FC236}">
                                <a16:creationId xmlns:a16="http://schemas.microsoft.com/office/drawing/2014/main" id="{E7A2B62F-A8BA-A99E-BD0F-749A23C438F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4200" cy="596900"/>
                          </a:xfrm>
                          <a:prstGeom prst="rect">
                            <a:avLst/>
                          </a:prstGeom>
                          <a:noFill/>
                        </pic:spPr>
                      </pic:pic>
                    </a:graphicData>
                  </a:graphic>
                  <wp14:sizeRelH relativeFrom="page">
                    <wp14:pctWidth>0</wp14:pctWidth>
                  </wp14:sizeRelH>
                  <wp14:sizeRelV relativeFrom="page">
                    <wp14:pctHeight>0</wp14:pctHeight>
                  </wp14:sizeRelV>
                </wp:anchor>
              </w:drawing>
            </w:r>
            <w:r w:rsidRPr="00426D64">
              <w:rPr>
                <w:rFonts w:ascii="Arial" w:hAnsi="Arial" w:cs="Arial"/>
                <w:noProof/>
                <w:color w:val="000000"/>
                <w:sz w:val="16"/>
                <w:szCs w:val="16"/>
              </w:rPr>
              <w:drawing>
                <wp:anchor distT="0" distB="0" distL="114300" distR="114300" simplePos="0" relativeHeight="251673600" behindDoc="0" locked="0" layoutInCell="1" allowOverlap="1" wp14:anchorId="3B69F1B8" wp14:editId="6A6AE6E0">
                  <wp:simplePos x="0" y="0"/>
                  <wp:positionH relativeFrom="column">
                    <wp:posOffset>164465</wp:posOffset>
                  </wp:positionH>
                  <wp:positionV relativeFrom="paragraph">
                    <wp:posOffset>-808990</wp:posOffset>
                  </wp:positionV>
                  <wp:extent cx="596900" cy="609600"/>
                  <wp:effectExtent l="0" t="0" r="0" b="0"/>
                  <wp:wrapNone/>
                  <wp:docPr id="5" name="Picture 25" descr="A black exclamation mark in a red diamond&#10;&#10;AI-generated content may be incorrect.">
                    <a:extLst xmlns:a="http://schemas.openxmlformats.org/drawingml/2006/main">
                      <a:ext uri="{FF2B5EF4-FFF2-40B4-BE49-F238E27FC236}">
                        <a16:creationId xmlns:a16="http://schemas.microsoft.com/office/drawing/2014/main" id="{DD2EFFA4-CDF6-D628-8657-847A7034742F}"/>
                      </a:ext>
                    </a:extLst>
                  </wp:docPr>
                  <wp:cNvGraphicFramePr/>
                  <a:graphic xmlns:a="http://schemas.openxmlformats.org/drawingml/2006/main">
                    <a:graphicData uri="http://schemas.openxmlformats.org/drawingml/2006/picture">
                      <pic:pic xmlns:pic="http://schemas.openxmlformats.org/drawingml/2006/picture">
                        <pic:nvPicPr>
                          <pic:cNvPr id="5" name="Picture 25" descr="A black exclamation mark in a red diamond&#10;&#10;AI-generated content may be incorrect.">
                            <a:extLst>
                              <a:ext uri="{FF2B5EF4-FFF2-40B4-BE49-F238E27FC236}">
                                <a16:creationId xmlns:a16="http://schemas.microsoft.com/office/drawing/2014/main" id="{DD2EFFA4-CDF6-D628-8657-847A7034742F}"/>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6900" cy="609600"/>
                          </a:xfrm>
                          <a:prstGeom prst="rect">
                            <a:avLst/>
                          </a:prstGeom>
                          <a:noFill/>
                        </pic:spPr>
                      </pic:pic>
                    </a:graphicData>
                  </a:graphic>
                  <wp14:sizeRelH relativeFrom="page">
                    <wp14:pctWidth>0</wp14:pctWidth>
                  </wp14:sizeRelH>
                  <wp14:sizeRelV relativeFrom="page">
                    <wp14:pctHeight>0</wp14:pctHeight>
                  </wp14:sizeRelV>
                </wp:anchor>
              </w:drawing>
            </w:r>
            <w:r w:rsidRPr="00426D64">
              <w:rPr>
                <w:rFonts w:ascii="Arial" w:hAnsi="Arial" w:cs="Arial"/>
                <w:noProof/>
                <w:color w:val="000000"/>
                <w:sz w:val="16"/>
                <w:szCs w:val="16"/>
              </w:rPr>
              <w:drawing>
                <wp:anchor distT="0" distB="0" distL="114300" distR="114300" simplePos="0" relativeHeight="251674624" behindDoc="0" locked="0" layoutInCell="1" allowOverlap="1" wp14:anchorId="222800B6" wp14:editId="73AFF7B8">
                  <wp:simplePos x="0" y="0"/>
                  <wp:positionH relativeFrom="column">
                    <wp:posOffset>154305</wp:posOffset>
                  </wp:positionH>
                  <wp:positionV relativeFrom="paragraph">
                    <wp:posOffset>-86360</wp:posOffset>
                  </wp:positionV>
                  <wp:extent cx="596900" cy="596900"/>
                  <wp:effectExtent l="0" t="0" r="0" b="0"/>
                  <wp:wrapNone/>
                  <wp:docPr id="6" name="Picture 26" descr="A sign with a fish and a tree&#10;&#10;AI-generated content may be incorrect.">
                    <a:extLst xmlns:a="http://schemas.openxmlformats.org/drawingml/2006/main">
                      <a:ext uri="{FF2B5EF4-FFF2-40B4-BE49-F238E27FC236}">
                        <a16:creationId xmlns:a16="http://schemas.microsoft.com/office/drawing/2014/main" id="{EF423EA3-6A75-DDA0-479F-E1215C811974}"/>
                      </a:ext>
                    </a:extLst>
                  </wp:docPr>
                  <wp:cNvGraphicFramePr/>
                  <a:graphic xmlns:a="http://schemas.openxmlformats.org/drawingml/2006/main">
                    <a:graphicData uri="http://schemas.openxmlformats.org/drawingml/2006/picture">
                      <pic:pic xmlns:pic="http://schemas.openxmlformats.org/drawingml/2006/picture">
                        <pic:nvPicPr>
                          <pic:cNvPr id="6" name="Picture 26" descr="A sign with a fish and a tree&#10;&#10;AI-generated content may be incorrect.">
                            <a:extLst>
                              <a:ext uri="{FF2B5EF4-FFF2-40B4-BE49-F238E27FC236}">
                                <a16:creationId xmlns:a16="http://schemas.microsoft.com/office/drawing/2014/main" id="{EF423EA3-6A75-DDA0-479F-E1215C811974}"/>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6900" cy="596900"/>
                          </a:xfrm>
                          <a:prstGeom prst="rect">
                            <a:avLst/>
                          </a:prstGeom>
                          <a:noFill/>
                        </pic:spPr>
                      </pic:pic>
                    </a:graphicData>
                  </a:graphic>
                  <wp14:sizeRelH relativeFrom="page">
                    <wp14:pctWidth>0</wp14:pctWidth>
                  </wp14:sizeRelH>
                  <wp14:sizeRelV relativeFrom="page">
                    <wp14:pctHeight>0</wp14:pctHeight>
                  </wp14:sizeRelV>
                </wp:anchor>
              </w:drawing>
            </w:r>
            <w:r w:rsidRPr="00426D64">
              <w:rPr>
                <w:rFonts w:ascii="Arial" w:hAnsi="Arial" w:cs="Arial"/>
                <w:noProof/>
                <w:color w:val="000000"/>
                <w:sz w:val="16"/>
                <w:szCs w:val="16"/>
              </w:rPr>
              <w:drawing>
                <wp:anchor distT="0" distB="0" distL="114300" distR="114300" simplePos="0" relativeHeight="251671552" behindDoc="0" locked="0" layoutInCell="1" allowOverlap="1" wp14:anchorId="40BF3120" wp14:editId="01CC6608">
                  <wp:simplePos x="0" y="0"/>
                  <wp:positionH relativeFrom="column">
                    <wp:posOffset>128270</wp:posOffset>
                  </wp:positionH>
                  <wp:positionV relativeFrom="paragraph">
                    <wp:posOffset>-2303145</wp:posOffset>
                  </wp:positionV>
                  <wp:extent cx="635000" cy="635000"/>
                  <wp:effectExtent l="0" t="0" r="0" b="0"/>
                  <wp:wrapNone/>
                  <wp:docPr id="1643434121" name="Picture 21" descr="A red and black sign with a flame&#10;&#10;AI-generated content may be incorrect.">
                    <a:extLst xmlns:a="http://schemas.openxmlformats.org/drawingml/2006/main">
                      <a:ext uri="{FF2B5EF4-FFF2-40B4-BE49-F238E27FC236}">
                        <a16:creationId xmlns:a16="http://schemas.microsoft.com/office/drawing/2014/main" id="{DE746EE3-BC0E-735E-EA16-F40A84B152BD}"/>
                      </a:ext>
                    </a:extLst>
                  </wp:docPr>
                  <wp:cNvGraphicFramePr/>
                  <a:graphic xmlns:a="http://schemas.openxmlformats.org/drawingml/2006/main">
                    <a:graphicData uri="http://schemas.openxmlformats.org/drawingml/2006/picture">
                      <pic:pic xmlns:pic="http://schemas.openxmlformats.org/drawingml/2006/picture">
                        <pic:nvPicPr>
                          <pic:cNvPr id="1643434121" name="Picture 21" descr="A red and black sign with a flame&#10;&#10;AI-generated content may be incorrect.">
                            <a:extLst>
                              <a:ext uri="{FF2B5EF4-FFF2-40B4-BE49-F238E27FC236}">
                                <a16:creationId xmlns:a16="http://schemas.microsoft.com/office/drawing/2014/main" id="{DE746EE3-BC0E-735E-EA16-F40A84B152BD}"/>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pic:spPr>
                      </pic:pic>
                    </a:graphicData>
                  </a:graphic>
                  <wp14:sizeRelH relativeFrom="page">
                    <wp14:pctWidth>0</wp14:pctWidth>
                  </wp14:sizeRelH>
                  <wp14:sizeRelV relativeFrom="page">
                    <wp14:pctHeight>0</wp14:pctHeight>
                  </wp14:sizeRelV>
                </wp:anchor>
              </w:drawing>
            </w:r>
            <w:r w:rsidR="004D08E1">
              <w:rPr>
                <w:noProof/>
              </w:rPr>
              <w:pict w14:anchorId="2C3ED132">
                <v:rect id="Rectangle 29" o:spid="_x0000_s1035" style="position:absolute;margin-left:75pt;margin-top:37pt;width:2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" filled="f" stroked="f">
                  <o:lock v:ext="edit" aspectratio="t"/>
                </v:rect>
              </w:pict>
            </w:r>
            <w:r w:rsidR="004D08E1">
              <w:rPr>
                <w:noProof/>
              </w:rPr>
              <w:pict w14:anchorId="72C58CE8">
                <v:rect id="Rectangle 28" o:spid="_x0000_s1034" style="position:absolute;margin-left:90pt;margin-top:37pt;width:2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" filled="f" stroked="f">
                  <o:lock v:ext="edit" aspectratio="t"/>
                </v:rect>
              </w:pict>
            </w:r>
            <w:r w:rsidR="004D08E1">
              <w:rPr>
                <w:noProof/>
              </w:rPr>
              <w:pict w14:anchorId="11C4508D">
                <v:rect id="Rectangle 23" o:spid="_x0000_s1033" style="position:absolute;margin-left:25pt;margin-top:37pt;width:2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" filled="f" stroked="f">
                  <o:lock v:ext="edit" aspectratio="t"/>
                </v:rect>
              </w:pict>
            </w:r>
            <w:r w:rsidR="004D08E1">
              <w:rPr>
                <w:noProof/>
              </w:rPr>
              <w:pict w14:anchorId="2DADB5D8">
                <v:rect id="Rectangle 22" o:spid="_x0000_s1032" style="position:absolute;margin-left:50pt;margin-top:37pt;width:2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" filled="f" stroked="f">
                  <o:lock v:ext="edit" aspectratio="t"/>
                </v:rect>
              </w:pict>
            </w:r>
          </w:p>
          <w:p w14:paraId="12A5ED3C" w14:textId="77777777" w:rsidR="00426D64" w:rsidRPr="00426D64" w:rsidRDefault="00426D64" w:rsidP="005C5892">
            <w:pPr>
              <w:rPr>
                <w:rFonts w:ascii="Arial" w:hAnsi="Arial" w:cs="Arial"/>
                <w:color w:val="000000"/>
                <w:sz w:val="16"/>
                <w:szCs w:val="16"/>
              </w:rPr>
            </w:pPr>
          </w:p>
        </w:tc>
        <w:tc>
          <w:tcPr>
            <w:tcW w:w="945" w:type="dxa"/>
            <w:vMerge w:val="restart"/>
            <w:tcBorders>
              <w:top w:val="nil"/>
              <w:left w:val="nil"/>
              <w:bottom w:val="nil"/>
              <w:right w:val="nil"/>
            </w:tcBorders>
            <w:noWrap/>
            <w:vAlign w:val="center"/>
            <w:hideMark/>
          </w:tcPr>
          <w:p w14:paraId="028ACC4D" w14:textId="77777777" w:rsidR="00426D64" w:rsidRPr="00426D64" w:rsidRDefault="004D08E1" w:rsidP="005C5892">
            <w:pPr>
              <w:rPr>
                <w:rFonts w:ascii="Arial" w:hAnsi="Arial" w:cs="Arial"/>
                <w:color w:val="000000"/>
                <w:sz w:val="16"/>
                <w:szCs w:val="16"/>
              </w:rPr>
            </w:pPr>
            <w:hyperlink r:id="rId24" w:tgtFrame="_blank" w:history="1">
              <w:r w:rsidR="00426D64" w:rsidRPr="00426D64">
                <w:rPr>
                  <w:rFonts w:ascii="Arial" w:hAnsi="Arial" w:cs="Arial"/>
                  <w:color w:val="000000"/>
                  <w:sz w:val="16"/>
                  <w:szCs w:val="16"/>
                </w:rPr>
                <w:t>ECHA C&amp;L inventory </w:t>
              </w:r>
            </w:hyperlink>
          </w:p>
        </w:tc>
        <w:tc>
          <w:tcPr>
            <w:tcW w:w="0" w:type="auto"/>
            <w:vMerge w:val="restart"/>
            <w:tcBorders>
              <w:top w:val="nil"/>
              <w:left w:val="nil"/>
              <w:right w:val="nil"/>
            </w:tcBorders>
            <w:noWrap/>
            <w:vAlign w:val="bottom"/>
            <w:hideMark/>
          </w:tcPr>
          <w:p w14:paraId="21CC4D9D" w14:textId="77777777" w:rsidR="00426D64" w:rsidRPr="00426D64" w:rsidRDefault="00426D64" w:rsidP="005C5892">
            <w:pPr>
              <w:rPr>
                <w:rFonts w:ascii="Arial" w:hAnsi="Arial" w:cs="Arial"/>
                <w:color w:val="000000"/>
                <w:sz w:val="16"/>
                <w:szCs w:val="16"/>
              </w:rPr>
            </w:pPr>
          </w:p>
          <w:p w14:paraId="35CA36E3" w14:textId="77777777" w:rsidR="00426D64" w:rsidRPr="00426D64" w:rsidRDefault="00426D64" w:rsidP="005C5892">
            <w:pPr>
              <w:rPr>
                <w:rFonts w:ascii="Arial" w:hAnsi="Arial" w:cs="Arial"/>
                <w:color w:val="000000"/>
                <w:sz w:val="16"/>
                <w:szCs w:val="16"/>
              </w:rPr>
            </w:pPr>
          </w:p>
          <w:p w14:paraId="29A86B72"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18</w:t>
            </w:r>
          </w:p>
          <w:p w14:paraId="3D2ECB1B" w14:textId="77777777" w:rsidR="00426D64" w:rsidRPr="00426D64" w:rsidRDefault="00426D64" w:rsidP="005C5892">
            <w:pPr>
              <w:jc w:val="center"/>
              <w:rPr>
                <w:rFonts w:ascii="Arial" w:hAnsi="Arial" w:cs="Arial"/>
                <w:color w:val="000000"/>
                <w:sz w:val="16"/>
                <w:szCs w:val="16"/>
              </w:rPr>
            </w:pPr>
          </w:p>
        </w:tc>
      </w:tr>
      <w:tr w:rsidR="00426D64" w:rsidRPr="00426D64" w14:paraId="7ADC9FCB"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DCC1B7F"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A47E25B"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52C38344"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Skin corrosion/irritation 2</w:t>
            </w:r>
          </w:p>
        </w:tc>
        <w:tc>
          <w:tcPr>
            <w:tcW w:w="1554" w:type="dxa"/>
            <w:vMerge/>
            <w:tcBorders>
              <w:top w:val="nil"/>
              <w:left w:val="nil"/>
              <w:bottom w:val="nil"/>
              <w:right w:val="nil"/>
            </w:tcBorders>
            <w:vAlign w:val="center"/>
            <w:hideMark/>
          </w:tcPr>
          <w:p w14:paraId="318FA91C"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6F57761A"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095AC8F9" w14:textId="77777777" w:rsidR="00426D64" w:rsidRPr="00426D64" w:rsidRDefault="00426D64" w:rsidP="005C5892">
            <w:pPr>
              <w:jc w:val="center"/>
              <w:rPr>
                <w:rFonts w:ascii="Arial" w:hAnsi="Arial" w:cs="Arial"/>
                <w:color w:val="000000"/>
                <w:sz w:val="16"/>
                <w:szCs w:val="16"/>
              </w:rPr>
            </w:pPr>
          </w:p>
        </w:tc>
      </w:tr>
      <w:tr w:rsidR="00426D64" w:rsidRPr="00426D64" w14:paraId="4C4E72D6"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CEB1672"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1C8FC3D"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76818E7E"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Aspiration toxicity 1</w:t>
            </w:r>
          </w:p>
        </w:tc>
        <w:tc>
          <w:tcPr>
            <w:tcW w:w="1554" w:type="dxa"/>
            <w:vMerge/>
            <w:tcBorders>
              <w:top w:val="nil"/>
              <w:left w:val="nil"/>
              <w:bottom w:val="nil"/>
              <w:right w:val="nil"/>
            </w:tcBorders>
            <w:vAlign w:val="center"/>
            <w:hideMark/>
          </w:tcPr>
          <w:p w14:paraId="63446BE9"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52ECB850"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5E67B9C4" w14:textId="77777777" w:rsidR="00426D64" w:rsidRPr="00426D64" w:rsidRDefault="00426D64" w:rsidP="005C5892">
            <w:pPr>
              <w:jc w:val="center"/>
              <w:rPr>
                <w:rFonts w:ascii="Arial" w:hAnsi="Arial" w:cs="Arial"/>
                <w:color w:val="000000"/>
                <w:sz w:val="16"/>
                <w:szCs w:val="16"/>
              </w:rPr>
            </w:pPr>
          </w:p>
        </w:tc>
      </w:tr>
      <w:tr w:rsidR="00426D64" w:rsidRPr="00426D64" w14:paraId="63638BA0"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8986563"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9768B84"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23D306DE"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Reproductive toxicity 2</w:t>
            </w:r>
          </w:p>
        </w:tc>
        <w:tc>
          <w:tcPr>
            <w:tcW w:w="1554" w:type="dxa"/>
            <w:vMerge/>
            <w:tcBorders>
              <w:top w:val="nil"/>
              <w:left w:val="nil"/>
              <w:bottom w:val="nil"/>
              <w:right w:val="nil"/>
            </w:tcBorders>
            <w:vAlign w:val="center"/>
            <w:hideMark/>
          </w:tcPr>
          <w:p w14:paraId="71BB4A29"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39190D18"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1118117C" w14:textId="77777777" w:rsidR="00426D64" w:rsidRPr="00426D64" w:rsidRDefault="00426D64" w:rsidP="005C5892">
            <w:pPr>
              <w:jc w:val="center"/>
              <w:rPr>
                <w:rFonts w:ascii="Arial" w:hAnsi="Arial" w:cs="Arial"/>
                <w:color w:val="000000"/>
                <w:sz w:val="16"/>
                <w:szCs w:val="16"/>
              </w:rPr>
            </w:pPr>
          </w:p>
        </w:tc>
      </w:tr>
      <w:tr w:rsidR="00426D64" w:rsidRPr="00426D64" w14:paraId="6A704F95"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CF06132"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CCDC6D5"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6D51A308"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Specific target organ toxicity, single exposure 3</w:t>
            </w:r>
          </w:p>
        </w:tc>
        <w:tc>
          <w:tcPr>
            <w:tcW w:w="1554" w:type="dxa"/>
            <w:vMerge/>
            <w:tcBorders>
              <w:top w:val="nil"/>
              <w:left w:val="nil"/>
              <w:bottom w:val="nil"/>
              <w:right w:val="nil"/>
            </w:tcBorders>
            <w:vAlign w:val="center"/>
            <w:hideMark/>
          </w:tcPr>
          <w:p w14:paraId="6FE858F3"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3FA94376"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5B8DCFF8" w14:textId="77777777" w:rsidR="00426D64" w:rsidRPr="00426D64" w:rsidRDefault="00426D64" w:rsidP="005C5892">
            <w:pPr>
              <w:jc w:val="center"/>
              <w:rPr>
                <w:rFonts w:ascii="Arial" w:hAnsi="Arial" w:cs="Arial"/>
                <w:color w:val="000000"/>
                <w:sz w:val="16"/>
                <w:szCs w:val="16"/>
              </w:rPr>
            </w:pPr>
          </w:p>
        </w:tc>
      </w:tr>
      <w:tr w:rsidR="00426D64" w:rsidRPr="00426D64" w14:paraId="6BC08B95"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1A9F5F2"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04D378E"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4D5918FA"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Specific target organ toxicity, repeated exposure 2</w:t>
            </w:r>
          </w:p>
        </w:tc>
        <w:tc>
          <w:tcPr>
            <w:tcW w:w="1554" w:type="dxa"/>
            <w:vMerge/>
            <w:tcBorders>
              <w:top w:val="nil"/>
              <w:left w:val="nil"/>
              <w:bottom w:val="nil"/>
              <w:right w:val="nil"/>
            </w:tcBorders>
            <w:vAlign w:val="center"/>
            <w:hideMark/>
          </w:tcPr>
          <w:p w14:paraId="6E201937"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6074507C"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69408879" w14:textId="77777777" w:rsidR="00426D64" w:rsidRPr="00426D64" w:rsidRDefault="00426D64" w:rsidP="005C5892">
            <w:pPr>
              <w:jc w:val="center"/>
              <w:rPr>
                <w:rFonts w:ascii="Arial" w:hAnsi="Arial" w:cs="Arial"/>
                <w:color w:val="000000"/>
                <w:sz w:val="16"/>
                <w:szCs w:val="16"/>
              </w:rPr>
            </w:pPr>
          </w:p>
        </w:tc>
      </w:tr>
      <w:tr w:rsidR="00426D64" w:rsidRPr="00426D64" w14:paraId="1B6E4238"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54B7B61C"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6D22811"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6757CA1F"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Hazardous to aquatic environment, long-term hazard 2</w:t>
            </w:r>
          </w:p>
        </w:tc>
        <w:tc>
          <w:tcPr>
            <w:tcW w:w="1554" w:type="dxa"/>
            <w:vMerge/>
            <w:tcBorders>
              <w:top w:val="nil"/>
              <w:left w:val="nil"/>
              <w:bottom w:val="nil"/>
              <w:right w:val="nil"/>
            </w:tcBorders>
            <w:vAlign w:val="center"/>
            <w:hideMark/>
          </w:tcPr>
          <w:p w14:paraId="2DF1FF13"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37D34063"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3E59F08E" w14:textId="77777777" w:rsidR="00426D64" w:rsidRPr="00426D64" w:rsidRDefault="00426D64" w:rsidP="005C5892">
            <w:pPr>
              <w:jc w:val="center"/>
              <w:rPr>
                <w:rFonts w:ascii="Arial" w:hAnsi="Arial" w:cs="Arial"/>
                <w:color w:val="000000"/>
                <w:sz w:val="16"/>
                <w:szCs w:val="16"/>
              </w:rPr>
            </w:pPr>
          </w:p>
        </w:tc>
      </w:tr>
      <w:tr w:rsidR="00426D64" w:rsidRPr="00426D64" w14:paraId="7A78AA63"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6FEF0E85" w14:textId="77777777" w:rsidR="00426D64" w:rsidRPr="00426D64" w:rsidRDefault="00426D64" w:rsidP="005C5892">
            <w:pPr>
              <w:rPr>
                <w:rFonts w:ascii="Arial" w:hAnsi="Arial" w:cs="Arial"/>
                <w:color w:val="000000"/>
                <w:sz w:val="16"/>
                <w:szCs w:val="16"/>
              </w:rPr>
            </w:pPr>
          </w:p>
        </w:tc>
        <w:tc>
          <w:tcPr>
            <w:tcW w:w="0" w:type="auto"/>
            <w:vMerge w:val="restart"/>
            <w:tcBorders>
              <w:top w:val="nil"/>
              <w:left w:val="single" w:sz="4" w:space="0" w:color="auto"/>
              <w:bottom w:val="single" w:sz="4" w:space="0" w:color="auto"/>
              <w:right w:val="single" w:sz="4" w:space="0" w:color="auto"/>
            </w:tcBorders>
            <w:vAlign w:val="center"/>
            <w:hideMark/>
          </w:tcPr>
          <w:p w14:paraId="410CFCA7"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110-54-3 (CAS Number)</w:t>
            </w:r>
          </w:p>
        </w:tc>
        <w:tc>
          <w:tcPr>
            <w:tcW w:w="0" w:type="auto"/>
            <w:tcBorders>
              <w:top w:val="nil"/>
              <w:left w:val="nil"/>
              <w:bottom w:val="single" w:sz="4" w:space="0" w:color="auto"/>
              <w:right w:val="single" w:sz="4" w:space="0" w:color="auto"/>
            </w:tcBorders>
            <w:noWrap/>
            <w:vAlign w:val="center"/>
            <w:hideMark/>
          </w:tcPr>
          <w:p w14:paraId="2A456192"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Flammable liquid 2</w:t>
            </w:r>
          </w:p>
        </w:tc>
        <w:tc>
          <w:tcPr>
            <w:tcW w:w="1554" w:type="dxa"/>
            <w:vMerge w:val="restart"/>
            <w:tcBorders>
              <w:top w:val="nil"/>
              <w:left w:val="nil"/>
              <w:bottom w:val="nil"/>
              <w:right w:val="nil"/>
            </w:tcBorders>
            <w:noWrap/>
            <w:vAlign w:val="bottom"/>
            <w:hideMark/>
          </w:tcPr>
          <w:p w14:paraId="42BCDBC8" w14:textId="77777777" w:rsidR="00426D64" w:rsidRPr="00426D64" w:rsidRDefault="00426D64" w:rsidP="005C5892">
            <w:pPr>
              <w:rPr>
                <w:rFonts w:ascii="Arial" w:hAnsi="Arial" w:cs="Arial"/>
                <w:color w:val="000000"/>
                <w:sz w:val="16"/>
                <w:szCs w:val="16"/>
              </w:rPr>
            </w:pPr>
            <w:r w:rsidRPr="00426D64">
              <w:rPr>
                <w:rFonts w:ascii="Arial" w:hAnsi="Arial" w:cs="Arial"/>
                <w:noProof/>
                <w:color w:val="000000"/>
                <w:sz w:val="16"/>
                <w:szCs w:val="16"/>
              </w:rPr>
              <w:drawing>
                <wp:anchor distT="0" distB="0" distL="114300" distR="114300" simplePos="0" relativeHeight="251675648" behindDoc="0" locked="0" layoutInCell="1" allowOverlap="1" wp14:anchorId="0FA1B949" wp14:editId="4A4DDB05">
                  <wp:simplePos x="0" y="0"/>
                  <wp:positionH relativeFrom="column">
                    <wp:posOffset>76200</wp:posOffset>
                  </wp:positionH>
                  <wp:positionV relativeFrom="paragraph">
                    <wp:posOffset>-2093595</wp:posOffset>
                  </wp:positionV>
                  <wp:extent cx="635000" cy="635000"/>
                  <wp:effectExtent l="0" t="0" r="0" b="0"/>
                  <wp:wrapNone/>
                  <wp:docPr id="7" name="Picture 16" descr="A red and black sign with a flame&#10;&#10;AI-generated content may be incorrect.">
                    <a:extLst xmlns:a="http://schemas.openxmlformats.org/drawingml/2006/main">
                      <a:ext uri="{FF2B5EF4-FFF2-40B4-BE49-F238E27FC236}">
                        <a16:creationId xmlns:a16="http://schemas.microsoft.com/office/drawing/2014/main" id="{1AE3B286-B19C-984E-8DAA-D236992213AC}"/>
                      </a:ext>
                    </a:extLst>
                  </wp:docPr>
                  <wp:cNvGraphicFramePr/>
                  <a:graphic xmlns:a="http://schemas.openxmlformats.org/drawingml/2006/main">
                    <a:graphicData uri="http://schemas.openxmlformats.org/drawingml/2006/picture">
                      <pic:pic xmlns:pic="http://schemas.openxmlformats.org/drawingml/2006/picture">
                        <pic:nvPicPr>
                          <pic:cNvPr id="7" name="Picture 16" descr="A red and black sign with a flame&#10;&#10;AI-generated content may be incorrect.">
                            <a:extLst>
                              <a:ext uri="{FF2B5EF4-FFF2-40B4-BE49-F238E27FC236}">
                                <a16:creationId xmlns:a16="http://schemas.microsoft.com/office/drawing/2014/main" id="{1AE3B286-B19C-984E-8DAA-D236992213AC}"/>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pic:spPr>
                      </pic:pic>
                    </a:graphicData>
                  </a:graphic>
                  <wp14:sizeRelH relativeFrom="page">
                    <wp14:pctWidth>0</wp14:pctWidth>
                  </wp14:sizeRelH>
                  <wp14:sizeRelV relativeFrom="page">
                    <wp14:pctHeight>0</wp14:pctHeight>
                  </wp14:sizeRelV>
                </wp:anchor>
              </w:drawing>
            </w:r>
            <w:r w:rsidRPr="00426D64">
              <w:rPr>
                <w:rFonts w:ascii="Arial" w:hAnsi="Arial" w:cs="Arial"/>
                <w:noProof/>
                <w:color w:val="000000"/>
                <w:sz w:val="16"/>
                <w:szCs w:val="16"/>
              </w:rPr>
              <w:drawing>
                <wp:anchor distT="0" distB="0" distL="114300" distR="114300" simplePos="0" relativeHeight="251677696" behindDoc="0" locked="0" layoutInCell="1" allowOverlap="1" wp14:anchorId="27D81CD2" wp14:editId="28D65B23">
                  <wp:simplePos x="0" y="0"/>
                  <wp:positionH relativeFrom="column">
                    <wp:posOffset>127000</wp:posOffset>
                  </wp:positionH>
                  <wp:positionV relativeFrom="paragraph">
                    <wp:posOffset>-607695</wp:posOffset>
                  </wp:positionV>
                  <wp:extent cx="584200" cy="596900"/>
                  <wp:effectExtent l="0" t="0" r="0" b="0"/>
                  <wp:wrapNone/>
                  <wp:docPr id="9" name="Picture 15" descr="A sign with a person with a star in the center&#10;&#10;AI-generated content may be incorrect.">
                    <a:extLst xmlns:a="http://schemas.openxmlformats.org/drawingml/2006/main">
                      <a:ext uri="{FF2B5EF4-FFF2-40B4-BE49-F238E27FC236}">
                        <a16:creationId xmlns:a16="http://schemas.microsoft.com/office/drawing/2014/main" id="{2347A4FA-14C4-1A4B-868F-7CDBA829AAFF}"/>
                      </a:ext>
                    </a:extLst>
                  </wp:docPr>
                  <wp:cNvGraphicFramePr/>
                  <a:graphic xmlns:a="http://schemas.openxmlformats.org/drawingml/2006/main">
                    <a:graphicData uri="http://schemas.openxmlformats.org/drawingml/2006/picture">
                      <pic:pic xmlns:pic="http://schemas.openxmlformats.org/drawingml/2006/picture">
                        <pic:nvPicPr>
                          <pic:cNvPr id="9" name="Picture 15" descr="A sign with a person with a star in the center&#10;&#10;AI-generated content may be incorrect.">
                            <a:extLst>
                              <a:ext uri="{FF2B5EF4-FFF2-40B4-BE49-F238E27FC236}">
                                <a16:creationId xmlns:a16="http://schemas.microsoft.com/office/drawing/2014/main" id="{2347A4FA-14C4-1A4B-868F-7CDBA829AAFF}"/>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4200" cy="596900"/>
                          </a:xfrm>
                          <a:prstGeom prst="rect">
                            <a:avLst/>
                          </a:prstGeom>
                          <a:noFill/>
                        </pic:spPr>
                      </pic:pic>
                    </a:graphicData>
                  </a:graphic>
                  <wp14:sizeRelH relativeFrom="page">
                    <wp14:pctWidth>0</wp14:pctWidth>
                  </wp14:sizeRelH>
                  <wp14:sizeRelV relativeFrom="page">
                    <wp14:pctHeight>0</wp14:pctHeight>
                  </wp14:sizeRelV>
                </wp:anchor>
              </w:drawing>
            </w:r>
            <w:r w:rsidRPr="00426D64">
              <w:rPr>
                <w:rFonts w:ascii="Arial" w:hAnsi="Arial" w:cs="Arial"/>
                <w:noProof/>
                <w:color w:val="000000"/>
                <w:sz w:val="16"/>
                <w:szCs w:val="16"/>
              </w:rPr>
              <w:drawing>
                <wp:anchor distT="0" distB="0" distL="114300" distR="114300" simplePos="0" relativeHeight="251676672" behindDoc="0" locked="0" layoutInCell="1" allowOverlap="1" wp14:anchorId="4273260E" wp14:editId="5687C6D8">
                  <wp:simplePos x="0" y="0"/>
                  <wp:positionH relativeFrom="column">
                    <wp:posOffset>101600</wp:posOffset>
                  </wp:positionH>
                  <wp:positionV relativeFrom="paragraph">
                    <wp:posOffset>-1344295</wp:posOffset>
                  </wp:positionV>
                  <wp:extent cx="609600" cy="609600"/>
                  <wp:effectExtent l="0" t="0" r="0" b="0"/>
                  <wp:wrapNone/>
                  <wp:docPr id="8" name="Picture 14" descr="A black exclamation mark in a red diamond&#10;&#10;AI-generated content may be incorrect.">
                    <a:extLst xmlns:a="http://schemas.openxmlformats.org/drawingml/2006/main">
                      <a:ext uri="{FF2B5EF4-FFF2-40B4-BE49-F238E27FC236}">
                        <a16:creationId xmlns:a16="http://schemas.microsoft.com/office/drawing/2014/main" id="{39A30EE8-2DAF-6F44-83FC-E36A8374C224}"/>
                      </a:ext>
                    </a:extLst>
                  </wp:docPr>
                  <wp:cNvGraphicFramePr/>
                  <a:graphic xmlns:a="http://schemas.openxmlformats.org/drawingml/2006/main">
                    <a:graphicData uri="http://schemas.openxmlformats.org/drawingml/2006/picture">
                      <pic:pic xmlns:pic="http://schemas.openxmlformats.org/drawingml/2006/picture">
                        <pic:nvPicPr>
                          <pic:cNvPr id="8" name="Picture 14" descr="A black exclamation mark in a red diamond&#10;&#10;AI-generated content may be incorrect.">
                            <a:extLst>
                              <a:ext uri="{FF2B5EF4-FFF2-40B4-BE49-F238E27FC236}">
                                <a16:creationId xmlns:a16="http://schemas.microsoft.com/office/drawing/2014/main" id="{39A30EE8-2DAF-6F44-83FC-E36A8374C224}"/>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p>
          <w:p w14:paraId="624854E8" w14:textId="77777777" w:rsidR="00426D64" w:rsidRPr="00426D64" w:rsidRDefault="00426D64" w:rsidP="005C5892">
            <w:pPr>
              <w:rPr>
                <w:rFonts w:ascii="Arial" w:hAnsi="Arial" w:cs="Arial"/>
                <w:color w:val="000000"/>
                <w:sz w:val="16"/>
                <w:szCs w:val="16"/>
              </w:rPr>
            </w:pPr>
          </w:p>
        </w:tc>
        <w:tc>
          <w:tcPr>
            <w:tcW w:w="945" w:type="dxa"/>
            <w:vMerge w:val="restart"/>
            <w:tcBorders>
              <w:top w:val="nil"/>
              <w:left w:val="nil"/>
              <w:bottom w:val="nil"/>
              <w:right w:val="nil"/>
            </w:tcBorders>
            <w:noWrap/>
            <w:vAlign w:val="center"/>
            <w:hideMark/>
          </w:tcPr>
          <w:p w14:paraId="0BEE2C8A" w14:textId="407C21F6"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 xml:space="preserve">NITE Japan-GHS </w:t>
            </w:r>
            <w:r w:rsidR="004D08E1">
              <w:rPr>
                <w:noProof/>
              </w:rPr>
              <w:pict w14:anchorId="4AB69BD5">
                <v:rect id="Rectangle 13" o:spid="_x0000_s1031" style="position:absolute;left:0;text-align:left;margin-left:0;margin-top:37pt;width:24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" filled="f" stroked="f">
                  <o:lock v:ext="edit" aspectratio="t"/>
                </v:rect>
              </w:pict>
            </w:r>
            <w:r w:rsidR="004D08E1">
              <w:rPr>
                <w:noProof/>
              </w:rPr>
              <w:pict w14:anchorId="074649D5">
                <v:rect id="Rectangle 12" o:spid="_x0000_s1030" style="position:absolute;left:0;text-align:left;margin-left:50pt;margin-top:37pt;width:2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" filled="f" stroked="f">
                  <o:lock v:ext="edit" aspectratio="t"/>
                </v:rect>
              </w:pict>
            </w:r>
            <w:r w:rsidR="004D08E1">
              <w:rPr>
                <w:noProof/>
              </w:rPr>
              <w:pict w14:anchorId="43515910">
                <v:rect id="Rectangle 11" o:spid="_x0000_s1029" style="position:absolute;left:0;text-align:left;margin-left:69pt;margin-top:37pt;width:24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" filled="f" stroked="f">
                  <o:lock v:ext="edit" aspectratio="t"/>
                </v:rect>
              </w:pict>
            </w:r>
            <w:r w:rsidR="004D08E1">
              <w:rPr>
                <w:noProof/>
              </w:rPr>
              <w:pict w14:anchorId="79BE3FBB">
                <v:rect id="Rectangle 10" o:spid="_x0000_s1028" style="position:absolute;left:0;text-align:left;margin-left:25pt;margin-top:37pt;width:24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" filled="f" stroked="f">
                  <o:lock v:ext="edit" aspectratio="t"/>
                </v:rect>
              </w:pict>
            </w:r>
          </w:p>
          <w:p w14:paraId="4B2F5EF5" w14:textId="77777777" w:rsidR="00426D64" w:rsidRPr="00426D64" w:rsidRDefault="00426D64" w:rsidP="005C5892">
            <w:pPr>
              <w:jc w:val="center"/>
              <w:rPr>
                <w:rFonts w:ascii="Arial" w:hAnsi="Arial" w:cs="Arial"/>
                <w:color w:val="000000"/>
                <w:sz w:val="16"/>
                <w:szCs w:val="16"/>
              </w:rPr>
            </w:pPr>
          </w:p>
        </w:tc>
        <w:tc>
          <w:tcPr>
            <w:tcW w:w="0" w:type="auto"/>
            <w:vMerge/>
            <w:tcBorders>
              <w:left w:val="nil"/>
              <w:right w:val="nil"/>
            </w:tcBorders>
            <w:noWrap/>
            <w:vAlign w:val="bottom"/>
            <w:hideMark/>
          </w:tcPr>
          <w:p w14:paraId="735AB903" w14:textId="77777777" w:rsidR="00426D64" w:rsidRPr="00426D64" w:rsidRDefault="00426D64" w:rsidP="005C5892">
            <w:pPr>
              <w:jc w:val="center"/>
              <w:rPr>
                <w:rFonts w:ascii="Arial" w:hAnsi="Arial" w:cs="Arial"/>
                <w:color w:val="000000"/>
                <w:sz w:val="16"/>
                <w:szCs w:val="16"/>
              </w:rPr>
            </w:pPr>
          </w:p>
        </w:tc>
      </w:tr>
      <w:tr w:rsidR="00426D64" w:rsidRPr="00426D64" w14:paraId="3B6D5800"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022D9360"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97B83A5"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02762C83"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Skin corrosion/irritation 2</w:t>
            </w:r>
          </w:p>
        </w:tc>
        <w:tc>
          <w:tcPr>
            <w:tcW w:w="1554" w:type="dxa"/>
            <w:vMerge/>
            <w:tcBorders>
              <w:top w:val="nil"/>
              <w:left w:val="nil"/>
              <w:bottom w:val="nil"/>
              <w:right w:val="nil"/>
            </w:tcBorders>
            <w:vAlign w:val="center"/>
            <w:hideMark/>
          </w:tcPr>
          <w:p w14:paraId="0A96405C"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412FC7B1"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610C9998" w14:textId="77777777" w:rsidR="00426D64" w:rsidRPr="00426D64" w:rsidRDefault="00426D64" w:rsidP="005C5892">
            <w:pPr>
              <w:jc w:val="center"/>
              <w:rPr>
                <w:rFonts w:ascii="Arial" w:hAnsi="Arial" w:cs="Arial"/>
                <w:color w:val="000000"/>
                <w:sz w:val="16"/>
                <w:szCs w:val="16"/>
              </w:rPr>
            </w:pPr>
          </w:p>
        </w:tc>
      </w:tr>
      <w:tr w:rsidR="00426D64" w:rsidRPr="00426D64" w14:paraId="2ED14744"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6CD5D489"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247721F"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69F1EDBE"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Eye irritation 2</w:t>
            </w:r>
          </w:p>
        </w:tc>
        <w:tc>
          <w:tcPr>
            <w:tcW w:w="1554" w:type="dxa"/>
            <w:vMerge/>
            <w:tcBorders>
              <w:top w:val="nil"/>
              <w:left w:val="nil"/>
              <w:bottom w:val="nil"/>
              <w:right w:val="nil"/>
            </w:tcBorders>
            <w:vAlign w:val="center"/>
            <w:hideMark/>
          </w:tcPr>
          <w:p w14:paraId="013A941A"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3F506982"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0AEC85AF" w14:textId="77777777" w:rsidR="00426D64" w:rsidRPr="00426D64" w:rsidRDefault="00426D64" w:rsidP="005C5892">
            <w:pPr>
              <w:jc w:val="center"/>
              <w:rPr>
                <w:rFonts w:ascii="Arial" w:hAnsi="Arial" w:cs="Arial"/>
                <w:color w:val="000000"/>
                <w:sz w:val="16"/>
                <w:szCs w:val="16"/>
              </w:rPr>
            </w:pPr>
          </w:p>
        </w:tc>
      </w:tr>
      <w:tr w:rsidR="00426D64" w:rsidRPr="00426D64" w14:paraId="6F485D03"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2DA7DA7D"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B75BEA3"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0F1F22CC"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Aspiration toxicity 1</w:t>
            </w:r>
          </w:p>
        </w:tc>
        <w:tc>
          <w:tcPr>
            <w:tcW w:w="1554" w:type="dxa"/>
            <w:vMerge/>
            <w:tcBorders>
              <w:top w:val="nil"/>
              <w:left w:val="nil"/>
              <w:bottom w:val="nil"/>
              <w:right w:val="nil"/>
            </w:tcBorders>
            <w:vAlign w:val="center"/>
            <w:hideMark/>
          </w:tcPr>
          <w:p w14:paraId="3886ACB3"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219C1889"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7C65FA83" w14:textId="77777777" w:rsidR="00426D64" w:rsidRPr="00426D64" w:rsidRDefault="00426D64" w:rsidP="005C5892">
            <w:pPr>
              <w:jc w:val="center"/>
              <w:rPr>
                <w:rFonts w:ascii="Arial" w:hAnsi="Arial" w:cs="Arial"/>
                <w:color w:val="000000"/>
                <w:sz w:val="16"/>
                <w:szCs w:val="16"/>
              </w:rPr>
            </w:pPr>
          </w:p>
        </w:tc>
      </w:tr>
      <w:tr w:rsidR="00426D64" w:rsidRPr="00426D64" w14:paraId="5FFAFC7E"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46252BCF"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B0E7772"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150922B0"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Reproductive toxicity 2</w:t>
            </w:r>
          </w:p>
        </w:tc>
        <w:tc>
          <w:tcPr>
            <w:tcW w:w="1554" w:type="dxa"/>
            <w:vMerge/>
            <w:tcBorders>
              <w:top w:val="nil"/>
              <w:left w:val="nil"/>
              <w:bottom w:val="nil"/>
              <w:right w:val="nil"/>
            </w:tcBorders>
            <w:vAlign w:val="center"/>
            <w:hideMark/>
          </w:tcPr>
          <w:p w14:paraId="1A847E5A"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67EFEFF3"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7AD53263" w14:textId="77777777" w:rsidR="00426D64" w:rsidRPr="00426D64" w:rsidRDefault="00426D64" w:rsidP="005C5892">
            <w:pPr>
              <w:jc w:val="center"/>
              <w:rPr>
                <w:rFonts w:ascii="Arial" w:hAnsi="Arial" w:cs="Arial"/>
                <w:color w:val="000000"/>
                <w:sz w:val="16"/>
                <w:szCs w:val="16"/>
              </w:rPr>
            </w:pPr>
          </w:p>
        </w:tc>
      </w:tr>
      <w:tr w:rsidR="00426D64" w:rsidRPr="00426D64" w14:paraId="49145CB3"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3AB569A1"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5CA228FE"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540B7A81"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Specific target organ toxicity, single exposure 3</w:t>
            </w:r>
          </w:p>
        </w:tc>
        <w:tc>
          <w:tcPr>
            <w:tcW w:w="1554" w:type="dxa"/>
            <w:vMerge/>
            <w:tcBorders>
              <w:top w:val="nil"/>
              <w:left w:val="nil"/>
              <w:bottom w:val="nil"/>
              <w:right w:val="nil"/>
            </w:tcBorders>
            <w:vAlign w:val="center"/>
            <w:hideMark/>
          </w:tcPr>
          <w:p w14:paraId="576785B9"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3981E266"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46D734E0" w14:textId="77777777" w:rsidR="00426D64" w:rsidRPr="00426D64" w:rsidRDefault="00426D64" w:rsidP="005C5892">
            <w:pPr>
              <w:jc w:val="center"/>
              <w:rPr>
                <w:rFonts w:ascii="Arial" w:hAnsi="Arial" w:cs="Arial"/>
                <w:color w:val="000000"/>
                <w:sz w:val="16"/>
                <w:szCs w:val="16"/>
              </w:rPr>
            </w:pPr>
          </w:p>
        </w:tc>
      </w:tr>
      <w:tr w:rsidR="00426D64" w:rsidRPr="00426D64" w14:paraId="4E923C13"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2D352B60"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BCDCE60"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5173242C"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Specific target organ toxicity, repeated exposure 1</w:t>
            </w:r>
          </w:p>
        </w:tc>
        <w:tc>
          <w:tcPr>
            <w:tcW w:w="1554" w:type="dxa"/>
            <w:vMerge/>
            <w:tcBorders>
              <w:top w:val="nil"/>
              <w:left w:val="nil"/>
              <w:bottom w:val="nil"/>
              <w:right w:val="nil"/>
            </w:tcBorders>
            <w:vAlign w:val="center"/>
            <w:hideMark/>
          </w:tcPr>
          <w:p w14:paraId="493F8A05"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259EBA15"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5555906B" w14:textId="77777777" w:rsidR="00426D64" w:rsidRPr="00426D64" w:rsidRDefault="00426D64" w:rsidP="005C5892">
            <w:pPr>
              <w:jc w:val="center"/>
              <w:rPr>
                <w:rFonts w:ascii="Arial" w:hAnsi="Arial" w:cs="Arial"/>
                <w:color w:val="000000"/>
                <w:sz w:val="16"/>
                <w:szCs w:val="16"/>
              </w:rPr>
            </w:pPr>
          </w:p>
        </w:tc>
      </w:tr>
      <w:tr w:rsidR="00426D64" w:rsidRPr="00426D64" w14:paraId="113BEFBA"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5B17919F"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23A701B"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06EB9281"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Hazardous to aquatic environment, acute hazard 2</w:t>
            </w:r>
          </w:p>
        </w:tc>
        <w:tc>
          <w:tcPr>
            <w:tcW w:w="1554" w:type="dxa"/>
            <w:vMerge/>
            <w:tcBorders>
              <w:top w:val="nil"/>
              <w:left w:val="nil"/>
              <w:bottom w:val="single" w:sz="4" w:space="0" w:color="auto"/>
              <w:right w:val="nil"/>
            </w:tcBorders>
            <w:vAlign w:val="center"/>
            <w:hideMark/>
          </w:tcPr>
          <w:p w14:paraId="16601869"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single" w:sz="4" w:space="0" w:color="auto"/>
              <w:right w:val="nil"/>
            </w:tcBorders>
            <w:vAlign w:val="center"/>
            <w:hideMark/>
          </w:tcPr>
          <w:p w14:paraId="7F953ACC"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1AFDAF54" w14:textId="77777777" w:rsidR="00426D64" w:rsidRPr="00426D64" w:rsidRDefault="00426D64" w:rsidP="005C5892">
            <w:pPr>
              <w:jc w:val="center"/>
              <w:rPr>
                <w:rFonts w:ascii="Arial" w:hAnsi="Arial" w:cs="Arial"/>
                <w:color w:val="000000"/>
                <w:sz w:val="16"/>
                <w:szCs w:val="16"/>
              </w:rPr>
            </w:pPr>
          </w:p>
        </w:tc>
      </w:tr>
      <w:tr w:rsidR="00426D64" w:rsidRPr="00426D64" w14:paraId="282D79A0" w14:textId="77777777" w:rsidTr="005C5892">
        <w:trPr>
          <w:trHeight w:val="74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43686D9D"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EtoAc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41FEF9"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141-78-6 (CAS Number) 607-022-00-5 (EU Harmonised CLP Classification no.)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DF4F41"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Flammable liquid 2</w:t>
            </w:r>
          </w:p>
        </w:tc>
        <w:tc>
          <w:tcPr>
            <w:tcW w:w="1554" w:type="dxa"/>
            <w:vMerge w:val="restart"/>
            <w:tcBorders>
              <w:top w:val="single" w:sz="4" w:space="0" w:color="auto"/>
              <w:left w:val="single" w:sz="4" w:space="0" w:color="auto"/>
              <w:bottom w:val="single" w:sz="4" w:space="0" w:color="auto"/>
              <w:right w:val="single" w:sz="4" w:space="0" w:color="auto"/>
            </w:tcBorders>
            <w:noWrap/>
            <w:vAlign w:val="bottom"/>
            <w:hideMark/>
          </w:tcPr>
          <w:p w14:paraId="2FF03E51" w14:textId="4EBFFF8B" w:rsidR="00426D64" w:rsidRPr="00426D64" w:rsidRDefault="00426D64" w:rsidP="005C5892">
            <w:pPr>
              <w:rPr>
                <w:rFonts w:ascii="Arial" w:hAnsi="Arial" w:cs="Arial"/>
                <w:color w:val="000000"/>
                <w:sz w:val="16"/>
                <w:szCs w:val="16"/>
              </w:rPr>
            </w:pPr>
            <w:r w:rsidRPr="00426D64">
              <w:rPr>
                <w:rFonts w:ascii="Arial" w:hAnsi="Arial" w:cs="Arial"/>
                <w:noProof/>
                <w:color w:val="000000"/>
                <w:sz w:val="16"/>
                <w:szCs w:val="16"/>
              </w:rPr>
              <w:drawing>
                <wp:anchor distT="0" distB="0" distL="114300" distR="114300" simplePos="0" relativeHeight="251679744" behindDoc="0" locked="0" layoutInCell="1" allowOverlap="1" wp14:anchorId="5ABA39E6" wp14:editId="354C244B">
                  <wp:simplePos x="0" y="0"/>
                  <wp:positionH relativeFrom="column">
                    <wp:posOffset>144780</wp:posOffset>
                  </wp:positionH>
                  <wp:positionV relativeFrom="paragraph">
                    <wp:posOffset>111760</wp:posOffset>
                  </wp:positionV>
                  <wp:extent cx="596900" cy="596900"/>
                  <wp:effectExtent l="0" t="0" r="0" b="0"/>
                  <wp:wrapNone/>
                  <wp:docPr id="12" name="Picture 1" descr="A black exclamation mark in a red diamond&#10;&#10;AI-generated content may be incorrect.">
                    <a:extLst xmlns:a="http://schemas.openxmlformats.org/drawingml/2006/main">
                      <a:ext uri="{FF2B5EF4-FFF2-40B4-BE49-F238E27FC236}">
                        <a16:creationId xmlns:a16="http://schemas.microsoft.com/office/drawing/2014/main" id="{EA50CA09-32F2-E94D-BE40-67EE6EF4DE3C}"/>
                      </a:ext>
                    </a:extLst>
                  </wp:docPr>
                  <wp:cNvGraphicFramePr/>
                  <a:graphic xmlns:a="http://schemas.openxmlformats.org/drawingml/2006/main">
                    <a:graphicData uri="http://schemas.openxmlformats.org/drawingml/2006/picture">
                      <pic:pic xmlns:pic="http://schemas.openxmlformats.org/drawingml/2006/picture">
                        <pic:nvPicPr>
                          <pic:cNvPr id="12" name="Picture 1" descr="A black exclamation mark in a red diamond&#10;&#10;AI-generated content may be incorrect.">
                            <a:extLst>
                              <a:ext uri="{FF2B5EF4-FFF2-40B4-BE49-F238E27FC236}">
                                <a16:creationId xmlns:a16="http://schemas.microsoft.com/office/drawing/2014/main" id="{EA50CA09-32F2-E94D-BE40-67EE6EF4DE3C}"/>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6900" cy="596900"/>
                          </a:xfrm>
                          <a:prstGeom prst="rect">
                            <a:avLst/>
                          </a:prstGeom>
                          <a:noFill/>
                        </pic:spPr>
                      </pic:pic>
                    </a:graphicData>
                  </a:graphic>
                  <wp14:sizeRelH relativeFrom="page">
                    <wp14:pctWidth>0</wp14:pctWidth>
                  </wp14:sizeRelH>
                  <wp14:sizeRelV relativeFrom="page">
                    <wp14:pctHeight>0</wp14:pctHeight>
                  </wp14:sizeRelV>
                </wp:anchor>
              </w:drawing>
            </w:r>
            <w:r w:rsidRPr="00426D64">
              <w:rPr>
                <w:rFonts w:ascii="Arial" w:hAnsi="Arial" w:cs="Arial"/>
                <w:noProof/>
                <w:color w:val="000000"/>
                <w:sz w:val="16"/>
                <w:szCs w:val="16"/>
              </w:rPr>
              <w:drawing>
                <wp:anchor distT="0" distB="0" distL="114300" distR="114300" simplePos="0" relativeHeight="251678720" behindDoc="0" locked="0" layoutInCell="1" allowOverlap="1" wp14:anchorId="45190EC3" wp14:editId="6D582D8C">
                  <wp:simplePos x="0" y="0"/>
                  <wp:positionH relativeFrom="column">
                    <wp:posOffset>119380</wp:posOffset>
                  </wp:positionH>
                  <wp:positionV relativeFrom="paragraph">
                    <wp:posOffset>-650240</wp:posOffset>
                  </wp:positionV>
                  <wp:extent cx="622300" cy="622300"/>
                  <wp:effectExtent l="0" t="0" r="0" b="0"/>
                  <wp:wrapNone/>
                  <wp:docPr id="10" name="Picture 3" descr="A red and black sign with a flame&#10;&#10;AI-generated content may be incorrect.">
                    <a:extLst xmlns:a="http://schemas.openxmlformats.org/drawingml/2006/main">
                      <a:ext uri="{FF2B5EF4-FFF2-40B4-BE49-F238E27FC236}">
                        <a16:creationId xmlns:a16="http://schemas.microsoft.com/office/drawing/2014/main" id="{3CDA4F03-3CC9-B34E-BDDF-B7A6D18049EF}"/>
                      </a:ext>
                    </a:extLst>
                  </wp:docPr>
                  <wp:cNvGraphicFramePr/>
                  <a:graphic xmlns:a="http://schemas.openxmlformats.org/drawingml/2006/main">
                    <a:graphicData uri="http://schemas.openxmlformats.org/drawingml/2006/picture">
                      <pic:pic xmlns:pic="http://schemas.openxmlformats.org/drawingml/2006/picture">
                        <pic:nvPicPr>
                          <pic:cNvPr id="10" name="Picture 3" descr="A red and black sign with a flame&#10;&#10;AI-generated content may be incorrect.">
                            <a:extLst>
                              <a:ext uri="{FF2B5EF4-FFF2-40B4-BE49-F238E27FC236}">
                                <a16:creationId xmlns:a16="http://schemas.microsoft.com/office/drawing/2014/main" id="{3CDA4F03-3CC9-B34E-BDDF-B7A6D18049EF}"/>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pic:spPr>
                      </pic:pic>
                    </a:graphicData>
                  </a:graphic>
                  <wp14:sizeRelH relativeFrom="page">
                    <wp14:pctWidth>0</wp14:pctWidth>
                  </wp14:sizeRelH>
                  <wp14:sizeRelV relativeFrom="page">
                    <wp14:pctHeight>0</wp14:pctHeight>
                  </wp14:sizeRelV>
                </wp:anchor>
              </w:drawing>
            </w:r>
            <w:r w:rsidR="004D08E1">
              <w:rPr>
                <w:noProof/>
              </w:rPr>
              <w:pict w14:anchorId="38DB6C22">
                <v:rect id="Rectangle 2" o:spid="_x0000_s1027" alt="High" style="position:absolute;margin-left:0;margin-top:111pt;width:2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" filled="f" stroked="f">
                  <o:lock v:ext="edit" aspectratio="t"/>
                </v:rect>
              </w:pict>
            </w:r>
          </w:p>
          <w:p w14:paraId="2E936AC4" w14:textId="77777777" w:rsidR="00426D64" w:rsidRPr="00426D64" w:rsidRDefault="00426D64" w:rsidP="005C5892">
            <w:pPr>
              <w:rPr>
                <w:rFonts w:ascii="Arial" w:hAnsi="Arial" w:cs="Arial"/>
                <w:color w:val="000000"/>
                <w:sz w:val="16"/>
                <w:szCs w:val="16"/>
              </w:rPr>
            </w:pP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6873A3AA" w14:textId="77777777" w:rsidR="00426D64" w:rsidRPr="00426D64" w:rsidRDefault="004D08E1" w:rsidP="005C5892">
            <w:pPr>
              <w:jc w:val="center"/>
              <w:rPr>
                <w:rFonts w:ascii="Arial" w:hAnsi="Arial" w:cs="Arial"/>
                <w:color w:val="000000"/>
                <w:sz w:val="16"/>
                <w:szCs w:val="16"/>
              </w:rPr>
            </w:pPr>
            <w:hyperlink r:id="rId25" w:tgtFrame="_blank" w:history="1">
              <w:r w:rsidR="00426D64" w:rsidRPr="00426D64">
                <w:rPr>
                  <w:rFonts w:ascii="Arial" w:hAnsi="Arial" w:cs="Arial"/>
                  <w:color w:val="000000"/>
                  <w:sz w:val="16"/>
                  <w:szCs w:val="16"/>
                </w:rPr>
                <w:t>ECHA C&amp;L inventory </w:t>
              </w:r>
            </w:hyperlink>
          </w:p>
        </w:tc>
        <w:tc>
          <w:tcPr>
            <w:tcW w:w="0" w:type="auto"/>
            <w:vMerge/>
            <w:tcBorders>
              <w:left w:val="single" w:sz="4" w:space="0" w:color="auto"/>
              <w:right w:val="single" w:sz="4" w:space="0" w:color="auto"/>
            </w:tcBorders>
            <w:noWrap/>
            <w:vAlign w:val="center"/>
            <w:hideMark/>
          </w:tcPr>
          <w:p w14:paraId="375A8F05" w14:textId="77777777" w:rsidR="00426D64" w:rsidRPr="00426D64" w:rsidRDefault="00426D64" w:rsidP="005C5892">
            <w:pPr>
              <w:jc w:val="center"/>
              <w:rPr>
                <w:rFonts w:ascii="Arial" w:hAnsi="Arial" w:cs="Arial"/>
                <w:color w:val="000000"/>
                <w:sz w:val="16"/>
                <w:szCs w:val="16"/>
              </w:rPr>
            </w:pPr>
          </w:p>
        </w:tc>
      </w:tr>
      <w:tr w:rsidR="00426D64" w:rsidRPr="00426D64" w14:paraId="7D27D416" w14:textId="77777777" w:rsidTr="005C5892">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FBB8D" w14:textId="77777777" w:rsidR="00426D64" w:rsidRPr="00426D64" w:rsidRDefault="00426D64" w:rsidP="005C5892">
            <w:pPr>
              <w:rPr>
                <w:rFonts w:ascii="Arial" w:hAnsi="Arial" w:cs="Arial"/>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AF48D" w14:textId="77777777" w:rsidR="00426D64" w:rsidRPr="00426D64" w:rsidRDefault="00426D64" w:rsidP="005C5892">
            <w:pP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noWrap/>
            <w:vAlign w:val="center"/>
            <w:hideMark/>
          </w:tcPr>
          <w:p w14:paraId="3DB4A774"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Eye irritation 2</w:t>
            </w:r>
          </w:p>
        </w:tc>
        <w:tc>
          <w:tcPr>
            <w:tcW w:w="1554" w:type="dxa"/>
            <w:vMerge/>
            <w:tcBorders>
              <w:top w:val="single" w:sz="4" w:space="0" w:color="auto"/>
              <w:left w:val="single" w:sz="4" w:space="0" w:color="auto"/>
              <w:bottom w:val="nil"/>
              <w:right w:val="nil"/>
            </w:tcBorders>
            <w:vAlign w:val="center"/>
            <w:hideMark/>
          </w:tcPr>
          <w:p w14:paraId="5688EC00" w14:textId="77777777" w:rsidR="00426D64" w:rsidRPr="00426D64" w:rsidRDefault="00426D64" w:rsidP="005C5892">
            <w:pPr>
              <w:rPr>
                <w:rFonts w:ascii="Arial" w:hAnsi="Arial" w:cs="Arial"/>
                <w:color w:val="000000"/>
                <w:sz w:val="16"/>
                <w:szCs w:val="16"/>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DD29430" w14:textId="77777777" w:rsidR="00426D64" w:rsidRPr="00426D64" w:rsidRDefault="00426D64" w:rsidP="005C5892">
            <w:pPr>
              <w:rPr>
                <w:rFonts w:ascii="Arial" w:hAnsi="Arial" w:cs="Arial"/>
                <w:color w:val="000000"/>
                <w:sz w:val="16"/>
                <w:szCs w:val="16"/>
              </w:rPr>
            </w:pPr>
          </w:p>
        </w:tc>
        <w:tc>
          <w:tcPr>
            <w:tcW w:w="0" w:type="auto"/>
            <w:vMerge/>
            <w:tcBorders>
              <w:left w:val="single" w:sz="4" w:space="0" w:color="auto"/>
              <w:right w:val="single" w:sz="4" w:space="0" w:color="auto"/>
            </w:tcBorders>
            <w:vAlign w:val="center"/>
            <w:hideMark/>
          </w:tcPr>
          <w:p w14:paraId="728BED9F" w14:textId="77777777" w:rsidR="00426D64" w:rsidRPr="00426D64" w:rsidRDefault="00426D64" w:rsidP="005C5892">
            <w:pPr>
              <w:jc w:val="center"/>
              <w:rPr>
                <w:rFonts w:ascii="Arial" w:hAnsi="Arial" w:cs="Arial"/>
                <w:color w:val="000000"/>
                <w:sz w:val="16"/>
                <w:szCs w:val="16"/>
              </w:rPr>
            </w:pPr>
          </w:p>
        </w:tc>
      </w:tr>
      <w:tr w:rsidR="00426D64" w:rsidRPr="00426D64" w14:paraId="6CA14E7F"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C003C69"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01A820E"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03FC1AF2"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Specific target organ toxicity, single exposure 3</w:t>
            </w:r>
          </w:p>
        </w:tc>
        <w:tc>
          <w:tcPr>
            <w:tcW w:w="1554" w:type="dxa"/>
            <w:vMerge/>
            <w:tcBorders>
              <w:top w:val="nil"/>
              <w:left w:val="single" w:sz="4" w:space="0" w:color="auto"/>
              <w:bottom w:val="nil"/>
              <w:right w:val="nil"/>
            </w:tcBorders>
            <w:vAlign w:val="center"/>
            <w:hideMark/>
          </w:tcPr>
          <w:p w14:paraId="79A270CE" w14:textId="77777777" w:rsidR="00426D64" w:rsidRPr="00426D64" w:rsidRDefault="00426D64" w:rsidP="005C5892">
            <w:pPr>
              <w:rPr>
                <w:rFonts w:ascii="Arial" w:hAnsi="Arial" w:cs="Arial"/>
                <w:color w:val="000000"/>
                <w:sz w:val="16"/>
                <w:szCs w:val="16"/>
              </w:rPr>
            </w:pPr>
          </w:p>
        </w:tc>
        <w:tc>
          <w:tcPr>
            <w:tcW w:w="945" w:type="dxa"/>
            <w:vMerge/>
            <w:tcBorders>
              <w:top w:val="nil"/>
              <w:left w:val="single" w:sz="4" w:space="0" w:color="auto"/>
              <w:bottom w:val="single" w:sz="4" w:space="0" w:color="auto"/>
              <w:right w:val="single" w:sz="4" w:space="0" w:color="auto"/>
            </w:tcBorders>
            <w:vAlign w:val="center"/>
            <w:hideMark/>
          </w:tcPr>
          <w:p w14:paraId="67CE8632" w14:textId="77777777" w:rsidR="00426D64" w:rsidRPr="00426D64" w:rsidRDefault="00426D64" w:rsidP="005C5892">
            <w:pPr>
              <w:rPr>
                <w:rFonts w:ascii="Arial" w:hAnsi="Arial" w:cs="Arial"/>
                <w:color w:val="000000"/>
                <w:sz w:val="16"/>
                <w:szCs w:val="16"/>
              </w:rPr>
            </w:pPr>
          </w:p>
        </w:tc>
        <w:tc>
          <w:tcPr>
            <w:tcW w:w="0" w:type="auto"/>
            <w:vMerge/>
            <w:tcBorders>
              <w:left w:val="single" w:sz="4" w:space="0" w:color="auto"/>
              <w:right w:val="single" w:sz="4" w:space="0" w:color="auto"/>
            </w:tcBorders>
            <w:vAlign w:val="center"/>
            <w:hideMark/>
          </w:tcPr>
          <w:p w14:paraId="78FF13A3" w14:textId="77777777" w:rsidR="00426D64" w:rsidRPr="00426D64" w:rsidRDefault="00426D64" w:rsidP="005C5892">
            <w:pPr>
              <w:jc w:val="center"/>
              <w:rPr>
                <w:rFonts w:ascii="Arial" w:hAnsi="Arial" w:cs="Arial"/>
                <w:color w:val="000000"/>
                <w:sz w:val="16"/>
                <w:szCs w:val="16"/>
              </w:rPr>
            </w:pPr>
          </w:p>
        </w:tc>
      </w:tr>
      <w:tr w:rsidR="00426D64" w:rsidRPr="00426D64" w14:paraId="77CD3369"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034D48C4" w14:textId="77777777" w:rsidR="00426D64" w:rsidRPr="00426D64" w:rsidRDefault="00426D64" w:rsidP="005C5892">
            <w:pPr>
              <w:rPr>
                <w:rFonts w:ascii="Arial" w:hAnsi="Arial" w:cs="Arial"/>
                <w:color w:val="000000"/>
                <w:sz w:val="16"/>
                <w:szCs w:val="16"/>
              </w:rPr>
            </w:pPr>
          </w:p>
        </w:tc>
        <w:tc>
          <w:tcPr>
            <w:tcW w:w="0" w:type="auto"/>
            <w:vMerge w:val="restart"/>
            <w:tcBorders>
              <w:top w:val="nil"/>
              <w:left w:val="single" w:sz="4" w:space="0" w:color="auto"/>
              <w:bottom w:val="single" w:sz="4" w:space="0" w:color="auto"/>
              <w:right w:val="single" w:sz="4" w:space="0" w:color="auto"/>
            </w:tcBorders>
            <w:vAlign w:val="center"/>
            <w:hideMark/>
          </w:tcPr>
          <w:p w14:paraId="46ED2699"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141-78-</w:t>
            </w:r>
            <w:proofErr w:type="gramStart"/>
            <w:r w:rsidRPr="00426D64">
              <w:rPr>
                <w:rFonts w:ascii="Arial" w:hAnsi="Arial" w:cs="Arial"/>
                <w:color w:val="000000"/>
                <w:sz w:val="16"/>
                <w:szCs w:val="16"/>
              </w:rPr>
              <w:t>6  (</w:t>
            </w:r>
            <w:proofErr w:type="gramEnd"/>
            <w:r w:rsidRPr="00426D64">
              <w:rPr>
                <w:rFonts w:ascii="Arial" w:hAnsi="Arial" w:cs="Arial"/>
                <w:color w:val="000000"/>
                <w:sz w:val="16"/>
                <w:szCs w:val="16"/>
              </w:rPr>
              <w:t>CAS Number)</w:t>
            </w:r>
          </w:p>
        </w:tc>
        <w:tc>
          <w:tcPr>
            <w:tcW w:w="0" w:type="auto"/>
            <w:tcBorders>
              <w:top w:val="nil"/>
              <w:left w:val="nil"/>
              <w:bottom w:val="single" w:sz="4" w:space="0" w:color="auto"/>
              <w:right w:val="single" w:sz="4" w:space="0" w:color="auto"/>
            </w:tcBorders>
            <w:noWrap/>
            <w:vAlign w:val="center"/>
            <w:hideMark/>
          </w:tcPr>
          <w:p w14:paraId="12EE998C"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Flammable liquid 2</w:t>
            </w:r>
          </w:p>
        </w:tc>
        <w:tc>
          <w:tcPr>
            <w:tcW w:w="1554" w:type="dxa"/>
            <w:vMerge/>
            <w:tcBorders>
              <w:top w:val="nil"/>
              <w:left w:val="single" w:sz="4" w:space="0" w:color="auto"/>
              <w:bottom w:val="nil"/>
              <w:right w:val="nil"/>
            </w:tcBorders>
            <w:vAlign w:val="center"/>
            <w:hideMark/>
          </w:tcPr>
          <w:p w14:paraId="668551CB" w14:textId="77777777" w:rsidR="00426D64" w:rsidRPr="00426D64" w:rsidRDefault="00426D64" w:rsidP="005C5892">
            <w:pPr>
              <w:rPr>
                <w:rFonts w:ascii="Arial" w:hAnsi="Arial" w:cs="Arial"/>
                <w:color w:val="000000"/>
                <w:sz w:val="16"/>
                <w:szCs w:val="16"/>
              </w:rPr>
            </w:pPr>
          </w:p>
        </w:tc>
        <w:tc>
          <w:tcPr>
            <w:tcW w:w="945" w:type="dxa"/>
            <w:vMerge w:val="restart"/>
            <w:tcBorders>
              <w:top w:val="nil"/>
              <w:left w:val="single" w:sz="4" w:space="0" w:color="auto"/>
              <w:bottom w:val="single" w:sz="4" w:space="0" w:color="auto"/>
              <w:right w:val="single" w:sz="4" w:space="0" w:color="auto"/>
            </w:tcBorders>
            <w:vAlign w:val="center"/>
            <w:hideMark/>
          </w:tcPr>
          <w:p w14:paraId="239FD2F5" w14:textId="77777777" w:rsidR="00426D64" w:rsidRPr="00426D64" w:rsidRDefault="004D08E1" w:rsidP="005C5892">
            <w:pPr>
              <w:jc w:val="center"/>
              <w:rPr>
                <w:rFonts w:ascii="Arial" w:hAnsi="Arial" w:cs="Arial"/>
                <w:color w:val="000000"/>
                <w:sz w:val="16"/>
                <w:szCs w:val="16"/>
              </w:rPr>
            </w:pPr>
            <w:hyperlink r:id="rId26" w:tgtFrame="_blank" w:history="1">
              <w:r w:rsidR="00426D64" w:rsidRPr="00426D64">
                <w:rPr>
                  <w:rFonts w:ascii="Arial" w:hAnsi="Arial" w:cs="Arial"/>
                  <w:color w:val="000000"/>
                  <w:sz w:val="16"/>
                  <w:szCs w:val="16"/>
                </w:rPr>
                <w:t>NITE Japan-GHS </w:t>
              </w:r>
            </w:hyperlink>
          </w:p>
        </w:tc>
        <w:tc>
          <w:tcPr>
            <w:tcW w:w="0" w:type="auto"/>
            <w:vMerge/>
            <w:tcBorders>
              <w:left w:val="single" w:sz="4" w:space="0" w:color="auto"/>
              <w:right w:val="single" w:sz="4" w:space="0" w:color="auto"/>
            </w:tcBorders>
            <w:noWrap/>
            <w:vAlign w:val="center"/>
            <w:hideMark/>
          </w:tcPr>
          <w:p w14:paraId="456CBE4C" w14:textId="77777777" w:rsidR="00426D64" w:rsidRPr="00426D64" w:rsidRDefault="00426D64" w:rsidP="005C5892">
            <w:pPr>
              <w:jc w:val="center"/>
              <w:rPr>
                <w:rFonts w:ascii="Arial" w:hAnsi="Arial" w:cs="Arial"/>
                <w:color w:val="000000"/>
                <w:sz w:val="16"/>
                <w:szCs w:val="16"/>
              </w:rPr>
            </w:pPr>
          </w:p>
        </w:tc>
      </w:tr>
      <w:tr w:rsidR="00426D64" w:rsidRPr="00426D64" w14:paraId="6AFCA54B"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163A4021"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53BAE490"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43DF5974"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Acute toxicity, inhalation 4</w:t>
            </w:r>
          </w:p>
        </w:tc>
        <w:tc>
          <w:tcPr>
            <w:tcW w:w="1554" w:type="dxa"/>
            <w:vMerge/>
            <w:tcBorders>
              <w:top w:val="nil"/>
              <w:left w:val="single" w:sz="4" w:space="0" w:color="auto"/>
              <w:bottom w:val="nil"/>
              <w:right w:val="nil"/>
            </w:tcBorders>
            <w:vAlign w:val="center"/>
            <w:hideMark/>
          </w:tcPr>
          <w:p w14:paraId="6A779B9E" w14:textId="77777777" w:rsidR="00426D64" w:rsidRPr="00426D64" w:rsidRDefault="00426D64" w:rsidP="005C5892">
            <w:pPr>
              <w:rPr>
                <w:rFonts w:ascii="Arial" w:hAnsi="Arial" w:cs="Arial"/>
                <w:color w:val="000000"/>
                <w:sz w:val="16"/>
                <w:szCs w:val="16"/>
              </w:rPr>
            </w:pPr>
          </w:p>
        </w:tc>
        <w:tc>
          <w:tcPr>
            <w:tcW w:w="945" w:type="dxa"/>
            <w:vMerge/>
            <w:tcBorders>
              <w:top w:val="nil"/>
              <w:left w:val="single" w:sz="4" w:space="0" w:color="auto"/>
              <w:bottom w:val="single" w:sz="4" w:space="0" w:color="auto"/>
              <w:right w:val="single" w:sz="4" w:space="0" w:color="auto"/>
            </w:tcBorders>
            <w:vAlign w:val="center"/>
            <w:hideMark/>
          </w:tcPr>
          <w:p w14:paraId="0999EC7F" w14:textId="77777777" w:rsidR="00426D64" w:rsidRPr="00426D64" w:rsidRDefault="00426D64" w:rsidP="005C5892">
            <w:pPr>
              <w:rPr>
                <w:rFonts w:ascii="Arial" w:hAnsi="Arial" w:cs="Arial"/>
                <w:color w:val="000000"/>
                <w:sz w:val="16"/>
                <w:szCs w:val="16"/>
              </w:rPr>
            </w:pPr>
          </w:p>
        </w:tc>
        <w:tc>
          <w:tcPr>
            <w:tcW w:w="0" w:type="auto"/>
            <w:vMerge/>
            <w:tcBorders>
              <w:left w:val="single" w:sz="4" w:space="0" w:color="auto"/>
              <w:right w:val="single" w:sz="4" w:space="0" w:color="auto"/>
            </w:tcBorders>
            <w:vAlign w:val="center"/>
            <w:hideMark/>
          </w:tcPr>
          <w:p w14:paraId="71126D6B" w14:textId="77777777" w:rsidR="00426D64" w:rsidRPr="00426D64" w:rsidRDefault="00426D64" w:rsidP="005C5892">
            <w:pPr>
              <w:rPr>
                <w:rFonts w:ascii="Arial" w:hAnsi="Arial" w:cs="Arial"/>
                <w:color w:val="000000"/>
                <w:sz w:val="16"/>
                <w:szCs w:val="16"/>
              </w:rPr>
            </w:pPr>
          </w:p>
        </w:tc>
      </w:tr>
      <w:tr w:rsidR="00426D64" w:rsidRPr="00426D64" w14:paraId="15D67BF0"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95E1F03"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AD89E2B"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533896A3"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Eye irritation 2B</w:t>
            </w:r>
          </w:p>
        </w:tc>
        <w:tc>
          <w:tcPr>
            <w:tcW w:w="1554" w:type="dxa"/>
            <w:vMerge/>
            <w:tcBorders>
              <w:top w:val="nil"/>
              <w:left w:val="single" w:sz="4" w:space="0" w:color="auto"/>
              <w:bottom w:val="nil"/>
              <w:right w:val="nil"/>
            </w:tcBorders>
            <w:vAlign w:val="center"/>
            <w:hideMark/>
          </w:tcPr>
          <w:p w14:paraId="3CF7BBD7" w14:textId="77777777" w:rsidR="00426D64" w:rsidRPr="00426D64" w:rsidRDefault="00426D64" w:rsidP="005C5892">
            <w:pPr>
              <w:rPr>
                <w:rFonts w:ascii="Arial" w:hAnsi="Arial" w:cs="Arial"/>
                <w:color w:val="000000"/>
                <w:sz w:val="16"/>
                <w:szCs w:val="16"/>
              </w:rPr>
            </w:pPr>
          </w:p>
        </w:tc>
        <w:tc>
          <w:tcPr>
            <w:tcW w:w="945" w:type="dxa"/>
            <w:vMerge/>
            <w:tcBorders>
              <w:top w:val="nil"/>
              <w:left w:val="single" w:sz="4" w:space="0" w:color="auto"/>
              <w:bottom w:val="single" w:sz="4" w:space="0" w:color="auto"/>
              <w:right w:val="single" w:sz="4" w:space="0" w:color="auto"/>
            </w:tcBorders>
            <w:vAlign w:val="center"/>
            <w:hideMark/>
          </w:tcPr>
          <w:p w14:paraId="06EDEBAB" w14:textId="77777777" w:rsidR="00426D64" w:rsidRPr="00426D64" w:rsidRDefault="00426D64" w:rsidP="005C5892">
            <w:pPr>
              <w:rPr>
                <w:rFonts w:ascii="Arial" w:hAnsi="Arial" w:cs="Arial"/>
                <w:color w:val="000000"/>
                <w:sz w:val="16"/>
                <w:szCs w:val="16"/>
              </w:rPr>
            </w:pPr>
          </w:p>
        </w:tc>
        <w:tc>
          <w:tcPr>
            <w:tcW w:w="0" w:type="auto"/>
            <w:vMerge/>
            <w:tcBorders>
              <w:left w:val="single" w:sz="4" w:space="0" w:color="auto"/>
              <w:right w:val="single" w:sz="4" w:space="0" w:color="auto"/>
            </w:tcBorders>
            <w:vAlign w:val="center"/>
            <w:hideMark/>
          </w:tcPr>
          <w:p w14:paraId="7076BA50" w14:textId="77777777" w:rsidR="00426D64" w:rsidRPr="00426D64" w:rsidRDefault="00426D64" w:rsidP="005C5892">
            <w:pPr>
              <w:rPr>
                <w:rFonts w:ascii="Arial" w:hAnsi="Arial" w:cs="Arial"/>
                <w:color w:val="000000"/>
                <w:sz w:val="16"/>
                <w:szCs w:val="16"/>
              </w:rPr>
            </w:pPr>
          </w:p>
        </w:tc>
      </w:tr>
      <w:tr w:rsidR="00426D64" w:rsidRPr="00426D64" w14:paraId="3954B42E"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605D56D0"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7D86557"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43B4BD81"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Specific target organ toxicity, single exposure 3</w:t>
            </w:r>
          </w:p>
        </w:tc>
        <w:tc>
          <w:tcPr>
            <w:tcW w:w="1554" w:type="dxa"/>
            <w:vMerge/>
            <w:tcBorders>
              <w:top w:val="nil"/>
              <w:left w:val="single" w:sz="4" w:space="0" w:color="auto"/>
              <w:bottom w:val="nil"/>
              <w:right w:val="nil"/>
            </w:tcBorders>
            <w:vAlign w:val="center"/>
            <w:hideMark/>
          </w:tcPr>
          <w:p w14:paraId="07D6E44B" w14:textId="77777777" w:rsidR="00426D64" w:rsidRPr="00426D64" w:rsidRDefault="00426D64" w:rsidP="005C5892">
            <w:pPr>
              <w:rPr>
                <w:rFonts w:ascii="Arial" w:hAnsi="Arial" w:cs="Arial"/>
                <w:color w:val="000000"/>
                <w:sz w:val="16"/>
                <w:szCs w:val="16"/>
              </w:rPr>
            </w:pPr>
          </w:p>
        </w:tc>
        <w:tc>
          <w:tcPr>
            <w:tcW w:w="945" w:type="dxa"/>
            <w:vMerge/>
            <w:tcBorders>
              <w:top w:val="nil"/>
              <w:left w:val="single" w:sz="4" w:space="0" w:color="auto"/>
              <w:bottom w:val="single" w:sz="4" w:space="0" w:color="auto"/>
              <w:right w:val="single" w:sz="4" w:space="0" w:color="auto"/>
            </w:tcBorders>
            <w:vAlign w:val="center"/>
            <w:hideMark/>
          </w:tcPr>
          <w:p w14:paraId="5A00D056" w14:textId="77777777" w:rsidR="00426D64" w:rsidRPr="00426D64" w:rsidRDefault="00426D64" w:rsidP="005C5892">
            <w:pPr>
              <w:rPr>
                <w:rFonts w:ascii="Arial" w:hAnsi="Arial" w:cs="Arial"/>
                <w:color w:val="000000"/>
                <w:sz w:val="16"/>
                <w:szCs w:val="16"/>
              </w:rPr>
            </w:pPr>
          </w:p>
        </w:tc>
        <w:tc>
          <w:tcPr>
            <w:tcW w:w="0" w:type="auto"/>
            <w:vMerge/>
            <w:tcBorders>
              <w:left w:val="single" w:sz="4" w:space="0" w:color="auto"/>
              <w:bottom w:val="single" w:sz="4" w:space="0" w:color="auto"/>
              <w:right w:val="single" w:sz="4" w:space="0" w:color="auto"/>
            </w:tcBorders>
            <w:vAlign w:val="center"/>
            <w:hideMark/>
          </w:tcPr>
          <w:p w14:paraId="6C454AD5" w14:textId="77777777" w:rsidR="00426D64" w:rsidRPr="00426D64" w:rsidRDefault="00426D64" w:rsidP="005C5892">
            <w:pPr>
              <w:rPr>
                <w:rFonts w:ascii="Arial" w:hAnsi="Arial" w:cs="Arial"/>
                <w:color w:val="000000"/>
                <w:sz w:val="16"/>
                <w:szCs w:val="16"/>
              </w:rPr>
            </w:pPr>
          </w:p>
        </w:tc>
      </w:tr>
    </w:tbl>
    <w:p w14:paraId="01912AA5" w14:textId="77777777" w:rsidR="00426D64" w:rsidRDefault="00426D64" w:rsidP="00426D64"/>
    <w:p w14:paraId="3A220188" w14:textId="77777777" w:rsidR="00426D64" w:rsidRPr="00426D64" w:rsidRDefault="00426D64" w:rsidP="00426D64">
      <w:pPr>
        <w:jc w:val="both"/>
        <w:rPr>
          <w:rFonts w:ascii="Arial" w:hAnsi="Arial" w:cs="Arial"/>
        </w:rPr>
      </w:pPr>
      <w:proofErr w:type="spellStart"/>
      <w:r w:rsidRPr="00426D64">
        <w:rPr>
          <w:rFonts w:ascii="Arial" w:hAnsi="Arial" w:cs="Arial"/>
        </w:rPr>
        <w:t>EtoAc</w:t>
      </w:r>
      <w:proofErr w:type="spellEnd"/>
      <w:r w:rsidRPr="00426D64">
        <w:rPr>
          <w:rFonts w:ascii="Arial" w:hAnsi="Arial" w:cs="Arial"/>
        </w:rPr>
        <w:t xml:space="preserve"> is a </w:t>
      </w:r>
      <w:proofErr w:type="spellStart"/>
      <w:r w:rsidRPr="00426D64">
        <w:rPr>
          <w:rFonts w:ascii="Arial" w:hAnsi="Arial" w:cs="Arial"/>
        </w:rPr>
        <w:t>colourless</w:t>
      </w:r>
      <w:proofErr w:type="spellEnd"/>
      <w:r w:rsidRPr="00426D64">
        <w:rPr>
          <w:rFonts w:ascii="Arial" w:hAnsi="Arial" w:cs="Arial"/>
        </w:rPr>
        <w:t xml:space="preserve"> liquid with a pleasant fruity odor as </w:t>
      </w:r>
      <w:proofErr w:type="spellStart"/>
      <w:proofErr w:type="gramStart"/>
      <w:r w:rsidRPr="00426D64">
        <w:rPr>
          <w:rFonts w:ascii="Arial" w:hAnsi="Arial" w:cs="Arial"/>
        </w:rPr>
        <w:t>a</w:t>
      </w:r>
      <w:proofErr w:type="spellEnd"/>
      <w:proofErr w:type="gramEnd"/>
      <w:r w:rsidRPr="00426D64">
        <w:rPr>
          <w:rFonts w:ascii="Arial" w:hAnsi="Arial" w:cs="Arial"/>
        </w:rPr>
        <w:t xml:space="preserve"> organic solvent, and as mentioned above is s a flammable liquid, and an explosion hazard. It is slightly soluble in water, but soluble in most organic solvents. </w:t>
      </w:r>
      <w:proofErr w:type="spellStart"/>
      <w:r w:rsidRPr="00426D64">
        <w:rPr>
          <w:rFonts w:ascii="Arial" w:hAnsi="Arial" w:cs="Arial"/>
        </w:rPr>
        <w:t>EtoAc</w:t>
      </w:r>
      <w:proofErr w:type="spellEnd"/>
      <w:r w:rsidRPr="00426D64">
        <w:rPr>
          <w:rFonts w:ascii="Arial" w:hAnsi="Arial" w:cs="Arial"/>
        </w:rPr>
        <w:t xml:space="preserve"> could enter the body if we breathe in contaminated air or eat or drink contaminated materials and can pass through the skin. Workers in the industries that use or produce ethyl acetate are at risk of exposure in the other hand consumers can be exposed to ethyl acetate by exposure to air from production and processing facilities using ethyl acetate. Consumers may also be exposed to ethyl </w:t>
      </w:r>
      <w:r w:rsidRPr="00426D64">
        <w:rPr>
          <w:rFonts w:ascii="Arial" w:hAnsi="Arial" w:cs="Arial"/>
        </w:rPr>
        <w:lastRenderedPageBreak/>
        <w:t>acetate when using consumer products containing ethyl acetate (thinners for paint lacquers and enamels, nail preparations, among others) especially if there is not good ventilation, and by drinking wine. Industrial emissions of ethyl acetate can produce elevated, concentrations in the atmosphere around the source. Ethyl acetate that makes its way into the ground, and does not evaporate, will eventually end up in the ground water as Illustrated by Figure 3, finally Ethyl acetate evaporates to a gas if released as a liquid. Ethyl acetate is a volatile organic chemical (VOC) and will contribute to the formation of smog</w:t>
      </w:r>
      <w:r w:rsidRPr="00426D64">
        <w:rPr>
          <w:rFonts w:ascii="Arial" w:hAnsi="Arial" w:cs="Arial"/>
          <w:vertAlign w:val="superscript"/>
        </w:rPr>
        <w:t>21</w:t>
      </w:r>
      <w:r w:rsidRPr="00426D64">
        <w:rPr>
          <w:rFonts w:ascii="Arial" w:hAnsi="Arial" w:cs="Arial"/>
        </w:rPr>
        <w:t>.</w:t>
      </w:r>
    </w:p>
    <w:p w14:paraId="58CBF109" w14:textId="77777777" w:rsidR="00426D64" w:rsidRDefault="00426D64" w:rsidP="00426D64"/>
    <w:p w14:paraId="54A23244" w14:textId="1255D859" w:rsidR="00521F8B" w:rsidRDefault="00521F8B" w:rsidP="00521F8B">
      <w:pPr>
        <w:pStyle w:val="AbstHead"/>
        <w:jc w:val="both"/>
        <w:rPr>
          <w:rFonts w:ascii="Arial" w:hAnsi="Arial" w:cs="Arial"/>
          <w:bCs/>
        </w:rPr>
      </w:pPr>
      <w:r>
        <w:rPr>
          <w:rFonts w:ascii="Arial" w:hAnsi="Arial" w:cs="Arial"/>
        </w:rPr>
        <w:t xml:space="preserve">6. </w:t>
      </w:r>
      <w:r w:rsidRPr="00521F8B">
        <w:rPr>
          <w:rFonts w:ascii="Arial" w:hAnsi="Arial" w:cs="Arial"/>
          <w:bCs/>
        </w:rPr>
        <w:t>Mode of Action and Toxicity</w:t>
      </w:r>
    </w:p>
    <w:p w14:paraId="64D47E4B" w14:textId="77777777" w:rsidR="00521F8B" w:rsidRDefault="00521F8B" w:rsidP="00521F8B">
      <w:pPr>
        <w:jc w:val="both"/>
        <w:rPr>
          <w:rFonts w:ascii="Arial" w:hAnsi="Arial" w:cs="Arial"/>
        </w:rPr>
      </w:pPr>
      <w:r w:rsidRPr="00521F8B">
        <w:rPr>
          <w:rFonts w:ascii="Arial" w:hAnsi="Arial" w:cs="Arial"/>
        </w:rPr>
        <w:t xml:space="preserve">Both solvents are considered toxic accordinly the toxicity levels for human and environmentals as we can observe in Table 4 for specific doses of each solvent. Accordindly all data presented from the databases and literature background searched in this review it is important to clarify when we compare both solvents HEX and EtoAc considering since their origin, production, applications and risk assessment, environmental, and health hazard HEX are more prejudicial to human and their environmental fate is critical than EtoAc. Besides </w:t>
      </w:r>
      <w:proofErr w:type="gramStart"/>
      <w:r w:rsidRPr="00521F8B">
        <w:rPr>
          <w:rFonts w:ascii="Arial" w:hAnsi="Arial" w:cs="Arial"/>
        </w:rPr>
        <w:t>that</w:t>
      </w:r>
      <w:proofErr w:type="gramEnd"/>
      <w:r w:rsidRPr="00521F8B">
        <w:rPr>
          <w:rFonts w:ascii="Arial" w:hAnsi="Arial" w:cs="Arial"/>
        </w:rPr>
        <w:t xml:space="preserve"> EtoAc could present an sustainable ptoduction process or at least part of this process is considerade more renewable when compared with HEX. Nevetherless HEX also was classified as carcinogenic to humans accordingly the National Center for Biotechnology Information advances science and health by providing access to biomedical and genomic information in the NIH (National Library of Medicine)</w:t>
      </w:r>
      <w:r w:rsidRPr="00521F8B">
        <w:rPr>
          <w:rFonts w:ascii="Arial" w:hAnsi="Arial" w:cs="Arial"/>
          <w:vertAlign w:val="superscript"/>
        </w:rPr>
        <w:t>11,12</w:t>
      </w:r>
      <w:r w:rsidRPr="00521F8B">
        <w:rPr>
          <w:rFonts w:ascii="Arial" w:hAnsi="Arial" w:cs="Arial"/>
        </w:rPr>
        <w:t xml:space="preserve">. </w:t>
      </w:r>
    </w:p>
    <w:p w14:paraId="62DAD77A" w14:textId="77777777" w:rsidR="00521F8B" w:rsidRPr="00521F8B" w:rsidRDefault="00521F8B" w:rsidP="00521F8B">
      <w:pPr>
        <w:jc w:val="both"/>
        <w:rPr>
          <w:rFonts w:ascii="Arial" w:hAnsi="Arial" w:cs="Arial"/>
        </w:rPr>
      </w:pPr>
    </w:p>
    <w:p w14:paraId="46FDE015" w14:textId="461C01DE" w:rsidR="00521F8B" w:rsidRPr="00521F8B" w:rsidRDefault="00521F8B" w:rsidP="00521F8B">
      <w:pPr>
        <w:jc w:val="both"/>
        <w:rPr>
          <w:rFonts w:ascii="Arial" w:hAnsi="Arial" w:cs="Arial"/>
        </w:rPr>
      </w:pPr>
      <w:r w:rsidRPr="00521F8B">
        <w:rPr>
          <w:rFonts w:ascii="Arial" w:hAnsi="Arial" w:cs="Arial"/>
        </w:rPr>
        <w:t xml:space="preserve">Finally considering all the aspects of both VOCs substances as demonstrated in Figure 3 and Table 1 and 2, they have </w:t>
      </w:r>
      <w:proofErr w:type="gramStart"/>
      <w:r w:rsidRPr="00521F8B">
        <w:rPr>
          <w:rFonts w:ascii="Arial" w:hAnsi="Arial" w:cs="Arial"/>
        </w:rPr>
        <w:t>an</w:t>
      </w:r>
      <w:proofErr w:type="gramEnd"/>
      <w:r w:rsidRPr="00521F8B">
        <w:rPr>
          <w:rFonts w:ascii="Arial" w:hAnsi="Arial" w:cs="Arial"/>
        </w:rPr>
        <w:t xml:space="preserve"> significative interaction with all medias due to their </w:t>
      </w:r>
      <w:proofErr w:type="spellStart"/>
      <w:r w:rsidRPr="00521F8B">
        <w:rPr>
          <w:rFonts w:ascii="Arial" w:hAnsi="Arial" w:cs="Arial"/>
        </w:rPr>
        <w:t>physico</w:t>
      </w:r>
      <w:proofErr w:type="spellEnd"/>
      <w:r w:rsidRPr="00521F8B">
        <w:rPr>
          <w:rFonts w:ascii="Arial" w:hAnsi="Arial" w:cs="Arial"/>
        </w:rPr>
        <w:t>-chemical properties and when in contact with humans, HEX could mainly affect the nervous system. It causes degeneration of the peripheral nervous system (and eventually the central nervous system), starting with damage to the nerve axons. Exposure to hexane may also damage the lungs and reproductive system</w:t>
      </w:r>
      <w:r w:rsidRPr="00521F8B">
        <w:rPr>
          <w:rFonts w:ascii="Arial" w:hAnsi="Arial" w:cs="Arial"/>
          <w:vertAlign w:val="superscript"/>
        </w:rPr>
        <w:t>12</w:t>
      </w:r>
      <w:r w:rsidRPr="00521F8B">
        <w:rPr>
          <w:rFonts w:ascii="Arial" w:hAnsi="Arial" w:cs="Arial"/>
        </w:rPr>
        <w:t>. In other hand EtoAc at short-term exposure to high levels results first in irritation of the eyes, nose and throat, followed by headache, nausea, vomiting, sleepiness, and unconsciousness</w:t>
      </w:r>
      <w:r w:rsidRPr="00521F8B">
        <w:rPr>
          <w:rFonts w:ascii="Arial" w:hAnsi="Arial" w:cs="Arial"/>
          <w:vertAlign w:val="superscript"/>
        </w:rPr>
        <w:t>11</w:t>
      </w:r>
      <w:r w:rsidRPr="00521F8B">
        <w:rPr>
          <w:rFonts w:ascii="Arial" w:hAnsi="Arial" w:cs="Arial"/>
        </w:rPr>
        <w:t>.</w:t>
      </w:r>
    </w:p>
    <w:p w14:paraId="79AB2837" w14:textId="77777777" w:rsidR="00521F8B" w:rsidRDefault="00521F8B" w:rsidP="00521F8B">
      <w:pPr>
        <w:jc w:val="both"/>
        <w:rPr>
          <w:b/>
          <w:bCs/>
        </w:rPr>
      </w:pPr>
    </w:p>
    <w:p w14:paraId="77CB42BD" w14:textId="57FE5B60" w:rsidR="00521F8B" w:rsidRDefault="00521F8B" w:rsidP="00521F8B">
      <w:pPr>
        <w:jc w:val="both"/>
        <w:rPr>
          <w:rFonts w:ascii="Arial" w:hAnsi="Arial" w:cs="Arial"/>
          <w:b/>
          <w:bCs/>
        </w:rPr>
      </w:pPr>
      <w:r w:rsidRPr="00521F8B">
        <w:rPr>
          <w:rFonts w:ascii="Arial" w:hAnsi="Arial" w:cs="Arial"/>
          <w:b/>
          <w:bCs/>
        </w:rPr>
        <w:t>Table 4. Hexane (HEX) and Ethyl Acetate (</w:t>
      </w:r>
      <w:proofErr w:type="spellStart"/>
      <w:r w:rsidRPr="00521F8B">
        <w:rPr>
          <w:rFonts w:ascii="Arial" w:hAnsi="Arial" w:cs="Arial"/>
          <w:b/>
          <w:bCs/>
        </w:rPr>
        <w:t>EtoAc</w:t>
      </w:r>
      <w:proofErr w:type="spellEnd"/>
      <w:r w:rsidRPr="00521F8B">
        <w:rPr>
          <w:rFonts w:ascii="Arial" w:hAnsi="Arial" w:cs="Arial"/>
          <w:b/>
          <w:bCs/>
        </w:rPr>
        <w:t>) toxicity human and ecological values considering their human short-term effects and their carcinogenic potential effect</w:t>
      </w:r>
    </w:p>
    <w:p w14:paraId="6F38448B" w14:textId="77777777" w:rsidR="00521F8B" w:rsidRPr="00521F8B" w:rsidRDefault="00521F8B" w:rsidP="00521F8B">
      <w:pPr>
        <w:jc w:val="both"/>
        <w:rPr>
          <w:rFonts w:ascii="Arial" w:hAnsi="Arial" w:cs="Arial"/>
          <w:b/>
          <w:bCs/>
        </w:rPr>
      </w:pPr>
    </w:p>
    <w:tbl>
      <w:tblPr>
        <w:tblW w:w="0" w:type="auto"/>
        <w:tblLook w:val="04A0" w:firstRow="1" w:lastRow="0" w:firstColumn="1" w:lastColumn="0" w:noHBand="0" w:noVBand="1"/>
      </w:tblPr>
      <w:tblGrid>
        <w:gridCol w:w="650"/>
        <w:gridCol w:w="1004"/>
        <w:gridCol w:w="1412"/>
        <w:gridCol w:w="1482"/>
        <w:gridCol w:w="2889"/>
        <w:gridCol w:w="987"/>
      </w:tblGrid>
      <w:tr w:rsidR="00521F8B" w:rsidRPr="00521F8B" w14:paraId="56739334" w14:textId="77777777" w:rsidTr="005C5892">
        <w:trPr>
          <w:trHeight w:val="840"/>
        </w:trPr>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5F73AF58"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Name</w:t>
            </w:r>
          </w:p>
        </w:tc>
        <w:tc>
          <w:tcPr>
            <w:tcW w:w="1228" w:type="dxa"/>
            <w:tcBorders>
              <w:top w:val="single" w:sz="4" w:space="0" w:color="auto"/>
              <w:left w:val="nil"/>
              <w:bottom w:val="single" w:sz="4" w:space="0" w:color="auto"/>
              <w:right w:val="single" w:sz="4" w:space="0" w:color="auto"/>
            </w:tcBorders>
            <w:shd w:val="clear" w:color="000000" w:fill="D0D0D0"/>
            <w:vAlign w:val="center"/>
            <w:hideMark/>
          </w:tcPr>
          <w:p w14:paraId="741A9C5B"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LD50 - Human Toxicity Values</w:t>
            </w:r>
          </w:p>
        </w:tc>
        <w:tc>
          <w:tcPr>
            <w:tcW w:w="1586" w:type="dxa"/>
            <w:tcBorders>
              <w:top w:val="single" w:sz="4" w:space="0" w:color="auto"/>
              <w:left w:val="nil"/>
              <w:bottom w:val="single" w:sz="4" w:space="0" w:color="auto"/>
              <w:right w:val="single" w:sz="4" w:space="0" w:color="auto"/>
            </w:tcBorders>
            <w:shd w:val="clear" w:color="000000" w:fill="D0D0D0"/>
            <w:vAlign w:val="center"/>
            <w:hideMark/>
          </w:tcPr>
          <w:p w14:paraId="3BED43A6"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EC50 - Ecological values</w:t>
            </w:r>
          </w:p>
        </w:tc>
        <w:tc>
          <w:tcPr>
            <w:tcW w:w="0" w:type="auto"/>
            <w:tcBorders>
              <w:top w:val="single" w:sz="4" w:space="0" w:color="auto"/>
              <w:left w:val="nil"/>
              <w:bottom w:val="single" w:sz="4" w:space="0" w:color="auto"/>
              <w:right w:val="single" w:sz="4" w:space="0" w:color="auto"/>
            </w:tcBorders>
            <w:shd w:val="clear" w:color="000000" w:fill="D0D0D0"/>
            <w:noWrap/>
            <w:vAlign w:val="center"/>
            <w:hideMark/>
          </w:tcPr>
          <w:p w14:paraId="1849030F"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Heath effects</w:t>
            </w:r>
          </w:p>
        </w:tc>
        <w:tc>
          <w:tcPr>
            <w:tcW w:w="2901" w:type="dxa"/>
            <w:tcBorders>
              <w:top w:val="single" w:sz="4" w:space="0" w:color="auto"/>
              <w:left w:val="nil"/>
              <w:bottom w:val="single" w:sz="4" w:space="0" w:color="auto"/>
              <w:right w:val="single" w:sz="4" w:space="0" w:color="auto"/>
            </w:tcBorders>
            <w:shd w:val="clear" w:color="000000" w:fill="D0D0D0"/>
            <w:noWrap/>
            <w:vAlign w:val="center"/>
            <w:hideMark/>
          </w:tcPr>
          <w:p w14:paraId="4407226D"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Carcinogen classification</w:t>
            </w:r>
          </w:p>
        </w:tc>
        <w:tc>
          <w:tcPr>
            <w:tcW w:w="897" w:type="dxa"/>
            <w:tcBorders>
              <w:top w:val="single" w:sz="4" w:space="0" w:color="auto"/>
              <w:left w:val="nil"/>
              <w:bottom w:val="single" w:sz="4" w:space="0" w:color="auto"/>
              <w:right w:val="single" w:sz="4" w:space="0" w:color="auto"/>
            </w:tcBorders>
            <w:shd w:val="clear" w:color="000000" w:fill="D0D0D0"/>
            <w:noWrap/>
            <w:vAlign w:val="center"/>
            <w:hideMark/>
          </w:tcPr>
          <w:p w14:paraId="60C0907A"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Reference</w:t>
            </w:r>
          </w:p>
        </w:tc>
      </w:tr>
      <w:tr w:rsidR="00521F8B" w:rsidRPr="00521F8B" w14:paraId="052414DD" w14:textId="77777777" w:rsidTr="005C5892">
        <w:trPr>
          <w:trHeight w:val="1122"/>
        </w:trPr>
        <w:tc>
          <w:tcPr>
            <w:tcW w:w="0" w:type="auto"/>
            <w:vMerge w:val="restart"/>
            <w:tcBorders>
              <w:top w:val="nil"/>
              <w:left w:val="single" w:sz="4" w:space="0" w:color="auto"/>
              <w:bottom w:val="single" w:sz="4" w:space="0" w:color="auto"/>
              <w:right w:val="single" w:sz="4" w:space="0" w:color="auto"/>
            </w:tcBorders>
            <w:noWrap/>
            <w:vAlign w:val="center"/>
            <w:hideMark/>
          </w:tcPr>
          <w:p w14:paraId="2AE30789"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HEX</w:t>
            </w:r>
          </w:p>
        </w:tc>
        <w:tc>
          <w:tcPr>
            <w:tcW w:w="1228" w:type="dxa"/>
            <w:tcBorders>
              <w:top w:val="nil"/>
              <w:left w:val="nil"/>
              <w:bottom w:val="single" w:sz="4" w:space="0" w:color="auto"/>
              <w:right w:val="single" w:sz="4" w:space="0" w:color="auto"/>
            </w:tcBorders>
            <w:vAlign w:val="center"/>
            <w:hideMark/>
          </w:tcPr>
          <w:p w14:paraId="62A4DDD9"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LC50 (rat) = 77,000 ppm/1 hr</w:t>
            </w:r>
          </w:p>
        </w:tc>
        <w:tc>
          <w:tcPr>
            <w:tcW w:w="1586" w:type="dxa"/>
            <w:tcBorders>
              <w:top w:val="nil"/>
              <w:left w:val="nil"/>
              <w:bottom w:val="single" w:sz="4" w:space="0" w:color="auto"/>
              <w:right w:val="single" w:sz="4" w:space="0" w:color="auto"/>
            </w:tcBorders>
            <w:vAlign w:val="center"/>
            <w:hideMark/>
          </w:tcPr>
          <w:p w14:paraId="69DFA7D2"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Species: Chlamydomonas angulosa (Green Algae) age 3-4 days, exponential growth phase 5x10+4 cells/mL</w:t>
            </w:r>
          </w:p>
        </w:tc>
        <w:tc>
          <w:tcPr>
            <w:tcW w:w="0" w:type="auto"/>
            <w:vMerge w:val="restart"/>
            <w:tcBorders>
              <w:top w:val="nil"/>
              <w:left w:val="single" w:sz="4" w:space="0" w:color="auto"/>
              <w:bottom w:val="single" w:sz="4" w:space="0" w:color="auto"/>
              <w:right w:val="single" w:sz="4" w:space="0" w:color="auto"/>
            </w:tcBorders>
            <w:vAlign w:val="center"/>
            <w:hideMark/>
          </w:tcPr>
          <w:p w14:paraId="443602E6"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 xml:space="preserve">Hexane mainly affects the nervous system. It causes degeneration of the peripheral nervous system (and eventually the central nervous system), starting with damage to the nerve axons. Exposure to hexane may also damage the </w:t>
            </w:r>
            <w:r w:rsidRPr="00521F8B">
              <w:rPr>
                <w:rFonts w:ascii="Arial" w:hAnsi="Arial" w:cs="Arial"/>
                <w:color w:val="000000"/>
                <w:sz w:val="16"/>
                <w:szCs w:val="16"/>
              </w:rPr>
              <w:lastRenderedPageBreak/>
              <w:t>lungs and reproductive system.</w:t>
            </w:r>
          </w:p>
        </w:tc>
        <w:tc>
          <w:tcPr>
            <w:tcW w:w="2901" w:type="dxa"/>
            <w:vMerge w:val="restart"/>
            <w:tcBorders>
              <w:top w:val="nil"/>
              <w:left w:val="single" w:sz="4" w:space="0" w:color="auto"/>
              <w:bottom w:val="single" w:sz="4" w:space="0" w:color="auto"/>
              <w:right w:val="single" w:sz="4" w:space="0" w:color="auto"/>
            </w:tcBorders>
            <w:vAlign w:val="center"/>
            <w:hideMark/>
          </w:tcPr>
          <w:p w14:paraId="671A02B3"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lastRenderedPageBreak/>
              <w:t>Hexane is found in gasoline, which is possibly carcinogenic to humans (Group 2B)</w:t>
            </w:r>
          </w:p>
        </w:tc>
        <w:tc>
          <w:tcPr>
            <w:tcW w:w="897" w:type="dxa"/>
            <w:tcBorders>
              <w:top w:val="nil"/>
              <w:left w:val="nil"/>
              <w:bottom w:val="single" w:sz="4" w:space="0" w:color="auto"/>
              <w:right w:val="single" w:sz="4" w:space="0" w:color="auto"/>
            </w:tcBorders>
            <w:noWrap/>
            <w:vAlign w:val="center"/>
            <w:hideMark/>
          </w:tcPr>
          <w:p w14:paraId="6BE6825D"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12</w:t>
            </w:r>
          </w:p>
        </w:tc>
      </w:tr>
      <w:tr w:rsidR="00521F8B" w:rsidRPr="00521F8B" w14:paraId="3E2CF600" w14:textId="77777777" w:rsidTr="005C5892">
        <w:trPr>
          <w:trHeight w:val="1170"/>
        </w:trPr>
        <w:tc>
          <w:tcPr>
            <w:tcW w:w="0" w:type="auto"/>
            <w:vMerge/>
            <w:tcBorders>
              <w:top w:val="nil"/>
              <w:left w:val="single" w:sz="4" w:space="0" w:color="auto"/>
              <w:bottom w:val="single" w:sz="4" w:space="0" w:color="auto"/>
              <w:right w:val="single" w:sz="4" w:space="0" w:color="auto"/>
            </w:tcBorders>
            <w:vAlign w:val="center"/>
            <w:hideMark/>
          </w:tcPr>
          <w:p w14:paraId="54410520" w14:textId="77777777" w:rsidR="00521F8B" w:rsidRPr="00521F8B" w:rsidRDefault="00521F8B" w:rsidP="005C5892">
            <w:pPr>
              <w:rPr>
                <w:rFonts w:ascii="Arial" w:hAnsi="Arial" w:cs="Arial"/>
                <w:color w:val="000000"/>
                <w:sz w:val="16"/>
                <w:szCs w:val="16"/>
              </w:rPr>
            </w:pPr>
          </w:p>
        </w:tc>
        <w:tc>
          <w:tcPr>
            <w:tcW w:w="1228" w:type="dxa"/>
            <w:tcBorders>
              <w:top w:val="nil"/>
              <w:left w:val="nil"/>
              <w:bottom w:val="single" w:sz="4" w:space="0" w:color="auto"/>
              <w:right w:val="single" w:sz="4" w:space="0" w:color="auto"/>
            </w:tcBorders>
            <w:vAlign w:val="center"/>
            <w:hideMark/>
          </w:tcPr>
          <w:p w14:paraId="5D6E8838"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LD50: 28 710 mg/kg (Oral, Rat)</w:t>
            </w:r>
          </w:p>
        </w:tc>
        <w:tc>
          <w:tcPr>
            <w:tcW w:w="1586" w:type="dxa"/>
            <w:tcBorders>
              <w:top w:val="nil"/>
              <w:left w:val="nil"/>
              <w:bottom w:val="single" w:sz="4" w:space="0" w:color="auto"/>
              <w:right w:val="single" w:sz="4" w:space="0" w:color="auto"/>
            </w:tcBorders>
            <w:vAlign w:val="center"/>
            <w:hideMark/>
          </w:tcPr>
          <w:p w14:paraId="746CC640"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Chlorella vulgaris (Green Algae) age 3-4 days, exponential growth phase 20x10+4 cells/mL</w:t>
            </w:r>
          </w:p>
        </w:tc>
        <w:tc>
          <w:tcPr>
            <w:tcW w:w="0" w:type="auto"/>
            <w:vMerge/>
            <w:tcBorders>
              <w:top w:val="nil"/>
              <w:left w:val="single" w:sz="4" w:space="0" w:color="auto"/>
              <w:bottom w:val="single" w:sz="4" w:space="0" w:color="auto"/>
              <w:right w:val="single" w:sz="4" w:space="0" w:color="auto"/>
            </w:tcBorders>
            <w:vAlign w:val="center"/>
            <w:hideMark/>
          </w:tcPr>
          <w:p w14:paraId="0BFE7366" w14:textId="77777777" w:rsidR="00521F8B" w:rsidRPr="00521F8B" w:rsidRDefault="00521F8B" w:rsidP="005C5892">
            <w:pPr>
              <w:rPr>
                <w:rFonts w:ascii="Arial" w:hAnsi="Arial" w:cs="Arial"/>
                <w:color w:val="000000"/>
                <w:sz w:val="16"/>
                <w:szCs w:val="16"/>
              </w:rPr>
            </w:pPr>
          </w:p>
        </w:tc>
        <w:tc>
          <w:tcPr>
            <w:tcW w:w="2901" w:type="dxa"/>
            <w:vMerge/>
            <w:tcBorders>
              <w:top w:val="nil"/>
              <w:left w:val="single" w:sz="4" w:space="0" w:color="auto"/>
              <w:bottom w:val="single" w:sz="4" w:space="0" w:color="auto"/>
              <w:right w:val="single" w:sz="4" w:space="0" w:color="auto"/>
            </w:tcBorders>
            <w:vAlign w:val="center"/>
            <w:hideMark/>
          </w:tcPr>
          <w:p w14:paraId="3B9DC3FB" w14:textId="77777777" w:rsidR="00521F8B" w:rsidRPr="00521F8B" w:rsidRDefault="00521F8B" w:rsidP="005C5892">
            <w:pPr>
              <w:rPr>
                <w:rFonts w:ascii="Arial" w:hAnsi="Arial" w:cs="Arial"/>
                <w:color w:val="000000"/>
                <w:sz w:val="16"/>
                <w:szCs w:val="16"/>
              </w:rPr>
            </w:pPr>
          </w:p>
        </w:tc>
        <w:tc>
          <w:tcPr>
            <w:tcW w:w="897" w:type="dxa"/>
            <w:tcBorders>
              <w:top w:val="nil"/>
              <w:left w:val="nil"/>
              <w:bottom w:val="single" w:sz="4" w:space="0" w:color="auto"/>
              <w:right w:val="single" w:sz="4" w:space="0" w:color="auto"/>
            </w:tcBorders>
            <w:noWrap/>
            <w:vAlign w:val="center"/>
            <w:hideMark/>
          </w:tcPr>
          <w:p w14:paraId="2E74494E"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12</w:t>
            </w:r>
          </w:p>
        </w:tc>
      </w:tr>
      <w:tr w:rsidR="00521F8B" w:rsidRPr="00521F8B" w14:paraId="223E58F0" w14:textId="77777777" w:rsidTr="005C5892">
        <w:trPr>
          <w:trHeight w:val="1257"/>
        </w:trPr>
        <w:tc>
          <w:tcPr>
            <w:tcW w:w="0" w:type="auto"/>
            <w:vMerge/>
            <w:tcBorders>
              <w:top w:val="nil"/>
              <w:left w:val="single" w:sz="4" w:space="0" w:color="auto"/>
              <w:bottom w:val="single" w:sz="4" w:space="0" w:color="auto"/>
              <w:right w:val="single" w:sz="4" w:space="0" w:color="auto"/>
            </w:tcBorders>
            <w:vAlign w:val="center"/>
            <w:hideMark/>
          </w:tcPr>
          <w:p w14:paraId="5DE62E79" w14:textId="77777777" w:rsidR="00521F8B" w:rsidRPr="00521F8B" w:rsidRDefault="00521F8B" w:rsidP="005C5892">
            <w:pPr>
              <w:rPr>
                <w:rFonts w:ascii="Arial" w:hAnsi="Arial" w:cs="Arial"/>
                <w:color w:val="000000"/>
                <w:sz w:val="16"/>
                <w:szCs w:val="16"/>
              </w:rPr>
            </w:pPr>
          </w:p>
        </w:tc>
        <w:tc>
          <w:tcPr>
            <w:tcW w:w="1228" w:type="dxa"/>
            <w:tcBorders>
              <w:top w:val="nil"/>
              <w:left w:val="nil"/>
              <w:bottom w:val="single" w:sz="4" w:space="0" w:color="auto"/>
              <w:right w:val="single" w:sz="4" w:space="0" w:color="auto"/>
            </w:tcBorders>
            <w:vAlign w:val="center"/>
            <w:hideMark/>
          </w:tcPr>
          <w:p w14:paraId="6291B4F1"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LC50: 48 000 ppm over 4 hours (Inhalation, Mouse)</w:t>
            </w:r>
          </w:p>
        </w:tc>
        <w:tc>
          <w:tcPr>
            <w:tcW w:w="1586" w:type="dxa"/>
            <w:tcBorders>
              <w:top w:val="nil"/>
              <w:left w:val="nil"/>
              <w:bottom w:val="single" w:sz="4" w:space="0" w:color="auto"/>
              <w:right w:val="single" w:sz="4" w:space="0" w:color="auto"/>
            </w:tcBorders>
            <w:vAlign w:val="center"/>
            <w:hideMark/>
          </w:tcPr>
          <w:p w14:paraId="0AD76B5A"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w:t>
            </w:r>
          </w:p>
        </w:tc>
        <w:tc>
          <w:tcPr>
            <w:tcW w:w="0" w:type="auto"/>
            <w:vMerge/>
            <w:tcBorders>
              <w:top w:val="nil"/>
              <w:left w:val="single" w:sz="4" w:space="0" w:color="auto"/>
              <w:bottom w:val="single" w:sz="4" w:space="0" w:color="auto"/>
              <w:right w:val="single" w:sz="4" w:space="0" w:color="auto"/>
            </w:tcBorders>
            <w:vAlign w:val="center"/>
            <w:hideMark/>
          </w:tcPr>
          <w:p w14:paraId="053E2175" w14:textId="77777777" w:rsidR="00521F8B" w:rsidRPr="00521F8B" w:rsidRDefault="00521F8B" w:rsidP="005C5892">
            <w:pPr>
              <w:rPr>
                <w:rFonts w:ascii="Arial" w:hAnsi="Arial" w:cs="Arial"/>
                <w:color w:val="000000"/>
                <w:sz w:val="16"/>
                <w:szCs w:val="16"/>
              </w:rPr>
            </w:pPr>
          </w:p>
        </w:tc>
        <w:tc>
          <w:tcPr>
            <w:tcW w:w="2901" w:type="dxa"/>
            <w:vMerge/>
            <w:tcBorders>
              <w:top w:val="nil"/>
              <w:left w:val="single" w:sz="4" w:space="0" w:color="auto"/>
              <w:bottom w:val="single" w:sz="4" w:space="0" w:color="auto"/>
              <w:right w:val="single" w:sz="4" w:space="0" w:color="auto"/>
            </w:tcBorders>
            <w:vAlign w:val="center"/>
            <w:hideMark/>
          </w:tcPr>
          <w:p w14:paraId="3B963D1A" w14:textId="77777777" w:rsidR="00521F8B" w:rsidRPr="00521F8B" w:rsidRDefault="00521F8B" w:rsidP="005C5892">
            <w:pPr>
              <w:rPr>
                <w:rFonts w:ascii="Arial" w:hAnsi="Arial" w:cs="Arial"/>
                <w:color w:val="000000"/>
                <w:sz w:val="16"/>
                <w:szCs w:val="16"/>
              </w:rPr>
            </w:pPr>
          </w:p>
        </w:tc>
        <w:tc>
          <w:tcPr>
            <w:tcW w:w="897" w:type="dxa"/>
            <w:tcBorders>
              <w:top w:val="nil"/>
              <w:left w:val="nil"/>
              <w:bottom w:val="single" w:sz="4" w:space="0" w:color="auto"/>
              <w:right w:val="single" w:sz="4" w:space="0" w:color="auto"/>
            </w:tcBorders>
            <w:noWrap/>
            <w:vAlign w:val="center"/>
            <w:hideMark/>
          </w:tcPr>
          <w:p w14:paraId="0DB2DFBF"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12</w:t>
            </w:r>
          </w:p>
        </w:tc>
      </w:tr>
      <w:tr w:rsidR="00521F8B" w:rsidRPr="00521F8B" w14:paraId="3E8F1D62" w14:textId="77777777" w:rsidTr="005C5892">
        <w:trPr>
          <w:trHeight w:val="1686"/>
        </w:trPr>
        <w:tc>
          <w:tcPr>
            <w:tcW w:w="0" w:type="auto"/>
            <w:vMerge w:val="restart"/>
            <w:tcBorders>
              <w:top w:val="nil"/>
              <w:left w:val="single" w:sz="4" w:space="0" w:color="auto"/>
              <w:bottom w:val="single" w:sz="4" w:space="0" w:color="auto"/>
              <w:right w:val="single" w:sz="4" w:space="0" w:color="auto"/>
            </w:tcBorders>
            <w:noWrap/>
            <w:vAlign w:val="center"/>
            <w:hideMark/>
          </w:tcPr>
          <w:p w14:paraId="4CE6ABA7"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EtoAc</w:t>
            </w:r>
          </w:p>
        </w:tc>
        <w:tc>
          <w:tcPr>
            <w:tcW w:w="1228" w:type="dxa"/>
            <w:tcBorders>
              <w:top w:val="nil"/>
              <w:left w:val="nil"/>
              <w:bottom w:val="single" w:sz="4" w:space="0" w:color="auto"/>
              <w:right w:val="single" w:sz="4" w:space="0" w:color="auto"/>
            </w:tcBorders>
            <w:vAlign w:val="center"/>
            <w:hideMark/>
          </w:tcPr>
          <w:p w14:paraId="485415E9"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LC50 (mice) = 45,000 mg/m3/2H</w:t>
            </w:r>
          </w:p>
        </w:tc>
        <w:tc>
          <w:tcPr>
            <w:tcW w:w="1586" w:type="dxa"/>
            <w:tcBorders>
              <w:top w:val="nil"/>
              <w:left w:val="nil"/>
              <w:bottom w:val="single" w:sz="4" w:space="0" w:color="auto"/>
              <w:right w:val="single" w:sz="4" w:space="0" w:color="auto"/>
            </w:tcBorders>
            <w:vAlign w:val="center"/>
            <w:hideMark/>
          </w:tcPr>
          <w:p w14:paraId="5CD9693B"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Chlorococcales (Green Algae Order); Conditions: freshwater, static; Concentration: 4300000 ug/L for 24 hr</w:t>
            </w:r>
          </w:p>
        </w:tc>
        <w:tc>
          <w:tcPr>
            <w:tcW w:w="0" w:type="auto"/>
            <w:vMerge w:val="restart"/>
            <w:tcBorders>
              <w:top w:val="nil"/>
              <w:left w:val="single" w:sz="4" w:space="0" w:color="auto"/>
              <w:bottom w:val="single" w:sz="4" w:space="0" w:color="auto"/>
              <w:right w:val="single" w:sz="4" w:space="0" w:color="auto"/>
            </w:tcBorders>
            <w:vAlign w:val="center"/>
            <w:hideMark/>
          </w:tcPr>
          <w:p w14:paraId="1BA6D141"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Short-term exposure to high levels of ethyl acetate results first in irritation of the eyes, nose and throat, followed by headache, nausea, vomiting, sleepiness, and unconsciousness.</w:t>
            </w:r>
          </w:p>
        </w:tc>
        <w:tc>
          <w:tcPr>
            <w:tcW w:w="2901" w:type="dxa"/>
            <w:vMerge w:val="restart"/>
            <w:tcBorders>
              <w:top w:val="nil"/>
              <w:left w:val="single" w:sz="4" w:space="0" w:color="auto"/>
              <w:bottom w:val="single" w:sz="4" w:space="0" w:color="auto"/>
              <w:right w:val="single" w:sz="4" w:space="0" w:color="auto"/>
            </w:tcBorders>
            <w:vAlign w:val="center"/>
            <w:hideMark/>
          </w:tcPr>
          <w:p w14:paraId="69B675C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Its carcinogenic properties are not known</w:t>
            </w:r>
          </w:p>
        </w:tc>
        <w:tc>
          <w:tcPr>
            <w:tcW w:w="897" w:type="dxa"/>
            <w:tcBorders>
              <w:top w:val="nil"/>
              <w:left w:val="nil"/>
              <w:bottom w:val="single" w:sz="4" w:space="0" w:color="auto"/>
              <w:right w:val="single" w:sz="4" w:space="0" w:color="auto"/>
            </w:tcBorders>
            <w:noWrap/>
            <w:vAlign w:val="center"/>
            <w:hideMark/>
          </w:tcPr>
          <w:p w14:paraId="17D0C12A"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11</w:t>
            </w:r>
          </w:p>
        </w:tc>
      </w:tr>
      <w:tr w:rsidR="00521F8B" w:rsidRPr="00521F8B" w14:paraId="12955424" w14:textId="77777777" w:rsidTr="005C5892">
        <w:trPr>
          <w:trHeight w:val="1309"/>
        </w:trPr>
        <w:tc>
          <w:tcPr>
            <w:tcW w:w="0" w:type="auto"/>
            <w:vMerge/>
            <w:tcBorders>
              <w:top w:val="nil"/>
              <w:left w:val="single" w:sz="4" w:space="0" w:color="auto"/>
              <w:bottom w:val="single" w:sz="4" w:space="0" w:color="auto"/>
              <w:right w:val="single" w:sz="4" w:space="0" w:color="auto"/>
            </w:tcBorders>
            <w:vAlign w:val="center"/>
            <w:hideMark/>
          </w:tcPr>
          <w:p w14:paraId="13670A20" w14:textId="77777777" w:rsidR="00521F8B" w:rsidRPr="00521F8B" w:rsidRDefault="00521F8B" w:rsidP="005C5892">
            <w:pPr>
              <w:rPr>
                <w:rFonts w:ascii="Arial" w:hAnsi="Arial" w:cs="Arial"/>
                <w:color w:val="000000"/>
                <w:sz w:val="16"/>
                <w:szCs w:val="16"/>
              </w:rPr>
            </w:pPr>
          </w:p>
        </w:tc>
        <w:tc>
          <w:tcPr>
            <w:tcW w:w="1228" w:type="dxa"/>
            <w:tcBorders>
              <w:top w:val="nil"/>
              <w:left w:val="nil"/>
              <w:bottom w:val="single" w:sz="4" w:space="0" w:color="auto"/>
              <w:right w:val="single" w:sz="4" w:space="0" w:color="auto"/>
            </w:tcBorders>
            <w:vAlign w:val="center"/>
            <w:hideMark/>
          </w:tcPr>
          <w:p w14:paraId="72FC3913"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w:t>
            </w:r>
          </w:p>
        </w:tc>
        <w:tc>
          <w:tcPr>
            <w:tcW w:w="1586" w:type="dxa"/>
            <w:tcBorders>
              <w:top w:val="nil"/>
              <w:left w:val="nil"/>
              <w:bottom w:val="single" w:sz="4" w:space="0" w:color="auto"/>
              <w:right w:val="single" w:sz="4" w:space="0" w:color="auto"/>
            </w:tcBorders>
            <w:vAlign w:val="center"/>
            <w:hideMark/>
          </w:tcPr>
          <w:p w14:paraId="51268ABB"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Scenedesmus subspicatus (Green Algae) exponential growth phase; Conditions: freshwater, static, 24 °C, pH 8.0-9.3; Concentration: 3300000 ug/L for 48 hr</w:t>
            </w:r>
          </w:p>
        </w:tc>
        <w:tc>
          <w:tcPr>
            <w:tcW w:w="0" w:type="auto"/>
            <w:vMerge/>
            <w:tcBorders>
              <w:top w:val="nil"/>
              <w:left w:val="single" w:sz="4" w:space="0" w:color="auto"/>
              <w:bottom w:val="single" w:sz="4" w:space="0" w:color="auto"/>
              <w:right w:val="single" w:sz="4" w:space="0" w:color="auto"/>
            </w:tcBorders>
            <w:vAlign w:val="center"/>
            <w:hideMark/>
          </w:tcPr>
          <w:p w14:paraId="4EA5194D" w14:textId="77777777" w:rsidR="00521F8B" w:rsidRPr="00521F8B" w:rsidRDefault="00521F8B" w:rsidP="005C5892">
            <w:pPr>
              <w:rPr>
                <w:rFonts w:ascii="Arial" w:hAnsi="Arial" w:cs="Arial"/>
                <w:color w:val="000000"/>
                <w:sz w:val="16"/>
                <w:szCs w:val="16"/>
              </w:rPr>
            </w:pPr>
          </w:p>
        </w:tc>
        <w:tc>
          <w:tcPr>
            <w:tcW w:w="2901" w:type="dxa"/>
            <w:vMerge/>
            <w:tcBorders>
              <w:top w:val="nil"/>
              <w:left w:val="single" w:sz="4" w:space="0" w:color="auto"/>
              <w:bottom w:val="single" w:sz="4" w:space="0" w:color="auto"/>
              <w:right w:val="single" w:sz="4" w:space="0" w:color="auto"/>
            </w:tcBorders>
            <w:vAlign w:val="center"/>
            <w:hideMark/>
          </w:tcPr>
          <w:p w14:paraId="2EC871FF" w14:textId="77777777" w:rsidR="00521F8B" w:rsidRPr="00521F8B" w:rsidRDefault="00521F8B" w:rsidP="005C5892">
            <w:pPr>
              <w:rPr>
                <w:rFonts w:ascii="Arial" w:hAnsi="Arial" w:cs="Arial"/>
                <w:color w:val="000000"/>
                <w:sz w:val="16"/>
                <w:szCs w:val="16"/>
              </w:rPr>
            </w:pPr>
          </w:p>
        </w:tc>
        <w:tc>
          <w:tcPr>
            <w:tcW w:w="897" w:type="dxa"/>
            <w:tcBorders>
              <w:top w:val="nil"/>
              <w:left w:val="nil"/>
              <w:bottom w:val="single" w:sz="4" w:space="0" w:color="auto"/>
              <w:right w:val="single" w:sz="4" w:space="0" w:color="auto"/>
            </w:tcBorders>
            <w:noWrap/>
            <w:vAlign w:val="center"/>
            <w:hideMark/>
          </w:tcPr>
          <w:p w14:paraId="5ACA0100"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11</w:t>
            </w:r>
          </w:p>
        </w:tc>
      </w:tr>
    </w:tbl>
    <w:p w14:paraId="649BC619" w14:textId="77777777" w:rsidR="00521F8B" w:rsidRDefault="00521F8B" w:rsidP="00521F8B">
      <w:pPr>
        <w:pStyle w:val="AbstHead"/>
        <w:spacing w:after="0"/>
        <w:jc w:val="both"/>
        <w:rPr>
          <w:rFonts w:ascii="Arial" w:hAnsi="Arial" w:cs="Arial"/>
          <w:bCs/>
        </w:rPr>
      </w:pPr>
    </w:p>
    <w:p w14:paraId="4F37DDF2" w14:textId="5178F870" w:rsidR="00521F8B" w:rsidRPr="00521F8B" w:rsidRDefault="00521F8B" w:rsidP="00521F8B">
      <w:pPr>
        <w:pStyle w:val="AbstHead"/>
        <w:spacing w:after="0"/>
        <w:jc w:val="both"/>
        <w:rPr>
          <w:rFonts w:ascii="Arial" w:hAnsi="Arial" w:cs="Arial"/>
          <w:bCs/>
        </w:rPr>
      </w:pPr>
      <w:r>
        <w:rPr>
          <w:rFonts w:ascii="Arial" w:hAnsi="Arial" w:cs="Arial"/>
        </w:rPr>
        <w:t xml:space="preserve">7. </w:t>
      </w:r>
      <w:r w:rsidRPr="00521F8B">
        <w:rPr>
          <w:rFonts w:ascii="Arial" w:hAnsi="Arial" w:cs="Arial"/>
          <w:bCs/>
        </w:rPr>
        <w:t>Regulatory Status</w:t>
      </w:r>
    </w:p>
    <w:p w14:paraId="2D5236E6" w14:textId="77777777" w:rsidR="00521F8B" w:rsidRDefault="00521F8B" w:rsidP="00521F8B">
      <w:pPr>
        <w:jc w:val="both"/>
        <w:rPr>
          <w:rFonts w:ascii="Arial" w:hAnsi="Arial" w:cs="Arial"/>
        </w:rPr>
      </w:pPr>
      <w:r w:rsidRPr="00521F8B">
        <w:rPr>
          <w:rFonts w:ascii="Arial" w:hAnsi="Arial" w:cs="Arial"/>
        </w:rPr>
        <w:t xml:space="preserve">Table 5 demonstrate the number of </w:t>
      </w:r>
      <w:proofErr w:type="gramStart"/>
      <w:r w:rsidRPr="00521F8B">
        <w:rPr>
          <w:rFonts w:ascii="Arial" w:hAnsi="Arial" w:cs="Arial"/>
        </w:rPr>
        <w:t>occurrence</w:t>
      </w:r>
      <w:proofErr w:type="gramEnd"/>
      <w:r w:rsidRPr="00521F8B">
        <w:rPr>
          <w:rFonts w:ascii="Arial" w:hAnsi="Arial" w:cs="Arial"/>
        </w:rPr>
        <w:t xml:space="preserve"> of both VOCs solvents, HEX and EtoAc reviwed in this short-literature background focused on the search of Food Ingredient and Packaging Inventories. </w:t>
      </w:r>
      <w:proofErr w:type="gramStart"/>
      <w:r w:rsidRPr="00521F8B">
        <w:rPr>
          <w:rFonts w:ascii="Arial" w:hAnsi="Arial" w:cs="Arial"/>
        </w:rPr>
        <w:t>This databases</w:t>
      </w:r>
      <w:proofErr w:type="gramEnd"/>
      <w:r w:rsidRPr="00521F8B">
        <w:rPr>
          <w:rFonts w:ascii="Arial" w:hAnsi="Arial" w:cs="Arial"/>
        </w:rPr>
        <w:t xml:space="preserve"> are public and could be consulted at U.S. Food and Drug Administration. Both solvents are not banned or prohibited and </w:t>
      </w:r>
      <w:proofErr w:type="gramStart"/>
      <w:r w:rsidRPr="00521F8B">
        <w:rPr>
          <w:rFonts w:ascii="Arial" w:hAnsi="Arial" w:cs="Arial"/>
        </w:rPr>
        <w:t>an</w:t>
      </w:r>
      <w:proofErr w:type="gramEnd"/>
      <w:r w:rsidRPr="00521F8B">
        <w:rPr>
          <w:rFonts w:ascii="Arial" w:hAnsi="Arial" w:cs="Arial"/>
        </w:rPr>
        <w:t xml:space="preserve"> comprehensive list of application considered 19 summarized categories uses commercially HEX and </w:t>
      </w:r>
      <w:proofErr w:type="spellStart"/>
      <w:r w:rsidRPr="00521F8B">
        <w:rPr>
          <w:rFonts w:ascii="Arial" w:hAnsi="Arial" w:cs="Arial"/>
        </w:rPr>
        <w:t>EtoAc</w:t>
      </w:r>
      <w:proofErr w:type="spellEnd"/>
      <w:r w:rsidRPr="00521F8B">
        <w:rPr>
          <w:rFonts w:ascii="Arial" w:hAnsi="Arial" w:cs="Arial"/>
        </w:rPr>
        <w:t>.</w:t>
      </w:r>
    </w:p>
    <w:p w14:paraId="3109D109" w14:textId="77777777" w:rsidR="00521F8B" w:rsidRPr="00521F8B" w:rsidRDefault="00521F8B" w:rsidP="00521F8B">
      <w:pPr>
        <w:jc w:val="both"/>
        <w:rPr>
          <w:rFonts w:ascii="Arial" w:hAnsi="Arial" w:cs="Arial"/>
        </w:rPr>
      </w:pPr>
    </w:p>
    <w:p w14:paraId="4610E128" w14:textId="77777777" w:rsidR="00521F8B" w:rsidRDefault="00521F8B" w:rsidP="00521F8B">
      <w:pPr>
        <w:jc w:val="both"/>
        <w:rPr>
          <w:rFonts w:ascii="Arial" w:hAnsi="Arial" w:cs="Arial"/>
          <w:color w:val="001D35"/>
        </w:rPr>
      </w:pPr>
      <w:r w:rsidRPr="00521F8B">
        <w:rPr>
          <w:rFonts w:ascii="Arial" w:hAnsi="Arial" w:cs="Arial"/>
        </w:rPr>
        <w:t xml:space="preserve">Considering the FDA databases, it is a great example of many approved application for both VOCs and even HEX appear with </w:t>
      </w:r>
      <w:proofErr w:type="gramStart"/>
      <w:r w:rsidRPr="00521F8B">
        <w:rPr>
          <w:rFonts w:ascii="Arial" w:hAnsi="Arial" w:cs="Arial"/>
        </w:rPr>
        <w:t>an</w:t>
      </w:r>
      <w:proofErr w:type="gramEnd"/>
      <w:r w:rsidRPr="00521F8B">
        <w:rPr>
          <w:rFonts w:ascii="Arial" w:hAnsi="Arial" w:cs="Arial"/>
        </w:rPr>
        <w:t xml:space="preserve"> </w:t>
      </w:r>
      <w:r w:rsidRPr="00521F8B">
        <w:rPr>
          <w:rFonts w:ascii="Arial" w:hAnsi="Arial" w:cs="Arial"/>
          <w:color w:val="001D35"/>
        </w:rPr>
        <w:t>GRAS (Generally Recognized as Safe), means the substance is</w:t>
      </w:r>
      <w:r w:rsidRPr="00521F8B">
        <w:rPr>
          <w:rStyle w:val="apple-converted-space"/>
          <w:rFonts w:ascii="Arial" w:hAnsi="Arial" w:cs="Arial"/>
          <w:color w:val="001D35"/>
        </w:rPr>
        <w:t> </w:t>
      </w:r>
      <w:r w:rsidRPr="00521F8B">
        <w:rPr>
          <w:rFonts w:ascii="Arial" w:hAnsi="Arial" w:cs="Arial"/>
          <w:color w:val="001D35"/>
        </w:rPr>
        <w:t>a food ingredient that is considered safe for consumption, either because it has a long history of common use or because it has been affirmed as safe through scientific procedures.</w:t>
      </w:r>
      <w:r w:rsidRPr="00521F8B">
        <w:rPr>
          <w:rStyle w:val="apple-converted-space"/>
          <w:rFonts w:ascii="Arial" w:hAnsi="Arial" w:cs="Arial"/>
          <w:color w:val="001D35"/>
        </w:rPr>
        <w:t> </w:t>
      </w:r>
      <w:r w:rsidRPr="00521F8B">
        <w:rPr>
          <w:rFonts w:ascii="Arial" w:hAnsi="Arial" w:cs="Arial"/>
          <w:color w:val="001D35"/>
        </w:rPr>
        <w:t>This designation exempts the substance from the need for pre-market approval by the U.S. Food and Drug Administration (FDA)</w:t>
      </w:r>
      <w:r w:rsidRPr="00521F8B">
        <w:rPr>
          <w:rFonts w:ascii="Arial" w:hAnsi="Arial" w:cs="Arial"/>
          <w:color w:val="001D35"/>
          <w:vertAlign w:val="superscript"/>
        </w:rPr>
        <w:t>22</w:t>
      </w:r>
      <w:r w:rsidRPr="00521F8B">
        <w:rPr>
          <w:rFonts w:ascii="Arial" w:hAnsi="Arial" w:cs="Arial"/>
          <w:color w:val="001D35"/>
        </w:rPr>
        <w:t>.</w:t>
      </w:r>
    </w:p>
    <w:p w14:paraId="7D3327BD" w14:textId="77777777" w:rsidR="00521F8B" w:rsidRDefault="00521F8B" w:rsidP="00521F8B">
      <w:pPr>
        <w:jc w:val="both"/>
        <w:rPr>
          <w:rFonts w:ascii="Arial" w:hAnsi="Arial" w:cs="Arial"/>
          <w:color w:val="001D35"/>
        </w:rPr>
      </w:pPr>
    </w:p>
    <w:p w14:paraId="443CBA28" w14:textId="385DCF4F" w:rsidR="00521F8B" w:rsidRDefault="00521F8B" w:rsidP="00521F8B">
      <w:pPr>
        <w:jc w:val="both"/>
        <w:rPr>
          <w:rFonts w:ascii="Arial" w:hAnsi="Arial" w:cs="Arial"/>
          <w:b/>
          <w:bCs/>
          <w:vertAlign w:val="superscript"/>
        </w:rPr>
      </w:pPr>
      <w:r w:rsidRPr="00521F8B">
        <w:rPr>
          <w:rFonts w:ascii="Arial" w:hAnsi="Arial" w:cs="Arial"/>
          <w:b/>
          <w:bCs/>
        </w:rPr>
        <w:t>Table 5. Hexane (HEX) and Ethyl Acetate (</w:t>
      </w:r>
      <w:proofErr w:type="spellStart"/>
      <w:r w:rsidRPr="00521F8B">
        <w:rPr>
          <w:rFonts w:ascii="Arial" w:hAnsi="Arial" w:cs="Arial"/>
          <w:b/>
          <w:bCs/>
        </w:rPr>
        <w:t>EtoAc</w:t>
      </w:r>
      <w:proofErr w:type="spellEnd"/>
      <w:r w:rsidRPr="00521F8B">
        <w:rPr>
          <w:rFonts w:ascii="Arial" w:hAnsi="Arial" w:cs="Arial"/>
          <w:b/>
          <w:bCs/>
        </w:rPr>
        <w:t>) search food Ingredient and packaging inventories occurrence</w:t>
      </w:r>
      <w:r w:rsidRPr="00521F8B">
        <w:rPr>
          <w:rFonts w:ascii="Arial" w:hAnsi="Arial" w:cs="Arial"/>
          <w:b/>
          <w:bCs/>
          <w:vertAlign w:val="superscript"/>
        </w:rPr>
        <w:t xml:space="preserve">22 </w:t>
      </w:r>
    </w:p>
    <w:p w14:paraId="47A7762F" w14:textId="77777777" w:rsidR="00521F8B" w:rsidRDefault="00521F8B" w:rsidP="00521F8B">
      <w:pPr>
        <w:jc w:val="both"/>
        <w:rPr>
          <w:rFonts w:ascii="Arial" w:hAnsi="Arial" w:cs="Arial"/>
          <w:b/>
          <w:bCs/>
        </w:rPr>
      </w:pPr>
    </w:p>
    <w:tbl>
      <w:tblPr>
        <w:tblW w:w="0" w:type="auto"/>
        <w:jc w:val="center"/>
        <w:tblLook w:val="04A0" w:firstRow="1" w:lastRow="0" w:firstColumn="1" w:lastColumn="0" w:noHBand="0" w:noVBand="1"/>
      </w:tblPr>
      <w:tblGrid>
        <w:gridCol w:w="6517"/>
        <w:gridCol w:w="997"/>
        <w:gridCol w:w="910"/>
      </w:tblGrid>
      <w:tr w:rsidR="00521F8B" w:rsidRPr="00521F8B" w14:paraId="48079E0C" w14:textId="77777777" w:rsidTr="005C5892">
        <w:trPr>
          <w:trHeight w:val="520"/>
          <w:jc w:val="center"/>
        </w:trPr>
        <w:tc>
          <w:tcPr>
            <w:tcW w:w="7273" w:type="dxa"/>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558A0AF3"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FDA Dataset base listed</w:t>
            </w:r>
          </w:p>
        </w:tc>
        <w:tc>
          <w:tcPr>
            <w:tcW w:w="1091" w:type="dxa"/>
            <w:tcBorders>
              <w:top w:val="single" w:sz="4" w:space="0" w:color="auto"/>
              <w:left w:val="nil"/>
              <w:bottom w:val="single" w:sz="4" w:space="0" w:color="auto"/>
              <w:right w:val="single" w:sz="4" w:space="0" w:color="auto"/>
            </w:tcBorders>
            <w:shd w:val="clear" w:color="000000" w:fill="D0D0D0"/>
            <w:noWrap/>
            <w:vAlign w:val="center"/>
            <w:hideMark/>
          </w:tcPr>
          <w:p w14:paraId="2BD2F6D4"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HEX</w:t>
            </w:r>
          </w:p>
        </w:tc>
        <w:tc>
          <w:tcPr>
            <w:tcW w:w="993" w:type="dxa"/>
            <w:tcBorders>
              <w:top w:val="single" w:sz="4" w:space="0" w:color="auto"/>
              <w:left w:val="nil"/>
              <w:bottom w:val="single" w:sz="4" w:space="0" w:color="auto"/>
              <w:right w:val="single" w:sz="4" w:space="0" w:color="auto"/>
            </w:tcBorders>
            <w:shd w:val="clear" w:color="000000" w:fill="D0D0D0"/>
            <w:noWrap/>
            <w:vAlign w:val="center"/>
            <w:hideMark/>
          </w:tcPr>
          <w:p w14:paraId="5753E1BB"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EtoAc</w:t>
            </w:r>
          </w:p>
        </w:tc>
      </w:tr>
      <w:tr w:rsidR="00521F8B" w:rsidRPr="00521F8B" w14:paraId="7B0D439E"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67470767"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Cumulative Estimated Daily Intake (CEDI)</w:t>
            </w:r>
          </w:p>
        </w:tc>
        <w:tc>
          <w:tcPr>
            <w:tcW w:w="1091" w:type="dxa"/>
            <w:tcBorders>
              <w:top w:val="nil"/>
              <w:left w:val="nil"/>
              <w:bottom w:val="single" w:sz="4" w:space="0" w:color="auto"/>
              <w:right w:val="single" w:sz="4" w:space="0" w:color="auto"/>
            </w:tcBorders>
            <w:noWrap/>
            <w:vAlign w:val="center"/>
            <w:hideMark/>
          </w:tcPr>
          <w:p w14:paraId="2AF3DA7A"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83 Hits</w:t>
            </w:r>
          </w:p>
        </w:tc>
        <w:tc>
          <w:tcPr>
            <w:tcW w:w="993" w:type="dxa"/>
            <w:tcBorders>
              <w:top w:val="nil"/>
              <w:left w:val="nil"/>
              <w:bottom w:val="single" w:sz="4" w:space="0" w:color="auto"/>
              <w:right w:val="single" w:sz="4" w:space="0" w:color="auto"/>
            </w:tcBorders>
            <w:noWrap/>
            <w:vAlign w:val="center"/>
            <w:hideMark/>
          </w:tcPr>
          <w:p w14:paraId="68114EEA"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2E631967"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46E7F1B8"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Final Rules: Food Additives and Color Additives</w:t>
            </w:r>
          </w:p>
        </w:tc>
        <w:tc>
          <w:tcPr>
            <w:tcW w:w="1091" w:type="dxa"/>
            <w:tcBorders>
              <w:top w:val="nil"/>
              <w:left w:val="nil"/>
              <w:bottom w:val="single" w:sz="4" w:space="0" w:color="auto"/>
              <w:right w:val="single" w:sz="4" w:space="0" w:color="auto"/>
            </w:tcBorders>
            <w:noWrap/>
            <w:vAlign w:val="center"/>
            <w:hideMark/>
          </w:tcPr>
          <w:p w14:paraId="4B30FA48"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7 Hits</w:t>
            </w:r>
          </w:p>
        </w:tc>
        <w:tc>
          <w:tcPr>
            <w:tcW w:w="993" w:type="dxa"/>
            <w:tcBorders>
              <w:top w:val="nil"/>
              <w:left w:val="nil"/>
              <w:bottom w:val="single" w:sz="4" w:space="0" w:color="auto"/>
              <w:right w:val="single" w:sz="4" w:space="0" w:color="auto"/>
            </w:tcBorders>
            <w:noWrap/>
            <w:vAlign w:val="center"/>
            <w:hideMark/>
          </w:tcPr>
          <w:p w14:paraId="30FE7F36"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2 Hits</w:t>
            </w:r>
          </w:p>
        </w:tc>
      </w:tr>
      <w:tr w:rsidR="00521F8B" w:rsidRPr="00521F8B" w14:paraId="530A9B92"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2AD255A4"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Food Additive and Color Additive Petitions Under Review or Held in Abeyance</w:t>
            </w:r>
          </w:p>
        </w:tc>
        <w:tc>
          <w:tcPr>
            <w:tcW w:w="1091" w:type="dxa"/>
            <w:tcBorders>
              <w:top w:val="nil"/>
              <w:left w:val="nil"/>
              <w:bottom w:val="single" w:sz="4" w:space="0" w:color="auto"/>
              <w:right w:val="single" w:sz="4" w:space="0" w:color="auto"/>
            </w:tcBorders>
            <w:noWrap/>
            <w:vAlign w:val="center"/>
            <w:hideMark/>
          </w:tcPr>
          <w:p w14:paraId="622C4A85"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5833B74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433D98AA"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58FF1125"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Food Contact Substance (FCS) Notifications that are No Longer Effective</w:t>
            </w:r>
          </w:p>
        </w:tc>
        <w:tc>
          <w:tcPr>
            <w:tcW w:w="1091" w:type="dxa"/>
            <w:tcBorders>
              <w:top w:val="nil"/>
              <w:left w:val="nil"/>
              <w:bottom w:val="single" w:sz="4" w:space="0" w:color="auto"/>
              <w:right w:val="single" w:sz="4" w:space="0" w:color="auto"/>
            </w:tcBorders>
            <w:noWrap/>
            <w:vAlign w:val="center"/>
            <w:hideMark/>
          </w:tcPr>
          <w:p w14:paraId="4C41A1DD"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6 Hits</w:t>
            </w:r>
          </w:p>
        </w:tc>
        <w:tc>
          <w:tcPr>
            <w:tcW w:w="993" w:type="dxa"/>
            <w:tcBorders>
              <w:top w:val="nil"/>
              <w:left w:val="nil"/>
              <w:bottom w:val="single" w:sz="4" w:space="0" w:color="auto"/>
              <w:right w:val="single" w:sz="4" w:space="0" w:color="auto"/>
            </w:tcBorders>
            <w:noWrap/>
            <w:vAlign w:val="center"/>
            <w:hideMark/>
          </w:tcPr>
          <w:p w14:paraId="0CEB8AEF"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4558F167"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2D16812F"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lastRenderedPageBreak/>
              <w:t>GRAS Notices</w:t>
            </w:r>
          </w:p>
        </w:tc>
        <w:tc>
          <w:tcPr>
            <w:tcW w:w="1091" w:type="dxa"/>
            <w:tcBorders>
              <w:top w:val="nil"/>
              <w:left w:val="nil"/>
              <w:bottom w:val="single" w:sz="4" w:space="0" w:color="auto"/>
              <w:right w:val="single" w:sz="4" w:space="0" w:color="auto"/>
            </w:tcBorders>
            <w:noWrap/>
            <w:vAlign w:val="center"/>
            <w:hideMark/>
          </w:tcPr>
          <w:p w14:paraId="5366B03B"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25839E3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0DDB0204"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0031E552"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Human Food Made with Cultured Animal Cells Inventory</w:t>
            </w:r>
          </w:p>
        </w:tc>
        <w:tc>
          <w:tcPr>
            <w:tcW w:w="1091" w:type="dxa"/>
            <w:tcBorders>
              <w:top w:val="nil"/>
              <w:left w:val="nil"/>
              <w:bottom w:val="single" w:sz="4" w:space="0" w:color="auto"/>
              <w:right w:val="single" w:sz="4" w:space="0" w:color="auto"/>
            </w:tcBorders>
            <w:noWrap/>
            <w:vAlign w:val="center"/>
            <w:hideMark/>
          </w:tcPr>
          <w:p w14:paraId="153739A8"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02ABA4B9"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56DEE9C5"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25E910F4"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Inventory of Effective Food Contact Substance (FCS) Notifications</w:t>
            </w:r>
          </w:p>
        </w:tc>
        <w:tc>
          <w:tcPr>
            <w:tcW w:w="1091" w:type="dxa"/>
            <w:tcBorders>
              <w:top w:val="nil"/>
              <w:left w:val="nil"/>
              <w:bottom w:val="single" w:sz="4" w:space="0" w:color="auto"/>
              <w:right w:val="single" w:sz="4" w:space="0" w:color="auto"/>
            </w:tcBorders>
            <w:noWrap/>
            <w:vAlign w:val="center"/>
            <w:hideMark/>
          </w:tcPr>
          <w:p w14:paraId="793C37D6"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134 Hits</w:t>
            </w:r>
          </w:p>
        </w:tc>
        <w:tc>
          <w:tcPr>
            <w:tcW w:w="993" w:type="dxa"/>
            <w:tcBorders>
              <w:top w:val="nil"/>
              <w:left w:val="nil"/>
              <w:bottom w:val="single" w:sz="4" w:space="0" w:color="auto"/>
              <w:right w:val="single" w:sz="4" w:space="0" w:color="auto"/>
            </w:tcBorders>
            <w:noWrap/>
            <w:vAlign w:val="center"/>
            <w:hideMark/>
          </w:tcPr>
          <w:p w14:paraId="1636FEF0"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 Hits</w:t>
            </w:r>
          </w:p>
        </w:tc>
      </w:tr>
      <w:tr w:rsidR="00521F8B" w:rsidRPr="00521F8B" w14:paraId="379DC98A"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40BB0754"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Inventory of Environmental Impact Decisions for Food Contact Substance Notifications</w:t>
            </w:r>
          </w:p>
        </w:tc>
        <w:tc>
          <w:tcPr>
            <w:tcW w:w="1091" w:type="dxa"/>
            <w:tcBorders>
              <w:top w:val="nil"/>
              <w:left w:val="nil"/>
              <w:bottom w:val="single" w:sz="4" w:space="0" w:color="auto"/>
              <w:right w:val="single" w:sz="4" w:space="0" w:color="auto"/>
            </w:tcBorders>
            <w:noWrap/>
            <w:vAlign w:val="center"/>
            <w:hideMark/>
          </w:tcPr>
          <w:p w14:paraId="6214F668"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140 Hits</w:t>
            </w:r>
          </w:p>
        </w:tc>
        <w:tc>
          <w:tcPr>
            <w:tcW w:w="993" w:type="dxa"/>
            <w:tcBorders>
              <w:top w:val="nil"/>
              <w:left w:val="nil"/>
              <w:bottom w:val="single" w:sz="4" w:space="0" w:color="auto"/>
              <w:right w:val="single" w:sz="4" w:space="0" w:color="auto"/>
            </w:tcBorders>
            <w:noWrap/>
            <w:vAlign w:val="center"/>
            <w:hideMark/>
          </w:tcPr>
          <w:p w14:paraId="593DEC4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 Hits</w:t>
            </w:r>
          </w:p>
        </w:tc>
      </w:tr>
      <w:tr w:rsidR="00521F8B" w:rsidRPr="00521F8B" w14:paraId="2B06F9F1"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3B498EFF"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Inventory of Food Contact Substances Listed in 21 CFR</w:t>
            </w:r>
          </w:p>
        </w:tc>
        <w:tc>
          <w:tcPr>
            <w:tcW w:w="1091" w:type="dxa"/>
            <w:tcBorders>
              <w:top w:val="nil"/>
              <w:left w:val="nil"/>
              <w:bottom w:val="single" w:sz="4" w:space="0" w:color="auto"/>
              <w:right w:val="single" w:sz="4" w:space="0" w:color="auto"/>
            </w:tcBorders>
            <w:noWrap/>
            <w:vAlign w:val="center"/>
            <w:hideMark/>
          </w:tcPr>
          <w:p w14:paraId="0FFF9AA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118 Hits</w:t>
            </w:r>
          </w:p>
        </w:tc>
        <w:tc>
          <w:tcPr>
            <w:tcW w:w="993" w:type="dxa"/>
            <w:tcBorders>
              <w:top w:val="nil"/>
              <w:left w:val="nil"/>
              <w:bottom w:val="single" w:sz="4" w:space="0" w:color="auto"/>
              <w:right w:val="single" w:sz="4" w:space="0" w:color="auto"/>
            </w:tcBorders>
            <w:noWrap/>
            <w:vAlign w:val="center"/>
            <w:hideMark/>
          </w:tcPr>
          <w:p w14:paraId="5BDC3C6D"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6 Hits</w:t>
            </w:r>
          </w:p>
        </w:tc>
      </w:tr>
      <w:tr w:rsidR="00521F8B" w:rsidRPr="00521F8B" w14:paraId="31A0D1C2"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45AF4BF2"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New Plant Variety Consultations</w:t>
            </w:r>
          </w:p>
        </w:tc>
        <w:tc>
          <w:tcPr>
            <w:tcW w:w="1091" w:type="dxa"/>
            <w:tcBorders>
              <w:top w:val="nil"/>
              <w:left w:val="nil"/>
              <w:bottom w:val="single" w:sz="4" w:space="0" w:color="auto"/>
              <w:right w:val="single" w:sz="4" w:space="0" w:color="auto"/>
            </w:tcBorders>
            <w:noWrap/>
            <w:vAlign w:val="center"/>
            <w:hideMark/>
          </w:tcPr>
          <w:p w14:paraId="710161FF"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5D1960BB"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74437D5E"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019BC191"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New Protein Consultations </w:t>
            </w:r>
          </w:p>
        </w:tc>
        <w:tc>
          <w:tcPr>
            <w:tcW w:w="1091" w:type="dxa"/>
            <w:tcBorders>
              <w:top w:val="nil"/>
              <w:left w:val="nil"/>
              <w:bottom w:val="single" w:sz="4" w:space="0" w:color="auto"/>
              <w:right w:val="single" w:sz="4" w:space="0" w:color="auto"/>
            </w:tcBorders>
            <w:noWrap/>
            <w:vAlign w:val="center"/>
            <w:hideMark/>
          </w:tcPr>
          <w:p w14:paraId="4F5D9318"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53E0DB22"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274700C7"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5C2D6D11"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Post-market Determinations that the Use of a Substance is not GRAS</w:t>
            </w:r>
          </w:p>
        </w:tc>
        <w:tc>
          <w:tcPr>
            <w:tcW w:w="1091" w:type="dxa"/>
            <w:tcBorders>
              <w:top w:val="nil"/>
              <w:left w:val="nil"/>
              <w:bottom w:val="single" w:sz="4" w:space="0" w:color="auto"/>
              <w:right w:val="single" w:sz="4" w:space="0" w:color="auto"/>
            </w:tcBorders>
            <w:noWrap/>
            <w:vAlign w:val="center"/>
            <w:hideMark/>
          </w:tcPr>
          <w:p w14:paraId="55BE10FF"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 Hits</w:t>
            </w:r>
          </w:p>
        </w:tc>
        <w:tc>
          <w:tcPr>
            <w:tcW w:w="993" w:type="dxa"/>
            <w:tcBorders>
              <w:top w:val="nil"/>
              <w:left w:val="nil"/>
              <w:bottom w:val="single" w:sz="4" w:space="0" w:color="auto"/>
              <w:right w:val="single" w:sz="4" w:space="0" w:color="auto"/>
            </w:tcBorders>
            <w:noWrap/>
            <w:vAlign w:val="center"/>
            <w:hideMark/>
          </w:tcPr>
          <w:p w14:paraId="779EEF15"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7E68A4E8"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69F5876A"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Premarket Meetings Regarding Food from Genome Edited Plants</w:t>
            </w:r>
          </w:p>
        </w:tc>
        <w:tc>
          <w:tcPr>
            <w:tcW w:w="1091" w:type="dxa"/>
            <w:tcBorders>
              <w:top w:val="nil"/>
              <w:left w:val="nil"/>
              <w:bottom w:val="single" w:sz="4" w:space="0" w:color="auto"/>
              <w:right w:val="single" w:sz="4" w:space="0" w:color="auto"/>
            </w:tcBorders>
            <w:noWrap/>
            <w:vAlign w:val="center"/>
            <w:hideMark/>
          </w:tcPr>
          <w:p w14:paraId="0B58E566"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6C651F2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207B37C4"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0F8B49A7"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Regulatory Status of Color Additives</w:t>
            </w:r>
          </w:p>
        </w:tc>
        <w:tc>
          <w:tcPr>
            <w:tcW w:w="1091" w:type="dxa"/>
            <w:tcBorders>
              <w:top w:val="nil"/>
              <w:left w:val="nil"/>
              <w:bottom w:val="single" w:sz="4" w:space="0" w:color="auto"/>
              <w:right w:val="single" w:sz="4" w:space="0" w:color="auto"/>
            </w:tcBorders>
            <w:noWrap/>
            <w:vAlign w:val="center"/>
            <w:hideMark/>
          </w:tcPr>
          <w:p w14:paraId="6D953866"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10A18BC1"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27A1B4F6"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32172D13"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SCOGS (Select Committee on GRAS Substances)</w:t>
            </w:r>
          </w:p>
        </w:tc>
        <w:tc>
          <w:tcPr>
            <w:tcW w:w="1091" w:type="dxa"/>
            <w:tcBorders>
              <w:top w:val="nil"/>
              <w:left w:val="nil"/>
              <w:bottom w:val="single" w:sz="4" w:space="0" w:color="auto"/>
              <w:right w:val="single" w:sz="4" w:space="0" w:color="auto"/>
            </w:tcBorders>
            <w:noWrap/>
            <w:vAlign w:val="center"/>
            <w:hideMark/>
          </w:tcPr>
          <w:p w14:paraId="3E2907B2"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 Hits</w:t>
            </w:r>
          </w:p>
        </w:tc>
        <w:tc>
          <w:tcPr>
            <w:tcW w:w="993" w:type="dxa"/>
            <w:tcBorders>
              <w:top w:val="nil"/>
              <w:left w:val="nil"/>
              <w:bottom w:val="single" w:sz="4" w:space="0" w:color="auto"/>
              <w:right w:val="single" w:sz="4" w:space="0" w:color="auto"/>
            </w:tcBorders>
            <w:noWrap/>
            <w:vAlign w:val="center"/>
            <w:hideMark/>
          </w:tcPr>
          <w:p w14:paraId="471910AE"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22B510F7"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01A7FB5E"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Submissions on Post-Consumer Recycled (PCR) Plastics for Food-Contact Articles</w:t>
            </w:r>
          </w:p>
        </w:tc>
        <w:tc>
          <w:tcPr>
            <w:tcW w:w="1091" w:type="dxa"/>
            <w:tcBorders>
              <w:top w:val="nil"/>
              <w:left w:val="nil"/>
              <w:bottom w:val="single" w:sz="4" w:space="0" w:color="auto"/>
              <w:right w:val="single" w:sz="4" w:space="0" w:color="auto"/>
            </w:tcBorders>
            <w:noWrap/>
            <w:vAlign w:val="center"/>
            <w:hideMark/>
          </w:tcPr>
          <w:p w14:paraId="2462E8E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018D3EF6"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704350CA"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1758884C"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Substances Added to Food (formerly EAFUS)</w:t>
            </w:r>
          </w:p>
        </w:tc>
        <w:tc>
          <w:tcPr>
            <w:tcW w:w="1091" w:type="dxa"/>
            <w:tcBorders>
              <w:top w:val="nil"/>
              <w:left w:val="nil"/>
              <w:bottom w:val="single" w:sz="4" w:space="0" w:color="auto"/>
              <w:right w:val="single" w:sz="4" w:space="0" w:color="auto"/>
            </w:tcBorders>
            <w:noWrap/>
            <w:vAlign w:val="center"/>
            <w:hideMark/>
          </w:tcPr>
          <w:p w14:paraId="3A71878D"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73 Hits</w:t>
            </w:r>
          </w:p>
        </w:tc>
        <w:tc>
          <w:tcPr>
            <w:tcW w:w="993" w:type="dxa"/>
            <w:tcBorders>
              <w:top w:val="nil"/>
              <w:left w:val="nil"/>
              <w:bottom w:val="single" w:sz="4" w:space="0" w:color="auto"/>
              <w:right w:val="single" w:sz="4" w:space="0" w:color="auto"/>
            </w:tcBorders>
            <w:noWrap/>
            <w:vAlign w:val="center"/>
            <w:hideMark/>
          </w:tcPr>
          <w:p w14:paraId="306A120D"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20 Hits</w:t>
            </w:r>
          </w:p>
        </w:tc>
      </w:tr>
      <w:tr w:rsidR="00521F8B" w:rsidRPr="00521F8B" w14:paraId="69078CBC"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617F4DF1"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Threshold of Regulation (TOR) Exemptions</w:t>
            </w:r>
          </w:p>
        </w:tc>
        <w:tc>
          <w:tcPr>
            <w:tcW w:w="1091" w:type="dxa"/>
            <w:tcBorders>
              <w:top w:val="nil"/>
              <w:left w:val="nil"/>
              <w:bottom w:val="single" w:sz="4" w:space="0" w:color="auto"/>
              <w:right w:val="single" w:sz="4" w:space="0" w:color="auto"/>
            </w:tcBorders>
            <w:noWrap/>
            <w:vAlign w:val="center"/>
            <w:hideMark/>
          </w:tcPr>
          <w:p w14:paraId="6BDDFA6E"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3 Hits</w:t>
            </w:r>
          </w:p>
        </w:tc>
        <w:tc>
          <w:tcPr>
            <w:tcW w:w="993" w:type="dxa"/>
            <w:tcBorders>
              <w:top w:val="nil"/>
              <w:left w:val="nil"/>
              <w:bottom w:val="single" w:sz="4" w:space="0" w:color="auto"/>
              <w:right w:val="single" w:sz="4" w:space="0" w:color="auto"/>
            </w:tcBorders>
            <w:noWrap/>
            <w:vAlign w:val="center"/>
            <w:hideMark/>
          </w:tcPr>
          <w:p w14:paraId="3DDD2CAC"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bl>
    <w:p w14:paraId="6183CBDE" w14:textId="77777777" w:rsidR="00521F8B" w:rsidRPr="00521F8B" w:rsidRDefault="00521F8B" w:rsidP="00521F8B">
      <w:pPr>
        <w:jc w:val="both"/>
        <w:rPr>
          <w:rFonts w:ascii="Arial" w:hAnsi="Arial" w:cs="Arial"/>
          <w:b/>
          <w:bCs/>
        </w:rPr>
      </w:pPr>
    </w:p>
    <w:p w14:paraId="1B40EC77" w14:textId="018848D3" w:rsidR="00521F8B" w:rsidRPr="00521F8B" w:rsidRDefault="00521F8B" w:rsidP="00521F8B">
      <w:pPr>
        <w:pStyle w:val="AbstHead"/>
        <w:spacing w:after="0"/>
        <w:jc w:val="both"/>
        <w:rPr>
          <w:rFonts w:ascii="Arial" w:hAnsi="Arial" w:cs="Arial"/>
          <w:bCs/>
        </w:rPr>
      </w:pPr>
      <w:r>
        <w:rPr>
          <w:rFonts w:ascii="Arial" w:hAnsi="Arial" w:cs="Arial"/>
        </w:rPr>
        <w:t xml:space="preserve">8. </w:t>
      </w:r>
      <w:r w:rsidRPr="00521F8B">
        <w:rPr>
          <w:rFonts w:ascii="Arial" w:hAnsi="Arial" w:cs="Arial"/>
          <w:bCs/>
        </w:rPr>
        <w:t>Conclusions and Future Outlook</w:t>
      </w:r>
    </w:p>
    <w:p w14:paraId="19ED016C" w14:textId="77777777" w:rsidR="00A22A1F" w:rsidRDefault="00A22A1F" w:rsidP="00521F8B">
      <w:pPr>
        <w:pStyle w:val="Body"/>
        <w:spacing w:after="0"/>
        <w:rPr>
          <w:rFonts w:ascii="Arial" w:hAnsi="Arial" w:cs="Arial"/>
        </w:rPr>
      </w:pPr>
    </w:p>
    <w:p w14:paraId="173F0697" w14:textId="77777777" w:rsidR="00521F8B" w:rsidRDefault="00521F8B" w:rsidP="00521F8B">
      <w:pPr>
        <w:jc w:val="both"/>
        <w:rPr>
          <w:rFonts w:ascii="Arial" w:hAnsi="Arial" w:cs="Arial"/>
        </w:rPr>
      </w:pPr>
      <w:r w:rsidRPr="00521F8B">
        <w:rPr>
          <w:rFonts w:ascii="Arial" w:hAnsi="Arial" w:cs="Arial"/>
        </w:rPr>
        <w:t>In recent decades, various efforts have been made to replace toxic VOCs in chemical processes, according to the principles of Green Chemistry and Green Extraction. To this end, various approaches have been explored involving both the use of non-toxic solvent systems and green extraction intensification technologies</w:t>
      </w:r>
      <w:r w:rsidRPr="00521F8B">
        <w:rPr>
          <w:rFonts w:ascii="Arial" w:hAnsi="Arial" w:cs="Arial"/>
          <w:vertAlign w:val="superscript"/>
        </w:rPr>
        <w:t>5</w:t>
      </w:r>
      <w:r w:rsidRPr="00521F8B">
        <w:rPr>
          <w:rFonts w:ascii="Arial" w:hAnsi="Arial" w:cs="Arial"/>
        </w:rPr>
        <w:t xml:space="preserve">. One of the great possibilities to replace HEX is EtoAc in big part of their application portfolium. However even for EtoAc still exist and susbtantial lack of background do be evaluated and properly described. </w:t>
      </w:r>
      <w:proofErr w:type="gramStart"/>
      <w:r w:rsidRPr="00521F8B">
        <w:rPr>
          <w:rFonts w:ascii="Arial" w:hAnsi="Arial" w:cs="Arial"/>
        </w:rPr>
        <w:t>Additionally</w:t>
      </w:r>
      <w:proofErr w:type="gramEnd"/>
      <w:r w:rsidRPr="00521F8B">
        <w:rPr>
          <w:rFonts w:ascii="Arial" w:hAnsi="Arial" w:cs="Arial"/>
        </w:rPr>
        <w:t xml:space="preserve"> the lack of accurated data, the number of unclear regulations and non-standarized protocols to proof risk assessment, environmental and health hazard of VOCs as HEX and EtoAc and many other chemicals are still a great challenge to be harmonized.</w:t>
      </w:r>
    </w:p>
    <w:p w14:paraId="370F98CF" w14:textId="77777777" w:rsidR="00CE66CB" w:rsidRDefault="00CE66CB" w:rsidP="00521F8B">
      <w:pPr>
        <w:jc w:val="both"/>
        <w:rPr>
          <w:rFonts w:ascii="Arial" w:hAnsi="Arial" w:cs="Arial"/>
        </w:rPr>
      </w:pPr>
    </w:p>
    <w:p w14:paraId="42ABF527" w14:textId="44A6CF3F" w:rsidR="00CE66CB" w:rsidRDefault="00CE66CB" w:rsidP="00CE66CB"/>
    <w:p w14:paraId="4E696BBE" w14:textId="3D573948" w:rsidR="000F2A99" w:rsidRDefault="000F2A99" w:rsidP="00CE66CB"/>
    <w:p w14:paraId="563D5027" w14:textId="0938CF93" w:rsidR="000F2A99" w:rsidRDefault="000F2A99" w:rsidP="00CE66CB"/>
    <w:p w14:paraId="637FE0FD" w14:textId="77777777" w:rsidR="000F2A99" w:rsidRPr="00315186" w:rsidRDefault="000F2A99" w:rsidP="00CE66CB"/>
    <w:p w14:paraId="1E9A4045" w14:textId="77777777" w:rsidR="00CE66CB" w:rsidRPr="00521F8B" w:rsidRDefault="00CE66CB" w:rsidP="00521F8B">
      <w:pPr>
        <w:jc w:val="both"/>
        <w:rPr>
          <w:rFonts w:ascii="Arial" w:hAnsi="Arial" w:cs="Arial"/>
        </w:rPr>
      </w:pPr>
    </w:p>
    <w:p w14:paraId="0B6E427A" w14:textId="77777777" w:rsidR="00521F8B" w:rsidRDefault="00521F8B" w:rsidP="00521F8B">
      <w:pPr>
        <w:pStyle w:val="Body"/>
        <w:spacing w:after="0"/>
        <w:rPr>
          <w:rFonts w:ascii="Arial" w:hAnsi="Arial" w:cs="Arial"/>
        </w:rPr>
      </w:pPr>
    </w:p>
    <w:p w14:paraId="2FBB6CAB" w14:textId="77777777" w:rsidR="00CE66CB" w:rsidRPr="00CE66CB" w:rsidRDefault="00CE66CB" w:rsidP="00CE66CB">
      <w:pPr>
        <w:spacing w:after="200" w:line="276" w:lineRule="auto"/>
        <w:jc w:val="both"/>
        <w:outlineLvl w:val="0"/>
        <w:rPr>
          <w:rFonts w:ascii="Arial" w:eastAsiaTheme="minorEastAsia" w:hAnsi="Arial" w:cs="Arial"/>
          <w:sz w:val="22"/>
          <w:szCs w:val="22"/>
          <w:lang w:val="en-GB" w:eastAsia="en-GB"/>
        </w:rPr>
      </w:pPr>
      <w:r w:rsidRPr="00CE66CB">
        <w:rPr>
          <w:rFonts w:ascii="Arial" w:eastAsiaTheme="minorEastAsia" w:hAnsi="Arial" w:cs="Arial"/>
          <w:b/>
          <w:bCs/>
          <w:sz w:val="22"/>
          <w:szCs w:val="22"/>
          <w:lang w:val="en-GB" w:eastAsia="en-GB"/>
        </w:rPr>
        <w:lastRenderedPageBreak/>
        <w:t>COMPETING INTERESTS DISCLAIMER:</w:t>
      </w:r>
    </w:p>
    <w:p w14:paraId="4444AA92" w14:textId="77777777" w:rsidR="00CE66CB" w:rsidRPr="00CE66CB" w:rsidRDefault="00CE66CB" w:rsidP="00CE66CB">
      <w:pPr>
        <w:spacing w:after="200" w:line="276" w:lineRule="auto"/>
        <w:rPr>
          <w:rFonts w:asciiTheme="minorHAnsi" w:eastAsiaTheme="minorEastAsia" w:hAnsiTheme="minorHAnsi" w:cstheme="minorBidi"/>
          <w:sz w:val="22"/>
          <w:szCs w:val="22"/>
          <w:lang w:val="en-GB" w:eastAsia="en-GB"/>
        </w:rPr>
      </w:pPr>
      <w:r w:rsidRPr="00CE66C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05C94C2" w14:textId="77777777" w:rsidR="00CE66CB" w:rsidRDefault="00CE66CB" w:rsidP="00521F8B">
      <w:pPr>
        <w:pStyle w:val="AbstHead"/>
        <w:spacing w:after="0"/>
        <w:jc w:val="both"/>
        <w:rPr>
          <w:rFonts w:ascii="Arial" w:hAnsi="Arial" w:cs="Arial"/>
        </w:rPr>
      </w:pPr>
    </w:p>
    <w:p w14:paraId="1F1E7DD7" w14:textId="77777777" w:rsidR="00CE66CB" w:rsidRDefault="00CE66CB" w:rsidP="00521F8B">
      <w:pPr>
        <w:pStyle w:val="AbstHead"/>
        <w:spacing w:after="0"/>
        <w:jc w:val="both"/>
        <w:rPr>
          <w:rFonts w:ascii="Arial" w:hAnsi="Arial" w:cs="Arial"/>
        </w:rPr>
      </w:pPr>
    </w:p>
    <w:p w14:paraId="27E205C5" w14:textId="77777777" w:rsidR="00CE66CB" w:rsidRDefault="00CE66CB" w:rsidP="00521F8B">
      <w:pPr>
        <w:pStyle w:val="AbstHead"/>
        <w:spacing w:after="0"/>
        <w:jc w:val="both"/>
        <w:rPr>
          <w:rFonts w:ascii="Arial" w:hAnsi="Arial" w:cs="Arial"/>
        </w:rPr>
      </w:pPr>
    </w:p>
    <w:p w14:paraId="56870BA5" w14:textId="77777777" w:rsidR="00CE66CB" w:rsidRDefault="00CE66CB" w:rsidP="00521F8B">
      <w:pPr>
        <w:pStyle w:val="AbstHead"/>
        <w:spacing w:after="0"/>
        <w:jc w:val="both"/>
        <w:rPr>
          <w:rFonts w:ascii="Arial" w:hAnsi="Arial" w:cs="Arial"/>
        </w:rPr>
      </w:pPr>
    </w:p>
    <w:p w14:paraId="5FC5FA80" w14:textId="77777777" w:rsidR="00CE66CB" w:rsidRDefault="00CE66CB" w:rsidP="00521F8B">
      <w:pPr>
        <w:pStyle w:val="AbstHead"/>
        <w:spacing w:after="0"/>
        <w:jc w:val="both"/>
        <w:rPr>
          <w:rFonts w:ascii="Arial" w:hAnsi="Arial" w:cs="Arial"/>
        </w:rPr>
      </w:pPr>
    </w:p>
    <w:p w14:paraId="23BE9501" w14:textId="3884F55E" w:rsidR="00521F8B" w:rsidRDefault="00521F8B" w:rsidP="00521F8B">
      <w:pPr>
        <w:pStyle w:val="AbstHead"/>
        <w:spacing w:after="0"/>
        <w:jc w:val="both"/>
        <w:rPr>
          <w:rFonts w:ascii="Arial" w:hAnsi="Arial" w:cs="Arial"/>
          <w:bCs/>
        </w:rPr>
      </w:pPr>
      <w:r>
        <w:rPr>
          <w:rFonts w:ascii="Arial" w:hAnsi="Arial" w:cs="Arial"/>
        </w:rPr>
        <w:t xml:space="preserve">9. </w:t>
      </w:r>
      <w:r w:rsidRPr="00521F8B">
        <w:rPr>
          <w:rFonts w:ascii="Arial" w:hAnsi="Arial" w:cs="Arial"/>
          <w:bCs/>
        </w:rPr>
        <w:t xml:space="preserve">References </w:t>
      </w:r>
    </w:p>
    <w:p w14:paraId="3025C15B" w14:textId="77777777" w:rsidR="00521F8B" w:rsidRDefault="00521F8B" w:rsidP="00521F8B">
      <w:pPr>
        <w:pStyle w:val="AbstHead"/>
        <w:spacing w:after="0"/>
        <w:jc w:val="both"/>
        <w:rPr>
          <w:rFonts w:ascii="Arial" w:hAnsi="Arial" w:cs="Arial"/>
          <w:bCs/>
        </w:rPr>
      </w:pPr>
    </w:p>
    <w:p w14:paraId="7BD1DF65" w14:textId="77777777" w:rsidR="00521F8B" w:rsidRPr="00521F8B" w:rsidRDefault="00521F8B" w:rsidP="00521F8B">
      <w:pPr>
        <w:pStyle w:val="Bibliography"/>
        <w:jc w:val="both"/>
        <w:rPr>
          <w:rFonts w:ascii="Arial" w:hAnsi="Arial" w:cs="Arial"/>
          <w:color w:val="222222"/>
          <w:shd w:val="clear" w:color="auto" w:fill="FFFFFF"/>
        </w:rPr>
      </w:pPr>
      <w:r w:rsidRPr="00521F8B">
        <w:rPr>
          <w:rFonts w:ascii="Arial" w:hAnsi="Arial" w:cs="Arial"/>
          <w:color w:val="222222"/>
          <w:shd w:val="clear" w:color="auto" w:fill="FFFFFF"/>
        </w:rPr>
        <w:t xml:space="preserve">1. </w:t>
      </w:r>
      <w:r w:rsidRPr="00521F8B">
        <w:rPr>
          <w:rFonts w:ascii="Arial" w:hAnsi="Arial" w:cs="Arial"/>
          <w:color w:val="0A0A0A"/>
          <w:shd w:val="clear" w:color="auto" w:fill="FFFFFF"/>
        </w:rPr>
        <w:t>Stelljes ME.</w:t>
      </w:r>
      <w:r w:rsidRPr="00521F8B">
        <w:rPr>
          <w:rStyle w:val="apple-converted-space"/>
          <w:rFonts w:ascii="Arial" w:hAnsi="Arial" w:cs="Arial"/>
          <w:color w:val="0A0A0A"/>
          <w:shd w:val="clear" w:color="auto" w:fill="FFFFFF"/>
        </w:rPr>
        <w:t> </w:t>
      </w:r>
      <w:r w:rsidRPr="00521F8B">
        <w:rPr>
          <w:rStyle w:val="Emphasis"/>
          <w:rFonts w:ascii="Arial" w:hAnsi="Arial" w:cs="Arial"/>
          <w:color w:val="0A0A0A"/>
        </w:rPr>
        <w:t>Toxicology for Non-Toxicologists</w:t>
      </w:r>
      <w:r w:rsidRPr="00521F8B">
        <w:rPr>
          <w:rFonts w:ascii="Arial" w:hAnsi="Arial" w:cs="Arial"/>
          <w:color w:val="0A0A0A"/>
          <w:shd w:val="clear" w:color="auto" w:fill="FFFFFF"/>
        </w:rPr>
        <w:t>. 2nd ed. Government Institutes; 2007</w:t>
      </w:r>
    </w:p>
    <w:p w14:paraId="3D7431E2" w14:textId="77777777" w:rsidR="00521F8B" w:rsidRPr="00521F8B" w:rsidRDefault="00521F8B" w:rsidP="00521F8B">
      <w:pPr>
        <w:pStyle w:val="Bibliography"/>
        <w:jc w:val="both"/>
        <w:rPr>
          <w:rFonts w:ascii="Arial" w:hAnsi="Arial" w:cs="Arial"/>
          <w:color w:val="222222"/>
          <w:shd w:val="clear" w:color="auto" w:fill="FFFFFF"/>
        </w:rPr>
      </w:pPr>
    </w:p>
    <w:p w14:paraId="2DAA7F3F" w14:textId="77777777" w:rsidR="00521F8B" w:rsidRPr="00521F8B" w:rsidRDefault="00521F8B" w:rsidP="00521F8B">
      <w:pPr>
        <w:pStyle w:val="Bibliography"/>
        <w:jc w:val="both"/>
        <w:rPr>
          <w:rFonts w:ascii="Arial" w:hAnsi="Arial" w:cs="Arial"/>
          <w:color w:val="222222"/>
          <w:shd w:val="clear" w:color="auto" w:fill="FFFFFF"/>
        </w:rPr>
      </w:pPr>
      <w:r w:rsidRPr="00521F8B">
        <w:rPr>
          <w:rFonts w:ascii="Arial" w:hAnsi="Arial" w:cs="Arial"/>
          <w:color w:val="222222"/>
          <w:shd w:val="clear" w:color="auto" w:fill="FFFFFF"/>
        </w:rPr>
        <w:t>2. American Chemistry Council. Solid Economy Provides Boost to Chemical Production: ACC Mid-Year Situation &amp; Outlook 2024. American Chemistry Council website. Published June 20, 2024. Accessed October 8, 2025. https://www.americanchemistry.com/chemistry-in-america/news-trends/blog-post/2024/solid-economy-provides-boost-to-chemical-production</w:t>
      </w:r>
    </w:p>
    <w:p w14:paraId="00E06D0E" w14:textId="77777777" w:rsidR="00521F8B" w:rsidRPr="00521F8B" w:rsidRDefault="00521F8B" w:rsidP="00521F8B">
      <w:pPr>
        <w:pStyle w:val="Bibliography"/>
        <w:jc w:val="both"/>
        <w:rPr>
          <w:rFonts w:ascii="Arial" w:hAnsi="Arial" w:cs="Arial"/>
          <w:color w:val="222222"/>
          <w:shd w:val="clear" w:color="auto" w:fill="FFFFFF"/>
        </w:rPr>
      </w:pPr>
    </w:p>
    <w:p w14:paraId="3CC46B68" w14:textId="77777777" w:rsidR="00521F8B" w:rsidRPr="00521F8B" w:rsidRDefault="00521F8B" w:rsidP="00521F8B">
      <w:pPr>
        <w:pStyle w:val="Bibliography"/>
        <w:jc w:val="both"/>
        <w:rPr>
          <w:rFonts w:ascii="Arial" w:hAnsi="Arial" w:cs="Arial"/>
          <w:color w:val="222222"/>
          <w:shd w:val="clear" w:color="auto" w:fill="FFFFFF"/>
        </w:rPr>
      </w:pPr>
      <w:r w:rsidRPr="00521F8B">
        <w:rPr>
          <w:rFonts w:ascii="Arial" w:hAnsi="Arial" w:cs="Arial"/>
          <w:color w:val="222222"/>
          <w:shd w:val="clear" w:color="auto" w:fill="FFFFFF"/>
        </w:rPr>
        <w:t>3.</w:t>
      </w:r>
      <w:r w:rsidRPr="00521F8B">
        <w:rPr>
          <w:rFonts w:ascii="Arial" w:hAnsi="Arial" w:cs="Arial"/>
          <w:color w:val="222222"/>
          <w:shd w:val="clear" w:color="auto" w:fill="FFFFFF"/>
        </w:rPr>
        <w:fldChar w:fldCharType="begin"/>
      </w:r>
      <w:r w:rsidRPr="00521F8B">
        <w:rPr>
          <w:rFonts w:ascii="Arial" w:hAnsi="Arial" w:cs="Arial"/>
          <w:color w:val="222222"/>
          <w:shd w:val="clear" w:color="auto" w:fill="FFFFFF"/>
        </w:rPr>
        <w:instrText xml:space="preserve"> ADDIN ZOTERO_BIBL {"uncited":[],"omitted":[],"custom":[]} CSL_BIBLIOGRAPHY </w:instrText>
      </w:r>
      <w:r w:rsidRPr="00521F8B">
        <w:rPr>
          <w:rFonts w:ascii="Arial" w:hAnsi="Arial" w:cs="Arial"/>
          <w:color w:val="222222"/>
          <w:shd w:val="clear" w:color="auto" w:fill="FFFFFF"/>
        </w:rPr>
        <w:fldChar w:fldCharType="separate"/>
      </w:r>
      <w:r w:rsidRPr="00521F8B">
        <w:rPr>
          <w:rFonts w:ascii="Arial" w:hAnsi="Arial" w:cs="Arial"/>
          <w:color w:val="000000"/>
        </w:rPr>
        <w:t xml:space="preserve">Kumar P, Pandey SK. Chapter 31 - Exploring Hexane’s impact: Toxicological insights, challenges, and forward-looking perspectives. In: Chawla M, Singh J, Kaushik RD, eds. </w:t>
      </w:r>
      <w:r w:rsidRPr="00521F8B">
        <w:rPr>
          <w:rFonts w:ascii="Arial" w:hAnsi="Arial" w:cs="Arial"/>
          <w:i/>
          <w:iCs/>
          <w:color w:val="000000"/>
        </w:rPr>
        <w:t>Hazardous Chemicals</w:t>
      </w:r>
      <w:r w:rsidRPr="00521F8B">
        <w:rPr>
          <w:rFonts w:ascii="Arial" w:hAnsi="Arial" w:cs="Arial"/>
          <w:color w:val="000000"/>
        </w:rPr>
        <w:t>. Academic Press; 2025:453-465. doi: https://doi.org/10.1016/B978-0-323-95235-4.00037-2</w:t>
      </w:r>
    </w:p>
    <w:p w14:paraId="56594CE6" w14:textId="77777777" w:rsidR="00521F8B" w:rsidRPr="00521F8B" w:rsidRDefault="00521F8B" w:rsidP="00521F8B">
      <w:pPr>
        <w:rPr>
          <w:rFonts w:ascii="Arial" w:hAnsi="Arial" w:cs="Arial"/>
        </w:rPr>
      </w:pPr>
    </w:p>
    <w:p w14:paraId="3AE7E9DF" w14:textId="77777777" w:rsidR="00521F8B" w:rsidRPr="00521F8B" w:rsidRDefault="00521F8B" w:rsidP="00521F8B">
      <w:pPr>
        <w:jc w:val="both"/>
        <w:rPr>
          <w:rFonts w:ascii="Arial" w:hAnsi="Arial" w:cs="Arial"/>
          <w:i/>
          <w:iCs/>
          <w:color w:val="222222"/>
          <w:shd w:val="clear" w:color="auto" w:fill="FFFFFF"/>
        </w:rPr>
      </w:pPr>
      <w:r w:rsidRPr="00521F8B">
        <w:rPr>
          <w:rFonts w:ascii="Arial" w:hAnsi="Arial" w:cs="Arial"/>
          <w:shd w:val="clear" w:color="auto" w:fill="FFFFFF"/>
        </w:rPr>
        <w:fldChar w:fldCharType="end"/>
      </w:r>
      <w:r w:rsidRPr="00521F8B">
        <w:rPr>
          <w:rFonts w:ascii="Arial" w:hAnsi="Arial" w:cs="Arial"/>
          <w:shd w:val="clear" w:color="auto" w:fill="FFFFFF"/>
        </w:rPr>
        <w:t xml:space="preserve">4. </w:t>
      </w:r>
      <w:r w:rsidRPr="00521F8B">
        <w:rPr>
          <w:rFonts w:ascii="Arial" w:hAnsi="Arial" w:cs="Arial"/>
          <w:color w:val="222222"/>
          <w:shd w:val="clear" w:color="auto" w:fill="FFFFFF"/>
        </w:rPr>
        <w:t xml:space="preserve">Hartwig A, MAK Commission. Ethyl acetate: MAK Value Documentation, addendum – Translation of the German version from 2017. MAK Collect </w:t>
      </w:r>
      <w:proofErr w:type="spellStart"/>
      <w:r w:rsidRPr="00521F8B">
        <w:rPr>
          <w:rFonts w:ascii="Arial" w:hAnsi="Arial" w:cs="Arial"/>
          <w:color w:val="222222"/>
          <w:shd w:val="clear" w:color="auto" w:fill="FFFFFF"/>
        </w:rPr>
        <w:t>Occup</w:t>
      </w:r>
      <w:proofErr w:type="spellEnd"/>
      <w:r w:rsidRPr="00521F8B">
        <w:rPr>
          <w:rFonts w:ascii="Arial" w:hAnsi="Arial" w:cs="Arial"/>
          <w:color w:val="222222"/>
          <w:shd w:val="clear" w:color="auto" w:fill="FFFFFF"/>
        </w:rPr>
        <w:t xml:space="preserve"> Health </w:t>
      </w:r>
      <w:proofErr w:type="spellStart"/>
      <w:r w:rsidRPr="00521F8B">
        <w:rPr>
          <w:rFonts w:ascii="Arial" w:hAnsi="Arial" w:cs="Arial"/>
          <w:color w:val="222222"/>
          <w:shd w:val="clear" w:color="auto" w:fill="FFFFFF"/>
        </w:rPr>
        <w:t>Saf</w:t>
      </w:r>
      <w:proofErr w:type="spellEnd"/>
      <w:r w:rsidRPr="00521F8B">
        <w:rPr>
          <w:rFonts w:ascii="Arial" w:hAnsi="Arial" w:cs="Arial"/>
          <w:color w:val="222222"/>
          <w:shd w:val="clear" w:color="auto" w:fill="FFFFFF"/>
        </w:rPr>
        <w:t>. 2025;4(4):2027-2044. Doi:</w:t>
      </w:r>
      <w:r w:rsidRPr="00521F8B">
        <w:rPr>
          <w:rFonts w:ascii="Arial" w:hAnsi="Arial" w:cs="Arial"/>
          <w:i/>
          <w:iCs/>
          <w:color w:val="222222"/>
          <w:shd w:val="clear" w:color="auto" w:fill="FFFFFF"/>
        </w:rPr>
        <w:t>10.34865/mb14178e6319_w</w:t>
      </w:r>
    </w:p>
    <w:p w14:paraId="6E03F370" w14:textId="77777777" w:rsidR="00521F8B" w:rsidRPr="00521F8B" w:rsidRDefault="00521F8B" w:rsidP="00521F8B">
      <w:pPr>
        <w:jc w:val="both"/>
        <w:rPr>
          <w:rFonts w:ascii="Arial" w:hAnsi="Arial" w:cs="Arial"/>
          <w:shd w:val="clear" w:color="auto" w:fill="FFFFFF"/>
        </w:rPr>
      </w:pPr>
    </w:p>
    <w:p w14:paraId="289F1151"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 xml:space="preserve">5. Cravotto C, Fabiano-Tixier A-S, </w:t>
      </w:r>
      <w:proofErr w:type="spellStart"/>
      <w:r w:rsidRPr="00521F8B">
        <w:rPr>
          <w:rFonts w:ascii="Arial" w:hAnsi="Arial" w:cs="Arial"/>
          <w:color w:val="222222"/>
          <w:shd w:val="clear" w:color="auto" w:fill="FFFFFF"/>
        </w:rPr>
        <w:t>Claux</w:t>
      </w:r>
      <w:proofErr w:type="spellEnd"/>
      <w:r w:rsidRPr="00521F8B">
        <w:rPr>
          <w:rFonts w:ascii="Arial" w:hAnsi="Arial" w:cs="Arial"/>
          <w:color w:val="222222"/>
          <w:shd w:val="clear" w:color="auto" w:fill="FFFFFF"/>
        </w:rPr>
        <w:t xml:space="preserve"> O, </w:t>
      </w:r>
      <w:proofErr w:type="spellStart"/>
      <w:r w:rsidRPr="00521F8B">
        <w:rPr>
          <w:rFonts w:ascii="Arial" w:hAnsi="Arial" w:cs="Arial"/>
          <w:color w:val="222222"/>
          <w:shd w:val="clear" w:color="auto" w:fill="FFFFFF"/>
        </w:rPr>
        <w:t>Abert-Vian</w:t>
      </w:r>
      <w:proofErr w:type="spellEnd"/>
      <w:r w:rsidRPr="00521F8B">
        <w:rPr>
          <w:rFonts w:ascii="Arial" w:hAnsi="Arial" w:cs="Arial"/>
          <w:color w:val="222222"/>
          <w:shd w:val="clear" w:color="auto" w:fill="FFFFFF"/>
        </w:rPr>
        <w:t xml:space="preserve"> M, </w:t>
      </w:r>
      <w:proofErr w:type="spellStart"/>
      <w:r w:rsidRPr="00521F8B">
        <w:rPr>
          <w:rFonts w:ascii="Arial" w:hAnsi="Arial" w:cs="Arial"/>
          <w:color w:val="222222"/>
          <w:shd w:val="clear" w:color="auto" w:fill="FFFFFF"/>
        </w:rPr>
        <w:t>Tabasso</w:t>
      </w:r>
      <w:proofErr w:type="spellEnd"/>
      <w:r w:rsidRPr="00521F8B">
        <w:rPr>
          <w:rFonts w:ascii="Arial" w:hAnsi="Arial" w:cs="Arial"/>
          <w:color w:val="222222"/>
          <w:shd w:val="clear" w:color="auto" w:fill="FFFFFF"/>
        </w:rPr>
        <w:t xml:space="preserve"> S, </w:t>
      </w:r>
      <w:proofErr w:type="spellStart"/>
      <w:r w:rsidRPr="00521F8B">
        <w:rPr>
          <w:rFonts w:ascii="Arial" w:hAnsi="Arial" w:cs="Arial"/>
          <w:color w:val="222222"/>
          <w:shd w:val="clear" w:color="auto" w:fill="FFFFFF"/>
        </w:rPr>
        <w:t>Cravotto</w:t>
      </w:r>
      <w:proofErr w:type="spellEnd"/>
      <w:r w:rsidRPr="00521F8B">
        <w:rPr>
          <w:rFonts w:ascii="Arial" w:hAnsi="Arial" w:cs="Arial"/>
          <w:color w:val="222222"/>
          <w:shd w:val="clear" w:color="auto" w:fill="FFFFFF"/>
        </w:rPr>
        <w:t xml:space="preserve"> G, </w:t>
      </w:r>
      <w:proofErr w:type="spellStart"/>
      <w:r w:rsidRPr="00521F8B">
        <w:rPr>
          <w:rFonts w:ascii="Arial" w:hAnsi="Arial" w:cs="Arial"/>
          <w:color w:val="222222"/>
          <w:shd w:val="clear" w:color="auto" w:fill="FFFFFF"/>
        </w:rPr>
        <w:t>Chemat</w:t>
      </w:r>
      <w:proofErr w:type="spellEnd"/>
      <w:r w:rsidRPr="00521F8B">
        <w:rPr>
          <w:rFonts w:ascii="Arial" w:hAnsi="Arial" w:cs="Arial"/>
          <w:color w:val="222222"/>
          <w:shd w:val="clear" w:color="auto" w:fill="FFFFFF"/>
        </w:rPr>
        <w:t xml:space="preserve"> F. Towards Substitution of Hexane as Extraction Solvent of Food Products and Ingredients with No Regrets.</w:t>
      </w:r>
      <w:r w:rsidRPr="00521F8B">
        <w:rPr>
          <w:rStyle w:val="apple-converted-space"/>
          <w:rFonts w:ascii="Arial" w:hAnsi="Arial" w:cs="Arial"/>
          <w:color w:val="222222"/>
          <w:shd w:val="clear" w:color="auto" w:fill="FFFFFF"/>
        </w:rPr>
        <w:t> </w:t>
      </w:r>
      <w:r w:rsidRPr="00521F8B">
        <w:rPr>
          <w:rStyle w:val="Emphasis"/>
          <w:rFonts w:ascii="Arial" w:hAnsi="Arial" w:cs="Arial"/>
          <w:color w:val="222222"/>
        </w:rPr>
        <w:t>Foods</w:t>
      </w:r>
      <w:r w:rsidRPr="00521F8B">
        <w:rPr>
          <w:rFonts w:ascii="Arial" w:hAnsi="Arial" w:cs="Arial"/>
          <w:color w:val="222222"/>
          <w:shd w:val="clear" w:color="auto" w:fill="FFFFFF"/>
        </w:rPr>
        <w:t>. 2022; 11(21):3412. https://doi.org/10.3390/foods11213412</w:t>
      </w:r>
    </w:p>
    <w:p w14:paraId="79680D0A" w14:textId="77777777" w:rsidR="00521F8B" w:rsidRPr="00521F8B" w:rsidRDefault="00521F8B" w:rsidP="00521F8B">
      <w:pPr>
        <w:jc w:val="both"/>
        <w:rPr>
          <w:rFonts w:ascii="Arial" w:hAnsi="Arial" w:cs="Arial"/>
          <w:color w:val="222222"/>
          <w:shd w:val="clear" w:color="auto" w:fill="FFFFFF"/>
        </w:rPr>
      </w:pPr>
    </w:p>
    <w:p w14:paraId="27C936D0"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6. Dirgha Raj Joshi &amp; Nisha Adhikari. (2019). An Overview on Common Organic Solvents and Their Toxicity. </w:t>
      </w:r>
      <w:r w:rsidRPr="00521F8B">
        <w:rPr>
          <w:rFonts w:ascii="Arial" w:hAnsi="Arial" w:cs="Arial"/>
          <w:i/>
          <w:iCs/>
          <w:color w:val="222222"/>
          <w:shd w:val="clear" w:color="auto" w:fill="FFFFFF"/>
        </w:rPr>
        <w:t>Journal of Pharmaceutical Research International</w:t>
      </w:r>
      <w:r w:rsidRPr="00521F8B">
        <w:rPr>
          <w:rFonts w:ascii="Arial" w:hAnsi="Arial" w:cs="Arial"/>
          <w:color w:val="222222"/>
          <w:shd w:val="clear" w:color="auto" w:fill="FFFFFF"/>
        </w:rPr>
        <w:t xml:space="preserve">, 2019; </w:t>
      </w:r>
      <w:r w:rsidRPr="00521F8B">
        <w:rPr>
          <w:rFonts w:ascii="Arial" w:hAnsi="Arial" w:cs="Arial"/>
          <w:i/>
          <w:iCs/>
          <w:color w:val="222222"/>
          <w:shd w:val="clear" w:color="auto" w:fill="FFFFFF"/>
        </w:rPr>
        <w:t>28</w:t>
      </w:r>
      <w:r w:rsidRPr="00521F8B">
        <w:rPr>
          <w:rFonts w:ascii="Arial" w:hAnsi="Arial" w:cs="Arial"/>
          <w:color w:val="222222"/>
          <w:shd w:val="clear" w:color="auto" w:fill="FFFFFF"/>
        </w:rPr>
        <w:t>(3), 1–18. https://doi.org/10.9734/jpri/2019/v28i330203</w:t>
      </w:r>
    </w:p>
    <w:p w14:paraId="6D489EE7" w14:textId="77777777" w:rsidR="00521F8B" w:rsidRPr="00521F8B" w:rsidRDefault="00521F8B" w:rsidP="00521F8B">
      <w:pPr>
        <w:jc w:val="both"/>
        <w:rPr>
          <w:rFonts w:ascii="Arial" w:hAnsi="Arial" w:cs="Arial"/>
          <w:color w:val="222222"/>
          <w:shd w:val="clear" w:color="auto" w:fill="FFFFFF"/>
        </w:rPr>
      </w:pPr>
    </w:p>
    <w:p w14:paraId="1604FFDA"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7. Agency for Toxic Substances and Disease Registry. Toxicological Profile for n-Hexane. Atlanta, GA: U.S. Dept. of Health and Human Services, Public Health Service, 2024. https://www.atsdr.cdc.gov/toxprofiles/tp113.pdf [accessed 7 October 2025]</w:t>
      </w:r>
    </w:p>
    <w:p w14:paraId="58D8124E" w14:textId="77777777" w:rsidR="00521F8B" w:rsidRPr="00521F8B" w:rsidRDefault="00521F8B" w:rsidP="00521F8B">
      <w:pPr>
        <w:jc w:val="both"/>
        <w:rPr>
          <w:rFonts w:ascii="Arial" w:hAnsi="Arial" w:cs="Arial"/>
          <w:color w:val="222222"/>
          <w:shd w:val="clear" w:color="auto" w:fill="FFFFFF"/>
        </w:rPr>
      </w:pPr>
    </w:p>
    <w:p w14:paraId="74431871"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8. U.S. Environmental Protection Agency. Toxicological Review of n-Hexane (CAS No. 110-54-3) in Support of Summary Information on the Integrated Risk Information System (IRIS). EPA/635/R-03/012. November 2005. https://iris.epa.gov/ChemicalLanding/&amp;substance_nmbr=486 [accessed 7 October 2025]</w:t>
      </w:r>
    </w:p>
    <w:p w14:paraId="4D0DACA6" w14:textId="77777777" w:rsidR="00521F8B" w:rsidRPr="00521F8B" w:rsidRDefault="00521F8B" w:rsidP="00521F8B">
      <w:pPr>
        <w:jc w:val="both"/>
        <w:rPr>
          <w:rFonts w:ascii="Arial" w:hAnsi="Arial" w:cs="Arial"/>
          <w:color w:val="222222"/>
          <w:shd w:val="clear" w:color="auto" w:fill="FFFFFF"/>
        </w:rPr>
      </w:pPr>
    </w:p>
    <w:p w14:paraId="20A5310D"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9. U.S. Environmental Protection Agency. IRIS Toxicological Review and Summary for n-Hexane [Internet]. Washington, DC: U.S. Environmental Protection Agency; Last Revised December 23, 2005 [cited 2025 Oct 7]. https://iris.epa.gov/static/pdfs/0486_summary.pdf [accessed 7 October 2025]</w:t>
      </w:r>
    </w:p>
    <w:p w14:paraId="7C5783E7" w14:textId="77777777" w:rsidR="00521F8B" w:rsidRPr="00521F8B" w:rsidRDefault="00521F8B" w:rsidP="00521F8B">
      <w:pPr>
        <w:jc w:val="both"/>
        <w:rPr>
          <w:rFonts w:ascii="Arial" w:hAnsi="Arial" w:cs="Arial"/>
          <w:color w:val="222222"/>
          <w:shd w:val="clear" w:color="auto" w:fill="FFFFFF"/>
        </w:rPr>
      </w:pPr>
    </w:p>
    <w:p w14:paraId="446C405C"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lastRenderedPageBreak/>
        <w:t>10. U.S. Environmental Protection Agency. IRIS Toxicological Review and Summary for Ethyl acetate [Internet]. Washington, DC: U.S. Environmental Protection Agency; Last Revised March 1, 1987 [cited 2025 Oct 7]. https://iris.epa.gov/static/pdfs/0157_summary.pdf [accessed 7 October 2025]</w:t>
      </w:r>
    </w:p>
    <w:p w14:paraId="07EDE49D" w14:textId="77777777" w:rsidR="00521F8B" w:rsidRPr="00521F8B" w:rsidRDefault="00521F8B" w:rsidP="00521F8B">
      <w:pPr>
        <w:jc w:val="both"/>
        <w:rPr>
          <w:rFonts w:ascii="Arial" w:hAnsi="Arial" w:cs="Arial"/>
          <w:color w:val="222222"/>
          <w:shd w:val="clear" w:color="auto" w:fill="FFFFFF"/>
        </w:rPr>
      </w:pPr>
    </w:p>
    <w:p w14:paraId="4C6810AF"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11. National Center for Biotechnology Information. PubChem Compound Summary for CID 8857, Ethyl Acetate. https://pubchem.ncbi.nlm.nih.gov/compound/Ethyl-Acetate. [accessed 7 October 2025]</w:t>
      </w:r>
    </w:p>
    <w:p w14:paraId="4F54E583" w14:textId="77777777" w:rsidR="00521F8B" w:rsidRPr="00521F8B" w:rsidRDefault="00521F8B" w:rsidP="00521F8B">
      <w:pPr>
        <w:jc w:val="both"/>
        <w:rPr>
          <w:rFonts w:ascii="Arial" w:hAnsi="Arial" w:cs="Arial"/>
          <w:color w:val="222222"/>
          <w:shd w:val="clear" w:color="auto" w:fill="FFFFFF"/>
        </w:rPr>
      </w:pPr>
    </w:p>
    <w:p w14:paraId="06F5A790"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12. National Center for Biotechnology Information. PubChem Compound Summary for CID 8058, Hexane. https://pubchem.ncbi.nlm.nih.gov/compound/Hexane. [accessed 7 October 2025]</w:t>
      </w:r>
    </w:p>
    <w:p w14:paraId="1929F20B" w14:textId="77777777" w:rsidR="00521F8B" w:rsidRPr="00521F8B" w:rsidRDefault="00521F8B" w:rsidP="00521F8B">
      <w:pPr>
        <w:jc w:val="both"/>
        <w:rPr>
          <w:rFonts w:ascii="Arial" w:hAnsi="Arial" w:cs="Arial"/>
          <w:color w:val="222222"/>
          <w:shd w:val="clear" w:color="auto" w:fill="FFFFFF"/>
        </w:rPr>
      </w:pPr>
    </w:p>
    <w:p w14:paraId="79374258"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 xml:space="preserve">13. Polymer Handbook”, Eds. Brandrup, J.; </w:t>
      </w:r>
      <w:proofErr w:type="spellStart"/>
      <w:r w:rsidRPr="00521F8B">
        <w:rPr>
          <w:rFonts w:ascii="Arial" w:hAnsi="Arial" w:cs="Arial"/>
          <w:color w:val="222222"/>
          <w:shd w:val="clear" w:color="auto" w:fill="FFFFFF"/>
        </w:rPr>
        <w:t>Immergut</w:t>
      </w:r>
      <w:proofErr w:type="spellEnd"/>
      <w:r w:rsidRPr="00521F8B">
        <w:rPr>
          <w:rFonts w:ascii="Arial" w:hAnsi="Arial" w:cs="Arial"/>
          <w:color w:val="222222"/>
          <w:shd w:val="clear" w:color="auto" w:fill="FFFFFF"/>
        </w:rPr>
        <w:t xml:space="preserve">, E.H.; </w:t>
      </w:r>
      <w:proofErr w:type="spellStart"/>
      <w:r w:rsidRPr="00521F8B">
        <w:rPr>
          <w:rFonts w:ascii="Arial" w:hAnsi="Arial" w:cs="Arial"/>
          <w:color w:val="222222"/>
          <w:shd w:val="clear" w:color="auto" w:fill="FFFFFF"/>
        </w:rPr>
        <w:t>Grulke</w:t>
      </w:r>
      <w:proofErr w:type="spellEnd"/>
      <w:r w:rsidRPr="00521F8B">
        <w:rPr>
          <w:rFonts w:ascii="Arial" w:hAnsi="Arial" w:cs="Arial"/>
          <w:color w:val="222222"/>
          <w:shd w:val="clear" w:color="auto" w:fill="FFFFFF"/>
        </w:rPr>
        <w:t>, E.A., 4th Edition, John Wiley, New York, 1999, VII /675-711</w:t>
      </w:r>
    </w:p>
    <w:p w14:paraId="57F92C91" w14:textId="77777777" w:rsidR="00521F8B" w:rsidRPr="00521F8B" w:rsidRDefault="00521F8B" w:rsidP="00521F8B">
      <w:pPr>
        <w:jc w:val="both"/>
        <w:rPr>
          <w:rFonts w:ascii="Arial" w:hAnsi="Arial" w:cs="Arial"/>
          <w:color w:val="222222"/>
          <w:shd w:val="clear" w:color="auto" w:fill="FFFFFF"/>
        </w:rPr>
      </w:pPr>
    </w:p>
    <w:p w14:paraId="0D2FA799"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 xml:space="preserve">14. Phasha M, Petersen A, Görgens J. Process flowsheet development for bio-ethyl acetate production from sugar mill feedstocks: A techno-economic approach. </w:t>
      </w:r>
      <w:r w:rsidRPr="00521F8B">
        <w:rPr>
          <w:rFonts w:ascii="Arial" w:hAnsi="Arial" w:cs="Arial"/>
          <w:i/>
          <w:iCs/>
          <w:color w:val="222222"/>
          <w:shd w:val="clear" w:color="auto" w:fill="FFFFFF"/>
        </w:rPr>
        <w:t>Chem Eng Res Des</w:t>
      </w:r>
      <w:r w:rsidRPr="00521F8B">
        <w:rPr>
          <w:rFonts w:ascii="Arial" w:hAnsi="Arial" w:cs="Arial"/>
          <w:color w:val="222222"/>
          <w:shd w:val="clear" w:color="auto" w:fill="FFFFFF"/>
        </w:rPr>
        <w:t>. 2025;</w:t>
      </w:r>
      <w:proofErr w:type="gramStart"/>
      <w:r w:rsidRPr="00521F8B">
        <w:rPr>
          <w:rFonts w:ascii="Arial" w:hAnsi="Arial" w:cs="Arial"/>
          <w:color w:val="222222"/>
          <w:shd w:val="clear" w:color="auto" w:fill="FFFFFF"/>
        </w:rPr>
        <w:t>217:10.1016/j.cherd</w:t>
      </w:r>
      <w:proofErr w:type="gramEnd"/>
      <w:r w:rsidRPr="00521F8B">
        <w:rPr>
          <w:rFonts w:ascii="Arial" w:hAnsi="Arial" w:cs="Arial"/>
          <w:color w:val="222222"/>
          <w:shd w:val="clear" w:color="auto" w:fill="FFFFFF"/>
        </w:rPr>
        <w:t>.2025.03.026</w:t>
      </w:r>
    </w:p>
    <w:p w14:paraId="783D41CA" w14:textId="77777777" w:rsidR="00521F8B" w:rsidRPr="00521F8B" w:rsidRDefault="00521F8B" w:rsidP="00521F8B">
      <w:pPr>
        <w:jc w:val="both"/>
        <w:rPr>
          <w:rFonts w:ascii="Arial" w:hAnsi="Arial" w:cs="Arial"/>
          <w:color w:val="222222"/>
          <w:shd w:val="clear" w:color="auto" w:fill="FFFFFF"/>
        </w:rPr>
      </w:pPr>
    </w:p>
    <w:p w14:paraId="6111DED6" w14:textId="77777777" w:rsidR="00521F8B" w:rsidRPr="00521F8B" w:rsidRDefault="00521F8B" w:rsidP="00521F8B">
      <w:pPr>
        <w:rPr>
          <w:rFonts w:ascii="Arial" w:hAnsi="Arial" w:cs="Arial"/>
        </w:rPr>
      </w:pPr>
      <w:r w:rsidRPr="00521F8B">
        <w:rPr>
          <w:rFonts w:ascii="Arial" w:hAnsi="Arial" w:cs="Arial"/>
          <w:color w:val="222222"/>
          <w:shd w:val="clear" w:color="auto" w:fill="FFFFFF"/>
        </w:rPr>
        <w:t xml:space="preserve">15. </w:t>
      </w:r>
      <w:r w:rsidRPr="00521F8B">
        <w:rPr>
          <w:rFonts w:ascii="Arial" w:hAnsi="Arial" w:cs="Arial"/>
        </w:rPr>
        <w:t>Copilot. Environmental fate of hexane and ethyl acetate [illustration]. Microsoft Copilot; October 2025. Accessed October 9, 2025</w:t>
      </w:r>
    </w:p>
    <w:p w14:paraId="059EACB6" w14:textId="77777777" w:rsidR="00521F8B" w:rsidRPr="00521F8B" w:rsidRDefault="00521F8B" w:rsidP="00521F8B">
      <w:pPr>
        <w:rPr>
          <w:rFonts w:ascii="Arial" w:hAnsi="Arial" w:cs="Arial"/>
        </w:rPr>
      </w:pPr>
    </w:p>
    <w:p w14:paraId="335463FC" w14:textId="77777777" w:rsidR="00521F8B" w:rsidRPr="00521F8B" w:rsidRDefault="00521F8B" w:rsidP="00521F8B">
      <w:pPr>
        <w:jc w:val="both"/>
        <w:rPr>
          <w:rFonts w:ascii="Arial" w:hAnsi="Arial" w:cs="Arial"/>
        </w:rPr>
      </w:pPr>
      <w:r w:rsidRPr="00521F8B">
        <w:rPr>
          <w:rFonts w:ascii="Arial" w:hAnsi="Arial" w:cs="Arial"/>
        </w:rPr>
        <w:t>16.</w:t>
      </w:r>
      <w:r w:rsidRPr="00521F8B">
        <w:rPr>
          <w:rFonts w:ascii="Arial" w:hAnsi="Arial" w:cs="Arial"/>
          <w:b/>
          <w:bCs/>
        </w:rPr>
        <w:t xml:space="preserve"> </w:t>
      </w:r>
      <w:r w:rsidRPr="00521F8B">
        <w:rPr>
          <w:rFonts w:ascii="Arial" w:hAnsi="Arial" w:cs="Arial"/>
        </w:rPr>
        <w:t>Copilot. Explanation of environmental fate and transport of hexane and ethyl acetate. Microsoft Copilot; October 2025. Accessed October 9, 2025</w:t>
      </w:r>
    </w:p>
    <w:p w14:paraId="478C9848" w14:textId="77777777" w:rsidR="00521F8B" w:rsidRPr="00521F8B" w:rsidRDefault="00521F8B" w:rsidP="00521F8B">
      <w:pPr>
        <w:jc w:val="both"/>
        <w:rPr>
          <w:rFonts w:ascii="Arial" w:hAnsi="Arial" w:cs="Arial"/>
        </w:rPr>
      </w:pPr>
    </w:p>
    <w:p w14:paraId="77BAE4E9" w14:textId="77777777" w:rsidR="00521F8B" w:rsidRPr="00521F8B" w:rsidRDefault="00521F8B" w:rsidP="00521F8B">
      <w:pPr>
        <w:jc w:val="both"/>
        <w:rPr>
          <w:rFonts w:ascii="Arial" w:hAnsi="Arial" w:cs="Arial"/>
        </w:rPr>
      </w:pPr>
      <w:r w:rsidRPr="00521F8B">
        <w:rPr>
          <w:rFonts w:ascii="Arial" w:hAnsi="Arial" w:cs="Arial"/>
        </w:rPr>
        <w:t>17. Wexler P, ed. </w:t>
      </w:r>
      <w:r w:rsidRPr="00521F8B">
        <w:rPr>
          <w:rFonts w:ascii="Arial" w:hAnsi="Arial" w:cs="Arial"/>
          <w:i/>
          <w:iCs/>
        </w:rPr>
        <w:t>Encyclopedia of Toxicology</w:t>
      </w:r>
      <w:r w:rsidRPr="00521F8B">
        <w:rPr>
          <w:rFonts w:ascii="Arial" w:hAnsi="Arial" w:cs="Arial"/>
        </w:rPr>
        <w:t>. 4th ed. Academic Press; 2024</w:t>
      </w:r>
    </w:p>
    <w:p w14:paraId="57ECA7EB" w14:textId="77777777" w:rsidR="00521F8B" w:rsidRPr="00521F8B" w:rsidRDefault="00521F8B" w:rsidP="00521F8B">
      <w:pPr>
        <w:jc w:val="both"/>
        <w:rPr>
          <w:rFonts w:ascii="Arial" w:hAnsi="Arial" w:cs="Arial"/>
        </w:rPr>
      </w:pPr>
    </w:p>
    <w:p w14:paraId="2CF2C427" w14:textId="77777777" w:rsidR="00521F8B" w:rsidRPr="00521F8B" w:rsidRDefault="00521F8B" w:rsidP="00521F8B">
      <w:pPr>
        <w:jc w:val="both"/>
        <w:rPr>
          <w:rFonts w:ascii="Arial" w:hAnsi="Arial" w:cs="Arial"/>
        </w:rPr>
      </w:pPr>
      <w:r w:rsidRPr="00521F8B">
        <w:rPr>
          <w:rFonts w:ascii="Arial" w:hAnsi="Arial" w:cs="Arial"/>
        </w:rPr>
        <w:t>18. OECD, European Chemicals Agency. eChemPortal: The Global Portal to Information on Chemical Substances. https://echemportal.org/echemportal/. [accessed 10 October, 2025]</w:t>
      </w:r>
    </w:p>
    <w:p w14:paraId="785BE794" w14:textId="77777777" w:rsidR="00521F8B" w:rsidRPr="00521F8B" w:rsidRDefault="00521F8B" w:rsidP="00521F8B">
      <w:pPr>
        <w:jc w:val="both"/>
        <w:rPr>
          <w:rFonts w:ascii="Arial" w:hAnsi="Arial" w:cs="Arial"/>
        </w:rPr>
      </w:pPr>
    </w:p>
    <w:p w14:paraId="78D009AE" w14:textId="77777777" w:rsidR="00521F8B" w:rsidRPr="00521F8B" w:rsidRDefault="00521F8B" w:rsidP="00521F8B">
      <w:pPr>
        <w:jc w:val="both"/>
        <w:rPr>
          <w:rFonts w:ascii="Arial" w:hAnsi="Arial" w:cs="Arial"/>
        </w:rPr>
      </w:pPr>
      <w:r w:rsidRPr="00521F8B">
        <w:rPr>
          <w:rFonts w:ascii="Arial" w:hAnsi="Arial" w:cs="Arial"/>
        </w:rPr>
        <w:t>19. World Health Organization. Globally harmonized system of classification and labelling of chemicals (GHS). 4th rev. United Nations; 2011. https://www.who.int/publications/i/item/9789211169542. [accessed 10 October, 2025]</w:t>
      </w:r>
    </w:p>
    <w:p w14:paraId="60104E39" w14:textId="77777777" w:rsidR="00521F8B" w:rsidRPr="00521F8B" w:rsidRDefault="00521F8B" w:rsidP="00521F8B">
      <w:pPr>
        <w:jc w:val="both"/>
        <w:rPr>
          <w:rFonts w:ascii="Arial" w:hAnsi="Arial" w:cs="Arial"/>
        </w:rPr>
      </w:pPr>
    </w:p>
    <w:p w14:paraId="6C95BDD7" w14:textId="77777777" w:rsidR="00521F8B" w:rsidRPr="00521F8B" w:rsidRDefault="00521F8B" w:rsidP="00521F8B">
      <w:pPr>
        <w:jc w:val="both"/>
        <w:rPr>
          <w:rFonts w:ascii="Arial" w:hAnsi="Arial" w:cs="Arial"/>
        </w:rPr>
      </w:pPr>
      <w:r w:rsidRPr="00521F8B">
        <w:rPr>
          <w:rFonts w:ascii="Arial" w:hAnsi="Arial" w:cs="Arial"/>
        </w:rPr>
        <w:t>20. Intratec. 2024. Ethyl Acetate Production from Ethanol, Report ICC-PREV-</w:t>
      </w:r>
    </w:p>
    <w:p w14:paraId="47A0D8D7" w14:textId="77777777" w:rsidR="00521F8B" w:rsidRPr="00521F8B" w:rsidRDefault="00521F8B" w:rsidP="00521F8B">
      <w:pPr>
        <w:jc w:val="both"/>
        <w:rPr>
          <w:rFonts w:ascii="Arial" w:hAnsi="Arial" w:cs="Arial"/>
        </w:rPr>
      </w:pPr>
      <w:r w:rsidRPr="00521F8B">
        <w:rPr>
          <w:rFonts w:ascii="Arial" w:hAnsi="Arial" w:cs="Arial"/>
        </w:rPr>
        <w:t>012-B-PREM-USA. In: Intratec Commodity Production Costs. Volume 12 (Ethyl Acetate). Issue B. Premium Edition. Rev 0. https://cdn.intratec.us/_nt/docs/icc/previews/INTRATEC-ICC-PREV-012-B-PREM-USA.pdf. [accessed 10 October, 2025]</w:t>
      </w:r>
    </w:p>
    <w:p w14:paraId="00AB93FD" w14:textId="77777777" w:rsidR="00521F8B" w:rsidRPr="00521F8B" w:rsidRDefault="00521F8B" w:rsidP="00521F8B">
      <w:pPr>
        <w:jc w:val="both"/>
        <w:rPr>
          <w:rFonts w:ascii="Arial" w:hAnsi="Arial" w:cs="Arial"/>
        </w:rPr>
      </w:pPr>
    </w:p>
    <w:p w14:paraId="51590941" w14:textId="77777777" w:rsidR="00521F8B" w:rsidRPr="00521F8B" w:rsidRDefault="00521F8B" w:rsidP="00521F8B">
      <w:pPr>
        <w:jc w:val="both"/>
        <w:rPr>
          <w:rFonts w:ascii="Arial" w:hAnsi="Arial" w:cs="Arial"/>
        </w:rPr>
      </w:pPr>
      <w:r w:rsidRPr="00521F8B">
        <w:rPr>
          <w:rFonts w:ascii="Arial" w:hAnsi="Arial" w:cs="Arial"/>
        </w:rPr>
        <w:t xml:space="preserve">21. Department of Climate Change, Energy, the Environment and Water. Ethyl acetate. National Pollutant Inventory. Updated June 30, 2022. https://www.dcceew.gov.au/environment/protection/npi/substances/fact-sheets/ethyl-acetate#tabs-1 [accessed 10 </w:t>
      </w:r>
      <w:proofErr w:type="gramStart"/>
      <w:r w:rsidRPr="00521F8B">
        <w:rPr>
          <w:rFonts w:ascii="Arial" w:hAnsi="Arial" w:cs="Arial"/>
        </w:rPr>
        <w:t>October ,</w:t>
      </w:r>
      <w:proofErr w:type="gramEnd"/>
      <w:r w:rsidRPr="00521F8B">
        <w:rPr>
          <w:rFonts w:ascii="Arial" w:hAnsi="Arial" w:cs="Arial"/>
        </w:rPr>
        <w:t xml:space="preserve"> 2025]</w:t>
      </w:r>
    </w:p>
    <w:p w14:paraId="5FC4F33B" w14:textId="77777777" w:rsidR="00521F8B" w:rsidRPr="00521F8B" w:rsidRDefault="00521F8B" w:rsidP="00521F8B">
      <w:pPr>
        <w:jc w:val="both"/>
        <w:rPr>
          <w:rFonts w:ascii="Arial" w:hAnsi="Arial" w:cs="Arial"/>
        </w:rPr>
      </w:pPr>
    </w:p>
    <w:p w14:paraId="21B403F7" w14:textId="77777777" w:rsidR="00521F8B" w:rsidRPr="00521F8B" w:rsidRDefault="00521F8B" w:rsidP="00521F8B">
      <w:pPr>
        <w:jc w:val="both"/>
        <w:rPr>
          <w:rFonts w:ascii="Arial" w:hAnsi="Arial" w:cs="Arial"/>
        </w:rPr>
      </w:pPr>
      <w:r w:rsidRPr="00521F8B">
        <w:rPr>
          <w:rFonts w:ascii="Arial" w:hAnsi="Arial" w:cs="Arial"/>
        </w:rPr>
        <w:t xml:space="preserve">22. </w:t>
      </w:r>
      <w:r w:rsidRPr="00521F8B">
        <w:rPr>
          <w:rFonts w:ascii="Arial" w:hAnsi="Arial" w:cs="Arial"/>
          <w:color w:val="0A0A0A"/>
          <w:shd w:val="clear" w:color="auto" w:fill="FFFFFF"/>
        </w:rPr>
        <w:t>Food and Drug Administration. Food ingredients and packaging.</w:t>
      </w:r>
      <w:r w:rsidRPr="00521F8B">
        <w:rPr>
          <w:rStyle w:val="apple-converted-space"/>
          <w:rFonts w:ascii="Arial" w:hAnsi="Arial" w:cs="Arial"/>
          <w:color w:val="0A0A0A"/>
          <w:shd w:val="clear" w:color="auto" w:fill="FFFFFF"/>
        </w:rPr>
        <w:t> </w:t>
      </w:r>
      <w:r w:rsidRPr="00521F8B">
        <w:rPr>
          <w:rStyle w:val="Strong"/>
          <w:rFonts w:ascii="Arial" w:hAnsi="Arial" w:cs="Arial"/>
          <w:color w:val="0A0A0A"/>
        </w:rPr>
        <w:t>In:</w:t>
      </w:r>
      <w:r w:rsidRPr="00521F8B">
        <w:rPr>
          <w:rStyle w:val="apple-converted-space"/>
          <w:rFonts w:ascii="Arial" w:hAnsi="Arial" w:cs="Arial"/>
          <w:color w:val="0A0A0A"/>
          <w:shd w:val="clear" w:color="auto" w:fill="FFFFFF"/>
        </w:rPr>
        <w:t> </w:t>
      </w:r>
      <w:r w:rsidRPr="00521F8B">
        <w:rPr>
          <w:rStyle w:val="Emphasis"/>
          <w:rFonts w:ascii="Arial" w:hAnsi="Arial" w:cs="Arial"/>
          <w:color w:val="0A0A0A"/>
        </w:rPr>
        <w:t>FDA Food Contact Substance Inventory</w:t>
      </w:r>
      <w:r w:rsidRPr="00521F8B">
        <w:rPr>
          <w:rStyle w:val="apple-converted-space"/>
          <w:rFonts w:ascii="Arial" w:hAnsi="Arial" w:cs="Arial"/>
          <w:color w:val="0A0A0A"/>
          <w:shd w:val="clear" w:color="auto" w:fill="FFFFFF"/>
        </w:rPr>
        <w:t> </w:t>
      </w:r>
      <w:r w:rsidRPr="00521F8B">
        <w:rPr>
          <w:rFonts w:ascii="Arial" w:hAnsi="Arial" w:cs="Arial"/>
          <w:color w:val="0A0A0A"/>
          <w:shd w:val="clear" w:color="auto" w:fill="FFFFFF"/>
        </w:rPr>
        <w:t>[database online]. Updated October 10, 2025. https://www.hfpappexternal.fda.gov/scripts/fdcc/index.cfm?cat=FoodIngredientsPackaging&amp;type=basic&amp;search=. [accessed 10 October, 2025]</w:t>
      </w:r>
    </w:p>
    <w:p w14:paraId="150B7E77" w14:textId="77777777" w:rsidR="00790ADA" w:rsidRPr="00FB3A86" w:rsidRDefault="00790ADA" w:rsidP="00441B6F">
      <w:pPr>
        <w:pStyle w:val="Body"/>
        <w:spacing w:after="0"/>
        <w:rPr>
          <w:rFonts w:ascii="Arial" w:hAnsi="Arial" w:cs="Arial"/>
        </w:rPr>
      </w:pPr>
    </w:p>
    <w:p w14:paraId="5FCDDBE1" w14:textId="00F8BFDE" w:rsidR="004D4277" w:rsidRPr="00FB3A86" w:rsidRDefault="004D4277" w:rsidP="00441B6F">
      <w:pPr>
        <w:pStyle w:val="Appendix"/>
        <w:spacing w:after="0"/>
        <w:jc w:val="both"/>
        <w:rPr>
          <w:rFonts w:ascii="Arial" w:hAnsi="Arial" w:cs="Arial"/>
          <w:b w:val="0"/>
        </w:rPr>
        <w:sectPr w:rsidR="004D4277" w:rsidRPr="00FB3A86" w:rsidSect="00777FFB">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77793BD9" w14:textId="77777777" w:rsidR="00B01FCD" w:rsidRPr="00FB3A86" w:rsidRDefault="00B01FCD" w:rsidP="00441B6F">
      <w:pPr>
        <w:pStyle w:val="Appendix"/>
        <w:spacing w:after="0"/>
        <w:jc w:val="both"/>
        <w:rPr>
          <w:rFonts w:ascii="Arial" w:hAnsi="Arial" w:cs="Arial"/>
          <w:b w:val="0"/>
        </w:rPr>
      </w:pPr>
    </w:p>
    <w:p w14:paraId="5D2F1BE8" w14:textId="77777777" w:rsidR="00521F8B" w:rsidRPr="00FB3A86" w:rsidRDefault="00521F8B">
      <w:pPr>
        <w:pStyle w:val="Appendix"/>
        <w:spacing w:after="0"/>
        <w:jc w:val="both"/>
        <w:rPr>
          <w:rFonts w:ascii="Arial" w:hAnsi="Arial" w:cs="Arial"/>
          <w:b w:val="0"/>
        </w:rPr>
      </w:pPr>
    </w:p>
    <w:sectPr w:rsidR="00521F8B" w:rsidRPr="00FB3A86" w:rsidSect="00777F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F5CEA" w14:textId="77777777" w:rsidR="004D08E1" w:rsidRDefault="004D08E1" w:rsidP="00C37E61">
      <w:r>
        <w:separator/>
      </w:r>
    </w:p>
  </w:endnote>
  <w:endnote w:type="continuationSeparator" w:id="0">
    <w:p w14:paraId="1895B6A6" w14:textId="77777777" w:rsidR="004D08E1" w:rsidRDefault="004D08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imSu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F8A8" w14:textId="77777777" w:rsidR="000F2A99" w:rsidRDefault="000F2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D1B5" w14:textId="77777777" w:rsidR="000F2A99" w:rsidRDefault="000F2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34738" w14:textId="46B9CE5E" w:rsidR="00754C9A" w:rsidRPr="000F2A99" w:rsidRDefault="00754C9A" w:rsidP="000F2A9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7588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1C80" w14:textId="77777777" w:rsidR="004D08E1" w:rsidRDefault="004D08E1" w:rsidP="00C37E61">
      <w:r>
        <w:separator/>
      </w:r>
    </w:p>
  </w:footnote>
  <w:footnote w:type="continuationSeparator" w:id="0">
    <w:p w14:paraId="3A765162" w14:textId="77777777" w:rsidR="004D08E1" w:rsidRDefault="004D08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4A57" w14:textId="11489D25" w:rsidR="000F2A99" w:rsidRDefault="000F2A99">
    <w:pPr>
      <w:pStyle w:val="Header"/>
    </w:pPr>
    <w:r>
      <w:rPr>
        <w:noProof/>
      </w:rPr>
      <w:pict w14:anchorId="76C57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482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56ED" w14:textId="3276E3C1" w:rsidR="000F2A99" w:rsidRDefault="000F2A99">
    <w:pPr>
      <w:pStyle w:val="Header"/>
    </w:pPr>
    <w:r>
      <w:rPr>
        <w:noProof/>
      </w:rPr>
      <w:pict w14:anchorId="5C227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482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E40A" w14:textId="5E5D9D04" w:rsidR="00296529" w:rsidRPr="00296529" w:rsidRDefault="000F2A99" w:rsidP="00296529">
    <w:pPr>
      <w:ind w:left="2160"/>
      <w:jc w:val="center"/>
      <w:rPr>
        <w:rFonts w:ascii="Times New Roman" w:eastAsia="Calibri" w:hAnsi="Times New Roman"/>
        <w:i/>
        <w:sz w:val="18"/>
        <w:szCs w:val="22"/>
      </w:rPr>
    </w:pPr>
    <w:r>
      <w:rPr>
        <w:noProof/>
      </w:rPr>
      <w:pict w14:anchorId="512D9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482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5F35B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9C7E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AA15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151D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10A8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0CA9B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9B5D8" w14:textId="4079A80A" w:rsidR="000F2A99" w:rsidRDefault="000F2A99">
    <w:pPr>
      <w:pStyle w:val="Header"/>
    </w:pPr>
    <w:r>
      <w:rPr>
        <w:noProof/>
      </w:rPr>
      <w:pict w14:anchorId="63C61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482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95F4C" w14:textId="3E9DCC77" w:rsidR="000F2A99" w:rsidRDefault="000F2A99">
    <w:pPr>
      <w:pStyle w:val="Header"/>
    </w:pPr>
    <w:r>
      <w:rPr>
        <w:noProof/>
      </w:rPr>
      <w:pict w14:anchorId="7F677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482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76616" w14:textId="52D488E2" w:rsidR="000F2A99" w:rsidRDefault="000F2A99">
    <w:pPr>
      <w:pStyle w:val="Header"/>
    </w:pPr>
    <w:r>
      <w:rPr>
        <w:noProof/>
      </w:rPr>
      <w:pict w14:anchorId="4E274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482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30174"/>
    <w:rsid w:val="00035742"/>
    <w:rsid w:val="0004579C"/>
    <w:rsid w:val="000A47FA"/>
    <w:rsid w:val="000A65D3"/>
    <w:rsid w:val="000B1E33"/>
    <w:rsid w:val="000D689F"/>
    <w:rsid w:val="000E1B35"/>
    <w:rsid w:val="000E3AD3"/>
    <w:rsid w:val="000E7B7B"/>
    <w:rsid w:val="000E7D62"/>
    <w:rsid w:val="000F2A99"/>
    <w:rsid w:val="00103357"/>
    <w:rsid w:val="00123C9F"/>
    <w:rsid w:val="00126190"/>
    <w:rsid w:val="00130F17"/>
    <w:rsid w:val="001320BF"/>
    <w:rsid w:val="00163BC4"/>
    <w:rsid w:val="00191062"/>
    <w:rsid w:val="00192B72"/>
    <w:rsid w:val="001A21B0"/>
    <w:rsid w:val="001A29D8"/>
    <w:rsid w:val="001A5CAA"/>
    <w:rsid w:val="001B0427"/>
    <w:rsid w:val="001D3A51"/>
    <w:rsid w:val="001E10D2"/>
    <w:rsid w:val="001E25B4"/>
    <w:rsid w:val="001E44FE"/>
    <w:rsid w:val="00200595"/>
    <w:rsid w:val="00204835"/>
    <w:rsid w:val="00226480"/>
    <w:rsid w:val="00231920"/>
    <w:rsid w:val="0023195C"/>
    <w:rsid w:val="0024282C"/>
    <w:rsid w:val="002460DC"/>
    <w:rsid w:val="00250985"/>
    <w:rsid w:val="002556F6"/>
    <w:rsid w:val="00274A36"/>
    <w:rsid w:val="00283105"/>
    <w:rsid w:val="00284C4C"/>
    <w:rsid w:val="00287E68"/>
    <w:rsid w:val="00293355"/>
    <w:rsid w:val="00296529"/>
    <w:rsid w:val="002B27FB"/>
    <w:rsid w:val="002B685A"/>
    <w:rsid w:val="002C57D2"/>
    <w:rsid w:val="002E0D56"/>
    <w:rsid w:val="00301CBB"/>
    <w:rsid w:val="00315186"/>
    <w:rsid w:val="0033343E"/>
    <w:rsid w:val="003512C2"/>
    <w:rsid w:val="00356AD9"/>
    <w:rsid w:val="00371FB6"/>
    <w:rsid w:val="003763C1"/>
    <w:rsid w:val="00376BBE"/>
    <w:rsid w:val="0039224F"/>
    <w:rsid w:val="003A43A4"/>
    <w:rsid w:val="003A7E18"/>
    <w:rsid w:val="003C4C86"/>
    <w:rsid w:val="003C6258"/>
    <w:rsid w:val="003E2904"/>
    <w:rsid w:val="00401927"/>
    <w:rsid w:val="0040222E"/>
    <w:rsid w:val="0041027F"/>
    <w:rsid w:val="00412475"/>
    <w:rsid w:val="00416C2D"/>
    <w:rsid w:val="00423789"/>
    <w:rsid w:val="00426D64"/>
    <w:rsid w:val="00440F43"/>
    <w:rsid w:val="00441B6F"/>
    <w:rsid w:val="004424E0"/>
    <w:rsid w:val="00446221"/>
    <w:rsid w:val="00450E62"/>
    <w:rsid w:val="004539DB"/>
    <w:rsid w:val="00471A80"/>
    <w:rsid w:val="004A176B"/>
    <w:rsid w:val="004D08E1"/>
    <w:rsid w:val="004D305E"/>
    <w:rsid w:val="004D4277"/>
    <w:rsid w:val="004F19EE"/>
    <w:rsid w:val="00502516"/>
    <w:rsid w:val="00505F06"/>
    <w:rsid w:val="00506828"/>
    <w:rsid w:val="00521F8B"/>
    <w:rsid w:val="0053056E"/>
    <w:rsid w:val="00554FDA"/>
    <w:rsid w:val="00595A6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2667"/>
    <w:rsid w:val="006D30FF"/>
    <w:rsid w:val="006D6940"/>
    <w:rsid w:val="006F11EC"/>
    <w:rsid w:val="0070082C"/>
    <w:rsid w:val="0072717A"/>
    <w:rsid w:val="007369E6"/>
    <w:rsid w:val="00746E59"/>
    <w:rsid w:val="00754C9A"/>
    <w:rsid w:val="0075599A"/>
    <w:rsid w:val="00761D52"/>
    <w:rsid w:val="0077749E"/>
    <w:rsid w:val="00777FFB"/>
    <w:rsid w:val="00790ADA"/>
    <w:rsid w:val="007A6F5D"/>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8F6E1C"/>
    <w:rsid w:val="00902823"/>
    <w:rsid w:val="00915CA6"/>
    <w:rsid w:val="00927834"/>
    <w:rsid w:val="009371D5"/>
    <w:rsid w:val="009500A6"/>
    <w:rsid w:val="00957C18"/>
    <w:rsid w:val="009659BA"/>
    <w:rsid w:val="00983040"/>
    <w:rsid w:val="009B3FB9"/>
    <w:rsid w:val="009C2465"/>
    <w:rsid w:val="009C55A4"/>
    <w:rsid w:val="009D35A0"/>
    <w:rsid w:val="009D7EB7"/>
    <w:rsid w:val="009E048A"/>
    <w:rsid w:val="009E08E9"/>
    <w:rsid w:val="009E3DB9"/>
    <w:rsid w:val="009E6E35"/>
    <w:rsid w:val="009F0EDA"/>
    <w:rsid w:val="00A03B96"/>
    <w:rsid w:val="00A05B19"/>
    <w:rsid w:val="00A1134E"/>
    <w:rsid w:val="00A22A1F"/>
    <w:rsid w:val="00A24E7E"/>
    <w:rsid w:val="00A258C3"/>
    <w:rsid w:val="00A347C0"/>
    <w:rsid w:val="00A36806"/>
    <w:rsid w:val="00A51431"/>
    <w:rsid w:val="00A539AD"/>
    <w:rsid w:val="00A94063"/>
    <w:rsid w:val="00AA6219"/>
    <w:rsid w:val="00AA74E0"/>
    <w:rsid w:val="00AB703F"/>
    <w:rsid w:val="00AC6BB8"/>
    <w:rsid w:val="00AE008F"/>
    <w:rsid w:val="00B01FCD"/>
    <w:rsid w:val="00B1776C"/>
    <w:rsid w:val="00B52583"/>
    <w:rsid w:val="00B52896"/>
    <w:rsid w:val="00B6151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0776"/>
    <w:rsid w:val="00C85588"/>
    <w:rsid w:val="00CB677E"/>
    <w:rsid w:val="00CC590E"/>
    <w:rsid w:val="00CD6755"/>
    <w:rsid w:val="00CD6856"/>
    <w:rsid w:val="00CE0089"/>
    <w:rsid w:val="00CE66CB"/>
    <w:rsid w:val="00CE793C"/>
    <w:rsid w:val="00CF193C"/>
    <w:rsid w:val="00D173F1"/>
    <w:rsid w:val="00D74CB0"/>
    <w:rsid w:val="00D8295D"/>
    <w:rsid w:val="00DC2A65"/>
    <w:rsid w:val="00DE15F0"/>
    <w:rsid w:val="00DE5663"/>
    <w:rsid w:val="00DE78AA"/>
    <w:rsid w:val="00E0463D"/>
    <w:rsid w:val="00E053D0"/>
    <w:rsid w:val="00E15994"/>
    <w:rsid w:val="00E3114E"/>
    <w:rsid w:val="00E31A70"/>
    <w:rsid w:val="00E35B02"/>
    <w:rsid w:val="00E66496"/>
    <w:rsid w:val="00E66B35"/>
    <w:rsid w:val="00E66E10"/>
    <w:rsid w:val="00E71788"/>
    <w:rsid w:val="00E769F6"/>
    <w:rsid w:val="00E8407C"/>
    <w:rsid w:val="00E84F3C"/>
    <w:rsid w:val="00EA012C"/>
    <w:rsid w:val="00EC6A55"/>
    <w:rsid w:val="00ED0288"/>
    <w:rsid w:val="00EE18BE"/>
    <w:rsid w:val="00EE52CB"/>
    <w:rsid w:val="00EF581D"/>
    <w:rsid w:val="00EF7A9B"/>
    <w:rsid w:val="00EF7FD8"/>
    <w:rsid w:val="00F06F59"/>
    <w:rsid w:val="00F17988"/>
    <w:rsid w:val="00F469F0"/>
    <w:rsid w:val="00F53273"/>
    <w:rsid w:val="00F755E4"/>
    <w:rsid w:val="00F77D02"/>
    <w:rsid w:val="00F91AEC"/>
    <w:rsid w:val="00F95348"/>
    <w:rsid w:val="00FB3A86"/>
    <w:rsid w:val="00FC4C63"/>
    <w:rsid w:val="00FD36C8"/>
    <w:rsid w:val="00F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6"/>
      </o:rules>
    </o:shapelayout>
  </w:shapeDefaults>
  <w:decimalSymbol w:val="."/>
  <w:listSeparator w:val=","/>
  <w14:docId w14:val="5C5417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521F8B"/>
  </w:style>
  <w:style w:type="paragraph" w:styleId="Bibliography">
    <w:name w:val="Bibliography"/>
    <w:basedOn w:val="Normal"/>
    <w:next w:val="Normal"/>
    <w:uiPriority w:val="37"/>
    <w:semiHidden/>
    <w:unhideWhenUsed/>
    <w:rsid w:val="00521F8B"/>
  </w:style>
  <w:style w:type="character" w:styleId="Strong">
    <w:name w:val="Strong"/>
    <w:basedOn w:val="DefaultParagraphFont"/>
    <w:uiPriority w:val="22"/>
    <w:qFormat/>
    <w:rsid w:val="00521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yperlink" Target="https://www.chem-info.nite.go.jp/chem/english/ghs/m-nite-141-78-6e.html"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s://echa.europa.eu/information-on-chemicals/cl-inventory-database/-/discli/details/95722"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cha.europa.eu/information-on-chemicals/cl-inventory-database/-/discli/details/9572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F51C9-5B64-4AED-93E8-4B29A2388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13</Pages>
  <Words>4306</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1999-07-06T11:00:00Z</cp:lastPrinted>
  <dcterms:created xsi:type="dcterms:W3CDTF">2014-10-25T14:34:00Z</dcterms:created>
  <dcterms:modified xsi:type="dcterms:W3CDTF">2025-11-01T10:27:00Z</dcterms:modified>
</cp:coreProperties>
</file>